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F081C0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623D1">
              <w:rPr>
                <w:rFonts w:ascii="Times New Roman" w:hAnsi="Times New Roman" w:cs="Times New Roman"/>
                <w:b/>
                <w:color w:val="auto"/>
                <w:sz w:val="48"/>
              </w:rPr>
              <w:t>Ffion Eleri Morgan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6669E5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623D1">
              <w:rPr>
                <w:rFonts w:ascii="Times New Roman" w:hAnsi="Times New Roman" w:cs="Times New Roman"/>
                <w:b/>
                <w:color w:val="auto"/>
                <w:sz w:val="48"/>
              </w:rPr>
              <w:t xml:space="preserve"> E.Morgan@npt.gov.uk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E349298" w14:textId="77777777" w:rsidR="000623D1" w:rsidRPr="005D3F07" w:rsidRDefault="000623D1" w:rsidP="000623D1">
            <w:pPr>
              <w:overflowPunct/>
              <w:autoSpaceDE/>
              <w:autoSpaceDN/>
              <w:adjustRightInd/>
              <w:ind w:right="-957"/>
              <w:textAlignment w:val="auto"/>
              <w:rPr>
                <w:rFonts w:ascii="Times New Roman" w:hAnsi="Times New Roman" w:cs="Times New Roman"/>
                <w:b/>
                <w:color w:val="auto"/>
                <w:sz w:val="48"/>
              </w:rPr>
            </w:pPr>
            <w:r w:rsidRPr="006500CF">
              <w:rPr>
                <w:rFonts w:ascii="Times New Roman" w:hAnsi="Times New Roman" w:cs="Times New Roman"/>
                <w:b/>
                <w:bCs/>
                <w:sz w:val="48"/>
              </w:rPr>
              <w:t>1301642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6B096671" w14:textId="77777777" w:rsidR="000623D1" w:rsidRDefault="000623D1" w:rsidP="000623D1">
            <w:pPr>
              <w:spacing w:after="200" w:line="360" w:lineRule="auto"/>
              <w:jc w:val="both"/>
            </w:pPr>
            <w:r>
              <w:t>This critically reflective case study examines my involvement in undertaking a Child and Young Person Assessment (CYPA) concerning safeguarding concerns within a family of four children. To maintain confidentiality and anonymity in accordance with Social Care Wales (2024) professional standards and General Data Protection Regulation principles, identifying details have been omitted and family members are referred to using pseudonyms and numerical identifiers.</w:t>
            </w:r>
          </w:p>
          <w:p w14:paraId="62ABF070" w14:textId="77777777" w:rsidR="000623D1" w:rsidRDefault="000623D1" w:rsidP="000623D1">
            <w:pPr>
              <w:spacing w:after="200" w:line="360" w:lineRule="auto"/>
              <w:jc w:val="both"/>
            </w:pPr>
            <w:r>
              <w:t>Initially, concerns centred on an infant child whose health and developmental needs appeared unmet due to non-attendance at health appointments and reports provided by medical practitioners. As the assessment progressed, concerns broadened to include the welfare of all four children within the household. The case required comprehensive assessment, multi-agency collaboration, evidence-informed analysis and complex professional judgement regarding safeguarding thresholds.</w:t>
            </w:r>
          </w:p>
          <w:p w14:paraId="7933EE66" w14:textId="77777777" w:rsidR="000623D1" w:rsidRDefault="000623D1" w:rsidP="000623D1">
            <w:pPr>
              <w:spacing w:after="200" w:line="360" w:lineRule="auto"/>
              <w:jc w:val="both"/>
            </w:pPr>
            <w:r>
              <w:t xml:space="preserve">The assessment took place within the legislative and policy framework governing safeguarding in Wales, including the Social Services and Well-being (Wales) Act 2014, the Wales Safeguarding Procedures (2019), the Children Act 1989, the Human Rights Act 1998, the Equality Act 2010, the Rights of Children and Young Persons (Wales) Measure 2011 and the United Nations Convention on the Rights of the Child (UNCRC) (United Nations, 1989; Welsh Government, 2014). The case also highlights the relationship between Welsh safeguarding legislation, wider United Kingdom legislation and international human rights frameworks, including those </w:t>
            </w:r>
            <w:r>
              <w:lastRenderedPageBreak/>
              <w:t>previously influenced by European Union membership and continuing obligations under the European Convention on Human Rights.</w:t>
            </w:r>
          </w:p>
          <w:p w14:paraId="584DA69B" w14:textId="77777777" w:rsidR="000623D1" w:rsidRDefault="000623D1" w:rsidP="000623D1">
            <w:pPr>
              <w:spacing w:after="200" w:line="360" w:lineRule="auto"/>
              <w:jc w:val="both"/>
            </w:pPr>
            <w:r>
              <w:t>This essay critically analyses safeguarding legislation, professional judgement, assessment processes, collaborative working and the application of social work theory. Through critical reflection, the essay explores how relationship-based practice, direct work with children and contextual understanding informed assessment outcomes and contributed to my professional development as a social worker practising in Wales.</w:t>
            </w:r>
          </w:p>
          <w:p w14:paraId="54D91B68" w14:textId="77777777" w:rsidR="000623D1" w:rsidRDefault="000623D1" w:rsidP="000623D1">
            <w:pPr>
              <w:spacing w:after="200" w:line="360" w:lineRule="auto"/>
              <w:jc w:val="both"/>
            </w:pPr>
            <w:r>
              <w:t>The referral originated from health professionals who expressed concerns regarding an infant child's health needs and attendance at medical appointments. Initial information was gathered from paediatricians, health visitors, dieticians, educational professionals and other healthcare practitioners. These agencies reported missed appointments, inconsistent engagement with professionals and concerns that aspects of the child's medical needs were not being met.</w:t>
            </w:r>
          </w:p>
          <w:p w14:paraId="27FD48F6" w14:textId="77777777" w:rsidR="000623D1" w:rsidRDefault="000623D1" w:rsidP="000623D1">
            <w:pPr>
              <w:spacing w:after="200" w:line="360" w:lineRule="auto"/>
              <w:jc w:val="both"/>
            </w:pPr>
            <w:r>
              <w:t>As the assessment progressed, additional referrals continued to be received, often on a weekly basis, contributing to increasing professional anxiety and heightened concerns regarding the children's welfare. Whilst each referral required consideration, it became important to critically analyse whether new information significantly changed the level of risk or whether concerns were becoming amplified through repetition rather than through fresh evidence of harm.</w:t>
            </w:r>
          </w:p>
          <w:p w14:paraId="3AE4D996" w14:textId="77777777" w:rsidR="000623D1" w:rsidRDefault="000623D1" w:rsidP="000623D1">
            <w:pPr>
              <w:spacing w:after="200" w:line="360" w:lineRule="auto"/>
              <w:jc w:val="both"/>
            </w:pPr>
            <w:r>
              <w:t xml:space="preserve">The family's previous experiences of statutory intervention further complicated assessment processes. Several years earlier, the family had experienced the death of a child due to </w:t>
            </w:r>
            <w:proofErr w:type="gramStart"/>
            <w:r>
              <w:t>Sudden Infant Death Syndrome</w:t>
            </w:r>
            <w:proofErr w:type="gramEnd"/>
            <w:r>
              <w:t xml:space="preserve"> (SIDS), following which child protection investigations had been undertaken. The parents described these experiences as traumatic and reported feeling judged and blamed by </w:t>
            </w:r>
            <w:proofErr w:type="gramStart"/>
            <w:r>
              <w:t>professionals, and</w:t>
            </w:r>
            <w:proofErr w:type="gramEnd"/>
            <w:r>
              <w:t xml:space="preserve"> consequently viewed social services involvement with mistrust and suspicion.</w:t>
            </w:r>
          </w:p>
          <w:p w14:paraId="787C2F9F" w14:textId="77777777" w:rsidR="000623D1" w:rsidRDefault="000623D1" w:rsidP="000623D1">
            <w:pPr>
              <w:spacing w:after="200" w:line="360" w:lineRule="auto"/>
              <w:jc w:val="both"/>
            </w:pPr>
            <w:r>
              <w:t>This situation reflected the complexity often encountered within safeguarding work, where historical trauma, professional anxiety and family resistance intersect. Munro (2011) argues that safeguarding assessments rarely involve certainty and instead require practitioners to navigate ambiguity, competing perspectives and incomplete information. This accurately reflected the circumstances of this case and highlighted the importance of maintaining professional curiosity while remaining sensitive to the family's previous experiences of loss and intervention.</w:t>
            </w:r>
          </w:p>
          <w:p w14:paraId="485A8094" w14:textId="77777777" w:rsidR="000623D1" w:rsidRDefault="000623D1" w:rsidP="000623D1">
            <w:pPr>
              <w:spacing w:after="200" w:line="360" w:lineRule="auto"/>
              <w:jc w:val="both"/>
            </w:pPr>
            <w:r>
              <w:t>The primary legislation underpinning intervention was the Social Services and Well-being (Wales) Act 2014. The Act transformed social work practice in Wales by promoting wellbeing, prevention, early intervention, strengths-based practice and co-production with individuals and families (Welsh Government, 2014). Central to the legislation is the concept of "what matters" to individuals and ensuring citizens exercise voice and control over decisions affecting their lives.</w:t>
            </w:r>
          </w:p>
          <w:p w14:paraId="53038308" w14:textId="77777777" w:rsidR="000623D1" w:rsidRDefault="000623D1" w:rsidP="000623D1">
            <w:pPr>
              <w:spacing w:after="200" w:line="360" w:lineRule="auto"/>
              <w:jc w:val="both"/>
            </w:pPr>
            <w:r>
              <w:lastRenderedPageBreak/>
              <w:t>Throughout the assessment, I was required to determine whether safeguarding concerns reached the threshold for child protection intervention under Section 47 of the Children Act 1989 and the Wales Safeguarding Procedures (2019), or whether concerns could be appropriately managed through a Care and Support Plan under Part 4 of the Social Services and Well-being (Wales) Act 2014. This dual framework, in which children's welfare law continues to operate alongside a devolved wellbeing statute, is itself a distinctive feature of practising in Wales.</w:t>
            </w:r>
          </w:p>
          <w:p w14:paraId="48C6BEDE" w14:textId="77777777" w:rsidR="000623D1" w:rsidRDefault="000623D1" w:rsidP="000623D1">
            <w:pPr>
              <w:spacing w:after="200" w:line="360" w:lineRule="auto"/>
              <w:jc w:val="both"/>
            </w:pPr>
            <w:r>
              <w:t>The case highlighted the balance between safeguarding children and respecting family rights. Article 8 of the European Convention on Human Rights, incorporated into domestic law through the Human Rights Act 1998, provides individuals with a right to respect for private and family life. Any interference by the state must therefore be lawful, necessary and proportionate. Braye and Preston-Shoot (2016) argue that social workers must be able to identify and articulate the legal basis for intervention, ensuring decisions are supported by evidence rather than assumption, and that the least intrusive option capable of safeguarding the child is always considered first.</w:t>
            </w:r>
          </w:p>
          <w:p w14:paraId="0B95393F" w14:textId="77777777" w:rsidR="000623D1" w:rsidRDefault="000623D1" w:rsidP="000623D1">
            <w:pPr>
              <w:spacing w:after="200" w:line="360" w:lineRule="auto"/>
              <w:jc w:val="both"/>
            </w:pPr>
            <w:r>
              <w:t>Children's rights were also central throughout the assessment. Article 3 of the UNCRC requires the child's best interests to be a primary consideration in decision making, whilst Article 12 establishes children's rights to express their views in matters affecting them (United Nations, 1989). These principles are embedded within Welsh legislation through the Rights of Children and Young Persons (Wales) Measure 2011, which places a distinctive statutory due-regard duty on Welsh Ministers and strongly influences safeguarding practice across Wales.</w:t>
            </w:r>
          </w:p>
          <w:p w14:paraId="76C1DD41" w14:textId="77777777" w:rsidR="000623D1" w:rsidRDefault="000623D1" w:rsidP="000623D1">
            <w:pPr>
              <w:spacing w:after="200" w:line="360" w:lineRule="auto"/>
              <w:jc w:val="both"/>
            </w:pPr>
            <w:r>
              <w:t>The case additionally demonstrates the interface between safeguarding provision in Wales and wider legislative frameworks. Whilst safeguarding is devolved to Wales, practice remains influenced by UK-wide legislation including the Children Act 1989, the Equality Act 2010 and the Human Rights Act 1998. Furthermore, principles established through the European Convention on Human Rights continue to influence decision making despite the United Kingdom's withdrawal from the European Union. Safeguarding practice within Wales therefore operates within an interconnected framework of Welsh, UK and international legal obligations, a theme returned to later in this essay.</w:t>
            </w:r>
          </w:p>
          <w:p w14:paraId="1532625C" w14:textId="77777777" w:rsidR="000623D1" w:rsidRDefault="000623D1" w:rsidP="000623D1">
            <w:pPr>
              <w:spacing w:after="200" w:line="360" w:lineRule="auto"/>
              <w:jc w:val="both"/>
            </w:pPr>
            <w:r>
              <w:t>One of the most significant challenges involved engaging the family. The parents possessed extensive knowledge regarding statutory intervention and frequently challenged the rationale for social work involvement. Home visits were difficult to arrange and communication was often limited.</w:t>
            </w:r>
          </w:p>
          <w:p w14:paraId="48F42CB4" w14:textId="77777777" w:rsidR="000623D1" w:rsidRDefault="000623D1" w:rsidP="000623D1">
            <w:pPr>
              <w:spacing w:after="200" w:line="360" w:lineRule="auto"/>
              <w:jc w:val="both"/>
            </w:pPr>
            <w:r>
              <w:t>Initially, I experienced considerable anxiety and uncertainty. Whilst recognising my responsibility to assess risk and safeguard the children, I was also conscious that an overly authoritative approach could reinforce the family's mistrust. This created tension between my statutory responsibilities and relationship-based practice.</w:t>
            </w:r>
          </w:p>
          <w:p w14:paraId="5A63C197" w14:textId="77777777" w:rsidR="000623D1" w:rsidRDefault="000623D1" w:rsidP="000623D1">
            <w:pPr>
              <w:spacing w:after="200" w:line="360" w:lineRule="auto"/>
              <w:jc w:val="both"/>
            </w:pPr>
            <w:r>
              <w:t xml:space="preserve">Relationship-based social work emphasises empathy, collaboration and the development of meaningful professional relationships as mechanisms through which change occurs (Ruch, 2005). Reflecting upon my practice, I consciously adopted a transparent, respectful and empathetic approach. Rather than focusing </w:t>
            </w:r>
            <w:r>
              <w:lastRenderedPageBreak/>
              <w:t>exclusively on concerns, I sought to understand the family's experiences and acknowledge the impact of previous interventions on their willingness to trust professionals.</w:t>
            </w:r>
          </w:p>
          <w:p w14:paraId="4006B3A5" w14:textId="77777777" w:rsidR="000623D1" w:rsidRDefault="000623D1" w:rsidP="000623D1">
            <w:pPr>
              <w:spacing w:after="200" w:line="360" w:lineRule="auto"/>
              <w:jc w:val="both"/>
            </w:pPr>
            <w:r>
              <w:t>Over time, transparency regarding concerns and active listening helped establish trust. A particularly significant moment occurred when I openly discussed differing professional opinions regarding the assessment outcome, explaining that whilst some professionals advocated Child Protection procedures, I believed a proportionate assessment should first be completed. Unexpectedly, this honesty strengthened the relationship, with the parents reporting that they felt listened to for the first time.</w:t>
            </w:r>
          </w:p>
          <w:p w14:paraId="5C268919" w14:textId="77777777" w:rsidR="000623D1" w:rsidRDefault="000623D1" w:rsidP="000623D1">
            <w:pPr>
              <w:spacing w:after="200" w:line="360" w:lineRule="auto"/>
              <w:jc w:val="both"/>
            </w:pPr>
            <w:r>
              <w:t>This experience reinforced the importance of relationship-based practice within safeguarding work. Whilst authority remains an important feature of social work intervention, meaningful engagement is often achieved through trusting relationships rather than statutory power alone (Ruch, 2005).</w:t>
            </w:r>
          </w:p>
          <w:p w14:paraId="6AB81DB5" w14:textId="77777777" w:rsidR="000623D1" w:rsidRDefault="000623D1" w:rsidP="000623D1">
            <w:pPr>
              <w:spacing w:after="200" w:line="360" w:lineRule="auto"/>
              <w:jc w:val="both"/>
            </w:pPr>
            <w:r>
              <w:t>An important aspect of the assessment involved undertaking direct work with the older children. Due to the younger children being infants, formal direct work was limited; however, engagement with the school-aged children enabled their voices and lived experiences to be incorporated into the assessment.</w:t>
            </w:r>
          </w:p>
          <w:p w14:paraId="345891A8" w14:textId="77777777" w:rsidR="000623D1" w:rsidRDefault="000623D1" w:rsidP="000623D1">
            <w:pPr>
              <w:spacing w:after="200" w:line="360" w:lineRule="auto"/>
              <w:jc w:val="both"/>
            </w:pPr>
            <w:r>
              <w:t xml:space="preserve">The Social Services and Well-being (Wales) Act 2014 places considerable emphasis on voice and control, reflecting Article 12 of the UNCRC. Direct work therefore represented both good practice and a legislative </w:t>
            </w:r>
            <w:proofErr w:type="gramStart"/>
            <w:r>
              <w:t>expectation, and</w:t>
            </w:r>
            <w:proofErr w:type="gramEnd"/>
            <w:r>
              <w:t xml:space="preserve"> is one of the distinctly Welsh dimensions of assessment given the statutory weight attached to participation.</w:t>
            </w:r>
          </w:p>
          <w:p w14:paraId="44D898E5" w14:textId="77777777" w:rsidR="000623D1" w:rsidRDefault="000623D1" w:rsidP="000623D1">
            <w:pPr>
              <w:spacing w:after="200" w:line="360" w:lineRule="auto"/>
              <w:jc w:val="both"/>
            </w:pPr>
            <w:r>
              <w:t>Completing visits within the school environment provided opportunities for the children to speak freely away from the family home. It allowed me to assess their emotional wellbeing, gather their views and engage in activities that facilitated communication. "All About Me" activities proved particularly valuable as they enabled relationship building whilst gathering assessment information regarding identity, interests, strengths and aspirations.</w:t>
            </w:r>
          </w:p>
          <w:p w14:paraId="446E723E" w14:textId="77777777" w:rsidR="000623D1" w:rsidRDefault="000623D1" w:rsidP="000623D1">
            <w:pPr>
              <w:spacing w:after="200" w:line="360" w:lineRule="auto"/>
              <w:jc w:val="both"/>
            </w:pPr>
            <w:r>
              <w:t>These activities moved beyond traditional interview methods and created opportunities for meaningful conversations about the children's experiences. The children identified personal outcomes they wished to achieve, discussed worries they had and considered whether they wished to participate in meetings concerning their care.</w:t>
            </w:r>
          </w:p>
          <w:p w14:paraId="5C218153" w14:textId="77777777" w:rsidR="000623D1" w:rsidRDefault="000623D1" w:rsidP="000623D1">
            <w:pPr>
              <w:spacing w:after="200" w:line="360" w:lineRule="auto"/>
              <w:jc w:val="both"/>
            </w:pPr>
            <w:r>
              <w:t xml:space="preserve">The school environment also strengthened multi-agency collaboration. Educational professionals had expressed concerns regarding engagement and attendance. Through collaborative discussion, a bespoke educational support plan was </w:t>
            </w:r>
            <w:proofErr w:type="gramStart"/>
            <w:r>
              <w:t>developed</w:t>
            </w:r>
            <w:proofErr w:type="gramEnd"/>
            <w:r>
              <w:t xml:space="preserve"> and parental engagement was secured in a way that had not previously been achieved, reinforcing the value of integrated practice.</w:t>
            </w:r>
          </w:p>
          <w:p w14:paraId="0C6B2DF7" w14:textId="77777777" w:rsidR="000623D1" w:rsidRDefault="000623D1" w:rsidP="000623D1">
            <w:pPr>
              <w:spacing w:after="200" w:line="360" w:lineRule="auto"/>
              <w:jc w:val="both"/>
            </w:pPr>
            <w:r>
              <w:t xml:space="preserve">Ferguson (2016) argues that close, direct communication with children is central to effective safeguarding because it prevents professionals becoming overly reliant upon parental accounts or agency interpretations gathered at a distance. Reflecting on the assessment, direct work provided essential insight into the </w:t>
            </w:r>
            <w:proofErr w:type="gramStart"/>
            <w:r>
              <w:t>children's</w:t>
            </w:r>
            <w:proofErr w:type="gramEnd"/>
            <w:r>
              <w:t xml:space="preserve"> </w:t>
            </w:r>
            <w:r>
              <w:lastRenderedPageBreak/>
              <w:t>lived experiences and significantly informed my analysis, consistent with Lefevre's (2015) argument that communication skills are a core professional competency rather than an optional extra.</w:t>
            </w:r>
          </w:p>
          <w:p w14:paraId="4ED62822" w14:textId="77777777" w:rsidR="000623D1" w:rsidRDefault="000623D1" w:rsidP="000623D1">
            <w:pPr>
              <w:spacing w:after="200" w:line="360" w:lineRule="auto"/>
              <w:jc w:val="both"/>
            </w:pPr>
            <w:r>
              <w:t>Multi-agency collaboration was central throughout the assessment. Health visitors, paediatricians, dieticians, educational professionals and social workers were all involved in safeguarding planning and information sharing. Working Together to Safeguard People (Welsh Government, 2022) emphasises that safeguarding requires effective communication, partnership and shared responsibility between agencies, and information sharing within this case was generally effective in ensuring concerns were identified promptly.</w:t>
            </w:r>
          </w:p>
          <w:p w14:paraId="08CE916C" w14:textId="77777777" w:rsidR="000623D1" w:rsidRDefault="000623D1" w:rsidP="000623D1">
            <w:pPr>
              <w:spacing w:after="200" w:line="360" w:lineRule="auto"/>
              <w:jc w:val="both"/>
            </w:pPr>
            <w:r>
              <w:t>However, the case also highlighted challenges associated with multi-agency working. Medical professionals consistently advocated progression to Child Protection procedures, whereas my analysis suggested concerns may be more appropriately managed through a Care and Support Plan. Discussions were often dominated by healthcare perspectives and specialist terminology.</w:t>
            </w:r>
          </w:p>
          <w:p w14:paraId="77AD9361" w14:textId="77777777" w:rsidR="000623D1" w:rsidRDefault="000623D1" w:rsidP="000623D1">
            <w:pPr>
              <w:spacing w:after="200" w:line="360" w:lineRule="auto"/>
              <w:jc w:val="both"/>
            </w:pPr>
            <w:r>
              <w:t>As a relatively newly qualified practitioner, I occasionally felt intimidated when my analysis differed from highly experienced professionals. At times I questioned my own conclusions despite evidence supporting them. This reflects the findings of Atwal and Caldwell (2006), who identify that dominant professional hierarchies and differing perceptions of teamwork can significantly hinder equal participation and shape decision-making within multidisciplinary settings.</w:t>
            </w:r>
          </w:p>
          <w:p w14:paraId="58FBE473" w14:textId="77777777" w:rsidR="000623D1" w:rsidRDefault="000623D1" w:rsidP="000623D1">
            <w:pPr>
              <w:spacing w:after="200" w:line="360" w:lineRule="auto"/>
              <w:jc w:val="both"/>
            </w:pPr>
            <w:r>
              <w:t xml:space="preserve">Supervision became crucial in helping me critically analyse information and distinguish evidence from professional anxiety. Through reflective discussion, I was encouraged to focus on </w:t>
            </w:r>
            <w:proofErr w:type="gramStart"/>
            <w:r>
              <w:t>children's</w:t>
            </w:r>
            <w:proofErr w:type="gramEnd"/>
            <w:r>
              <w:t xml:space="preserve"> lived experiences rather than solely on professional concerns. Munro (2011) argues that effective safeguarding requires professional reasoning rather than defensive practice; reflecting on this case, I recognise there were occasions when pressure from other professionals could have resulted in escalation primarily to reduce collective anxiety rather than because the evidence had changed.</w:t>
            </w:r>
          </w:p>
          <w:p w14:paraId="3EA87F41" w14:textId="77777777" w:rsidR="000623D1" w:rsidRDefault="000623D1" w:rsidP="000623D1">
            <w:pPr>
              <w:spacing w:after="200" w:line="360" w:lineRule="auto"/>
              <w:jc w:val="both"/>
            </w:pPr>
            <w:r>
              <w:t>Bronfenbrenner's (1979) Ecological Systems Theory was instrumental in understanding the family's circumstances, highlighting how children's experiences are influenced by interconnected systems ranging from immediate family relationships to wider societal structures. Application of this theory enabled exploration of parenting, family relationships, service accessibility, transport difficulties, poverty and community resources. Rather than assuming missed appointments represented neglect, ecological analysis encouraged consideration of wider contextual influences affecting engagement.</w:t>
            </w:r>
          </w:p>
          <w:p w14:paraId="27B18FF5" w14:textId="77777777" w:rsidR="000623D1" w:rsidRDefault="000623D1" w:rsidP="000623D1">
            <w:pPr>
              <w:spacing w:after="200" w:line="360" w:lineRule="auto"/>
              <w:jc w:val="both"/>
            </w:pPr>
            <w:r>
              <w:t xml:space="preserve">Systems Theory further informed assessment by recognising that families interact with numerous external systems simultaneously (Payne, 2020). Difficulties emerged from interactions between healthcare services, transport infrastructure, education systems and social networks. Viewing the family through a systems perspective highlighted that safeguarding concerns were not solely attributable to parental </w:t>
            </w:r>
            <w:proofErr w:type="gramStart"/>
            <w:r>
              <w:t>behaviour, but</w:t>
            </w:r>
            <w:proofErr w:type="gramEnd"/>
            <w:r>
              <w:t xml:space="preserve"> emerged through interactions between multiple systems that collectively influenced engagement and outcomes.</w:t>
            </w:r>
          </w:p>
          <w:p w14:paraId="48967222" w14:textId="77777777" w:rsidR="000623D1" w:rsidRDefault="000623D1" w:rsidP="000623D1">
            <w:pPr>
              <w:spacing w:after="200" w:line="360" w:lineRule="auto"/>
              <w:jc w:val="both"/>
            </w:pPr>
            <w:r>
              <w:lastRenderedPageBreak/>
              <w:t>Thompson's (2016) PCS model proved particularly useful. The family's experiences could be understood through personal experiences of bereavement, cultural experiences of stigma and structural experiences of poverty and rural isolation. Bywaters et al. (2016) identify a strong relationship between socioeconomic disadvantage and child welfare intervention rates. Anti-oppressive practice required consideration of these structural influences to avoid wrongly attributing responsibility to parents for difficulties arising from wider inequalities.</w:t>
            </w:r>
          </w:p>
          <w:p w14:paraId="397DED96" w14:textId="77777777" w:rsidR="000623D1" w:rsidRDefault="000623D1" w:rsidP="000623D1">
            <w:pPr>
              <w:spacing w:after="200" w:line="360" w:lineRule="auto"/>
              <w:jc w:val="both"/>
            </w:pPr>
            <w:r>
              <w:t>The Social Services and Well-being (Wales) Act 2014 promotes strengths-based practice. Protective factors identified throughout the assessment included strong emotional bonds, parental willingness to engage, resilience following adversity and commitment to meeting the children's emotional needs. Daniel's (2010) work on resilience is helpful here, cautioning against framing families solely through a lens of risk and instead encouraging practitioners to identify protective factors that mitigate adversity across a child's ecology. Recognising these strengths encouraged collaborative intervention planning and challenged deficit-focused narratives.</w:t>
            </w:r>
          </w:p>
          <w:p w14:paraId="21006CEE" w14:textId="77777777" w:rsidR="000623D1" w:rsidRDefault="000623D1" w:rsidP="000623D1">
            <w:pPr>
              <w:spacing w:after="200" w:line="360" w:lineRule="auto"/>
              <w:jc w:val="both"/>
            </w:pPr>
            <w:r>
              <w:t>The most challenging aspect of the assessment concerned threshold decisions. Following completion of the CYPA, I concluded that concerns could be managed safely within a Care and Support Plan rather than through Child Protection procedures. This recommendation received significant challenge from health professionals, and consequently I experienced self-doubt regarding my analysis and decision making.</w:t>
            </w:r>
          </w:p>
          <w:p w14:paraId="285F9B36" w14:textId="77777777" w:rsidR="000623D1" w:rsidRDefault="000623D1" w:rsidP="000623D1">
            <w:pPr>
              <w:spacing w:after="200" w:line="360" w:lineRule="auto"/>
              <w:jc w:val="both"/>
            </w:pPr>
            <w:r>
              <w:t>Professional judgement involves integrating evidence, research, values and analysis to make defensible decisions (Taylor, 2017). To support my assessment, I utilised a structured neglect assessment framework, informed by Horwath's (2013) work on planning and intervention in cases of child neglect, to objectively evaluate indicators of unmet need alongside protective factors rather than relying on impression alone.</w:t>
            </w:r>
          </w:p>
          <w:p w14:paraId="76D23BA8" w14:textId="77777777" w:rsidR="000623D1" w:rsidRDefault="000623D1" w:rsidP="000623D1">
            <w:pPr>
              <w:spacing w:after="200" w:line="360" w:lineRule="auto"/>
              <w:jc w:val="both"/>
            </w:pPr>
            <w:r>
              <w:t>Reflecting on this process, I recognise the importance of confidence in professional judgement. Confidence does not mean certainty but rather the ability to justify decisions through evidence and critical analysis. Ultimately, the available evidence suggested concerns did not meet the threshold of significant harm despite legitimate safeguarding concerns remaining, a distinction Horwath (2013) argues is frequently the most difficult judgement in neglect-related casework. This experience reinforced Munro's (2011) argument that safeguarding systems should encourage critical thinking rather than risk-averse defensive practice.</w:t>
            </w:r>
          </w:p>
          <w:p w14:paraId="293010E3" w14:textId="77777777" w:rsidR="000623D1" w:rsidRDefault="000623D1" w:rsidP="000623D1">
            <w:pPr>
              <w:spacing w:after="200" w:line="360" w:lineRule="auto"/>
              <w:jc w:val="both"/>
            </w:pPr>
            <w:r>
              <w:t>The influence of poverty and rural isolation emerged as significant assessment factors. Appointment attendance difficulties could not be fully understood without considering geographical barriers, limited public transport and financial hardship. Research by Bywaters et al. (2016) demonstrates a strong relationship between deprivation and child welfare intervention; however, poverty itself should not automatically be interpreted as neglect.</w:t>
            </w:r>
          </w:p>
          <w:p w14:paraId="340498BA" w14:textId="77777777" w:rsidR="000623D1" w:rsidRDefault="000623D1" w:rsidP="000623D1">
            <w:pPr>
              <w:spacing w:after="200" w:line="360" w:lineRule="auto"/>
              <w:jc w:val="both"/>
            </w:pPr>
            <w:r>
              <w:t xml:space="preserve">The family's rural Welsh location created additional barriers. Attending hospital appointments often involved lengthy journeys requiring multiple transport connections, and the absence of informal support networks further </w:t>
            </w:r>
            <w:r>
              <w:lastRenderedPageBreak/>
              <w:t>increased stress and practical difficulties, a pattern particularly pronounced in parts of rural Wales where service infrastructure is more dispersed than in urban areas.</w:t>
            </w:r>
          </w:p>
          <w:p w14:paraId="2F63DD41" w14:textId="77777777" w:rsidR="000623D1" w:rsidRDefault="000623D1" w:rsidP="000623D1">
            <w:pPr>
              <w:spacing w:after="200" w:line="360" w:lineRule="auto"/>
              <w:jc w:val="both"/>
            </w:pPr>
            <w:r>
              <w:t xml:space="preserve">From an anti-oppressive perspective, these contextual factors required careful consideration. Failure to acknowledge structural barriers may result in assessments that inadvertently </w:t>
            </w:r>
            <w:proofErr w:type="spellStart"/>
            <w:r>
              <w:t>pathologise</w:t>
            </w:r>
            <w:proofErr w:type="spellEnd"/>
            <w:r>
              <w:t xml:space="preserve"> families experiencing social disadvantage (Thompson, 2016), reinforcing the importance of understanding the distinct Welsh context, including the practical implications of rurality for service delivery and family engagement.</w:t>
            </w:r>
          </w:p>
          <w:p w14:paraId="1EE158BB" w14:textId="77777777" w:rsidR="000623D1" w:rsidRDefault="000623D1" w:rsidP="000623D1">
            <w:pPr>
              <w:spacing w:after="200" w:line="360" w:lineRule="auto"/>
              <w:jc w:val="both"/>
            </w:pPr>
            <w:r>
              <w:t>Using Gibbs' (1988) Reflective Cycle provides a useful framework for critically analysing the assessment process, whilst Schön's (1983) concept of the reflective practitioner, particularly the distinction between reflection-in-action and reflection-on-action, helped me understand how my thinking shifted both during encounters with the family and afterwards in supervision.</w:t>
            </w:r>
          </w:p>
          <w:p w14:paraId="4615B41B" w14:textId="77777777" w:rsidR="000623D1" w:rsidRDefault="000623D1" w:rsidP="000623D1">
            <w:pPr>
              <w:spacing w:after="200" w:line="360" w:lineRule="auto"/>
              <w:jc w:val="both"/>
            </w:pPr>
            <w:r>
              <w:t>Initially, I experienced significant anxiety and uncertainty due to the volume of referrals and strength of professional concern. Multi-agency meetings often left me feeling intimidated and questioning my judgement. However, developing trust with the family resulted in improved engagement, increased attendance at appointments and stronger collaboration, representing significant strengths of the intervention.</w:t>
            </w:r>
          </w:p>
          <w:p w14:paraId="49AB5629" w14:textId="77777777" w:rsidR="000623D1" w:rsidRDefault="000623D1" w:rsidP="000623D1">
            <w:pPr>
              <w:spacing w:after="200" w:line="360" w:lineRule="auto"/>
              <w:jc w:val="both"/>
            </w:pPr>
            <w:r>
              <w:t xml:space="preserve">Professionally, the case enhanced my confidence in presenting evidence-based assessments, challenging professional assumptions and articulating my analysis. Prior to this experience, I often associated confidence with certainty. The assessment taught me that confidence is instead grounded in critical reflection, evidence and professional reasoning, echoing Schön's (1983) argument that professional artistry lies in thinking critically </w:t>
            </w:r>
            <w:proofErr w:type="gramStart"/>
            <w:r>
              <w:t>in the midst of</w:t>
            </w:r>
            <w:proofErr w:type="gramEnd"/>
            <w:r>
              <w:t xml:space="preserve"> uncertain, real-time practice rather than applying fixed technical rules.</w:t>
            </w:r>
          </w:p>
          <w:p w14:paraId="4D154161" w14:textId="77777777" w:rsidR="000623D1" w:rsidRDefault="000623D1" w:rsidP="000623D1">
            <w:pPr>
              <w:spacing w:after="200" w:line="360" w:lineRule="auto"/>
              <w:jc w:val="both"/>
            </w:pPr>
            <w:r>
              <w:t>I also learned the importance of managerial support. Discussions with managers strengthened my ability to justify decisions, identify additional support services and critically apply theory to assessment conclusions. At times, deteriorating family engagement caused me to question whether I had made the correct decision, and some professionals suggested this confirmed their original concerns. Reflecting now, I recognise the importance of avoiding hindsight bias and considering the reasons behind fluctuations in engagement, since safeguarding is rarely linear and setbacks do not automatically indicate that alternative interventions would have been more effective.</w:t>
            </w:r>
          </w:p>
          <w:p w14:paraId="3AA9ADB4" w14:textId="77777777" w:rsidR="000623D1" w:rsidRDefault="000623D1" w:rsidP="000623D1">
            <w:pPr>
              <w:spacing w:after="200" w:line="360" w:lineRule="auto"/>
              <w:jc w:val="both"/>
            </w:pPr>
            <w:r>
              <w:t xml:space="preserve">A further area of critical reflection relates to professional curiosity and the potential risk of disguised compliance during safeguarding assessments. Professional curiosity has been described as the capacity to actively question, explore and verify information </w:t>
            </w:r>
            <w:proofErr w:type="gramStart"/>
            <w:r>
              <w:t>in order to</w:t>
            </w:r>
            <w:proofErr w:type="gramEnd"/>
            <w:r>
              <w:t xml:space="preserve"> understand a child's lived experience rather than simply accepting information at face value (Dickens et al., 2023). Within safeguarding practice, maintaining professional curiosity is recognised as a crucial safeguard against children remaining unseen or unidentified as vulnerable.</w:t>
            </w:r>
          </w:p>
          <w:p w14:paraId="1A79B7D9" w14:textId="77777777" w:rsidR="000623D1" w:rsidRDefault="000623D1" w:rsidP="000623D1">
            <w:pPr>
              <w:spacing w:after="200" w:line="360" w:lineRule="auto"/>
              <w:jc w:val="both"/>
            </w:pPr>
            <w:r>
              <w:t xml:space="preserve">Throughout this assessment, the family's engagement fluctuated significantly. Whilst access to the home improved over time and relationships strengthened, there were periods where communication became </w:t>
            </w:r>
            <w:r>
              <w:lastRenderedPageBreak/>
              <w:t>inconsistent, appointments were missed and engagement reduced. This prompted discussion amongst professionals regarding whether the family were demonstrating genuine change or whether improvements reflected an attempt to reduce professional scrutiny.</w:t>
            </w:r>
          </w:p>
          <w:p w14:paraId="4A8EB10F" w14:textId="77777777" w:rsidR="000623D1" w:rsidRDefault="000623D1" w:rsidP="000623D1">
            <w:pPr>
              <w:spacing w:after="200" w:line="360" w:lineRule="auto"/>
              <w:jc w:val="both"/>
            </w:pPr>
            <w:r>
              <w:t xml:space="preserve">Brandon et al. (2020) identify disguised compliance as a recurring feature in serious case reviews, whereby parents may cooperate temporarily with professionals without making meaningful changes to </w:t>
            </w:r>
            <w:proofErr w:type="gramStart"/>
            <w:r>
              <w:t>children's</w:t>
            </w:r>
            <w:proofErr w:type="gramEnd"/>
            <w:r>
              <w:t xml:space="preserve"> lived experiences. This presents a particular challenge for practitioners because superficial indicators of cooperation can create a false sense of reassurance. Reflecting critically, I recognised the importance of continually triangulating information obtained from the family against reports from partner agencies, direct observations and discussions with the children.</w:t>
            </w:r>
          </w:p>
          <w:p w14:paraId="5F2B7340" w14:textId="77777777" w:rsidR="000623D1" w:rsidRDefault="000623D1" w:rsidP="000623D1">
            <w:pPr>
              <w:spacing w:after="200" w:line="360" w:lineRule="auto"/>
              <w:jc w:val="both"/>
            </w:pPr>
            <w:r>
              <w:t>Whilst some professionals interpreted the family's improved engagement as evidence of disguised compliance, I remained mindful that trust had gradually developed through relationship-based approaches. Ferguson (2016) argues that resistance towards social workers is not always indicative of risk but may instead reflect previous experiences of trauma, stigma or negative interactions with services. The parents in this case had experienced significant trauma following the death of their child and subsequent statutory intervention, and their mistrust of professionals could not simply be interpreted as avoidance.</w:t>
            </w:r>
          </w:p>
          <w:p w14:paraId="20F1402F" w14:textId="77777777" w:rsidR="000623D1" w:rsidRDefault="000623D1" w:rsidP="000623D1">
            <w:pPr>
              <w:spacing w:after="200" w:line="360" w:lineRule="auto"/>
              <w:jc w:val="both"/>
            </w:pPr>
            <w:r>
              <w:t xml:space="preserve">This required balancing professional curiosity with empathy. Rather than </w:t>
            </w:r>
            <w:proofErr w:type="gramStart"/>
            <w:r>
              <w:t>assuming that</w:t>
            </w:r>
            <w:proofErr w:type="gramEnd"/>
            <w:r>
              <w:t xml:space="preserve"> engagement either represented complete compliance or complete resistance, I considered engagement as part of a dynamic process influenced by multiple factors, continuously reviewed through visits, discussions with children, information sharing and supervision. Effective safeguarding therefore requires social workers to hold multiple hypotheses simultaneously whilst remaining open to new evidence as circumstances evolve (Munro, 2011).</w:t>
            </w:r>
          </w:p>
          <w:p w14:paraId="1B803E20" w14:textId="77777777" w:rsidR="000623D1" w:rsidRDefault="000623D1" w:rsidP="000623D1">
            <w:pPr>
              <w:spacing w:after="200" w:line="360" w:lineRule="auto"/>
              <w:jc w:val="both"/>
            </w:pPr>
            <w:r>
              <w:t>This case also raised important ethical considerations concerning the use of power and authority within safeguarding practice. Social workers occupy a unique position whereby they are required to support families whilst simultaneously assessing risk and exercising statutory powers, a dual role that can create ethical tensions requiring careful consideration.</w:t>
            </w:r>
          </w:p>
          <w:p w14:paraId="21DC21F3" w14:textId="77777777" w:rsidR="000623D1" w:rsidRDefault="000623D1" w:rsidP="000623D1">
            <w:pPr>
              <w:spacing w:after="200" w:line="360" w:lineRule="auto"/>
              <w:jc w:val="both"/>
            </w:pPr>
            <w:r>
              <w:t>Banks (2021) argues that ethical social work practice involves balancing competing rights, responsibilities and duties within a global framework of professional values. Within this case, I was required to balance children's rights to safety and protection with parents' rights to family life and self-determination, reflected within Article 8 of the European Convention on Human Rights through the Human Rights Act 1998. Any intervention must therefore be lawful, necessary and proportionate.</w:t>
            </w:r>
          </w:p>
          <w:p w14:paraId="150F3654" w14:textId="77777777" w:rsidR="000623D1" w:rsidRDefault="000623D1" w:rsidP="000623D1">
            <w:pPr>
              <w:spacing w:after="200" w:line="360" w:lineRule="auto"/>
              <w:jc w:val="both"/>
            </w:pPr>
            <w:r>
              <w:t xml:space="preserve">One dilemma involved deciding whether compulsory intervention would have promoted or undermined safeguarding outcomes. Health professionals strongly advocated for Child Protection procedures, believing this represented the safest option. However, I was concerned that premature escalation could further damage relationships and increase parental resistance. This required consideration of the ethical principle of </w:t>
            </w:r>
            <w:r>
              <w:lastRenderedPageBreak/>
              <w:t>proportionality, which requires practitioners to use the least intrusive intervention capable of protecting the child (Braye and Preston-Shoot, 2016).</w:t>
            </w:r>
          </w:p>
          <w:p w14:paraId="03A40032" w14:textId="77777777" w:rsidR="000623D1" w:rsidRDefault="000623D1" w:rsidP="000623D1">
            <w:pPr>
              <w:spacing w:after="200" w:line="360" w:lineRule="auto"/>
              <w:jc w:val="both"/>
            </w:pPr>
            <w:r>
              <w:t>Fook (2016) suggests that critical reflection requires practitioners to examine how power is exercised within professional practice, and to remain alert to how dominant discourses can shape whose perspective is privileged. Reflecting on the assessment, I became increasingly aware of how professional authority can shape family experiences. The parents frequently described feeling judged, scrutinised and powerless during previous involvement with children's services, highlighting the need to utilise authority transparently and respectfully.</w:t>
            </w:r>
          </w:p>
          <w:p w14:paraId="45A8432C" w14:textId="77777777" w:rsidR="000623D1" w:rsidRDefault="000623D1" w:rsidP="000623D1">
            <w:pPr>
              <w:spacing w:after="200" w:line="360" w:lineRule="auto"/>
              <w:jc w:val="both"/>
            </w:pPr>
            <w:r>
              <w:t>By involving the family in discussions regarding concerns, openly explaining assessment processes and maintaining honesty regarding professional disagreements, I sought to reduce traditional power imbalances. Whilst statutory authority remained present, I attempted to exercise power in a way that promoted participation and collaboration rather than coercion. This experience strengthened my understanding that power itself is neither positive nor negative; rather, ethical practice depends upon how power is exercised.</w:t>
            </w:r>
          </w:p>
          <w:p w14:paraId="3D42650E" w14:textId="77777777" w:rsidR="000623D1" w:rsidRDefault="000623D1" w:rsidP="000623D1">
            <w:pPr>
              <w:spacing w:after="200" w:line="360" w:lineRule="auto"/>
              <w:jc w:val="both"/>
            </w:pPr>
            <w:r>
              <w:t>A further significant learning point concerns the role of supervision and organisational support in safeguarding practice. Contemporary safeguarding environments are increasingly complex, with practitioners frequently expected to make high-risk decisions whilst managing significant workloads and competing demands. Effective supervision is therefore recognised as a fundamental component of safe social work practice (Morrison and Wonnacott, 2010).</w:t>
            </w:r>
          </w:p>
          <w:p w14:paraId="372BA340" w14:textId="77777777" w:rsidR="000623D1" w:rsidRDefault="000623D1" w:rsidP="000623D1">
            <w:pPr>
              <w:spacing w:after="200" w:line="360" w:lineRule="auto"/>
              <w:jc w:val="both"/>
            </w:pPr>
            <w:r>
              <w:t>Throughout this assessment, reflective supervision played an essential role in supporting analysis and decision-making. The conflicting views held by various agencies, combined with the volume of referrals being received, created considerable professional anxiety, and supervision provided a structured space to critically review evidence, challenge assumptions and consider alternative perspectives.</w:t>
            </w:r>
          </w:p>
          <w:p w14:paraId="2022ADF0" w14:textId="77777777" w:rsidR="000623D1" w:rsidRDefault="000623D1" w:rsidP="000623D1">
            <w:pPr>
              <w:spacing w:after="200" w:line="360" w:lineRule="auto"/>
              <w:jc w:val="both"/>
            </w:pPr>
            <w:r>
              <w:t>Importantly, supervision enabled me to explore the emotional impact of the work. In safeguarding practice, emotional responses can significantly influence decision-making; in this case, I experienced feelings of self-doubt, anxiety and concern that I may be overlooking risks identified by more experienced professionals. Ruch (2012) argues that reflective supervision assists practitioners in recognising and managing emotional responses so that decisions remain grounded in professional analysis rather than fear or defensiveness.</w:t>
            </w:r>
          </w:p>
          <w:p w14:paraId="6D7781F0" w14:textId="77777777" w:rsidR="000623D1" w:rsidRDefault="000623D1" w:rsidP="000623D1">
            <w:pPr>
              <w:spacing w:after="200" w:line="360" w:lineRule="auto"/>
              <w:jc w:val="both"/>
            </w:pPr>
            <w:r>
              <w:t>I also benefited from case consultation opportunities with colleagues and managers. These discussions encouraged me to articulate the rationale underpinning my analysis and provided opportunities for constructive challenge. Whilst my manager questioned aspects of my assessment, this challenge was supportive rather than punitive and ultimately strengthened my confidence in the final recommendation.</w:t>
            </w:r>
          </w:p>
          <w:p w14:paraId="1CC0C568" w14:textId="77777777" w:rsidR="000623D1" w:rsidRDefault="000623D1" w:rsidP="000623D1">
            <w:pPr>
              <w:spacing w:after="200" w:line="360" w:lineRule="auto"/>
              <w:jc w:val="both"/>
            </w:pPr>
            <w:r>
              <w:t xml:space="preserve">A particularly valuable aspect of supervision involved considering social work theory and research evidence to support decision-making, rather than focusing solely upon procedural requirements. Reflecting critically, this experience demonstrated the significant influence organisational culture has upon safeguarding practice. Where </w:t>
            </w:r>
            <w:r>
              <w:lastRenderedPageBreak/>
              <w:t>supervision promotes critical thinking, reflective discussion and professional autonomy, practitioners are better equipped to make balanced decisions (Beddoe and Maidment, 2015); conversely, highly risk-averse organisational cultures may inadvertently encourage defensive practice.</w:t>
            </w:r>
          </w:p>
          <w:p w14:paraId="09A54922" w14:textId="77777777" w:rsidR="000623D1" w:rsidRDefault="000623D1" w:rsidP="000623D1">
            <w:pPr>
              <w:spacing w:after="200" w:line="360" w:lineRule="auto"/>
              <w:jc w:val="both"/>
            </w:pPr>
            <w:r>
              <w:t>An additional dimension of this case concerns the relationship between Welsh safeguarding practice and wider international safeguarding frameworks. Although social care is devolved to Wales, safeguarding practice does not operate in isolation but is influenced by legislation, policy and human rights principles originating from the United Kingdom, Europe and international conventions.</w:t>
            </w:r>
          </w:p>
          <w:p w14:paraId="24F342E5" w14:textId="77777777" w:rsidR="000623D1" w:rsidRDefault="000623D1" w:rsidP="000623D1">
            <w:pPr>
              <w:spacing w:after="200" w:line="360" w:lineRule="auto"/>
              <w:jc w:val="both"/>
            </w:pPr>
            <w:r>
              <w:t>The Social Services and Well-being (Wales) Act 2014 provides the primary legislative framework within Wales. However, safeguarding assessments continue to be influenced by the Children Act 1989, the Human Rights Act 1998 and the Equality Act 2010, all of which apply across England and Wales. These frameworks establish duties regarding child welfare, non-discrimination and human rights that directly influence social work decision-making, requiring Welsh practitioners to be conversant with both devolved and reserved legal frameworks simultaneously.</w:t>
            </w:r>
          </w:p>
          <w:p w14:paraId="2359FEBF" w14:textId="77777777" w:rsidR="000623D1" w:rsidRDefault="000623D1" w:rsidP="000623D1">
            <w:pPr>
              <w:spacing w:after="200" w:line="360" w:lineRule="auto"/>
              <w:jc w:val="both"/>
            </w:pPr>
            <w:r>
              <w:t>Beyond the United Kingdom, safeguarding practice is shaped by the European Convention on Human Rights (ECHR). Although the United Kingdom has left the European Union, ECHR principles continue to be incorporated into domestic law through the Human Rights Act 1998, and decisions regarding intervention, information sharing and family life remain strongly influenced by European human rights frameworks notwithstanding the UK's withdrawal from EU structures.</w:t>
            </w:r>
          </w:p>
          <w:p w14:paraId="4E8E97AA" w14:textId="77777777" w:rsidR="000623D1" w:rsidRDefault="000623D1" w:rsidP="000623D1">
            <w:pPr>
              <w:spacing w:after="200" w:line="360" w:lineRule="auto"/>
              <w:jc w:val="both"/>
            </w:pPr>
            <w:r>
              <w:t>The case also demonstrates the influence of international child rights instruments. The UNCRC places obligations on governments and professionals to prioritise children's best interests and ensure children's participation in decision-making processes (United Nations, 1989). Wales has demonstrated a particular commitment to embedding children's rights through the Rights of Children and Young Persons (Wales) Measure 2011, a legislative commitment that goes further than equivalent arrangements elsewhere in the UK and distinguishes the Welsh policy landscape.</w:t>
            </w:r>
          </w:p>
          <w:p w14:paraId="4F5D2A07" w14:textId="77777777" w:rsidR="000623D1" w:rsidRDefault="000623D1" w:rsidP="000623D1">
            <w:pPr>
              <w:spacing w:after="200" w:line="360" w:lineRule="auto"/>
              <w:jc w:val="both"/>
            </w:pPr>
            <w:r>
              <w:t>Reflecting upon this assessment, I recognised that safeguarding decisions are not solely professional or organisational decisions but are fundamentally human rights decisions, balancing competing rights and responsibilities across these layered legal frameworks. This broader understanding strengthened my appreciation of social work as an internationally informed profession grounded in principles of social justice, human rights and wellbeing, and highlighted how safeguarding practice within Wales forms part of a wider network of legal, ethical and policy frameworks that extend beyond national boundaries, whilst retaining the distinctly Welsh emphasis on voice, wellbeing and co-production.</w:t>
            </w:r>
          </w:p>
          <w:p w14:paraId="44221D25" w14:textId="77777777" w:rsidR="000623D1" w:rsidRDefault="000623D1" w:rsidP="000623D1">
            <w:pPr>
              <w:pStyle w:val="Heading1"/>
              <w:spacing w:before="300" w:after="150"/>
            </w:pPr>
            <w:r>
              <w:lastRenderedPageBreak/>
              <w:t>Conclusion</w:t>
            </w:r>
          </w:p>
          <w:p w14:paraId="6BC4DCAC" w14:textId="77777777" w:rsidR="000623D1" w:rsidRDefault="000623D1" w:rsidP="000623D1">
            <w:pPr>
              <w:spacing w:after="200" w:line="360" w:lineRule="auto"/>
              <w:jc w:val="both"/>
            </w:pPr>
            <w:r>
              <w:t>This critically reflective case study demonstrates the complexity of safeguarding practice within Wales and highlights the importance of professional judgement, analysis, relationship-based practice and critical reflection. The assessment required integration of legislative knowledge, direct work with children, social work theory, multi-agency collaboration and safeguarding thresholds.</w:t>
            </w:r>
          </w:p>
          <w:p w14:paraId="7A529037" w14:textId="77777777" w:rsidR="000623D1" w:rsidRDefault="000623D1" w:rsidP="000623D1">
            <w:pPr>
              <w:spacing w:after="200" w:line="360" w:lineRule="auto"/>
              <w:jc w:val="both"/>
            </w:pPr>
            <w:r>
              <w:t>The Social Services and Well-being (Wales) Act 2014 provided the overarching framework for intervention and emphasised wellbeing, voice, prevention and strengths-based practice. The case also demonstrated how Welsh safeguarding practice operates within wider UK legislation and international human rights frameworks, from the Children Act 1989 and Human Rights Act 1998 through to the ECHR and the UNCRC.</w:t>
            </w:r>
          </w:p>
          <w:p w14:paraId="4C73972C" w14:textId="77777777" w:rsidR="000623D1" w:rsidRDefault="000623D1" w:rsidP="000623D1">
            <w:pPr>
              <w:spacing w:after="200" w:line="360" w:lineRule="auto"/>
              <w:jc w:val="both"/>
            </w:pPr>
            <w:r>
              <w:t>Application of Ecological Systems Theory, Systems Theory, Anti-Oppressive Practice and Strengths-Based Practice facilitated a holistic understanding of the family's circumstances, highlighting how poverty, rural isolation and structural barriers influenced engagement and challenged deficit-focused interpretations of risk.</w:t>
            </w:r>
          </w:p>
          <w:p w14:paraId="097B634E" w14:textId="77777777" w:rsidR="000623D1" w:rsidRDefault="000623D1" w:rsidP="000623D1">
            <w:pPr>
              <w:spacing w:after="200" w:line="360" w:lineRule="auto"/>
              <w:jc w:val="both"/>
            </w:pPr>
            <w:r>
              <w:t>Most significantly, the experience reinforced the value of relationship-based practice. Through empathy, transparency and persistence, trust was established and engagement improved, enabling concerns to be addressed through a Care and Support Plan rather than compulsory Child Protection procedures.</w:t>
            </w:r>
          </w:p>
          <w:p w14:paraId="5D9D6586" w14:textId="77777777" w:rsidR="000623D1" w:rsidRDefault="000623D1" w:rsidP="000623D1">
            <w:pPr>
              <w:spacing w:after="200" w:line="360" w:lineRule="auto"/>
              <w:jc w:val="both"/>
            </w:pPr>
            <w:r>
              <w:t>Professionally, the case strengthened my confidence in exercising evidence-based judgement, managing professional challenge and maintaining a balance between support and protection. It confirmed that effective safeguarding is not simply about escalating concerns but about understanding the complexity of family life, applying critical analysis and ensuring interventions remain proportionate, rights-based and focused on achieving the best outcomes for children within the distinct legislative, cultural and geographical context of Welsh social work.</w:t>
            </w:r>
          </w:p>
          <w:p w14:paraId="7A4CBCBD" w14:textId="47D60ED0" w:rsidR="000623D1" w:rsidRDefault="000623D1" w:rsidP="000623D1">
            <w:pPr>
              <w:spacing w:after="300"/>
            </w:pPr>
            <w:r>
              <w:rPr>
                <w:i/>
                <w:iCs/>
              </w:rPr>
              <w:t>Word count: 4</w:t>
            </w:r>
            <w:r>
              <w:rPr>
                <w:i/>
                <w:iCs/>
              </w:rPr>
              <w:t>188</w:t>
            </w:r>
          </w:p>
          <w:p w14:paraId="63270576" w14:textId="77777777" w:rsidR="000623D1" w:rsidRDefault="000623D1"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66DD1" w14:textId="77777777" w:rsidR="00331CE1" w:rsidRDefault="00331CE1">
      <w:r>
        <w:separator/>
      </w:r>
    </w:p>
  </w:endnote>
  <w:endnote w:type="continuationSeparator" w:id="0">
    <w:p w14:paraId="67D98B27" w14:textId="77777777" w:rsidR="00331CE1" w:rsidRDefault="00331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23AA5" w14:textId="77777777" w:rsidR="00331CE1" w:rsidRDefault="00331CE1">
      <w:r>
        <w:separator/>
      </w:r>
    </w:p>
  </w:footnote>
  <w:footnote w:type="continuationSeparator" w:id="0">
    <w:p w14:paraId="4CA693C9" w14:textId="77777777" w:rsidR="00331CE1" w:rsidRDefault="00331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3D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424"/>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1CE1"/>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5050</Words>
  <Characters>28790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Eleri Morgan</cp:lastModifiedBy>
  <cp:revision>2</cp:revision>
  <cp:lastPrinted>2020-02-11T19:20:00Z</cp:lastPrinted>
  <dcterms:created xsi:type="dcterms:W3CDTF">2026-09-23T13:55:00Z</dcterms:created>
  <dcterms:modified xsi:type="dcterms:W3CDTF">2026-09-23T13:55:00Z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29179e36-256d-4890-9ba0-1202c080a629</vt:lpwstr>
  </property>
</Properties>
</file>