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1780E" w14:textId="77777777" w:rsidR="00C96CC9" w:rsidRPr="003B46D5" w:rsidRDefault="00C96CC9" w:rsidP="003B46D5">
      <w:pPr>
        <w:rPr>
          <w:rFonts w:ascii="Arial" w:hAnsi="Arial" w:cs="Arial"/>
        </w:rPr>
      </w:pPr>
    </w:p>
    <w:p w14:paraId="543B9CFC" w14:textId="55B2FBD1" w:rsidR="00C96CC9" w:rsidRPr="003B46D5" w:rsidRDefault="00C96CC9" w:rsidP="003B46D5">
      <w:pPr>
        <w:rPr>
          <w:rFonts w:ascii="Arial" w:hAnsi="Arial" w:cs="Arial"/>
        </w:rPr>
      </w:pPr>
      <w:r w:rsidRPr="003B46D5">
        <w:rPr>
          <w:rFonts w:ascii="Arial" w:hAnsi="Arial" w:cs="Arial"/>
          <w:u w:val="single"/>
        </w:rPr>
        <w:t>A Critical Comparison of Secondary Sources</w:t>
      </w:r>
      <w:r w:rsidRPr="003B46D5">
        <w:rPr>
          <w:rFonts w:ascii="Arial" w:hAnsi="Arial" w:cs="Arial"/>
        </w:rPr>
        <w:t>: Is Barbara Bender’s theory of contested space complemented by Christopher Tilley’s phenomenological perspective?</w:t>
      </w:r>
    </w:p>
    <w:p w14:paraId="4E73736A" w14:textId="3E1F9854" w:rsidR="00C96CC9" w:rsidRPr="003B46D5" w:rsidRDefault="00C96CC9" w:rsidP="003B46D5">
      <w:pPr>
        <w:rPr>
          <w:rFonts w:ascii="Arial" w:hAnsi="Arial" w:cs="Arial"/>
          <w:u w:val="single"/>
        </w:rPr>
      </w:pPr>
    </w:p>
    <w:p w14:paraId="34F79515" w14:textId="11A1ED91" w:rsidR="00C96CC9" w:rsidRDefault="003B46D5" w:rsidP="003B46D5">
      <w:pPr>
        <w:rPr>
          <w:rFonts w:ascii="Arial" w:hAnsi="Arial" w:cs="Arial"/>
        </w:rPr>
      </w:pPr>
      <w:r w:rsidRPr="003B46D5">
        <w:rPr>
          <w:rFonts w:ascii="Arial" w:hAnsi="Arial" w:cs="Arial"/>
        </w:rPr>
        <w:t>2248</w:t>
      </w:r>
      <w:r>
        <w:rPr>
          <w:rFonts w:ascii="Arial" w:hAnsi="Arial" w:cs="Arial"/>
        </w:rPr>
        <w:t xml:space="preserve"> words</w:t>
      </w:r>
    </w:p>
    <w:p w14:paraId="0C238103" w14:textId="77777777" w:rsidR="003B46D5" w:rsidRPr="003B46D5" w:rsidRDefault="003B46D5" w:rsidP="003B46D5">
      <w:pPr>
        <w:rPr>
          <w:rFonts w:ascii="Arial" w:hAnsi="Arial" w:cs="Arial"/>
        </w:rPr>
      </w:pPr>
    </w:p>
    <w:p w14:paraId="34D22125" w14:textId="224141E4" w:rsidR="00EF7D61" w:rsidRPr="003B46D5" w:rsidRDefault="00C96CC9" w:rsidP="003B46D5">
      <w:pPr>
        <w:ind w:firstLine="720"/>
        <w:rPr>
          <w:rFonts w:ascii="Arial" w:hAnsi="Arial" w:cs="Arial"/>
        </w:rPr>
      </w:pPr>
      <w:r w:rsidRPr="003B46D5">
        <w:rPr>
          <w:rFonts w:ascii="Arial" w:hAnsi="Arial" w:cs="Arial"/>
        </w:rPr>
        <w:t xml:space="preserve">This essay will </w:t>
      </w:r>
      <w:proofErr w:type="gramStart"/>
      <w:r w:rsidRPr="003B46D5">
        <w:rPr>
          <w:rFonts w:ascii="Arial" w:hAnsi="Arial" w:cs="Arial"/>
        </w:rPr>
        <w:t>compare and contrast</w:t>
      </w:r>
      <w:proofErr w:type="gramEnd"/>
      <w:r w:rsidRPr="003B46D5">
        <w:rPr>
          <w:rFonts w:ascii="Arial" w:hAnsi="Arial" w:cs="Arial"/>
        </w:rPr>
        <w:t xml:space="preserve"> the theory of contested space</w:t>
      </w:r>
      <w:r w:rsidR="00EF7D61" w:rsidRPr="003B46D5">
        <w:rPr>
          <w:rFonts w:ascii="Arial" w:hAnsi="Arial" w:cs="Arial"/>
        </w:rPr>
        <w:t xml:space="preserve"> </w:t>
      </w:r>
      <w:r w:rsidRPr="003B46D5">
        <w:rPr>
          <w:rFonts w:ascii="Arial" w:hAnsi="Arial" w:cs="Arial"/>
        </w:rPr>
        <w:t xml:space="preserve">by </w:t>
      </w:r>
      <w:r w:rsidRPr="003B46D5">
        <w:rPr>
          <w:rFonts w:ascii="Arial" w:hAnsi="Arial" w:cs="Arial"/>
        </w:rPr>
        <w:t>Barbara Bender</w:t>
      </w:r>
      <w:r w:rsidRPr="003B46D5">
        <w:rPr>
          <w:rStyle w:val="FootnoteReference"/>
          <w:rFonts w:ascii="Arial" w:hAnsi="Arial" w:cs="Arial"/>
        </w:rPr>
        <w:footnoteReference w:id="1"/>
      </w:r>
      <w:r w:rsidR="00644FE0" w:rsidRPr="003B46D5">
        <w:rPr>
          <w:rFonts w:ascii="Arial" w:hAnsi="Arial" w:cs="Arial"/>
        </w:rPr>
        <w:t xml:space="preserve"> with </w:t>
      </w:r>
      <w:r w:rsidRPr="003B46D5">
        <w:rPr>
          <w:rFonts w:ascii="Arial" w:hAnsi="Arial" w:cs="Arial"/>
        </w:rPr>
        <w:t>Christopher Tilley’s phenomenological perspective</w:t>
      </w:r>
      <w:r w:rsidRPr="003B46D5">
        <w:rPr>
          <w:rStyle w:val="FootnoteReference"/>
          <w:rFonts w:ascii="Arial" w:hAnsi="Arial" w:cs="Arial"/>
        </w:rPr>
        <w:footnoteReference w:id="2"/>
      </w:r>
      <w:r w:rsidRPr="003B46D5">
        <w:rPr>
          <w:rFonts w:ascii="Arial" w:hAnsi="Arial" w:cs="Arial"/>
        </w:rPr>
        <w:t xml:space="preserve">. It will look at the ways in which </w:t>
      </w:r>
      <w:r w:rsidR="00EF7D61" w:rsidRPr="003B46D5">
        <w:rPr>
          <w:rFonts w:ascii="Arial" w:hAnsi="Arial" w:cs="Arial"/>
        </w:rPr>
        <w:t xml:space="preserve">Bender’s </w:t>
      </w:r>
      <w:r w:rsidRPr="003B46D5">
        <w:rPr>
          <w:rFonts w:ascii="Arial" w:hAnsi="Arial" w:cs="Arial"/>
        </w:rPr>
        <w:t>discussions of contested space are supported by Tilley’s phenomenological perspective</w:t>
      </w:r>
      <w:r w:rsidR="006403B1">
        <w:rPr>
          <w:rFonts w:ascii="Arial" w:hAnsi="Arial" w:cs="Arial"/>
        </w:rPr>
        <w:t xml:space="preserve">, </w:t>
      </w:r>
      <w:r w:rsidRPr="003B46D5">
        <w:rPr>
          <w:rFonts w:ascii="Arial" w:hAnsi="Arial" w:cs="Arial"/>
        </w:rPr>
        <w:t xml:space="preserve">the similarities each theory shares with the other, as well as some key differences between the two. </w:t>
      </w:r>
      <w:r w:rsidR="00023F58" w:rsidRPr="003B46D5">
        <w:rPr>
          <w:rFonts w:ascii="Arial" w:hAnsi="Arial" w:cs="Arial"/>
        </w:rPr>
        <w:t xml:space="preserve">With regards to context, </w:t>
      </w:r>
      <w:r w:rsidRPr="003B46D5">
        <w:rPr>
          <w:rFonts w:ascii="Arial" w:hAnsi="Arial" w:cs="Arial"/>
        </w:rPr>
        <w:t>Bender</w:t>
      </w:r>
      <w:r w:rsidR="00EF7D61" w:rsidRPr="003B46D5">
        <w:rPr>
          <w:rFonts w:ascii="Arial" w:hAnsi="Arial" w:cs="Arial"/>
        </w:rPr>
        <w:t xml:space="preserve">’s </w:t>
      </w:r>
      <w:r w:rsidR="00023F58" w:rsidRPr="003B46D5">
        <w:rPr>
          <w:rFonts w:ascii="Arial" w:hAnsi="Arial" w:cs="Arial"/>
        </w:rPr>
        <w:t xml:space="preserve">academic </w:t>
      </w:r>
      <w:r w:rsidR="00EF7D61" w:rsidRPr="003B46D5">
        <w:rPr>
          <w:rFonts w:ascii="Arial" w:hAnsi="Arial" w:cs="Arial"/>
        </w:rPr>
        <w:t xml:space="preserve">background is in archaeology and anthropology, working </w:t>
      </w:r>
      <w:r w:rsidR="00023F58" w:rsidRPr="003B46D5">
        <w:rPr>
          <w:rFonts w:ascii="Arial" w:hAnsi="Arial" w:cs="Arial"/>
        </w:rPr>
        <w:t>as Emeritus Professor of Heritage Anthropology</w:t>
      </w:r>
      <w:r w:rsidR="00EF7D61" w:rsidRPr="003B46D5">
        <w:rPr>
          <w:rFonts w:ascii="Arial" w:hAnsi="Arial" w:cs="Arial"/>
        </w:rPr>
        <w:t xml:space="preserve"> at University College London</w:t>
      </w:r>
      <w:r w:rsidR="00EF7D61" w:rsidRPr="003B46D5">
        <w:rPr>
          <w:rStyle w:val="FootnoteReference"/>
          <w:rFonts w:ascii="Arial" w:hAnsi="Arial" w:cs="Arial"/>
        </w:rPr>
        <w:footnoteReference w:id="3"/>
      </w:r>
      <w:r w:rsidR="00023F58" w:rsidRPr="003B46D5">
        <w:rPr>
          <w:rFonts w:ascii="Arial" w:hAnsi="Arial" w:cs="Arial"/>
        </w:rPr>
        <w:t xml:space="preserve">. Likewise, Tilley is also a professor </w:t>
      </w:r>
      <w:r w:rsidR="00023F58" w:rsidRPr="003B46D5">
        <w:rPr>
          <w:rFonts w:ascii="Arial" w:hAnsi="Arial" w:cs="Arial"/>
        </w:rPr>
        <w:t>at University College London</w:t>
      </w:r>
      <w:r w:rsidR="00023F58" w:rsidRPr="003B46D5">
        <w:rPr>
          <w:rFonts w:ascii="Arial" w:hAnsi="Arial" w:cs="Arial"/>
        </w:rPr>
        <w:t>, lecturing in Anthropology and Archaeology</w:t>
      </w:r>
      <w:r w:rsidR="003B46D5">
        <w:rPr>
          <w:rStyle w:val="FootnoteReference"/>
          <w:rFonts w:ascii="Arial" w:hAnsi="Arial" w:cs="Arial"/>
        </w:rPr>
        <w:footnoteReference w:id="4"/>
      </w:r>
      <w:r w:rsidR="00023F58" w:rsidRPr="003B46D5">
        <w:rPr>
          <w:rFonts w:ascii="Arial" w:hAnsi="Arial" w:cs="Arial"/>
        </w:rPr>
        <w:t>. Furthermore, the two key texts that I will be comparing for the purposes of this essay were published in 1994 and 1998 respectively. The closeness in context and background of these two academics and their theories suggests there may be many similaritie</w:t>
      </w:r>
      <w:r w:rsidR="00644FE0" w:rsidRPr="003B46D5">
        <w:rPr>
          <w:rFonts w:ascii="Arial" w:hAnsi="Arial" w:cs="Arial"/>
        </w:rPr>
        <w:t>s</w:t>
      </w:r>
      <w:r w:rsidR="00023F58" w:rsidRPr="003B46D5">
        <w:rPr>
          <w:rFonts w:ascii="Arial" w:hAnsi="Arial" w:cs="Arial"/>
        </w:rPr>
        <w:t xml:space="preserve"> within the theories themselves, as this essay will demonstrate. </w:t>
      </w:r>
    </w:p>
    <w:p w14:paraId="321A7779" w14:textId="3C66324D" w:rsidR="00C96CC9" w:rsidRPr="003B46D5" w:rsidRDefault="00C96CC9" w:rsidP="003B46D5">
      <w:pPr>
        <w:rPr>
          <w:rFonts w:ascii="Arial" w:hAnsi="Arial" w:cs="Arial"/>
        </w:rPr>
      </w:pPr>
    </w:p>
    <w:p w14:paraId="1CB6FD3F" w14:textId="0365B8D4" w:rsidR="00C96CC9" w:rsidRDefault="00023F58" w:rsidP="003B46D5">
      <w:pPr>
        <w:ind w:firstLine="720"/>
        <w:rPr>
          <w:rFonts w:ascii="Arial" w:hAnsi="Arial" w:cs="Arial"/>
        </w:rPr>
      </w:pPr>
      <w:r w:rsidRPr="003B46D5">
        <w:rPr>
          <w:rFonts w:ascii="Arial" w:hAnsi="Arial" w:cs="Arial"/>
        </w:rPr>
        <w:t>Firstly</w:t>
      </w:r>
      <w:r w:rsidR="00B66BB2" w:rsidRPr="003B46D5">
        <w:rPr>
          <w:rFonts w:ascii="Arial" w:hAnsi="Arial" w:cs="Arial"/>
        </w:rPr>
        <w:t>, i</w:t>
      </w:r>
      <w:r w:rsidR="00C96CC9" w:rsidRPr="003B46D5">
        <w:rPr>
          <w:rFonts w:ascii="Arial" w:hAnsi="Arial" w:cs="Arial"/>
        </w:rPr>
        <w:t>n the chapter ‘Contested Landscapes’</w:t>
      </w:r>
      <w:r w:rsidR="00C96CC9" w:rsidRPr="003B46D5">
        <w:rPr>
          <w:rStyle w:val="FootnoteReference"/>
          <w:rFonts w:ascii="Arial" w:hAnsi="Arial" w:cs="Arial"/>
        </w:rPr>
        <w:t>1</w:t>
      </w:r>
      <w:r w:rsidR="00C96CC9" w:rsidRPr="003B46D5">
        <w:rPr>
          <w:rFonts w:ascii="Arial" w:hAnsi="Arial" w:cs="Arial"/>
        </w:rPr>
        <w:t xml:space="preserve">, Bender states her aims of the chapter </w:t>
      </w:r>
      <w:r w:rsidR="00B66BB2" w:rsidRPr="003B46D5">
        <w:rPr>
          <w:rFonts w:ascii="Arial" w:hAnsi="Arial" w:cs="Arial"/>
        </w:rPr>
        <w:t>as</w:t>
      </w:r>
      <w:r w:rsidR="00C96CC9" w:rsidRPr="003B46D5">
        <w:rPr>
          <w:rFonts w:ascii="Arial" w:hAnsi="Arial" w:cs="Arial"/>
        </w:rPr>
        <w:t xml:space="preserve"> be</w:t>
      </w:r>
      <w:r w:rsidR="00B66BB2" w:rsidRPr="003B46D5">
        <w:rPr>
          <w:rFonts w:ascii="Arial" w:hAnsi="Arial" w:cs="Arial"/>
        </w:rPr>
        <w:t>ing</w:t>
      </w:r>
      <w:r w:rsidR="00C96CC9" w:rsidRPr="003B46D5">
        <w:rPr>
          <w:rFonts w:ascii="Arial" w:hAnsi="Arial" w:cs="Arial"/>
        </w:rPr>
        <w:t xml:space="preserve"> an exploration of how landscapes have been historically appropriated by those with economic, political and cultural capital (ibid.). Bender also aims to analyse the ways in which these applications of dominant power have been disputed by others who </w:t>
      </w:r>
      <w:proofErr w:type="gramStart"/>
      <w:r w:rsidR="00C96CC9" w:rsidRPr="003B46D5">
        <w:rPr>
          <w:rFonts w:ascii="Arial" w:hAnsi="Arial" w:cs="Arial"/>
        </w:rPr>
        <w:t>are connected with</w:t>
      </w:r>
      <w:proofErr w:type="gramEnd"/>
      <w:r w:rsidR="006C022E" w:rsidRPr="003B46D5">
        <w:rPr>
          <w:rFonts w:ascii="Arial" w:hAnsi="Arial" w:cs="Arial"/>
        </w:rPr>
        <w:t xml:space="preserve">, </w:t>
      </w:r>
      <w:r w:rsidR="00C96CC9" w:rsidRPr="003B46D5">
        <w:rPr>
          <w:rFonts w:ascii="Arial" w:hAnsi="Arial" w:cs="Arial"/>
        </w:rPr>
        <w:t>or exist peripherally to</w:t>
      </w:r>
      <w:r w:rsidR="006C022E" w:rsidRPr="003B46D5">
        <w:rPr>
          <w:rFonts w:ascii="Arial" w:hAnsi="Arial" w:cs="Arial"/>
        </w:rPr>
        <w:t xml:space="preserve">, </w:t>
      </w:r>
      <w:r w:rsidR="00C96CC9" w:rsidRPr="003B46D5">
        <w:rPr>
          <w:rFonts w:ascii="Arial" w:hAnsi="Arial" w:cs="Arial"/>
        </w:rPr>
        <w:t xml:space="preserve">the landscape itself. </w:t>
      </w:r>
      <w:r w:rsidR="006C022E" w:rsidRPr="003B46D5">
        <w:rPr>
          <w:rFonts w:ascii="Arial" w:hAnsi="Arial" w:cs="Arial"/>
        </w:rPr>
        <w:t>Conversely, Tilley’s</w:t>
      </w:r>
      <w:r w:rsidR="00AD6BB0" w:rsidRPr="003B46D5">
        <w:rPr>
          <w:rFonts w:ascii="Arial" w:hAnsi="Arial" w:cs="Arial"/>
        </w:rPr>
        <w:t xml:space="preserve"> exploration of his</w:t>
      </w:r>
      <w:r w:rsidR="006C022E" w:rsidRPr="003B46D5">
        <w:rPr>
          <w:rFonts w:ascii="Arial" w:hAnsi="Arial" w:cs="Arial"/>
        </w:rPr>
        <w:t xml:space="preserve"> phenomenological perspective begins with a critique of the academic fields of human geography and archaeology, mainly in the way that they </w:t>
      </w:r>
      <w:r w:rsidR="00AD6BB0" w:rsidRPr="003B46D5">
        <w:rPr>
          <w:rFonts w:ascii="Arial" w:hAnsi="Arial" w:cs="Arial"/>
        </w:rPr>
        <w:t>consist overwhelmingly of empirical data and logical, rational science. Tilley’s main argument and aim is to demonstrate the ways in which this view and technique of analysis neglects to consider power dynamics and the non-tangible nature of space, place and landscape, stating that objective measurements in this specific fields, though useful in quantifying distance, maps and geographical areas, results in space being “decentred…from agency and meaning”</w:t>
      </w:r>
      <w:r w:rsidR="003B46D5" w:rsidRPr="003B46D5">
        <w:rPr>
          <w:rStyle w:val="FootnoteReference"/>
          <w:rFonts w:ascii="Arial" w:hAnsi="Arial" w:cs="Arial"/>
        </w:rPr>
        <w:t>2</w:t>
      </w:r>
      <w:r w:rsidR="003B46D5" w:rsidRPr="003B46D5">
        <w:rPr>
          <w:rFonts w:ascii="Arial" w:hAnsi="Arial" w:cs="Arial"/>
        </w:rPr>
        <w:t xml:space="preserve">. </w:t>
      </w:r>
      <w:r w:rsidR="00B66BB2" w:rsidRPr="003B46D5">
        <w:rPr>
          <w:rFonts w:ascii="Arial" w:hAnsi="Arial" w:cs="Arial"/>
        </w:rPr>
        <w:t>As a result, it can be suggested that due to Tilley’s paper having been published four year</w:t>
      </w:r>
      <w:r w:rsidR="006403B1">
        <w:rPr>
          <w:rFonts w:ascii="Arial" w:hAnsi="Arial" w:cs="Arial"/>
        </w:rPr>
        <w:t>s</w:t>
      </w:r>
      <w:r w:rsidR="00B66BB2" w:rsidRPr="003B46D5">
        <w:rPr>
          <w:rFonts w:ascii="Arial" w:hAnsi="Arial" w:cs="Arial"/>
        </w:rPr>
        <w:t xml:space="preserve"> after Bender’s, that ‘</w:t>
      </w:r>
      <w:r w:rsidR="00B66BB2" w:rsidRPr="003B46D5">
        <w:rPr>
          <w:rFonts w:ascii="Arial" w:hAnsi="Arial" w:cs="Arial"/>
          <w:i/>
          <w:iCs/>
        </w:rPr>
        <w:t>A Phenomenology of Landscape’</w:t>
      </w:r>
      <w:r w:rsidR="00B66BB2" w:rsidRPr="003B46D5">
        <w:rPr>
          <w:rFonts w:ascii="Arial" w:hAnsi="Arial" w:cs="Arial"/>
        </w:rPr>
        <w:t xml:space="preserve"> can be seen to be an expansion upon Bender’s work on contested landscapes. </w:t>
      </w:r>
    </w:p>
    <w:p w14:paraId="027E9F11" w14:textId="77777777" w:rsidR="003B46D5" w:rsidRPr="003B46D5" w:rsidRDefault="003B46D5" w:rsidP="003B46D5">
      <w:pPr>
        <w:ind w:firstLine="720"/>
        <w:rPr>
          <w:rFonts w:ascii="Arial" w:hAnsi="Arial" w:cs="Arial"/>
        </w:rPr>
      </w:pPr>
    </w:p>
    <w:p w14:paraId="162D90C8" w14:textId="5374C095" w:rsidR="00B66BB2" w:rsidRPr="003B46D5" w:rsidRDefault="00B66BB2" w:rsidP="003B46D5">
      <w:pPr>
        <w:ind w:firstLine="720"/>
        <w:rPr>
          <w:rFonts w:ascii="Arial" w:hAnsi="Arial" w:cs="Arial"/>
        </w:rPr>
      </w:pPr>
      <w:r w:rsidRPr="003B46D5">
        <w:rPr>
          <w:rFonts w:ascii="Arial" w:hAnsi="Arial" w:cs="Arial"/>
        </w:rPr>
        <w:t xml:space="preserve">Prior to </w:t>
      </w:r>
      <w:proofErr w:type="gramStart"/>
      <w:r w:rsidRPr="003B46D5">
        <w:rPr>
          <w:rFonts w:ascii="Arial" w:hAnsi="Arial" w:cs="Arial"/>
        </w:rPr>
        <w:t>comparing and contrasting</w:t>
      </w:r>
      <w:proofErr w:type="gramEnd"/>
      <w:r w:rsidRPr="003B46D5">
        <w:rPr>
          <w:rFonts w:ascii="Arial" w:hAnsi="Arial" w:cs="Arial"/>
        </w:rPr>
        <w:t xml:space="preserve"> the theoretical approaches that Bender and Tilley discuss, </w:t>
      </w:r>
      <w:r w:rsidR="006403B1">
        <w:rPr>
          <w:rFonts w:ascii="Arial" w:hAnsi="Arial" w:cs="Arial"/>
        </w:rPr>
        <w:t>I will first</w:t>
      </w:r>
      <w:r w:rsidRPr="003B46D5">
        <w:rPr>
          <w:rFonts w:ascii="Arial" w:hAnsi="Arial" w:cs="Arial"/>
        </w:rPr>
        <w:t xml:space="preserve"> outline the</w:t>
      </w:r>
      <w:r w:rsidR="000A172F" w:rsidRPr="003B46D5">
        <w:rPr>
          <w:rFonts w:ascii="Arial" w:hAnsi="Arial" w:cs="Arial"/>
        </w:rPr>
        <w:t xml:space="preserve"> differences </w:t>
      </w:r>
      <w:r w:rsidRPr="003B46D5">
        <w:rPr>
          <w:rFonts w:ascii="Arial" w:hAnsi="Arial" w:cs="Arial"/>
        </w:rPr>
        <w:t xml:space="preserve">in methodology that arise </w:t>
      </w:r>
      <w:r w:rsidRPr="003B46D5">
        <w:rPr>
          <w:rFonts w:ascii="Arial" w:hAnsi="Arial" w:cs="Arial"/>
        </w:rPr>
        <w:lastRenderedPageBreak/>
        <w:t xml:space="preserve">between the two papers. Bender </w:t>
      </w:r>
      <w:r w:rsidR="00644FE0" w:rsidRPr="003B46D5">
        <w:rPr>
          <w:rFonts w:ascii="Arial" w:hAnsi="Arial" w:cs="Arial"/>
        </w:rPr>
        <w:t>states</w:t>
      </w:r>
      <w:r w:rsidRPr="003B46D5">
        <w:rPr>
          <w:rFonts w:ascii="Arial" w:hAnsi="Arial" w:cs="Arial"/>
        </w:rPr>
        <w:t xml:space="preserve"> the importance of primary sources in her analysis of Stonehenge as a contested landscape, particularly with reference to</w:t>
      </w:r>
      <w:r w:rsidR="000A172F" w:rsidRPr="003B46D5">
        <w:rPr>
          <w:rFonts w:ascii="Arial" w:hAnsi="Arial" w:cs="Arial"/>
        </w:rPr>
        <w:t xml:space="preserve"> “</w:t>
      </w:r>
      <w:r w:rsidRPr="003B46D5">
        <w:rPr>
          <w:rFonts w:ascii="Arial" w:hAnsi="Arial" w:cs="Arial"/>
        </w:rPr>
        <w:t>a</w:t>
      </w:r>
      <w:r w:rsidR="000A172F" w:rsidRPr="003B46D5">
        <w:rPr>
          <w:rFonts w:ascii="Arial" w:hAnsi="Arial" w:cs="Arial"/>
        </w:rPr>
        <w:t>rchaeological and literary evidence”</w:t>
      </w:r>
      <w:r w:rsidR="003B46D5" w:rsidRPr="003B46D5">
        <w:rPr>
          <w:rStyle w:val="FootnoteReference"/>
          <w:rFonts w:ascii="Arial" w:hAnsi="Arial" w:cs="Arial"/>
        </w:rPr>
        <w:t>1</w:t>
      </w:r>
      <w:r w:rsidR="003B46D5" w:rsidRPr="003B46D5">
        <w:rPr>
          <w:rFonts w:ascii="Arial" w:hAnsi="Arial" w:cs="Arial"/>
        </w:rPr>
        <w:t xml:space="preserve">. </w:t>
      </w:r>
      <w:r w:rsidRPr="003B46D5">
        <w:rPr>
          <w:rFonts w:ascii="Arial" w:hAnsi="Arial" w:cs="Arial"/>
        </w:rPr>
        <w:t xml:space="preserve">The text </w:t>
      </w:r>
      <w:r w:rsidR="003B46D5" w:rsidRPr="003B46D5">
        <w:rPr>
          <w:rFonts w:ascii="Arial" w:hAnsi="Arial" w:cs="Arial"/>
        </w:rPr>
        <w:t>utilises</w:t>
      </w:r>
      <w:r w:rsidRPr="003B46D5">
        <w:rPr>
          <w:rFonts w:ascii="Arial" w:hAnsi="Arial" w:cs="Arial"/>
        </w:rPr>
        <w:t xml:space="preserve"> a wealth of secondary sources </w:t>
      </w:r>
      <w:r w:rsidR="002C71A4" w:rsidRPr="003B46D5">
        <w:rPr>
          <w:rFonts w:ascii="Arial" w:hAnsi="Arial" w:cs="Arial"/>
        </w:rPr>
        <w:t xml:space="preserve">throughout, </w:t>
      </w:r>
      <w:r w:rsidR="003B46D5">
        <w:rPr>
          <w:rFonts w:ascii="Arial" w:hAnsi="Arial" w:cs="Arial"/>
        </w:rPr>
        <w:t>and</w:t>
      </w:r>
      <w:r w:rsidRPr="003B46D5">
        <w:rPr>
          <w:rFonts w:ascii="Arial" w:hAnsi="Arial" w:cs="Arial"/>
        </w:rPr>
        <w:t xml:space="preserve"> highlights continually the necessity of historical context and </w:t>
      </w:r>
      <w:r w:rsidR="003B46D5" w:rsidRPr="003B46D5">
        <w:rPr>
          <w:rFonts w:ascii="Arial" w:hAnsi="Arial" w:cs="Arial"/>
        </w:rPr>
        <w:t xml:space="preserve">its </w:t>
      </w:r>
      <w:r w:rsidRPr="003B46D5">
        <w:rPr>
          <w:rFonts w:ascii="Arial" w:hAnsi="Arial" w:cs="Arial"/>
        </w:rPr>
        <w:t>importance in understanding how and why Stonehenge can be argued to be a contested landscape</w:t>
      </w:r>
      <w:r w:rsidR="002C71A4" w:rsidRPr="003B46D5">
        <w:rPr>
          <w:rFonts w:ascii="Arial" w:hAnsi="Arial" w:cs="Arial"/>
        </w:rPr>
        <w:t xml:space="preserve">. Bender achieves this through illustrating social and historical contexts in four main time </w:t>
      </w:r>
      <w:r w:rsidR="00644FE0" w:rsidRPr="003B46D5">
        <w:rPr>
          <w:rFonts w:ascii="Arial" w:hAnsi="Arial" w:cs="Arial"/>
        </w:rPr>
        <w:t>periods:</w:t>
      </w:r>
      <w:r w:rsidR="002C71A4" w:rsidRPr="003B46D5">
        <w:rPr>
          <w:rFonts w:ascii="Arial" w:hAnsi="Arial" w:cs="Arial"/>
        </w:rPr>
        <w:t xml:space="preserve"> the Medieval, the 17</w:t>
      </w:r>
      <w:r w:rsidR="002C71A4" w:rsidRPr="003B46D5">
        <w:rPr>
          <w:rFonts w:ascii="Arial" w:hAnsi="Arial" w:cs="Arial"/>
          <w:vertAlign w:val="superscript"/>
        </w:rPr>
        <w:t>th</w:t>
      </w:r>
      <w:r w:rsidR="002C71A4" w:rsidRPr="003B46D5">
        <w:rPr>
          <w:rFonts w:ascii="Arial" w:hAnsi="Arial" w:cs="Arial"/>
        </w:rPr>
        <w:t xml:space="preserve"> and 18</w:t>
      </w:r>
      <w:r w:rsidR="002C71A4" w:rsidRPr="003B46D5">
        <w:rPr>
          <w:rFonts w:ascii="Arial" w:hAnsi="Arial" w:cs="Arial"/>
          <w:vertAlign w:val="superscript"/>
        </w:rPr>
        <w:t>th</w:t>
      </w:r>
      <w:r w:rsidR="002C71A4" w:rsidRPr="003B46D5">
        <w:rPr>
          <w:rFonts w:ascii="Arial" w:hAnsi="Arial" w:cs="Arial"/>
        </w:rPr>
        <w:t xml:space="preserve"> Centuries, and finally the contemporary modern age. Through </w:t>
      </w:r>
      <w:r w:rsidR="003E7ED5" w:rsidRPr="003B46D5">
        <w:rPr>
          <w:rFonts w:ascii="Arial" w:hAnsi="Arial" w:cs="Arial"/>
        </w:rPr>
        <w:t xml:space="preserve">chronologically detailing the beliefs, voices and economic conditions of each of the time periods, Bender elucidates </w:t>
      </w:r>
      <w:r w:rsidR="003B46D5" w:rsidRPr="003B46D5">
        <w:rPr>
          <w:rFonts w:ascii="Arial" w:hAnsi="Arial" w:cs="Arial"/>
        </w:rPr>
        <w:t xml:space="preserve">the </w:t>
      </w:r>
      <w:r w:rsidR="003E7ED5" w:rsidRPr="003B46D5">
        <w:rPr>
          <w:rFonts w:ascii="Arial" w:hAnsi="Arial" w:cs="Arial"/>
        </w:rPr>
        <w:t xml:space="preserve">complicated history of the landscape, </w:t>
      </w:r>
      <w:r w:rsidR="003B46D5" w:rsidRPr="003B46D5">
        <w:rPr>
          <w:rFonts w:ascii="Arial" w:hAnsi="Arial" w:cs="Arial"/>
        </w:rPr>
        <w:t xml:space="preserve">including </w:t>
      </w:r>
      <w:r w:rsidR="003E7ED5" w:rsidRPr="003B46D5">
        <w:rPr>
          <w:rFonts w:ascii="Arial" w:hAnsi="Arial" w:cs="Arial"/>
        </w:rPr>
        <w:t xml:space="preserve">how changes in socio-political attitudes are </w:t>
      </w:r>
      <w:r w:rsidR="003B46D5" w:rsidRPr="003B46D5">
        <w:rPr>
          <w:rFonts w:ascii="Arial" w:hAnsi="Arial" w:cs="Arial"/>
        </w:rPr>
        <w:t>vital</w:t>
      </w:r>
      <w:r w:rsidR="003E7ED5" w:rsidRPr="003B46D5">
        <w:rPr>
          <w:rFonts w:ascii="Arial" w:hAnsi="Arial" w:cs="Arial"/>
        </w:rPr>
        <w:t xml:space="preserve"> considerations when analysing its history and meaning</w:t>
      </w:r>
      <w:r w:rsidR="003B46D5" w:rsidRPr="003B46D5">
        <w:rPr>
          <w:rFonts w:ascii="Arial" w:hAnsi="Arial" w:cs="Arial"/>
        </w:rPr>
        <w:t>.</w:t>
      </w:r>
      <w:r w:rsidR="003E7ED5" w:rsidRPr="003B46D5">
        <w:rPr>
          <w:rFonts w:ascii="Arial" w:hAnsi="Arial" w:cs="Arial"/>
        </w:rPr>
        <w:t xml:space="preserve"> </w:t>
      </w:r>
      <w:r w:rsidRPr="003B46D5">
        <w:rPr>
          <w:rFonts w:ascii="Arial" w:hAnsi="Arial" w:cs="Arial"/>
        </w:rPr>
        <w:t xml:space="preserve">Alternatively, despite </w:t>
      </w:r>
      <w:r w:rsidR="003E7ED5" w:rsidRPr="003B46D5">
        <w:rPr>
          <w:rFonts w:ascii="Arial" w:hAnsi="Arial" w:cs="Arial"/>
        </w:rPr>
        <w:t xml:space="preserve">Tilley </w:t>
      </w:r>
      <w:r w:rsidRPr="003B46D5">
        <w:rPr>
          <w:rFonts w:ascii="Arial" w:hAnsi="Arial" w:cs="Arial"/>
        </w:rPr>
        <w:t xml:space="preserve">drawing </w:t>
      </w:r>
      <w:r w:rsidR="003E7ED5" w:rsidRPr="003B46D5">
        <w:rPr>
          <w:rFonts w:ascii="Arial" w:hAnsi="Arial" w:cs="Arial"/>
        </w:rPr>
        <w:t>up</w:t>
      </w:r>
      <w:r w:rsidRPr="003B46D5">
        <w:rPr>
          <w:rFonts w:ascii="Arial" w:hAnsi="Arial" w:cs="Arial"/>
        </w:rPr>
        <w:t>on example</w:t>
      </w:r>
      <w:r w:rsidR="006403B1">
        <w:rPr>
          <w:rFonts w:ascii="Arial" w:hAnsi="Arial" w:cs="Arial"/>
        </w:rPr>
        <w:t>s</w:t>
      </w:r>
      <w:r w:rsidRPr="003B46D5">
        <w:rPr>
          <w:rFonts w:ascii="Arial" w:hAnsi="Arial" w:cs="Arial"/>
        </w:rPr>
        <w:t xml:space="preserve"> of anthropological evidence, the bulk of the chapter relies </w:t>
      </w:r>
      <w:r w:rsidR="003B46D5" w:rsidRPr="003B46D5">
        <w:rPr>
          <w:rFonts w:ascii="Arial" w:hAnsi="Arial" w:cs="Arial"/>
        </w:rPr>
        <w:t>heavily</w:t>
      </w:r>
      <w:r w:rsidRPr="003B46D5">
        <w:rPr>
          <w:rFonts w:ascii="Arial" w:hAnsi="Arial" w:cs="Arial"/>
        </w:rPr>
        <w:t xml:space="preserve"> on </w:t>
      </w:r>
      <w:r w:rsidRPr="003B46D5">
        <w:rPr>
          <w:rFonts w:ascii="Arial" w:hAnsi="Arial" w:cs="Arial"/>
        </w:rPr>
        <w:t xml:space="preserve">previous </w:t>
      </w:r>
      <w:r w:rsidR="003B46D5" w:rsidRPr="003B46D5">
        <w:rPr>
          <w:rFonts w:ascii="Arial" w:hAnsi="Arial" w:cs="Arial"/>
        </w:rPr>
        <w:t xml:space="preserve">work around theoretical understandings </w:t>
      </w:r>
      <w:r w:rsidRPr="003B46D5">
        <w:rPr>
          <w:rFonts w:ascii="Arial" w:hAnsi="Arial" w:cs="Arial"/>
        </w:rPr>
        <w:t xml:space="preserve">of embodiment, subjectivity and power to evidence </w:t>
      </w:r>
      <w:r w:rsidRPr="003B46D5">
        <w:rPr>
          <w:rFonts w:ascii="Arial" w:hAnsi="Arial" w:cs="Arial"/>
        </w:rPr>
        <w:t xml:space="preserve">and build </w:t>
      </w:r>
      <w:r w:rsidRPr="003B46D5">
        <w:rPr>
          <w:rFonts w:ascii="Arial" w:hAnsi="Arial" w:cs="Arial"/>
        </w:rPr>
        <w:t>his own theory</w:t>
      </w:r>
      <w:r w:rsidRPr="003B46D5">
        <w:rPr>
          <w:rFonts w:ascii="Arial" w:hAnsi="Arial" w:cs="Arial"/>
        </w:rPr>
        <w:t xml:space="preserve"> and phenomenological perspectiv</w:t>
      </w:r>
      <w:r w:rsidR="003B46D5" w:rsidRPr="003B46D5">
        <w:rPr>
          <w:rFonts w:ascii="Arial" w:hAnsi="Arial" w:cs="Arial"/>
        </w:rPr>
        <w:t>e</w:t>
      </w:r>
      <w:r w:rsidR="003B46D5" w:rsidRPr="003B46D5">
        <w:rPr>
          <w:rStyle w:val="FootnoteReference"/>
          <w:rFonts w:ascii="Arial" w:hAnsi="Arial" w:cs="Arial"/>
        </w:rPr>
        <w:footnoteReference w:id="5"/>
      </w:r>
      <w:r w:rsidRPr="003B46D5">
        <w:rPr>
          <w:rFonts w:ascii="Arial" w:hAnsi="Arial" w:cs="Arial"/>
        </w:rPr>
        <w:t>.</w:t>
      </w:r>
      <w:r w:rsidR="003B46D5">
        <w:rPr>
          <w:rFonts w:ascii="Arial" w:hAnsi="Arial" w:cs="Arial"/>
        </w:rPr>
        <w:t xml:space="preserve"> For example, Tilley compares a quote from Heidegger about dwelling to Merleau-Ponty’s theories of consciousness</w:t>
      </w:r>
      <w:r w:rsidR="006403B1">
        <w:rPr>
          <w:rFonts w:ascii="Arial" w:hAnsi="Arial" w:cs="Arial"/>
        </w:rPr>
        <w:t xml:space="preserve"> and </w:t>
      </w:r>
      <w:r w:rsidR="003B46D5">
        <w:rPr>
          <w:rFonts w:ascii="Arial" w:hAnsi="Arial" w:cs="Arial"/>
        </w:rPr>
        <w:t>subjectivity, then examining its place in the discussion and theory of space (</w:t>
      </w:r>
      <w:r w:rsidR="006403B1">
        <w:rPr>
          <w:rFonts w:ascii="Arial" w:hAnsi="Arial" w:cs="Arial"/>
        </w:rPr>
        <w:t>ibid.</w:t>
      </w:r>
      <w:r w:rsidR="003B46D5">
        <w:rPr>
          <w:rFonts w:ascii="Arial" w:hAnsi="Arial" w:cs="Arial"/>
        </w:rPr>
        <w:t>).</w:t>
      </w:r>
      <w:r w:rsidRPr="003B46D5">
        <w:rPr>
          <w:rFonts w:ascii="Arial" w:hAnsi="Arial" w:cs="Arial"/>
        </w:rPr>
        <w:t xml:space="preserve"> </w:t>
      </w:r>
      <w:r w:rsidR="00644FE0" w:rsidRPr="003B46D5">
        <w:rPr>
          <w:rFonts w:ascii="Arial" w:hAnsi="Arial" w:cs="Arial"/>
        </w:rPr>
        <w:t xml:space="preserve">Indeed, </w:t>
      </w:r>
      <w:r w:rsidR="00644FE0" w:rsidRPr="003B46D5">
        <w:rPr>
          <w:rFonts w:ascii="Arial" w:hAnsi="Arial" w:cs="Arial"/>
        </w:rPr>
        <w:t xml:space="preserve">Bender’s theory </w:t>
      </w:r>
      <w:r w:rsidR="003B46D5">
        <w:rPr>
          <w:rFonts w:ascii="Arial" w:hAnsi="Arial" w:cs="Arial"/>
        </w:rPr>
        <w:t>appears to be based more concretely up</w:t>
      </w:r>
      <w:r w:rsidR="00644FE0" w:rsidRPr="003B46D5">
        <w:rPr>
          <w:rFonts w:ascii="Arial" w:hAnsi="Arial" w:cs="Arial"/>
        </w:rPr>
        <w:t xml:space="preserve">on </w:t>
      </w:r>
      <w:r w:rsidR="00644FE0" w:rsidRPr="003B46D5">
        <w:rPr>
          <w:rFonts w:ascii="Arial" w:hAnsi="Arial" w:cs="Arial"/>
        </w:rPr>
        <w:t>sources</w:t>
      </w:r>
      <w:r w:rsidR="00644FE0" w:rsidRPr="003B46D5">
        <w:rPr>
          <w:rFonts w:ascii="Arial" w:hAnsi="Arial" w:cs="Arial"/>
        </w:rPr>
        <w:t xml:space="preserve"> such as politics and various laws</w:t>
      </w:r>
      <w:r w:rsidR="00644FE0" w:rsidRPr="003B46D5">
        <w:rPr>
          <w:rFonts w:ascii="Arial" w:hAnsi="Arial" w:cs="Arial"/>
        </w:rPr>
        <w:t xml:space="preserve"> </w:t>
      </w:r>
      <w:r w:rsidR="00644FE0" w:rsidRPr="003B46D5">
        <w:rPr>
          <w:rFonts w:ascii="Arial" w:hAnsi="Arial" w:cs="Arial"/>
        </w:rPr>
        <w:t>surrounding the landscape of Stonehenge</w:t>
      </w:r>
      <w:r w:rsidR="003B46D5">
        <w:rPr>
          <w:rFonts w:ascii="Arial" w:hAnsi="Arial" w:cs="Arial"/>
        </w:rPr>
        <w:t xml:space="preserve"> and its frequent change between public and private ownership throughout its history</w:t>
      </w:r>
      <w:r w:rsidR="003B46D5">
        <w:rPr>
          <w:rStyle w:val="FootnoteReference"/>
          <w:rFonts w:ascii="Arial" w:hAnsi="Arial" w:cs="Arial"/>
        </w:rPr>
        <w:t>6</w:t>
      </w:r>
      <w:r w:rsidR="003B46D5">
        <w:rPr>
          <w:rFonts w:ascii="Arial" w:hAnsi="Arial" w:cs="Arial"/>
        </w:rPr>
        <w:t>. Despite this difference in approach,</w:t>
      </w:r>
      <w:r w:rsidR="00644FE0" w:rsidRPr="003B46D5">
        <w:rPr>
          <w:rFonts w:ascii="Arial" w:hAnsi="Arial" w:cs="Arial"/>
        </w:rPr>
        <w:t xml:space="preserve"> both Bender and Tilley acknowledge potential issues surrounding their respective methodologies and sources. In particular, Tilley considers his own theory to be problematic in methodology due to the lack of ability to evidence the phenomenological perspective empirically</w:t>
      </w:r>
      <w:r w:rsidR="003B46D5">
        <w:rPr>
          <w:rFonts w:ascii="Arial" w:hAnsi="Arial" w:cs="Arial"/>
        </w:rPr>
        <w:t xml:space="preserve">, </w:t>
      </w:r>
      <w:proofErr w:type="gramStart"/>
      <w:r w:rsidR="003B46D5">
        <w:rPr>
          <w:rFonts w:ascii="Arial" w:hAnsi="Arial" w:cs="Arial"/>
        </w:rPr>
        <w:t>however</w:t>
      </w:r>
      <w:proofErr w:type="gramEnd"/>
      <w:r w:rsidR="00644FE0" w:rsidRPr="003B46D5">
        <w:rPr>
          <w:rFonts w:ascii="Arial" w:hAnsi="Arial" w:cs="Arial"/>
        </w:rPr>
        <w:t xml:space="preserve"> rectifies this with the suggestion of “a continuous dialect”</w:t>
      </w:r>
      <w:r w:rsidR="003B46D5">
        <w:rPr>
          <w:rStyle w:val="FootnoteReference"/>
          <w:rFonts w:ascii="Arial" w:hAnsi="Arial" w:cs="Arial"/>
        </w:rPr>
        <w:t>4</w:t>
      </w:r>
      <w:r w:rsidR="00644FE0" w:rsidRPr="003B46D5">
        <w:rPr>
          <w:rFonts w:ascii="Arial" w:hAnsi="Arial" w:cs="Arial"/>
        </w:rPr>
        <w:t xml:space="preserve"> between his theory and observed, factual statistics. Similarly, Bender discusses the issue of researcher subjectivity and bias, with specific reference to Stukeley’s biases in his own “theological interpretation”</w:t>
      </w:r>
      <w:r w:rsidR="003B46D5">
        <w:rPr>
          <w:rStyle w:val="FootnoteReference"/>
          <w:rFonts w:ascii="Arial" w:hAnsi="Arial" w:cs="Arial"/>
        </w:rPr>
        <w:t>6</w:t>
      </w:r>
      <w:r w:rsidR="003B46D5">
        <w:rPr>
          <w:rFonts w:ascii="Arial" w:hAnsi="Arial" w:cs="Arial"/>
        </w:rPr>
        <w:t xml:space="preserve"> </w:t>
      </w:r>
      <w:r w:rsidR="00644FE0" w:rsidRPr="003B46D5">
        <w:rPr>
          <w:rFonts w:ascii="Arial" w:hAnsi="Arial" w:cs="Arial"/>
        </w:rPr>
        <w:t xml:space="preserve">and recognises the potential for such biases to be present in her own work. </w:t>
      </w:r>
    </w:p>
    <w:p w14:paraId="71C7AADA" w14:textId="77777777" w:rsidR="00B66BB2" w:rsidRPr="003B46D5" w:rsidRDefault="00B66BB2" w:rsidP="003B46D5">
      <w:pPr>
        <w:rPr>
          <w:rFonts w:ascii="Arial" w:hAnsi="Arial" w:cs="Arial"/>
        </w:rPr>
      </w:pPr>
    </w:p>
    <w:p w14:paraId="691BFE07" w14:textId="552A870C" w:rsidR="000A172F" w:rsidRPr="006403B1" w:rsidRDefault="007945F0" w:rsidP="006403B1">
      <w:pPr>
        <w:ind w:firstLine="720"/>
        <w:rPr>
          <w:rFonts w:ascii="Arial" w:hAnsi="Arial" w:cs="Arial"/>
        </w:rPr>
      </w:pPr>
      <w:r w:rsidRPr="003B46D5">
        <w:rPr>
          <w:rFonts w:ascii="Arial" w:hAnsi="Arial" w:cs="Arial"/>
        </w:rPr>
        <w:t xml:space="preserve">Interestingly, both Bender and Tilly </w:t>
      </w:r>
      <w:proofErr w:type="gramStart"/>
      <w:r w:rsidRPr="003B46D5">
        <w:rPr>
          <w:rFonts w:ascii="Arial" w:hAnsi="Arial" w:cs="Arial"/>
        </w:rPr>
        <w:t>make reference</w:t>
      </w:r>
      <w:proofErr w:type="gramEnd"/>
      <w:r w:rsidRPr="003B46D5">
        <w:rPr>
          <w:rFonts w:ascii="Arial" w:hAnsi="Arial" w:cs="Arial"/>
        </w:rPr>
        <w:t xml:space="preserve"> to </w:t>
      </w:r>
      <w:r w:rsidR="003B46D5" w:rsidRPr="003B46D5">
        <w:rPr>
          <w:rFonts w:ascii="Arial" w:hAnsi="Arial" w:cs="Arial"/>
        </w:rPr>
        <w:t xml:space="preserve">the work of Michel </w:t>
      </w:r>
      <w:r w:rsidRPr="003B46D5">
        <w:rPr>
          <w:rFonts w:ascii="Arial" w:hAnsi="Arial" w:cs="Arial"/>
        </w:rPr>
        <w:t>Foucault</w:t>
      </w:r>
      <w:r w:rsidR="003B46D5" w:rsidRPr="003B46D5">
        <w:rPr>
          <w:rFonts w:ascii="Arial" w:hAnsi="Arial" w:cs="Arial"/>
        </w:rPr>
        <w:t xml:space="preserve">, </w:t>
      </w:r>
      <w:r w:rsidRPr="003B46D5">
        <w:rPr>
          <w:rFonts w:ascii="Arial" w:hAnsi="Arial" w:cs="Arial"/>
        </w:rPr>
        <w:t>a structuralist</w:t>
      </w:r>
      <w:r w:rsidR="003B46D5" w:rsidRPr="003B46D5">
        <w:rPr>
          <w:rFonts w:ascii="Arial" w:hAnsi="Arial" w:cs="Arial"/>
        </w:rPr>
        <w:t xml:space="preserve">, thus indicating that </w:t>
      </w:r>
      <w:r w:rsidRPr="003B46D5">
        <w:rPr>
          <w:rFonts w:ascii="Arial" w:hAnsi="Arial" w:cs="Arial"/>
        </w:rPr>
        <w:t>much of their backgrounds been influenced by similar schools of thought</w:t>
      </w:r>
      <w:r w:rsidR="003B46D5" w:rsidRPr="003B46D5">
        <w:rPr>
          <w:rFonts w:ascii="Arial" w:hAnsi="Arial" w:cs="Arial"/>
        </w:rPr>
        <w:t xml:space="preserve">, </w:t>
      </w:r>
      <w:r w:rsidRPr="003B46D5">
        <w:rPr>
          <w:rFonts w:ascii="Arial" w:hAnsi="Arial" w:cs="Arial"/>
        </w:rPr>
        <w:t>particularly those that were popular in the 1990s</w:t>
      </w:r>
      <w:r w:rsidR="003B46D5" w:rsidRPr="003B46D5">
        <w:rPr>
          <w:rFonts w:ascii="Arial" w:hAnsi="Arial" w:cs="Arial"/>
        </w:rPr>
        <w:t>,</w:t>
      </w:r>
      <w:r w:rsidRPr="003B46D5">
        <w:rPr>
          <w:rFonts w:ascii="Arial" w:hAnsi="Arial" w:cs="Arial"/>
        </w:rPr>
        <w:t xml:space="preserve"> when both texts were written</w:t>
      </w:r>
      <w:r w:rsidR="003B46D5" w:rsidRPr="003B46D5">
        <w:rPr>
          <w:rFonts w:ascii="Arial" w:hAnsi="Arial" w:cs="Arial"/>
        </w:rPr>
        <w:t xml:space="preserve">. </w:t>
      </w:r>
      <w:r w:rsidRPr="003B46D5">
        <w:rPr>
          <w:rFonts w:ascii="Arial" w:hAnsi="Arial" w:cs="Arial"/>
        </w:rPr>
        <w:t>Foucault’s theories focused on the relationship between power, control, culture and how power is exercised through institutions</w:t>
      </w:r>
      <w:r w:rsidR="003B46D5" w:rsidRPr="003B46D5">
        <w:rPr>
          <w:rFonts w:ascii="Arial" w:hAnsi="Arial" w:cs="Arial"/>
        </w:rPr>
        <w:t xml:space="preserve"> and the appropriation of space</w:t>
      </w:r>
      <w:r w:rsidR="003B46D5" w:rsidRPr="003B46D5">
        <w:rPr>
          <w:rStyle w:val="FootnoteReference"/>
          <w:rFonts w:ascii="Arial" w:hAnsi="Arial" w:cs="Arial"/>
        </w:rPr>
        <w:footnoteReference w:id="6"/>
      </w:r>
      <w:r w:rsidR="00644FE0" w:rsidRPr="003B46D5">
        <w:rPr>
          <w:rFonts w:ascii="Arial" w:hAnsi="Arial" w:cs="Arial"/>
        </w:rPr>
        <w:t xml:space="preserve">, a theme which is </w:t>
      </w:r>
      <w:r w:rsidR="003B46D5" w:rsidRPr="003B46D5">
        <w:rPr>
          <w:rFonts w:ascii="Arial" w:hAnsi="Arial" w:cs="Arial"/>
        </w:rPr>
        <w:t>reiterated</w:t>
      </w:r>
      <w:r w:rsidR="00644FE0" w:rsidRPr="003B46D5">
        <w:rPr>
          <w:rFonts w:ascii="Arial" w:hAnsi="Arial" w:cs="Arial"/>
        </w:rPr>
        <w:t xml:space="preserve"> in Bender and Tilley’s texts.</w:t>
      </w:r>
      <w:r w:rsidRPr="003B46D5">
        <w:rPr>
          <w:rFonts w:ascii="Arial" w:hAnsi="Arial" w:cs="Arial"/>
        </w:rPr>
        <w:t xml:space="preserve"> Bender notes two institutions in particular, the English Heritage trust, and the police force, as examples of how institutional power is enacted upon both landscapes, and people “the physical force that sustains the power of the ruling class visibly flexes its muscles”</w:t>
      </w:r>
      <w:r w:rsidR="003B46D5" w:rsidRPr="003B46D5">
        <w:rPr>
          <w:rStyle w:val="FootnoteReference"/>
          <w:rFonts w:ascii="Arial" w:hAnsi="Arial" w:cs="Arial"/>
        </w:rPr>
        <w:footnoteReference w:id="7"/>
      </w:r>
      <w:r w:rsidR="003B46D5" w:rsidRPr="003B46D5">
        <w:rPr>
          <w:rFonts w:ascii="Arial" w:hAnsi="Arial" w:cs="Arial"/>
        </w:rPr>
        <w:t xml:space="preserve"> </w:t>
      </w:r>
      <w:r w:rsidRPr="003B46D5">
        <w:rPr>
          <w:rFonts w:ascii="Arial" w:hAnsi="Arial" w:cs="Arial"/>
        </w:rPr>
        <w:t xml:space="preserve">at summer Solstice gatherings, a traditionally Pagan act of worship and reverence that celebrates the changing of the seasons. Thus, </w:t>
      </w:r>
      <w:proofErr w:type="gramStart"/>
      <w:r w:rsidRPr="003B46D5">
        <w:rPr>
          <w:rFonts w:ascii="Arial" w:hAnsi="Arial" w:cs="Arial"/>
        </w:rPr>
        <w:t>it is clear that Bender</w:t>
      </w:r>
      <w:proofErr w:type="gramEnd"/>
      <w:r w:rsidRPr="003B46D5">
        <w:rPr>
          <w:rFonts w:ascii="Arial" w:hAnsi="Arial" w:cs="Arial"/>
        </w:rPr>
        <w:t xml:space="preserve"> is correct in the importance of historical context when considering contested landscapes, for the historical denigration of Pagan beliefs by institutional powers is </w:t>
      </w:r>
      <w:r w:rsidRPr="003B46D5">
        <w:rPr>
          <w:rFonts w:ascii="Arial" w:hAnsi="Arial" w:cs="Arial"/>
        </w:rPr>
        <w:lastRenderedPageBreak/>
        <w:t>evidently carried through to the perception and control of this landscape over hundreds of years</w:t>
      </w:r>
      <w:r w:rsidR="003B46D5" w:rsidRPr="003B46D5">
        <w:rPr>
          <w:rFonts w:ascii="Arial" w:hAnsi="Arial" w:cs="Arial"/>
        </w:rPr>
        <w:t xml:space="preserve"> later</w:t>
      </w:r>
      <w:r w:rsidRPr="003B46D5">
        <w:rPr>
          <w:rFonts w:ascii="Arial" w:hAnsi="Arial" w:cs="Arial"/>
        </w:rPr>
        <w:t xml:space="preserve">. </w:t>
      </w:r>
      <w:r w:rsidR="00644FE0" w:rsidRPr="003B46D5">
        <w:rPr>
          <w:rFonts w:ascii="Arial" w:hAnsi="Arial" w:cs="Arial"/>
        </w:rPr>
        <w:t>Likewise, Tilley references Foucault’s discussions of power and how such theory is applicable, if not essential in the unpacking of the phenomenology of space. The argument is that control is enforced through, and constructed by, the disciplinary use of spaces, where</w:t>
      </w:r>
      <w:r w:rsidR="006403B1">
        <w:rPr>
          <w:rFonts w:ascii="Arial" w:hAnsi="Arial" w:cs="Arial"/>
        </w:rPr>
        <w:t>in</w:t>
      </w:r>
      <w:r w:rsidR="00644FE0" w:rsidRPr="003B46D5">
        <w:rPr>
          <w:rFonts w:ascii="Arial" w:hAnsi="Arial" w:cs="Arial"/>
        </w:rPr>
        <w:t xml:space="preserve"> Tilley gives the example of how institutions such as schools, prisons and hospitals all bear striking resemblance to one another</w:t>
      </w:r>
      <w:r w:rsidR="003B46D5" w:rsidRPr="003B46D5">
        <w:rPr>
          <w:rStyle w:val="FootnoteReference"/>
          <w:rFonts w:ascii="Arial" w:hAnsi="Arial" w:cs="Arial"/>
        </w:rPr>
        <w:footnoteReference w:id="8"/>
      </w:r>
      <w:r w:rsidR="00644FE0" w:rsidRPr="003B46D5">
        <w:rPr>
          <w:rFonts w:ascii="Arial" w:hAnsi="Arial" w:cs="Arial"/>
        </w:rPr>
        <w:t>. Interestingly, Tilley then uses this understanding of power and landscape to formulate a hypothesis on social control in pre-capitalist spaces. This hypothesis describes how contemporary capitalist social control is enacted upon landscapes through political means and action, therefore “pre-capitalist spaces”</w:t>
      </w:r>
      <w:r w:rsidR="006403B1">
        <w:rPr>
          <w:rFonts w:ascii="Arial" w:hAnsi="Arial" w:cs="Arial"/>
        </w:rPr>
        <w:t xml:space="preserve"> (pp.20)</w:t>
      </w:r>
      <w:r w:rsidR="00644FE0" w:rsidRPr="003B46D5">
        <w:rPr>
          <w:rFonts w:ascii="Arial" w:hAnsi="Arial" w:cs="Arial"/>
        </w:rPr>
        <w:t xml:space="preserve"> must have possessed an equal amount of a different form of power, one that is connected more to embodied ritualistic practises and the social dominance of mythological societal construction. In the theory of contested space, Bender also considers how economic and political decisions impact a landscape that was, and to an extent still is, believed to be “imbued with magic”</w:t>
      </w:r>
      <w:r w:rsidR="006403B1">
        <w:rPr>
          <w:rFonts w:ascii="Arial" w:hAnsi="Arial" w:cs="Arial"/>
        </w:rPr>
        <w:t xml:space="preserve"> (pp.100).</w:t>
      </w:r>
      <w:r w:rsidR="00644FE0" w:rsidRPr="003B46D5">
        <w:rPr>
          <w:rFonts w:ascii="Arial" w:hAnsi="Arial" w:cs="Arial"/>
        </w:rPr>
        <w:t xml:space="preserve"> </w:t>
      </w:r>
    </w:p>
    <w:p w14:paraId="4F0D3D38" w14:textId="1B276D21" w:rsidR="00C96CC9" w:rsidRPr="003B46D5" w:rsidRDefault="00C96CC9" w:rsidP="003B46D5">
      <w:pPr>
        <w:rPr>
          <w:rFonts w:ascii="Arial" w:hAnsi="Arial" w:cs="Arial"/>
          <w:u w:val="single"/>
        </w:rPr>
      </w:pPr>
    </w:p>
    <w:p w14:paraId="55080659" w14:textId="1DB240B1" w:rsidR="00AD6BB0" w:rsidRPr="003B46D5" w:rsidRDefault="00644FE0" w:rsidP="003B46D5">
      <w:pPr>
        <w:ind w:firstLine="720"/>
        <w:rPr>
          <w:rFonts w:ascii="Arial" w:hAnsi="Arial" w:cs="Arial"/>
        </w:rPr>
      </w:pPr>
      <w:r w:rsidRPr="003B46D5">
        <w:rPr>
          <w:rFonts w:ascii="Arial" w:hAnsi="Arial" w:cs="Arial"/>
        </w:rPr>
        <w:t>Consequently</w:t>
      </w:r>
      <w:r w:rsidR="000A172F" w:rsidRPr="003B46D5">
        <w:rPr>
          <w:rFonts w:ascii="Arial" w:hAnsi="Arial" w:cs="Arial"/>
        </w:rPr>
        <w:t xml:space="preserve">, </w:t>
      </w:r>
      <w:r w:rsidRPr="003B46D5">
        <w:rPr>
          <w:rFonts w:ascii="Arial" w:hAnsi="Arial" w:cs="Arial"/>
        </w:rPr>
        <w:t xml:space="preserve">it is evident that </w:t>
      </w:r>
      <w:r w:rsidR="000A172F" w:rsidRPr="003B46D5">
        <w:rPr>
          <w:rFonts w:ascii="Arial" w:hAnsi="Arial" w:cs="Arial"/>
        </w:rPr>
        <w:t xml:space="preserve">both Bender and Tilley agree that space is in fact, not neutral. </w:t>
      </w:r>
      <w:r w:rsidR="006403B1">
        <w:rPr>
          <w:rFonts w:ascii="Arial" w:hAnsi="Arial" w:cs="Arial"/>
        </w:rPr>
        <w:t xml:space="preserve">However </w:t>
      </w:r>
      <w:r w:rsidR="006C022E" w:rsidRPr="003B46D5">
        <w:rPr>
          <w:rFonts w:ascii="Arial" w:hAnsi="Arial" w:cs="Arial"/>
        </w:rPr>
        <w:t xml:space="preserve">a key difference is that Bender focuses more specifically on the ownership of Stonehenge, which leads to a more economic and political consideration of landscape, whilst Tilley places a distinct weightage towards analysing landscape, space and place from an embodied and ontological perspective. </w:t>
      </w:r>
      <w:r w:rsidR="00AD6BB0" w:rsidRPr="003B46D5">
        <w:rPr>
          <w:rFonts w:ascii="Arial" w:hAnsi="Arial" w:cs="Arial"/>
        </w:rPr>
        <w:t>Tilley argues that without the phenomenological and ontological considerations of space, there is a “spatial process and causality” that is essentially, hidden from view</w:t>
      </w:r>
      <w:r w:rsidR="003B46D5">
        <w:rPr>
          <w:rStyle w:val="FootnoteReference"/>
          <w:rFonts w:ascii="Arial" w:hAnsi="Arial" w:cs="Arial"/>
        </w:rPr>
        <w:t>7</w:t>
      </w:r>
      <w:r w:rsidR="00AD6BB0" w:rsidRPr="003B46D5">
        <w:rPr>
          <w:rFonts w:ascii="Arial" w:hAnsi="Arial" w:cs="Arial"/>
        </w:rPr>
        <w:t>.</w:t>
      </w:r>
      <w:r w:rsidRPr="003B46D5">
        <w:rPr>
          <w:rFonts w:ascii="Arial" w:hAnsi="Arial" w:cs="Arial"/>
        </w:rPr>
        <w:t xml:space="preserve"> </w:t>
      </w:r>
      <w:r w:rsidR="00AD6BB0" w:rsidRPr="003B46D5">
        <w:rPr>
          <w:rFonts w:ascii="Arial" w:hAnsi="Arial" w:cs="Arial"/>
        </w:rPr>
        <w:t xml:space="preserve">Indeed, both Bender and Tilley agree that space is </w:t>
      </w:r>
      <w:r w:rsidRPr="003B46D5">
        <w:rPr>
          <w:rFonts w:ascii="Arial" w:hAnsi="Arial" w:cs="Arial"/>
        </w:rPr>
        <w:t xml:space="preserve">constructive </w:t>
      </w:r>
      <w:r w:rsidR="00AD6BB0" w:rsidRPr="003B46D5">
        <w:rPr>
          <w:rFonts w:ascii="Arial" w:hAnsi="Arial" w:cs="Arial"/>
        </w:rPr>
        <w:t>and constitut</w:t>
      </w:r>
      <w:r w:rsidRPr="003B46D5">
        <w:rPr>
          <w:rFonts w:ascii="Arial" w:hAnsi="Arial" w:cs="Arial"/>
        </w:rPr>
        <w:t>ive</w:t>
      </w:r>
      <w:r w:rsidR="006403B1">
        <w:rPr>
          <w:rFonts w:ascii="Arial" w:hAnsi="Arial" w:cs="Arial"/>
        </w:rPr>
        <w:t>,</w:t>
      </w:r>
      <w:r w:rsidRPr="003B46D5">
        <w:rPr>
          <w:rFonts w:ascii="Arial" w:hAnsi="Arial" w:cs="Arial"/>
        </w:rPr>
        <w:t xml:space="preserve"> </w:t>
      </w:r>
      <w:r w:rsidR="006403B1">
        <w:rPr>
          <w:rFonts w:ascii="Arial" w:hAnsi="Arial" w:cs="Arial"/>
        </w:rPr>
        <w:t>although</w:t>
      </w:r>
      <w:r w:rsidR="00AD6BB0" w:rsidRPr="003B46D5">
        <w:rPr>
          <w:rFonts w:ascii="Arial" w:hAnsi="Arial" w:cs="Arial"/>
        </w:rPr>
        <w:t xml:space="preserve"> Bender illustrates this through historical contexts to show how Stonehenge has come to </w:t>
      </w:r>
      <w:r w:rsidR="003B46D5">
        <w:rPr>
          <w:rFonts w:ascii="Arial" w:hAnsi="Arial" w:cs="Arial"/>
        </w:rPr>
        <w:t>“</w:t>
      </w:r>
      <w:r w:rsidR="00AD6BB0" w:rsidRPr="003B46D5">
        <w:rPr>
          <w:rFonts w:ascii="Arial" w:hAnsi="Arial" w:cs="Arial"/>
        </w:rPr>
        <w:t>Being</w:t>
      </w:r>
      <w:r w:rsidR="003B46D5">
        <w:rPr>
          <w:rFonts w:ascii="Arial" w:hAnsi="Arial" w:cs="Arial"/>
        </w:rPr>
        <w:t>”</w:t>
      </w:r>
      <w:r w:rsidR="00AD6BB0" w:rsidRPr="003B46D5">
        <w:rPr>
          <w:rFonts w:ascii="Arial" w:hAnsi="Arial" w:cs="Arial"/>
        </w:rPr>
        <w:t xml:space="preserve"> through varying actions undertaken on and around it</w:t>
      </w:r>
      <w:r w:rsidR="006403B1">
        <w:rPr>
          <w:rFonts w:ascii="Arial" w:hAnsi="Arial" w:cs="Arial"/>
        </w:rPr>
        <w:t>. For example Bender references</w:t>
      </w:r>
      <w:r w:rsidR="00AD6BB0" w:rsidRPr="003B46D5">
        <w:rPr>
          <w:rFonts w:ascii="Arial" w:hAnsi="Arial" w:cs="Arial"/>
        </w:rPr>
        <w:t xml:space="preserve"> the buying and selling</w:t>
      </w:r>
      <w:r w:rsidR="003B46D5">
        <w:rPr>
          <w:rFonts w:ascii="Arial" w:hAnsi="Arial" w:cs="Arial"/>
        </w:rPr>
        <w:t xml:space="preserve"> of the landscape</w:t>
      </w:r>
      <w:r w:rsidR="00AD6BB0" w:rsidRPr="003B46D5">
        <w:rPr>
          <w:rFonts w:ascii="Arial" w:hAnsi="Arial" w:cs="Arial"/>
        </w:rPr>
        <w:t xml:space="preserve">, through </w:t>
      </w:r>
      <w:r w:rsidR="003B46D5">
        <w:rPr>
          <w:rFonts w:ascii="Arial" w:hAnsi="Arial" w:cs="Arial"/>
        </w:rPr>
        <w:t xml:space="preserve">the social and political </w:t>
      </w:r>
      <w:r w:rsidR="00AD6BB0" w:rsidRPr="003B46D5">
        <w:rPr>
          <w:rFonts w:ascii="Arial" w:hAnsi="Arial" w:cs="Arial"/>
        </w:rPr>
        <w:t>tensions in the 17</w:t>
      </w:r>
      <w:r w:rsidR="00AD6BB0" w:rsidRPr="003B46D5">
        <w:rPr>
          <w:rFonts w:ascii="Arial" w:hAnsi="Arial" w:cs="Arial"/>
          <w:vertAlign w:val="superscript"/>
        </w:rPr>
        <w:t>th</w:t>
      </w:r>
      <w:r w:rsidR="00AD6BB0" w:rsidRPr="003B46D5">
        <w:rPr>
          <w:rFonts w:ascii="Arial" w:hAnsi="Arial" w:cs="Arial"/>
        </w:rPr>
        <w:t xml:space="preserve"> and 18</w:t>
      </w:r>
      <w:r w:rsidR="00AD6BB0" w:rsidRPr="003B46D5">
        <w:rPr>
          <w:rFonts w:ascii="Arial" w:hAnsi="Arial" w:cs="Arial"/>
          <w:vertAlign w:val="superscript"/>
        </w:rPr>
        <w:t>th</w:t>
      </w:r>
      <w:r w:rsidR="00AD6BB0" w:rsidRPr="003B46D5">
        <w:rPr>
          <w:rFonts w:ascii="Arial" w:hAnsi="Arial" w:cs="Arial"/>
        </w:rPr>
        <w:t xml:space="preserve"> centuries</w:t>
      </w:r>
      <w:r w:rsidR="003B46D5">
        <w:rPr>
          <w:rFonts w:ascii="Arial" w:hAnsi="Arial" w:cs="Arial"/>
        </w:rPr>
        <w:t xml:space="preserve">, </w:t>
      </w:r>
      <w:r w:rsidR="00AD6BB0" w:rsidRPr="003B46D5">
        <w:rPr>
          <w:rFonts w:ascii="Arial" w:hAnsi="Arial" w:cs="Arial"/>
        </w:rPr>
        <w:t xml:space="preserve">and the demonisation of the </w:t>
      </w:r>
      <w:r w:rsidR="003B46D5">
        <w:rPr>
          <w:rFonts w:ascii="Arial" w:hAnsi="Arial" w:cs="Arial"/>
        </w:rPr>
        <w:t>s</w:t>
      </w:r>
      <w:r w:rsidR="00AD6BB0" w:rsidRPr="003B46D5">
        <w:rPr>
          <w:rFonts w:ascii="Arial" w:hAnsi="Arial" w:cs="Arial"/>
        </w:rPr>
        <w:t>tones to suit hierarchal powers or those in possession of the means of labour</w:t>
      </w:r>
      <w:r w:rsidR="003B46D5">
        <w:rPr>
          <w:rStyle w:val="FootnoteReference"/>
          <w:rFonts w:ascii="Arial" w:hAnsi="Arial" w:cs="Arial"/>
        </w:rPr>
        <w:footnoteReference w:id="9"/>
      </w:r>
      <w:r w:rsidR="003B46D5">
        <w:rPr>
          <w:rFonts w:ascii="Arial" w:hAnsi="Arial" w:cs="Arial"/>
        </w:rPr>
        <w:t>.</w:t>
      </w:r>
      <w:r w:rsidR="002C71A4" w:rsidRPr="003B46D5">
        <w:rPr>
          <w:rFonts w:ascii="Arial" w:hAnsi="Arial" w:cs="Arial"/>
        </w:rPr>
        <w:t xml:space="preserve"> </w:t>
      </w:r>
      <w:r w:rsidR="003B46D5">
        <w:rPr>
          <w:rFonts w:ascii="Arial" w:hAnsi="Arial" w:cs="Arial"/>
        </w:rPr>
        <w:t xml:space="preserve">According to Bender, the narratives of a landscape are determined by the </w:t>
      </w:r>
      <w:proofErr w:type="gramStart"/>
      <w:r w:rsidR="003B46D5">
        <w:rPr>
          <w:rFonts w:ascii="Arial" w:hAnsi="Arial" w:cs="Arial"/>
        </w:rPr>
        <w:t>story-teller</w:t>
      </w:r>
      <w:proofErr w:type="gramEnd"/>
      <w:r w:rsidR="003B46D5">
        <w:rPr>
          <w:rFonts w:ascii="Arial" w:hAnsi="Arial" w:cs="Arial"/>
        </w:rPr>
        <w:t>, who tends to be the one with economic capital, and consequently impacting the agency of a landscape, place, or those without capital</w:t>
      </w:r>
      <w:r w:rsidR="003B46D5">
        <w:rPr>
          <w:rStyle w:val="FootnoteReference"/>
          <w:rFonts w:ascii="Arial" w:hAnsi="Arial" w:cs="Arial"/>
        </w:rPr>
        <w:t>8</w:t>
      </w:r>
      <w:r w:rsidR="003B46D5">
        <w:rPr>
          <w:rFonts w:ascii="Arial" w:hAnsi="Arial" w:cs="Arial"/>
        </w:rPr>
        <w:t xml:space="preserve">. </w:t>
      </w:r>
      <w:r w:rsidR="002C71A4" w:rsidRPr="003B46D5">
        <w:rPr>
          <w:rFonts w:ascii="Arial" w:hAnsi="Arial" w:cs="Arial"/>
        </w:rPr>
        <w:t>Likewise, Tilley describes landscape as</w:t>
      </w:r>
      <w:r w:rsidR="002C71A4" w:rsidRPr="003B46D5">
        <w:rPr>
          <w:rFonts w:ascii="Arial" w:hAnsi="Arial" w:cs="Arial"/>
          <w:color w:val="000000"/>
        </w:rPr>
        <w:t xml:space="preserve"> “mediated, worked on and altered”</w:t>
      </w:r>
      <w:r w:rsidR="003B46D5">
        <w:rPr>
          <w:rStyle w:val="FootnoteReference"/>
          <w:rFonts w:ascii="Arial" w:hAnsi="Arial" w:cs="Arial"/>
          <w:color w:val="000000"/>
        </w:rPr>
        <w:t>7</w:t>
      </w:r>
      <w:r w:rsidR="003B46D5">
        <w:rPr>
          <w:rFonts w:ascii="Arial" w:hAnsi="Arial" w:cs="Arial"/>
          <w:color w:val="000000"/>
        </w:rPr>
        <w:t xml:space="preserve">. </w:t>
      </w:r>
      <w:r w:rsidR="003B46D5" w:rsidRPr="003B46D5">
        <w:rPr>
          <w:rFonts w:ascii="Arial" w:hAnsi="Arial" w:cs="Arial"/>
          <w:color w:val="000000"/>
        </w:rPr>
        <w:t xml:space="preserve">In such a way, Bender’s text on Stonehenge deconstructs the why, whilst Tilley’s constructs a view of how contested landscapes come to be impacted upon and shaped by dominant and ruling forces.  </w:t>
      </w:r>
    </w:p>
    <w:p w14:paraId="3F0E9A80" w14:textId="77777777" w:rsidR="00C96CC9" w:rsidRPr="003B46D5" w:rsidRDefault="00C96CC9" w:rsidP="003B46D5">
      <w:pPr>
        <w:rPr>
          <w:rFonts w:ascii="Arial" w:hAnsi="Arial" w:cs="Arial"/>
          <w:u w:val="single"/>
        </w:rPr>
      </w:pPr>
    </w:p>
    <w:p w14:paraId="7E104F17" w14:textId="5A687834" w:rsidR="007945F0" w:rsidRPr="003B46D5" w:rsidRDefault="003B46D5" w:rsidP="003B46D5">
      <w:pPr>
        <w:ind w:firstLine="720"/>
        <w:rPr>
          <w:rFonts w:ascii="Arial" w:hAnsi="Arial" w:cs="Arial"/>
        </w:rPr>
      </w:pPr>
      <w:r w:rsidRPr="003B46D5">
        <w:rPr>
          <w:rFonts w:ascii="Arial" w:hAnsi="Arial" w:cs="Arial"/>
        </w:rPr>
        <w:t>Analysing the texts from</w:t>
      </w:r>
      <w:r w:rsidR="000A172F" w:rsidRPr="003B46D5">
        <w:rPr>
          <w:rFonts w:ascii="Arial" w:hAnsi="Arial" w:cs="Arial"/>
        </w:rPr>
        <w:t xml:space="preserve"> a Marxist perspective, </w:t>
      </w:r>
      <w:proofErr w:type="gramStart"/>
      <w:r w:rsidR="000A172F" w:rsidRPr="003B46D5">
        <w:rPr>
          <w:rFonts w:ascii="Arial" w:hAnsi="Arial" w:cs="Arial"/>
        </w:rPr>
        <w:t>it is clear that Tilley’s</w:t>
      </w:r>
      <w:proofErr w:type="gramEnd"/>
      <w:r w:rsidR="000A172F" w:rsidRPr="003B46D5">
        <w:rPr>
          <w:rFonts w:ascii="Arial" w:hAnsi="Arial" w:cs="Arial"/>
        </w:rPr>
        <w:t xml:space="preserve"> phenomenological perspective complements Bender’s theory of contested space</w:t>
      </w:r>
      <w:r w:rsidRPr="003B46D5">
        <w:rPr>
          <w:rFonts w:ascii="Arial" w:hAnsi="Arial" w:cs="Arial"/>
        </w:rPr>
        <w:t>, indeed sharing many theoretical similarities.</w:t>
      </w:r>
      <w:r w:rsidR="000A172F" w:rsidRPr="003B46D5">
        <w:rPr>
          <w:rFonts w:ascii="Arial" w:hAnsi="Arial" w:cs="Arial"/>
        </w:rPr>
        <w:t xml:space="preserve"> </w:t>
      </w:r>
      <w:proofErr w:type="gramStart"/>
      <w:r w:rsidR="000A172F" w:rsidRPr="003B46D5">
        <w:rPr>
          <w:rFonts w:ascii="Arial" w:hAnsi="Arial" w:cs="Arial"/>
        </w:rPr>
        <w:t xml:space="preserve">In particular, </w:t>
      </w:r>
      <w:r w:rsidRPr="003B46D5">
        <w:rPr>
          <w:rFonts w:ascii="Arial" w:hAnsi="Arial" w:cs="Arial"/>
        </w:rPr>
        <w:t>each</w:t>
      </w:r>
      <w:proofErr w:type="gramEnd"/>
      <w:r w:rsidR="000A172F" w:rsidRPr="003B46D5">
        <w:rPr>
          <w:rFonts w:ascii="Arial" w:hAnsi="Arial" w:cs="Arial"/>
        </w:rPr>
        <w:t xml:space="preserve"> texts make specific reference to cultural capital, a theory first discussed by </w:t>
      </w:r>
      <w:r w:rsidRPr="003B46D5">
        <w:rPr>
          <w:rFonts w:ascii="Arial" w:hAnsi="Arial" w:cs="Arial"/>
        </w:rPr>
        <w:t xml:space="preserve">Pierre </w:t>
      </w:r>
      <w:r w:rsidR="000A172F" w:rsidRPr="003B46D5">
        <w:rPr>
          <w:rFonts w:ascii="Arial" w:hAnsi="Arial" w:cs="Arial"/>
        </w:rPr>
        <w:t>Bourdieu</w:t>
      </w:r>
      <w:r w:rsidRPr="003B46D5">
        <w:rPr>
          <w:rStyle w:val="FootnoteReference"/>
          <w:rFonts w:ascii="Arial" w:hAnsi="Arial" w:cs="Arial"/>
        </w:rPr>
        <w:footnoteReference w:id="10"/>
      </w:r>
      <w:r w:rsidR="00644FE0" w:rsidRPr="003B46D5">
        <w:rPr>
          <w:rFonts w:ascii="Arial" w:hAnsi="Arial" w:cs="Arial"/>
        </w:rPr>
        <w:t>.</w:t>
      </w:r>
      <w:r w:rsidRPr="003B46D5">
        <w:rPr>
          <w:rFonts w:ascii="Arial" w:hAnsi="Arial" w:cs="Arial"/>
        </w:rPr>
        <w:t xml:space="preserve"> In the Stonehenge analysis, Bender denotes the sightseeing of the landscape as an important part of connecting with ancestry, identities and personal histories, whilst describing how access to such cultural capital is limited and conditioned. This is </w:t>
      </w:r>
      <w:r w:rsidRPr="003B46D5">
        <w:rPr>
          <w:rFonts w:ascii="Arial" w:hAnsi="Arial" w:cs="Arial"/>
        </w:rPr>
        <w:lastRenderedPageBreak/>
        <w:t>clearly illustrated in how Bender is</w:t>
      </w:r>
      <w:r w:rsidR="00644FE0" w:rsidRPr="003B46D5">
        <w:rPr>
          <w:rFonts w:ascii="Arial" w:hAnsi="Arial" w:cs="Arial"/>
        </w:rPr>
        <w:t xml:space="preserve"> exceptionally critical of the powers that control Stonehenge and who has access to it, particularly in the way of its ownership “for the nation”</w:t>
      </w:r>
      <w:r>
        <w:rPr>
          <w:rStyle w:val="FootnoteReference"/>
          <w:rFonts w:ascii="Arial" w:hAnsi="Arial" w:cs="Arial"/>
        </w:rPr>
        <w:footnoteReference w:id="11"/>
      </w:r>
      <w:r>
        <w:rPr>
          <w:rFonts w:ascii="Arial" w:hAnsi="Arial" w:cs="Arial"/>
        </w:rPr>
        <w:t xml:space="preserve">, </w:t>
      </w:r>
      <w:r w:rsidR="00644FE0" w:rsidRPr="003B46D5">
        <w:rPr>
          <w:rFonts w:ascii="Arial" w:hAnsi="Arial" w:cs="Arial"/>
        </w:rPr>
        <w:t xml:space="preserve">stating it as “populist rhetoric” </w:t>
      </w:r>
      <w:r>
        <w:rPr>
          <w:rFonts w:ascii="Arial" w:hAnsi="Arial" w:cs="Arial"/>
        </w:rPr>
        <w:t xml:space="preserve">(ibid.), </w:t>
      </w:r>
      <w:r w:rsidR="00644FE0" w:rsidRPr="003B46D5">
        <w:rPr>
          <w:rFonts w:ascii="Arial" w:hAnsi="Arial" w:cs="Arial"/>
        </w:rPr>
        <w:t xml:space="preserve">that works in favour of the ruling class. The idea that culture is controlled as a way to exercise power is a Marxist theory, supported by </w:t>
      </w:r>
      <w:r>
        <w:rPr>
          <w:rFonts w:ascii="Arial" w:hAnsi="Arial" w:cs="Arial"/>
        </w:rPr>
        <w:t>Raymond Williams in ‘</w:t>
      </w:r>
      <w:r w:rsidRPr="003B46D5">
        <w:rPr>
          <w:rFonts w:ascii="Arial" w:hAnsi="Arial" w:cs="Arial"/>
          <w:i/>
          <w:iCs/>
        </w:rPr>
        <w:t xml:space="preserve">Base and Superstructure </w:t>
      </w:r>
      <w:proofErr w:type="gramStart"/>
      <w:r w:rsidRPr="003B46D5">
        <w:rPr>
          <w:rFonts w:ascii="Arial" w:hAnsi="Arial" w:cs="Arial"/>
          <w:i/>
          <w:iCs/>
        </w:rPr>
        <w:t>In</w:t>
      </w:r>
      <w:proofErr w:type="gramEnd"/>
      <w:r w:rsidRPr="003B46D5">
        <w:rPr>
          <w:rFonts w:ascii="Arial" w:hAnsi="Arial" w:cs="Arial"/>
          <w:i/>
          <w:iCs/>
        </w:rPr>
        <w:t xml:space="preserve"> Marxist Cultural Theory</w:t>
      </w:r>
      <w:r>
        <w:rPr>
          <w:rFonts w:ascii="Arial" w:hAnsi="Arial" w:cs="Arial"/>
        </w:rPr>
        <w:t>’</w:t>
      </w:r>
      <w:r>
        <w:rPr>
          <w:rStyle w:val="FootnoteReference"/>
          <w:rFonts w:ascii="Arial" w:hAnsi="Arial" w:cs="Arial"/>
        </w:rPr>
        <w:footnoteReference w:id="12"/>
      </w:r>
      <w:r>
        <w:rPr>
          <w:rFonts w:ascii="Arial" w:hAnsi="Arial" w:cs="Arial"/>
        </w:rPr>
        <w:t xml:space="preserve">. </w:t>
      </w:r>
      <w:r w:rsidR="00644FE0" w:rsidRPr="003B46D5">
        <w:rPr>
          <w:rFonts w:ascii="Arial" w:hAnsi="Arial" w:cs="Arial"/>
        </w:rPr>
        <w:t xml:space="preserve">In addition, Tilley also supports the idea, stating cultural capital as being both desirable and powerful </w:t>
      </w:r>
      <w:r w:rsidRPr="003B46D5">
        <w:rPr>
          <w:rFonts w:ascii="Arial" w:hAnsi="Arial" w:cs="Arial"/>
        </w:rPr>
        <w:t xml:space="preserve">whilst also discussing how access to, and the knowledge of how to act </w:t>
      </w:r>
      <w:proofErr w:type="gramStart"/>
      <w:r w:rsidRPr="003B46D5">
        <w:rPr>
          <w:rFonts w:ascii="Arial" w:hAnsi="Arial" w:cs="Arial"/>
        </w:rPr>
        <w:t>in particular spaces</w:t>
      </w:r>
      <w:proofErr w:type="gramEnd"/>
      <w:r w:rsidRPr="003B46D5">
        <w:rPr>
          <w:rFonts w:ascii="Arial" w:hAnsi="Arial" w:cs="Arial"/>
        </w:rPr>
        <w:t xml:space="preserve"> is inseparable from the conditioning of previous life experiences and cultural class contexts. </w:t>
      </w:r>
      <w:r w:rsidRPr="003B46D5">
        <w:rPr>
          <w:rFonts w:ascii="Arial" w:hAnsi="Arial" w:cs="Arial"/>
          <w:color w:val="000000"/>
        </w:rPr>
        <w:t xml:space="preserve">Bender’s text supports this in the way she considers the political and economic domination </w:t>
      </w:r>
      <w:proofErr w:type="gramStart"/>
      <w:r w:rsidRPr="003B46D5">
        <w:rPr>
          <w:rFonts w:ascii="Arial" w:hAnsi="Arial" w:cs="Arial"/>
          <w:color w:val="000000"/>
        </w:rPr>
        <w:t>and also</w:t>
      </w:r>
      <w:proofErr w:type="gramEnd"/>
      <w:r w:rsidRPr="003B46D5">
        <w:rPr>
          <w:rFonts w:ascii="Arial" w:hAnsi="Arial" w:cs="Arial"/>
          <w:color w:val="000000"/>
        </w:rPr>
        <w:t xml:space="preserve"> does support the idea that these places are unlikely to be equally shared and experienced, notably in the example of the tourists’ office and the structural organisation of the tourists visiting Stonehenge. It is a form of exclusion, </w:t>
      </w:r>
      <w:r w:rsidRPr="003B46D5">
        <w:rPr>
          <w:rFonts w:ascii="Arial" w:hAnsi="Arial" w:cs="Arial"/>
          <w:color w:val="000000"/>
        </w:rPr>
        <w:t>as</w:t>
      </w:r>
      <w:r w:rsidRPr="003B46D5">
        <w:rPr>
          <w:rFonts w:ascii="Arial" w:hAnsi="Arial" w:cs="Arial"/>
          <w:color w:val="000000"/>
        </w:rPr>
        <w:t xml:space="preserve"> even having the cultural capital to visit</w:t>
      </w:r>
      <w:r w:rsidRPr="003B46D5">
        <w:rPr>
          <w:rFonts w:ascii="Arial" w:hAnsi="Arial" w:cs="Arial"/>
          <w:color w:val="000000"/>
        </w:rPr>
        <w:t>,</w:t>
      </w:r>
      <w:r w:rsidRPr="003B46D5">
        <w:rPr>
          <w:rFonts w:ascii="Arial" w:hAnsi="Arial" w:cs="Arial"/>
          <w:color w:val="000000"/>
        </w:rPr>
        <w:t xml:space="preserve"> or know to visit Stonehenge is unequally balanced</w:t>
      </w:r>
      <w:r w:rsidRPr="003B46D5">
        <w:rPr>
          <w:rFonts w:ascii="Arial" w:hAnsi="Arial" w:cs="Arial"/>
          <w:color w:val="000000"/>
        </w:rPr>
        <w:t xml:space="preserve"> amongst the ruling and working classes</w:t>
      </w:r>
      <w:r w:rsidRPr="003B46D5">
        <w:rPr>
          <w:rStyle w:val="FootnoteReference"/>
          <w:rFonts w:ascii="Arial" w:hAnsi="Arial" w:cs="Arial"/>
          <w:color w:val="000000"/>
        </w:rPr>
        <w:footnoteReference w:id="13"/>
      </w:r>
      <w:r w:rsidRPr="003B46D5">
        <w:rPr>
          <w:rFonts w:ascii="Arial" w:hAnsi="Arial" w:cs="Arial"/>
          <w:color w:val="000000"/>
        </w:rPr>
        <w:t>.</w:t>
      </w:r>
      <w:r w:rsidR="00644FE0" w:rsidRPr="003B46D5">
        <w:rPr>
          <w:rFonts w:ascii="Arial" w:hAnsi="Arial" w:cs="Arial"/>
        </w:rPr>
        <w:t xml:space="preserve"> Consequently, it is clear in this section that Tilley’s work does indeed complement the theory of contested space, </w:t>
      </w:r>
      <w:proofErr w:type="gramStart"/>
      <w:r w:rsidR="00644FE0" w:rsidRPr="003B46D5">
        <w:rPr>
          <w:rFonts w:ascii="Arial" w:hAnsi="Arial" w:cs="Arial"/>
        </w:rPr>
        <w:t>in actuality expanding</w:t>
      </w:r>
      <w:proofErr w:type="gramEnd"/>
      <w:r w:rsidR="00644FE0" w:rsidRPr="003B46D5">
        <w:rPr>
          <w:rFonts w:ascii="Arial" w:hAnsi="Arial" w:cs="Arial"/>
        </w:rPr>
        <w:t xml:space="preserve"> upon it to dissect the ways in which space</w:t>
      </w:r>
      <w:r>
        <w:rPr>
          <w:rFonts w:ascii="Arial" w:hAnsi="Arial" w:cs="Arial"/>
        </w:rPr>
        <w:t xml:space="preserve"> becomes contested, and in whose favour the contestation lies. </w:t>
      </w:r>
    </w:p>
    <w:p w14:paraId="3FFEFD23" w14:textId="1BDD9C7B" w:rsidR="000A172F" w:rsidRPr="003B46D5" w:rsidRDefault="000A172F" w:rsidP="003B46D5">
      <w:pPr>
        <w:rPr>
          <w:rFonts w:ascii="Arial" w:hAnsi="Arial" w:cs="Arial"/>
          <w:u w:val="single"/>
        </w:rPr>
      </w:pPr>
    </w:p>
    <w:p w14:paraId="782BBA65" w14:textId="4420D49E" w:rsidR="00B66BB2" w:rsidRPr="003B46D5" w:rsidRDefault="006403B1" w:rsidP="003B46D5">
      <w:pPr>
        <w:ind w:firstLine="720"/>
        <w:rPr>
          <w:rFonts w:ascii="Arial" w:hAnsi="Arial" w:cs="Arial"/>
        </w:rPr>
      </w:pPr>
      <w:r>
        <w:rPr>
          <w:rFonts w:ascii="Arial" w:hAnsi="Arial" w:cs="Arial"/>
        </w:rPr>
        <w:t>Additionally</w:t>
      </w:r>
      <w:r w:rsidR="003B46D5" w:rsidRPr="003B46D5">
        <w:rPr>
          <w:rFonts w:ascii="Arial" w:hAnsi="Arial" w:cs="Arial"/>
        </w:rPr>
        <w:t>, another</w:t>
      </w:r>
      <w:r w:rsidR="00644FE0" w:rsidRPr="003B46D5">
        <w:rPr>
          <w:rFonts w:ascii="Arial" w:hAnsi="Arial" w:cs="Arial"/>
        </w:rPr>
        <w:t xml:space="preserve"> key </w:t>
      </w:r>
      <w:r w:rsidR="003B46D5" w:rsidRPr="003B46D5">
        <w:rPr>
          <w:rFonts w:ascii="Arial" w:hAnsi="Arial" w:cs="Arial"/>
        </w:rPr>
        <w:t>comparison</w:t>
      </w:r>
      <w:r w:rsidR="00644FE0" w:rsidRPr="003B46D5">
        <w:rPr>
          <w:rFonts w:ascii="Arial" w:hAnsi="Arial" w:cs="Arial"/>
        </w:rPr>
        <w:t xml:space="preserve"> </w:t>
      </w:r>
      <w:r w:rsidR="003B46D5" w:rsidRPr="003B46D5">
        <w:rPr>
          <w:rFonts w:ascii="Arial" w:hAnsi="Arial" w:cs="Arial"/>
        </w:rPr>
        <w:t>between</w:t>
      </w:r>
      <w:r w:rsidR="00644FE0" w:rsidRPr="003B46D5">
        <w:rPr>
          <w:rFonts w:ascii="Arial" w:hAnsi="Arial" w:cs="Arial"/>
        </w:rPr>
        <w:t xml:space="preserve"> Tilley’s phenomenological perspective and Bender’s theory of contested space is the</w:t>
      </w:r>
      <w:r w:rsidR="003B46D5">
        <w:rPr>
          <w:rFonts w:ascii="Arial" w:hAnsi="Arial" w:cs="Arial"/>
        </w:rPr>
        <w:t>ir reference to the</w:t>
      </w:r>
      <w:r w:rsidR="00644FE0" w:rsidRPr="003B46D5">
        <w:rPr>
          <w:rFonts w:ascii="Arial" w:hAnsi="Arial" w:cs="Arial"/>
        </w:rPr>
        <w:t xml:space="preserve"> deliberate ‘</w:t>
      </w:r>
      <w:r w:rsidR="000A172F" w:rsidRPr="003B46D5">
        <w:rPr>
          <w:rFonts w:ascii="Arial" w:hAnsi="Arial" w:cs="Arial"/>
        </w:rPr>
        <w:t>Othering</w:t>
      </w:r>
      <w:r w:rsidR="00644FE0" w:rsidRPr="003B46D5">
        <w:rPr>
          <w:rFonts w:ascii="Arial" w:hAnsi="Arial" w:cs="Arial"/>
        </w:rPr>
        <w:t xml:space="preserve">’ of </w:t>
      </w:r>
      <w:proofErr w:type="gramStart"/>
      <w:r w:rsidR="00644FE0" w:rsidRPr="003B46D5">
        <w:rPr>
          <w:rFonts w:ascii="Arial" w:hAnsi="Arial" w:cs="Arial"/>
        </w:rPr>
        <w:t>particular sections</w:t>
      </w:r>
      <w:proofErr w:type="gramEnd"/>
      <w:r w:rsidR="00644FE0" w:rsidRPr="003B46D5">
        <w:rPr>
          <w:rFonts w:ascii="Arial" w:hAnsi="Arial" w:cs="Arial"/>
        </w:rPr>
        <w:t xml:space="preserve"> and subsections of society. Edward Said’s </w:t>
      </w:r>
      <w:r w:rsidR="006C022E" w:rsidRPr="003B46D5">
        <w:rPr>
          <w:rFonts w:ascii="Arial" w:hAnsi="Arial" w:cs="Arial"/>
        </w:rPr>
        <w:t xml:space="preserve">theory of </w:t>
      </w:r>
      <w:r w:rsidR="003B46D5">
        <w:rPr>
          <w:rFonts w:ascii="Arial" w:hAnsi="Arial" w:cs="Arial"/>
        </w:rPr>
        <w:t xml:space="preserve">the </w:t>
      </w:r>
      <w:r w:rsidR="006C022E" w:rsidRPr="003B46D5">
        <w:rPr>
          <w:rFonts w:ascii="Arial" w:hAnsi="Arial" w:cs="Arial"/>
        </w:rPr>
        <w:t xml:space="preserve">‘Other’ was explored </w:t>
      </w:r>
      <w:r w:rsidR="003B46D5">
        <w:rPr>
          <w:rFonts w:ascii="Arial" w:hAnsi="Arial" w:cs="Arial"/>
        </w:rPr>
        <w:t>in Said’s theory of Orientalism</w:t>
      </w:r>
      <w:r w:rsidR="003B46D5">
        <w:rPr>
          <w:rStyle w:val="FootnoteReference"/>
          <w:rFonts w:ascii="Arial" w:hAnsi="Arial" w:cs="Arial"/>
        </w:rPr>
        <w:footnoteReference w:id="14"/>
      </w:r>
      <w:r w:rsidR="003B46D5">
        <w:rPr>
          <w:rFonts w:ascii="Arial" w:hAnsi="Arial" w:cs="Arial"/>
        </w:rPr>
        <w:t xml:space="preserve"> </w:t>
      </w:r>
      <w:proofErr w:type="gramStart"/>
      <w:r w:rsidR="006C022E" w:rsidRPr="003B46D5">
        <w:rPr>
          <w:rFonts w:ascii="Arial" w:hAnsi="Arial" w:cs="Arial"/>
        </w:rPr>
        <w:t>as a way to</w:t>
      </w:r>
      <w:proofErr w:type="gramEnd"/>
      <w:r w:rsidR="006C022E" w:rsidRPr="003B46D5">
        <w:rPr>
          <w:rFonts w:ascii="Arial" w:hAnsi="Arial" w:cs="Arial"/>
        </w:rPr>
        <w:t xml:space="preserve"> deconstruct how Western society views the East</w:t>
      </w:r>
      <w:r w:rsidR="00644FE0" w:rsidRPr="003B46D5">
        <w:rPr>
          <w:rFonts w:ascii="Arial" w:hAnsi="Arial" w:cs="Arial"/>
        </w:rPr>
        <w:t xml:space="preserve">, though </w:t>
      </w:r>
      <w:r w:rsidR="006C022E" w:rsidRPr="003B46D5">
        <w:rPr>
          <w:rFonts w:ascii="Arial" w:hAnsi="Arial" w:cs="Arial"/>
        </w:rPr>
        <w:t xml:space="preserve">Bender and Tilley </w:t>
      </w:r>
      <w:r w:rsidR="00644FE0" w:rsidRPr="003B46D5">
        <w:rPr>
          <w:rFonts w:ascii="Arial" w:hAnsi="Arial" w:cs="Arial"/>
        </w:rPr>
        <w:t xml:space="preserve">apply </w:t>
      </w:r>
      <w:r w:rsidR="006C022E" w:rsidRPr="003B46D5">
        <w:rPr>
          <w:rFonts w:ascii="Arial" w:hAnsi="Arial" w:cs="Arial"/>
        </w:rPr>
        <w:t xml:space="preserve">use of this term to </w:t>
      </w:r>
      <w:r w:rsidR="003B46D5">
        <w:rPr>
          <w:rFonts w:ascii="Arial" w:hAnsi="Arial" w:cs="Arial"/>
        </w:rPr>
        <w:t>critically assess</w:t>
      </w:r>
      <w:r w:rsidR="003B46D5" w:rsidRPr="003B46D5">
        <w:rPr>
          <w:rFonts w:ascii="Arial" w:hAnsi="Arial" w:cs="Arial"/>
        </w:rPr>
        <w:t xml:space="preserve"> how bourgeoisie classes oppress certain groups of people</w:t>
      </w:r>
      <w:r w:rsidR="003B46D5">
        <w:rPr>
          <w:rFonts w:ascii="Arial" w:hAnsi="Arial" w:cs="Arial"/>
        </w:rPr>
        <w:t>, particularly with how this occurs within contested landscapes</w:t>
      </w:r>
      <w:r w:rsidR="003B46D5" w:rsidRPr="003B46D5">
        <w:rPr>
          <w:rFonts w:ascii="Arial" w:hAnsi="Arial" w:cs="Arial"/>
        </w:rPr>
        <w:t>. For Bender, the</w:t>
      </w:r>
      <w:r w:rsidR="000A172F" w:rsidRPr="003B46D5">
        <w:rPr>
          <w:rFonts w:ascii="Arial" w:hAnsi="Arial" w:cs="Arial"/>
        </w:rPr>
        <w:t xml:space="preserve"> ‘Othering’ of commoners</w:t>
      </w:r>
      <w:r w:rsidR="003B46D5" w:rsidRPr="003B46D5">
        <w:rPr>
          <w:rFonts w:ascii="Arial" w:hAnsi="Arial" w:cs="Arial"/>
        </w:rPr>
        <w:t xml:space="preserve"> in Medieval times</w:t>
      </w:r>
      <w:r w:rsidR="000A172F" w:rsidRPr="003B46D5">
        <w:rPr>
          <w:rFonts w:ascii="Arial" w:hAnsi="Arial" w:cs="Arial"/>
        </w:rPr>
        <w:t xml:space="preserve"> and other interdependencies are important to consider</w:t>
      </w:r>
      <w:r w:rsidR="003B46D5" w:rsidRPr="003B46D5">
        <w:rPr>
          <w:rFonts w:ascii="Arial" w:hAnsi="Arial" w:cs="Arial"/>
        </w:rPr>
        <w:t xml:space="preserve">. Here, </w:t>
      </w:r>
      <w:r w:rsidR="000A172F" w:rsidRPr="003B46D5">
        <w:rPr>
          <w:rFonts w:ascii="Arial" w:hAnsi="Arial" w:cs="Arial"/>
        </w:rPr>
        <w:t xml:space="preserve">Bender </w:t>
      </w:r>
      <w:r w:rsidR="003B46D5" w:rsidRPr="003B46D5">
        <w:rPr>
          <w:rFonts w:ascii="Arial" w:hAnsi="Arial" w:cs="Arial"/>
        </w:rPr>
        <w:t>takes an intersectional approach</w:t>
      </w:r>
      <w:r w:rsidR="003B46D5">
        <w:rPr>
          <w:rFonts w:ascii="Arial" w:hAnsi="Arial" w:cs="Arial"/>
        </w:rPr>
        <w:t xml:space="preserve">, which according to </w:t>
      </w:r>
      <w:proofErr w:type="spellStart"/>
      <w:r w:rsidR="003B46D5">
        <w:rPr>
          <w:rFonts w:ascii="Arial" w:hAnsi="Arial" w:cs="Arial"/>
        </w:rPr>
        <w:t>Atewologun</w:t>
      </w:r>
      <w:proofErr w:type="spellEnd"/>
      <w:r w:rsidR="003B46D5">
        <w:rPr>
          <w:rStyle w:val="FootnoteReference"/>
          <w:rFonts w:ascii="Arial" w:hAnsi="Arial" w:cs="Arial"/>
        </w:rPr>
        <w:footnoteReference w:id="15"/>
      </w:r>
      <w:r w:rsidR="003B46D5">
        <w:rPr>
          <w:rFonts w:ascii="Arial" w:hAnsi="Arial" w:cs="Arial"/>
        </w:rPr>
        <w:t>, is a way of</w:t>
      </w:r>
      <w:r w:rsidR="003B46D5" w:rsidRPr="003B46D5">
        <w:rPr>
          <w:rFonts w:ascii="Arial" w:hAnsi="Arial" w:cs="Arial"/>
        </w:rPr>
        <w:t xml:space="preserve"> </w:t>
      </w:r>
      <w:r w:rsidR="003B46D5">
        <w:rPr>
          <w:rFonts w:ascii="Arial" w:hAnsi="Arial" w:cs="Arial"/>
        </w:rPr>
        <w:t>demonstrating the ways in</w:t>
      </w:r>
      <w:r w:rsidR="003B46D5" w:rsidRPr="003B46D5">
        <w:rPr>
          <w:rFonts w:ascii="Arial" w:hAnsi="Arial" w:cs="Arial"/>
        </w:rPr>
        <w:t xml:space="preserve"> which privilege and advantage are granted to</w:t>
      </w:r>
      <w:r w:rsidR="003B46D5">
        <w:rPr>
          <w:rFonts w:ascii="Arial" w:hAnsi="Arial" w:cs="Arial"/>
        </w:rPr>
        <w:t xml:space="preserve"> certain</w:t>
      </w:r>
      <w:r w:rsidR="003B46D5" w:rsidRPr="003B46D5">
        <w:rPr>
          <w:rFonts w:ascii="Arial" w:hAnsi="Arial" w:cs="Arial"/>
        </w:rPr>
        <w:t xml:space="preserve"> groups</w:t>
      </w:r>
      <w:r w:rsidR="003B46D5">
        <w:rPr>
          <w:rFonts w:ascii="Arial" w:hAnsi="Arial" w:cs="Arial"/>
        </w:rPr>
        <w:t xml:space="preserve">. </w:t>
      </w:r>
      <w:r>
        <w:rPr>
          <w:rFonts w:ascii="Arial" w:hAnsi="Arial" w:cs="Arial"/>
        </w:rPr>
        <w:t>Bender approaches this topic with regards to the</w:t>
      </w:r>
      <w:r w:rsidR="003B46D5" w:rsidRPr="003B46D5">
        <w:rPr>
          <w:rFonts w:ascii="Arial" w:hAnsi="Arial" w:cs="Arial"/>
        </w:rPr>
        <w:t xml:space="preserve"> owners and economic controllers of Stonehenge</w:t>
      </w:r>
      <w:r w:rsidR="003B46D5">
        <w:rPr>
          <w:rFonts w:ascii="Arial" w:hAnsi="Arial" w:cs="Arial"/>
        </w:rPr>
        <w:t>,</w:t>
      </w:r>
      <w:r>
        <w:rPr>
          <w:rFonts w:ascii="Arial" w:hAnsi="Arial" w:cs="Arial"/>
        </w:rPr>
        <w:t xml:space="preserve"> then</w:t>
      </w:r>
      <w:r w:rsidR="003B46D5">
        <w:rPr>
          <w:rFonts w:ascii="Arial" w:hAnsi="Arial" w:cs="Arial"/>
        </w:rPr>
        <w:t xml:space="preserve"> </w:t>
      </w:r>
      <w:r>
        <w:rPr>
          <w:rFonts w:ascii="Arial" w:hAnsi="Arial" w:cs="Arial"/>
        </w:rPr>
        <w:t>specifically</w:t>
      </w:r>
      <w:r w:rsidR="003B46D5">
        <w:rPr>
          <w:rFonts w:ascii="Arial" w:hAnsi="Arial" w:cs="Arial"/>
        </w:rPr>
        <w:t xml:space="preserve"> acknowledg</w:t>
      </w:r>
      <w:r>
        <w:rPr>
          <w:rFonts w:ascii="Arial" w:hAnsi="Arial" w:cs="Arial"/>
        </w:rPr>
        <w:t>es</w:t>
      </w:r>
      <w:r w:rsidR="003B46D5">
        <w:rPr>
          <w:rFonts w:ascii="Arial" w:hAnsi="Arial" w:cs="Arial"/>
        </w:rPr>
        <w:t xml:space="preserve"> the </w:t>
      </w:r>
      <w:r>
        <w:rPr>
          <w:rFonts w:ascii="Arial" w:hAnsi="Arial" w:cs="Arial"/>
        </w:rPr>
        <w:t>ways that</w:t>
      </w:r>
      <w:r w:rsidR="003B46D5">
        <w:rPr>
          <w:rFonts w:ascii="Arial" w:hAnsi="Arial" w:cs="Arial"/>
        </w:rPr>
        <w:t xml:space="preserve"> age, gender and ethnicity</w:t>
      </w:r>
      <w:r>
        <w:rPr>
          <w:rFonts w:ascii="Arial" w:hAnsi="Arial" w:cs="Arial"/>
        </w:rPr>
        <w:t xml:space="preserve"> can be oppressed in capitalist society. On the other hand,</w:t>
      </w:r>
      <w:r w:rsidR="003B46D5" w:rsidRPr="003B46D5">
        <w:rPr>
          <w:rFonts w:ascii="Arial" w:hAnsi="Arial" w:cs="Arial"/>
        </w:rPr>
        <w:t xml:space="preserve"> Tilley undertakes a similar critical framework with regards to economic and social identities,</w:t>
      </w:r>
      <w:r w:rsidR="003B46D5">
        <w:rPr>
          <w:rFonts w:ascii="Arial" w:hAnsi="Arial" w:cs="Arial"/>
        </w:rPr>
        <w:t xml:space="preserve"> </w:t>
      </w:r>
      <w:r w:rsidR="003B46D5" w:rsidRPr="003B46D5">
        <w:rPr>
          <w:rFonts w:ascii="Arial" w:hAnsi="Arial" w:cs="Arial"/>
        </w:rPr>
        <w:t>incorporating</w:t>
      </w:r>
      <w:r w:rsidR="003B46D5">
        <w:rPr>
          <w:rFonts w:ascii="Arial" w:hAnsi="Arial" w:cs="Arial"/>
        </w:rPr>
        <w:t xml:space="preserve"> the additional elements of lineage and knowledge to parameters of privilege in</w:t>
      </w:r>
      <w:r w:rsidR="003B46D5" w:rsidRPr="003B46D5">
        <w:rPr>
          <w:rFonts w:ascii="Arial" w:hAnsi="Arial" w:cs="Arial"/>
        </w:rPr>
        <w:t xml:space="preserve"> how “Othering” </w:t>
      </w:r>
      <w:r w:rsidR="003B46D5">
        <w:rPr>
          <w:rFonts w:ascii="Arial" w:hAnsi="Arial" w:cs="Arial"/>
        </w:rPr>
        <w:t>acts as one of the</w:t>
      </w:r>
      <w:r w:rsidR="003B46D5" w:rsidRPr="003B46D5">
        <w:rPr>
          <w:rFonts w:ascii="Arial" w:hAnsi="Arial" w:cs="Arial"/>
        </w:rPr>
        <w:t xml:space="preserve"> processes that reproduce and enact hegemonic norms within landscapes</w:t>
      </w:r>
      <w:r w:rsidR="003B46D5" w:rsidRPr="003B46D5">
        <w:rPr>
          <w:rStyle w:val="FootnoteReference"/>
          <w:rFonts w:ascii="Arial" w:hAnsi="Arial" w:cs="Arial"/>
        </w:rPr>
        <w:footnoteReference w:id="16"/>
      </w:r>
      <w:r w:rsidR="003B46D5" w:rsidRPr="003B46D5">
        <w:rPr>
          <w:rFonts w:ascii="Arial" w:hAnsi="Arial" w:cs="Arial"/>
        </w:rPr>
        <w:t>.</w:t>
      </w:r>
      <w:r w:rsidR="003B46D5">
        <w:rPr>
          <w:rFonts w:ascii="Arial" w:hAnsi="Arial" w:cs="Arial"/>
        </w:rPr>
        <w:t xml:space="preserve"> </w:t>
      </w:r>
      <w:r w:rsidR="006C022E" w:rsidRPr="003B46D5">
        <w:rPr>
          <w:rFonts w:ascii="Arial" w:hAnsi="Arial" w:cs="Arial"/>
        </w:rPr>
        <w:t xml:space="preserve">Tilley and Bender’s discussions of Othering and the consequent exclusion of these groups </w:t>
      </w:r>
      <w:r w:rsidR="003B46D5" w:rsidRPr="003B46D5">
        <w:rPr>
          <w:rFonts w:ascii="Arial" w:hAnsi="Arial" w:cs="Arial"/>
        </w:rPr>
        <w:t xml:space="preserve">indeed </w:t>
      </w:r>
      <w:r w:rsidR="006C022E" w:rsidRPr="003B46D5">
        <w:rPr>
          <w:rFonts w:ascii="Arial" w:hAnsi="Arial" w:cs="Arial"/>
        </w:rPr>
        <w:t xml:space="preserve">complement one another, </w:t>
      </w:r>
      <w:r w:rsidR="003B46D5">
        <w:rPr>
          <w:rFonts w:ascii="Arial" w:hAnsi="Arial" w:cs="Arial"/>
        </w:rPr>
        <w:t>although</w:t>
      </w:r>
      <w:r w:rsidR="003B46D5" w:rsidRPr="003B46D5">
        <w:rPr>
          <w:rFonts w:ascii="Arial" w:hAnsi="Arial" w:cs="Arial"/>
        </w:rPr>
        <w:t xml:space="preserve"> </w:t>
      </w:r>
      <w:r w:rsidR="006C022E" w:rsidRPr="003B46D5">
        <w:rPr>
          <w:rFonts w:ascii="Arial" w:hAnsi="Arial" w:cs="Arial"/>
        </w:rPr>
        <w:t xml:space="preserve">Bender </w:t>
      </w:r>
      <w:r w:rsidR="003B46D5" w:rsidRPr="003B46D5">
        <w:rPr>
          <w:rFonts w:ascii="Arial" w:hAnsi="Arial" w:cs="Arial"/>
        </w:rPr>
        <w:t>leans towards the tendency to provide concrete political and economic examples, such as</w:t>
      </w:r>
      <w:r w:rsidR="006C022E" w:rsidRPr="003B46D5">
        <w:rPr>
          <w:rFonts w:ascii="Arial" w:hAnsi="Arial" w:cs="Arial"/>
        </w:rPr>
        <w:t xml:space="preserve"> the example of police force at Stonehenge gatherings</w:t>
      </w:r>
      <w:r w:rsidR="003B46D5" w:rsidRPr="003B46D5">
        <w:rPr>
          <w:rFonts w:ascii="Arial" w:hAnsi="Arial" w:cs="Arial"/>
        </w:rPr>
        <w:t>.</w:t>
      </w:r>
      <w:r w:rsidR="006C022E" w:rsidRPr="003B46D5">
        <w:rPr>
          <w:rFonts w:ascii="Arial" w:hAnsi="Arial" w:cs="Arial"/>
        </w:rPr>
        <w:t xml:space="preserve"> Tilley </w:t>
      </w:r>
      <w:r w:rsidR="003B46D5" w:rsidRPr="003B46D5">
        <w:rPr>
          <w:rFonts w:ascii="Arial" w:hAnsi="Arial" w:cs="Arial"/>
        </w:rPr>
        <w:t xml:space="preserve">differs here, through </w:t>
      </w:r>
      <w:r w:rsidR="006C022E" w:rsidRPr="003B46D5">
        <w:rPr>
          <w:rFonts w:ascii="Arial" w:hAnsi="Arial" w:cs="Arial"/>
        </w:rPr>
        <w:t>discuss</w:t>
      </w:r>
      <w:r w:rsidR="003B46D5" w:rsidRPr="003B46D5">
        <w:rPr>
          <w:rFonts w:ascii="Arial" w:hAnsi="Arial" w:cs="Arial"/>
        </w:rPr>
        <w:t xml:space="preserve">ing </w:t>
      </w:r>
      <w:r w:rsidR="006C022E" w:rsidRPr="003B46D5">
        <w:rPr>
          <w:rFonts w:ascii="Arial" w:hAnsi="Arial" w:cs="Arial"/>
        </w:rPr>
        <w:t xml:space="preserve">the </w:t>
      </w:r>
      <w:r w:rsidR="006C022E" w:rsidRPr="003B46D5">
        <w:rPr>
          <w:rFonts w:ascii="Arial" w:hAnsi="Arial" w:cs="Arial"/>
        </w:rPr>
        <w:lastRenderedPageBreak/>
        <w:t xml:space="preserve">emotional, educational and phenomenological exclusion, though both make clear the part that higher cultural capital has within this exclusion of ‘Othered’ groups. </w:t>
      </w:r>
    </w:p>
    <w:p w14:paraId="75C8EC96" w14:textId="382920D1" w:rsidR="00C96CC9" w:rsidRPr="003B46D5" w:rsidRDefault="00C96CC9" w:rsidP="003B46D5">
      <w:pPr>
        <w:rPr>
          <w:rFonts w:ascii="Arial" w:hAnsi="Arial" w:cs="Arial"/>
          <w:u w:val="single"/>
        </w:rPr>
      </w:pPr>
    </w:p>
    <w:p w14:paraId="4430D9D8" w14:textId="77777777" w:rsidR="003B46D5" w:rsidRDefault="003B46D5" w:rsidP="003B46D5">
      <w:pPr>
        <w:ind w:firstLine="720"/>
        <w:rPr>
          <w:rFonts w:ascii="Arial" w:hAnsi="Arial" w:cs="Arial"/>
        </w:rPr>
      </w:pPr>
      <w:r w:rsidRPr="003B46D5">
        <w:rPr>
          <w:rFonts w:ascii="Arial" w:hAnsi="Arial" w:cs="Arial"/>
        </w:rPr>
        <w:t>In conclusion</w:t>
      </w:r>
      <w:r>
        <w:rPr>
          <w:rFonts w:ascii="Arial" w:hAnsi="Arial" w:cs="Arial"/>
        </w:rPr>
        <w:t xml:space="preserve">, this essay has demonstrated that Christopher Tilley’s phenomenological perspective does indeed complement Barbara Bender’s theory of contested landscapes. The main ways in which this argument is evidenced is through their similar theoretical backgrounds and contexts. Both Tilley and Bender approach their theories from markedly Marxist and structuralist standpoints, critically analysing not only how, but why, landscapes become contested. Both of these theories agree that the contestation of the landscapes is constructed, in the way that they are socially, economically and politically reproduced in accordance </w:t>
      </w:r>
      <w:proofErr w:type="gramStart"/>
      <w:r>
        <w:rPr>
          <w:rFonts w:ascii="Arial" w:hAnsi="Arial" w:cs="Arial"/>
        </w:rPr>
        <w:t>to</w:t>
      </w:r>
      <w:proofErr w:type="gramEnd"/>
      <w:r>
        <w:rPr>
          <w:rFonts w:ascii="Arial" w:hAnsi="Arial" w:cs="Arial"/>
        </w:rPr>
        <w:t xml:space="preserve"> hegemonic societal norms. Throughout this essay, it has been demonstrated that Michel Foucault and Pierre Bourdieu, as well as Marxist political thought are key influencers of Tilley and Bender’s perspectives. However, a key difference between the two is the methodological contrasts in the weighting of whether more secondary or primary sources are used. Bender leans towards primary sources, whilst Tilley’s phenomenological perspective expands upon and makes use of previous theorists such as comparing the works of Merleau-Ponty and Heidegger (1972)</w:t>
      </w:r>
      <w:r>
        <w:rPr>
          <w:rStyle w:val="FootnoteReference"/>
          <w:rFonts w:ascii="Arial" w:hAnsi="Arial" w:cs="Arial"/>
        </w:rPr>
        <w:footnoteReference w:id="17"/>
      </w:r>
      <w:r>
        <w:rPr>
          <w:rFonts w:ascii="Arial" w:hAnsi="Arial" w:cs="Arial"/>
        </w:rPr>
        <w:t>. Regardless, Tilley and Bender hare many theoretical similarities, this essay has shown that Tilley’s phenomenological perspective appears to be a detailed expansion not only how, but why contested landscapes come to be.</w:t>
      </w:r>
    </w:p>
    <w:p w14:paraId="315A0D66" w14:textId="77777777" w:rsidR="003B46D5" w:rsidRDefault="003B46D5" w:rsidP="003B46D5">
      <w:pPr>
        <w:ind w:firstLine="720"/>
        <w:rPr>
          <w:rFonts w:ascii="Arial" w:hAnsi="Arial" w:cs="Arial"/>
        </w:rPr>
      </w:pPr>
    </w:p>
    <w:p w14:paraId="0FA1134A" w14:textId="77777777" w:rsidR="003B46D5" w:rsidRDefault="003B46D5" w:rsidP="003B46D5">
      <w:pPr>
        <w:ind w:firstLine="720"/>
        <w:rPr>
          <w:rFonts w:ascii="Arial" w:hAnsi="Arial" w:cs="Arial"/>
        </w:rPr>
      </w:pPr>
    </w:p>
    <w:p w14:paraId="1CDCC22D" w14:textId="28B56761" w:rsidR="00C96CC9" w:rsidRDefault="003B46D5" w:rsidP="003B46D5">
      <w:pPr>
        <w:rPr>
          <w:rFonts w:ascii="Arial" w:hAnsi="Arial" w:cs="Arial"/>
          <w:u w:val="single"/>
        </w:rPr>
      </w:pPr>
      <w:r w:rsidRPr="003B46D5">
        <w:rPr>
          <w:rFonts w:ascii="Arial" w:hAnsi="Arial" w:cs="Arial"/>
          <w:u w:val="single"/>
        </w:rPr>
        <w:t xml:space="preserve">Bibliography </w:t>
      </w:r>
    </w:p>
    <w:p w14:paraId="524BC6A9" w14:textId="77777777" w:rsidR="003B46D5" w:rsidRDefault="003B46D5" w:rsidP="003B46D5">
      <w:pPr>
        <w:rPr>
          <w:rFonts w:ascii="Arial" w:hAnsi="Arial" w:cs="Arial"/>
          <w:u w:val="single"/>
        </w:rPr>
      </w:pPr>
    </w:p>
    <w:p w14:paraId="5A9E65C4" w14:textId="70E2C116" w:rsidR="003B46D5" w:rsidRPr="003B46D5" w:rsidRDefault="003B46D5" w:rsidP="003B46D5">
      <w:pPr>
        <w:pStyle w:val="ListParagraph"/>
        <w:numPr>
          <w:ilvl w:val="0"/>
          <w:numId w:val="4"/>
        </w:numPr>
        <w:rPr>
          <w:rFonts w:ascii="Arial" w:hAnsi="Arial" w:cs="Arial"/>
        </w:rPr>
      </w:pPr>
      <w:proofErr w:type="spellStart"/>
      <w:r w:rsidRPr="003B46D5">
        <w:rPr>
          <w:rFonts w:ascii="Arial" w:hAnsi="Arial" w:cs="Arial"/>
        </w:rPr>
        <w:t>Atewologun</w:t>
      </w:r>
      <w:proofErr w:type="spellEnd"/>
      <w:r w:rsidRPr="003B46D5">
        <w:rPr>
          <w:rFonts w:ascii="Arial" w:hAnsi="Arial" w:cs="Arial"/>
        </w:rPr>
        <w:t>, Doyin ‘</w:t>
      </w:r>
      <w:r w:rsidRPr="003B46D5">
        <w:rPr>
          <w:rFonts w:ascii="Arial" w:hAnsi="Arial" w:cs="Arial"/>
          <w:i/>
          <w:iCs/>
        </w:rPr>
        <w:t xml:space="preserve">Intersectionality Theory and Practice’ </w:t>
      </w:r>
      <w:r w:rsidRPr="003B46D5">
        <w:rPr>
          <w:rFonts w:ascii="Arial" w:hAnsi="Arial" w:cs="Arial"/>
        </w:rPr>
        <w:t>in Business and Management: Oxford Research Encyclopaedias, Oxford University Press, 2018</w:t>
      </w:r>
    </w:p>
    <w:p w14:paraId="4616532A" w14:textId="7557DAD1"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Bender, Barbara, ‘</w:t>
      </w:r>
      <w:r w:rsidRPr="003B46D5">
        <w:rPr>
          <w:rFonts w:ascii="Arial" w:hAnsi="Arial" w:cs="Arial"/>
          <w:i/>
          <w:iCs/>
          <w:sz w:val="24"/>
          <w:szCs w:val="24"/>
        </w:rPr>
        <w:t>Stonehenge: Making Space’</w:t>
      </w:r>
      <w:r w:rsidRPr="003B46D5">
        <w:rPr>
          <w:rFonts w:ascii="Arial" w:hAnsi="Arial" w:cs="Arial"/>
          <w:sz w:val="24"/>
          <w:szCs w:val="24"/>
        </w:rPr>
        <w:t>, Oxford, Berg</w:t>
      </w:r>
      <w:r w:rsidR="006403B1">
        <w:rPr>
          <w:rFonts w:ascii="Arial" w:hAnsi="Arial" w:cs="Arial"/>
          <w:sz w:val="24"/>
          <w:szCs w:val="24"/>
        </w:rPr>
        <w:t>,</w:t>
      </w:r>
      <w:r w:rsidRPr="003B46D5">
        <w:rPr>
          <w:rFonts w:ascii="Arial" w:hAnsi="Arial" w:cs="Arial"/>
          <w:sz w:val="24"/>
          <w:szCs w:val="24"/>
        </w:rPr>
        <w:t xml:space="preserve"> 1998, chapter 4 (‘Contested Landscapes: Medieval to Present Day’</w:t>
      </w:r>
      <w:r w:rsidR="006403B1">
        <w:rPr>
          <w:rFonts w:ascii="Arial" w:hAnsi="Arial" w:cs="Arial"/>
          <w:sz w:val="24"/>
          <w:szCs w:val="24"/>
        </w:rPr>
        <w:t>)</w:t>
      </w:r>
    </w:p>
    <w:p w14:paraId="33D7A942" w14:textId="5F3C4D22"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Bourdieu,</w:t>
      </w:r>
      <w:r w:rsidRPr="003B46D5">
        <w:rPr>
          <w:rFonts w:ascii="Arial" w:hAnsi="Arial" w:cs="Arial"/>
          <w:sz w:val="24"/>
          <w:szCs w:val="24"/>
        </w:rPr>
        <w:t xml:space="preserve"> </w:t>
      </w:r>
      <w:r w:rsidRPr="003B46D5">
        <w:rPr>
          <w:rFonts w:ascii="Arial" w:hAnsi="Arial" w:cs="Arial"/>
          <w:sz w:val="24"/>
          <w:szCs w:val="24"/>
        </w:rPr>
        <w:t>Pierre</w:t>
      </w:r>
      <w:r w:rsidRPr="003B46D5">
        <w:rPr>
          <w:rFonts w:ascii="Arial" w:hAnsi="Arial" w:cs="Arial"/>
          <w:sz w:val="24"/>
          <w:szCs w:val="24"/>
        </w:rPr>
        <w:t>,</w:t>
      </w:r>
      <w:r w:rsidRPr="003B46D5">
        <w:rPr>
          <w:rFonts w:ascii="Arial" w:hAnsi="Arial" w:cs="Arial"/>
          <w:sz w:val="24"/>
          <w:szCs w:val="24"/>
        </w:rPr>
        <w:t xml:space="preserve"> ‘Cultural Reproduction and Social Reproduction’ in ‘Knowledge, Education and Cultural Change’, 1973, Routledge, </w:t>
      </w:r>
      <w:r w:rsidR="006403B1">
        <w:rPr>
          <w:rFonts w:ascii="Arial" w:hAnsi="Arial" w:cs="Arial"/>
          <w:sz w:val="24"/>
          <w:szCs w:val="24"/>
        </w:rPr>
        <w:t xml:space="preserve">London </w:t>
      </w:r>
    </w:p>
    <w:p w14:paraId="7576134E" w14:textId="27680292"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Foucault, Michel</w:t>
      </w:r>
      <w:r w:rsidRPr="003B46D5">
        <w:rPr>
          <w:rFonts w:ascii="Arial" w:hAnsi="Arial" w:cs="Arial"/>
          <w:sz w:val="24"/>
          <w:szCs w:val="24"/>
        </w:rPr>
        <w:t xml:space="preserve">, </w:t>
      </w:r>
      <w:r w:rsidRPr="003B46D5">
        <w:rPr>
          <w:rFonts w:ascii="Arial" w:hAnsi="Arial" w:cs="Arial"/>
          <w:sz w:val="24"/>
          <w:szCs w:val="24"/>
        </w:rPr>
        <w:t xml:space="preserve">‘Of Other Spaces: Utopia and Heterotopias’ in </w:t>
      </w:r>
      <w:r w:rsidRPr="003B46D5">
        <w:rPr>
          <w:rFonts w:ascii="Arial" w:hAnsi="Arial" w:cs="Arial"/>
          <w:i/>
          <w:iCs/>
          <w:sz w:val="24"/>
          <w:szCs w:val="24"/>
        </w:rPr>
        <w:t>Architecture/</w:t>
      </w:r>
      <w:proofErr w:type="spellStart"/>
      <w:r w:rsidRPr="003B46D5">
        <w:rPr>
          <w:rFonts w:ascii="Arial" w:hAnsi="Arial" w:cs="Arial"/>
          <w:i/>
          <w:iCs/>
          <w:sz w:val="24"/>
          <w:szCs w:val="24"/>
        </w:rPr>
        <w:t>Mouvement</w:t>
      </w:r>
      <w:proofErr w:type="spellEnd"/>
      <w:r w:rsidRPr="003B46D5">
        <w:rPr>
          <w:rFonts w:ascii="Arial" w:hAnsi="Arial" w:cs="Arial"/>
          <w:i/>
          <w:iCs/>
          <w:sz w:val="24"/>
          <w:szCs w:val="24"/>
        </w:rPr>
        <w:t>/</w:t>
      </w:r>
      <w:proofErr w:type="spellStart"/>
      <w:r w:rsidRPr="003B46D5">
        <w:rPr>
          <w:rFonts w:ascii="Arial" w:hAnsi="Arial" w:cs="Arial"/>
          <w:i/>
          <w:iCs/>
          <w:sz w:val="24"/>
          <w:szCs w:val="24"/>
        </w:rPr>
        <w:t>Continunite</w:t>
      </w:r>
      <w:proofErr w:type="spellEnd"/>
      <w:r w:rsidRPr="003B46D5">
        <w:rPr>
          <w:rFonts w:ascii="Arial" w:hAnsi="Arial" w:cs="Arial"/>
          <w:i/>
          <w:iCs/>
          <w:sz w:val="24"/>
          <w:szCs w:val="24"/>
        </w:rPr>
        <w:t>́</w:t>
      </w:r>
      <w:r w:rsidRPr="003B46D5">
        <w:rPr>
          <w:rFonts w:ascii="Arial" w:hAnsi="Arial" w:cs="Arial"/>
          <w:sz w:val="24"/>
          <w:szCs w:val="24"/>
        </w:rPr>
        <w:t xml:space="preserve">, October 1984, (“Des </w:t>
      </w:r>
      <w:proofErr w:type="spellStart"/>
      <w:r w:rsidRPr="003B46D5">
        <w:rPr>
          <w:rFonts w:ascii="Arial" w:hAnsi="Arial" w:cs="Arial"/>
          <w:sz w:val="24"/>
          <w:szCs w:val="24"/>
        </w:rPr>
        <w:t>Espace</w:t>
      </w:r>
      <w:proofErr w:type="spellEnd"/>
      <w:r w:rsidRPr="003B46D5">
        <w:rPr>
          <w:rFonts w:ascii="Arial" w:hAnsi="Arial" w:cs="Arial"/>
          <w:sz w:val="24"/>
          <w:szCs w:val="24"/>
        </w:rPr>
        <w:t xml:space="preserve"> </w:t>
      </w:r>
      <w:proofErr w:type="spellStart"/>
      <w:r w:rsidRPr="003B46D5">
        <w:rPr>
          <w:rFonts w:ascii="Arial" w:hAnsi="Arial" w:cs="Arial"/>
          <w:sz w:val="24"/>
          <w:szCs w:val="24"/>
        </w:rPr>
        <w:t>Autres</w:t>
      </w:r>
      <w:proofErr w:type="spellEnd"/>
      <w:r w:rsidRPr="003B46D5">
        <w:rPr>
          <w:rFonts w:ascii="Arial" w:hAnsi="Arial" w:cs="Arial"/>
          <w:sz w:val="24"/>
          <w:szCs w:val="24"/>
        </w:rPr>
        <w:t xml:space="preserve">,” March 1967, trans. Jay </w:t>
      </w:r>
      <w:proofErr w:type="spellStart"/>
      <w:r w:rsidRPr="003B46D5">
        <w:rPr>
          <w:rFonts w:ascii="Arial" w:hAnsi="Arial" w:cs="Arial"/>
          <w:sz w:val="24"/>
          <w:szCs w:val="24"/>
        </w:rPr>
        <w:t>Miskowiec</w:t>
      </w:r>
      <w:proofErr w:type="spellEnd"/>
      <w:r w:rsidRPr="003B46D5">
        <w:rPr>
          <w:rFonts w:ascii="Arial" w:hAnsi="Arial" w:cs="Arial"/>
          <w:sz w:val="24"/>
          <w:szCs w:val="24"/>
        </w:rPr>
        <w:t xml:space="preserve">), </w:t>
      </w:r>
    </w:p>
    <w:p w14:paraId="270783A0" w14:textId="2F1952F0"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Said, Edward, ‘</w:t>
      </w:r>
      <w:r w:rsidRPr="003B46D5">
        <w:rPr>
          <w:rFonts w:ascii="Arial" w:hAnsi="Arial" w:cs="Arial"/>
          <w:i/>
          <w:iCs/>
          <w:sz w:val="24"/>
          <w:szCs w:val="24"/>
        </w:rPr>
        <w:t>Orientalism</w:t>
      </w:r>
      <w:r w:rsidRPr="003B46D5">
        <w:rPr>
          <w:rFonts w:ascii="Arial" w:hAnsi="Arial" w:cs="Arial"/>
          <w:sz w:val="24"/>
          <w:szCs w:val="24"/>
        </w:rPr>
        <w:t>’, Vol 10, Pantheon Books,</w:t>
      </w:r>
      <w:r w:rsidR="006403B1">
        <w:rPr>
          <w:rFonts w:ascii="Arial" w:hAnsi="Arial" w:cs="Arial"/>
          <w:sz w:val="24"/>
          <w:szCs w:val="24"/>
        </w:rPr>
        <w:t xml:space="preserve"> New York,</w:t>
      </w:r>
      <w:r w:rsidRPr="003B46D5">
        <w:rPr>
          <w:rFonts w:ascii="Arial" w:hAnsi="Arial" w:cs="Arial"/>
          <w:sz w:val="24"/>
          <w:szCs w:val="24"/>
        </w:rPr>
        <w:t xml:space="preserve"> 1978</w:t>
      </w:r>
    </w:p>
    <w:p w14:paraId="537BA01E" w14:textId="41DFD910"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Tilley,</w:t>
      </w:r>
      <w:r w:rsidRPr="003B46D5">
        <w:rPr>
          <w:rFonts w:ascii="Arial" w:hAnsi="Arial" w:cs="Arial"/>
          <w:sz w:val="24"/>
          <w:szCs w:val="24"/>
        </w:rPr>
        <w:t xml:space="preserve"> </w:t>
      </w:r>
      <w:r w:rsidRPr="003B46D5">
        <w:rPr>
          <w:rFonts w:ascii="Arial" w:hAnsi="Arial" w:cs="Arial"/>
          <w:sz w:val="24"/>
          <w:szCs w:val="24"/>
        </w:rPr>
        <w:t>Christopher</w:t>
      </w:r>
      <w:r w:rsidRPr="003B46D5">
        <w:rPr>
          <w:rFonts w:ascii="Arial" w:hAnsi="Arial" w:cs="Arial"/>
          <w:sz w:val="24"/>
          <w:szCs w:val="24"/>
        </w:rPr>
        <w:t>,</w:t>
      </w:r>
      <w:r w:rsidRPr="003B46D5">
        <w:rPr>
          <w:rFonts w:ascii="Arial" w:hAnsi="Arial" w:cs="Arial"/>
          <w:sz w:val="24"/>
          <w:szCs w:val="24"/>
        </w:rPr>
        <w:t xml:space="preserve"> ‘</w:t>
      </w:r>
      <w:r w:rsidRPr="003B46D5">
        <w:rPr>
          <w:rFonts w:ascii="Arial" w:hAnsi="Arial" w:cs="Arial"/>
          <w:i/>
          <w:iCs/>
          <w:sz w:val="24"/>
          <w:szCs w:val="24"/>
        </w:rPr>
        <w:t>A Phenomenology of Landscape’</w:t>
      </w:r>
      <w:r w:rsidRPr="003B46D5">
        <w:rPr>
          <w:rFonts w:ascii="Arial" w:hAnsi="Arial" w:cs="Arial"/>
          <w:position w:val="2"/>
          <w:sz w:val="24"/>
          <w:szCs w:val="24"/>
        </w:rPr>
        <w:t xml:space="preserve">, </w:t>
      </w:r>
      <w:r w:rsidRPr="003B46D5">
        <w:rPr>
          <w:rFonts w:ascii="Arial" w:hAnsi="Arial" w:cs="Arial"/>
          <w:sz w:val="24"/>
          <w:szCs w:val="24"/>
        </w:rPr>
        <w:t xml:space="preserve">Oxford, Berg 1994, </w:t>
      </w:r>
    </w:p>
    <w:p w14:paraId="51682DB5" w14:textId="101244EE"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Williams, Raymond ‘</w:t>
      </w:r>
      <w:r w:rsidRPr="003B46D5">
        <w:rPr>
          <w:rFonts w:ascii="Arial" w:hAnsi="Arial" w:cs="Arial"/>
          <w:i/>
          <w:iCs/>
          <w:sz w:val="24"/>
          <w:szCs w:val="24"/>
        </w:rPr>
        <w:t>Base and Superstructure in Marxist Cultural Theory’</w:t>
      </w:r>
      <w:r w:rsidRPr="003B46D5">
        <w:rPr>
          <w:rFonts w:ascii="Arial" w:hAnsi="Arial" w:cs="Arial"/>
          <w:sz w:val="24"/>
          <w:szCs w:val="24"/>
        </w:rPr>
        <w:t xml:space="preserve"> in NLR O/82, November-December 1973</w:t>
      </w:r>
    </w:p>
    <w:p w14:paraId="4E5E65FE" w14:textId="32C8483D" w:rsidR="003B46D5" w:rsidRDefault="003B46D5" w:rsidP="003B46D5">
      <w:pPr>
        <w:pStyle w:val="FootnoteText"/>
      </w:pPr>
    </w:p>
    <w:p w14:paraId="2D1C5AE4" w14:textId="609D000B" w:rsidR="003B46D5" w:rsidRPr="003B46D5" w:rsidRDefault="003B46D5" w:rsidP="003B46D5">
      <w:pPr>
        <w:rPr>
          <w:rFonts w:ascii="Arial" w:hAnsi="Arial" w:cs="Arial"/>
          <w:u w:val="single"/>
        </w:rPr>
      </w:pPr>
    </w:p>
    <w:sectPr w:rsidR="003B46D5" w:rsidRPr="003B46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9151E" w14:textId="77777777" w:rsidR="00846423" w:rsidRDefault="00846423" w:rsidP="00C96CC9">
      <w:r>
        <w:separator/>
      </w:r>
    </w:p>
  </w:endnote>
  <w:endnote w:type="continuationSeparator" w:id="0">
    <w:p w14:paraId="28032A76" w14:textId="77777777" w:rsidR="00846423" w:rsidRDefault="00846423" w:rsidP="00C96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AC70D" w14:textId="77777777" w:rsidR="00846423" w:rsidRDefault="00846423" w:rsidP="00C96CC9">
      <w:r>
        <w:separator/>
      </w:r>
    </w:p>
  </w:footnote>
  <w:footnote w:type="continuationSeparator" w:id="0">
    <w:p w14:paraId="4948C002" w14:textId="77777777" w:rsidR="00846423" w:rsidRDefault="00846423" w:rsidP="00C96CC9">
      <w:r>
        <w:continuationSeparator/>
      </w:r>
    </w:p>
  </w:footnote>
  <w:footnote w:id="1">
    <w:p w14:paraId="10E4A84C" w14:textId="73288434" w:rsidR="00C96CC9" w:rsidRPr="003B46D5" w:rsidRDefault="00C96CC9">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Barbara</w:t>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 xml:space="preserve">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w:t>
      </w:r>
      <w:r w:rsidRPr="003B46D5">
        <w:rPr>
          <w:rFonts w:asciiTheme="majorHAnsi" w:hAnsiTheme="majorHAnsi" w:cstheme="majorHAnsi"/>
          <w:sz w:val="21"/>
          <w:szCs w:val="21"/>
        </w:rPr>
        <w:t>ter</w:t>
      </w:r>
      <w:r w:rsidRPr="003B46D5">
        <w:rPr>
          <w:rFonts w:asciiTheme="majorHAnsi" w:hAnsiTheme="majorHAnsi" w:cstheme="majorHAnsi"/>
          <w:sz w:val="21"/>
          <w:szCs w:val="21"/>
        </w:rPr>
        <w:t xml:space="preserve"> 4 (‘Contested Landscapes: Medieval to Present Day’</w:t>
      </w:r>
      <w:r w:rsidR="003B46D5">
        <w:rPr>
          <w:rFonts w:asciiTheme="majorHAnsi" w:hAnsiTheme="majorHAnsi" w:cstheme="majorHAnsi"/>
          <w:sz w:val="21"/>
          <w:szCs w:val="21"/>
        </w:rPr>
        <w:t>, pp.100-101</w:t>
      </w:r>
    </w:p>
  </w:footnote>
  <w:footnote w:id="2">
    <w:p w14:paraId="24DF0F51" w14:textId="1A3DFC45" w:rsidR="00C96CC9" w:rsidRPr="003B46D5" w:rsidRDefault="00C96CC9" w:rsidP="00C96CC9">
      <w:pPr>
        <w:pStyle w:val="NormalWeb"/>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sidRPr="003B46D5">
        <w:rPr>
          <w:rFonts w:asciiTheme="majorHAnsi" w:hAnsiTheme="majorHAnsi" w:cstheme="majorHAnsi"/>
          <w:i/>
          <w:iCs/>
          <w:sz w:val="21"/>
          <w:szCs w:val="21"/>
        </w:rPr>
        <w:t>A Phenomenology of Landscape</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w:t>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Berg 1994</w:t>
      </w:r>
      <w:r w:rsidRPr="003B46D5">
        <w:rPr>
          <w:rFonts w:asciiTheme="majorHAnsi" w:hAnsiTheme="majorHAnsi" w:cstheme="majorHAnsi"/>
          <w:sz w:val="21"/>
          <w:szCs w:val="21"/>
        </w:rPr>
        <w:t>, pp</w:t>
      </w:r>
      <w:r w:rsidR="003B46D5">
        <w:rPr>
          <w:rFonts w:asciiTheme="majorHAnsi" w:hAnsiTheme="majorHAnsi" w:cstheme="majorHAnsi"/>
          <w:sz w:val="21"/>
          <w:szCs w:val="21"/>
        </w:rPr>
        <w:t>.8</w:t>
      </w:r>
    </w:p>
  </w:footnote>
  <w:footnote w:id="3">
    <w:p w14:paraId="4480E7D8" w14:textId="499C6428" w:rsidR="00EF7D61" w:rsidRPr="003B46D5" w:rsidRDefault="00EF7D61">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003B46D5">
        <w:rPr>
          <w:rFonts w:asciiTheme="majorHAnsi" w:hAnsiTheme="majorHAnsi" w:cstheme="majorHAnsi"/>
          <w:sz w:val="21"/>
          <w:szCs w:val="21"/>
        </w:rPr>
        <w:t xml:space="preserve">Via: </w:t>
      </w:r>
      <w:hyperlink r:id="rId1" w:history="1">
        <w:r w:rsidR="003B46D5" w:rsidRPr="008A45FE">
          <w:rPr>
            <w:rStyle w:val="Hyperlink"/>
            <w:rFonts w:asciiTheme="majorHAnsi" w:hAnsiTheme="majorHAnsi" w:cstheme="majorHAnsi"/>
            <w:sz w:val="21"/>
            <w:szCs w:val="21"/>
          </w:rPr>
          <w:t>https://www.researchgate.net/scientific-contributions/Barbara-Bender-36269212</w:t>
        </w:r>
      </w:hyperlink>
      <w:r w:rsidR="003B46D5">
        <w:rPr>
          <w:rFonts w:asciiTheme="majorHAnsi" w:hAnsiTheme="majorHAnsi" w:cstheme="majorHAnsi"/>
          <w:sz w:val="21"/>
          <w:szCs w:val="21"/>
        </w:rPr>
        <w:t xml:space="preserve"> [accessed on 03/11/22]</w:t>
      </w:r>
    </w:p>
  </w:footnote>
  <w:footnote w:id="4">
    <w:p w14:paraId="7F28A6BB" w14:textId="6935B075" w:rsidR="003B46D5" w:rsidRDefault="003B46D5">
      <w:pPr>
        <w:pStyle w:val="FootnoteText"/>
      </w:pPr>
      <w:r>
        <w:rPr>
          <w:rStyle w:val="FootnoteReference"/>
        </w:rPr>
        <w:footnoteRef/>
      </w:r>
      <w:r>
        <w:t xml:space="preserve"> Via: </w:t>
      </w:r>
      <w:hyperlink r:id="rId2" w:history="1">
        <w:r w:rsidRPr="008A45FE">
          <w:rPr>
            <w:rStyle w:val="Hyperlink"/>
          </w:rPr>
          <w:t>https://www.ucl.ac.uk/anthropology/people/academic-and-teaching-staff/chris-tilley</w:t>
        </w:r>
      </w:hyperlink>
      <w:r>
        <w:t xml:space="preserve"> [accessed on 03/11/22]</w:t>
      </w:r>
    </w:p>
  </w:footnote>
  <w:footnote w:id="5">
    <w:p w14:paraId="1B4CA0DB" w14:textId="642AF025" w:rsidR="003B46D5" w:rsidRDefault="003B46D5">
      <w:pPr>
        <w:pStyle w:val="FootnoteText"/>
      </w:pPr>
      <w:r>
        <w:rPr>
          <w:rStyle w:val="FootnoteReference"/>
        </w:rPr>
        <w:footnoteRef/>
      </w:r>
      <w:r>
        <w:t xml:space="preserve"> </w:t>
      </w:r>
      <w:r w:rsidR="006403B1"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006403B1" w:rsidRPr="003B46D5">
        <w:rPr>
          <w:rFonts w:asciiTheme="majorHAnsi" w:hAnsiTheme="majorHAnsi" w:cstheme="majorHAnsi"/>
          <w:sz w:val="21"/>
          <w:szCs w:val="21"/>
        </w:rPr>
        <w:t xml:space="preserve">, </w:t>
      </w:r>
      <w:r w:rsidR="006403B1" w:rsidRPr="003B46D5">
        <w:rPr>
          <w:rFonts w:asciiTheme="majorHAnsi" w:hAnsiTheme="majorHAnsi" w:cstheme="majorHAnsi"/>
          <w:i/>
          <w:iCs/>
          <w:sz w:val="21"/>
          <w:szCs w:val="21"/>
        </w:rPr>
        <w:t>A Phenomenology of Landscape</w:t>
      </w:r>
      <w:r w:rsidR="006403B1" w:rsidRPr="003B46D5">
        <w:rPr>
          <w:rFonts w:asciiTheme="majorHAnsi" w:hAnsiTheme="majorHAnsi" w:cstheme="majorHAnsi"/>
          <w:position w:val="2"/>
          <w:sz w:val="21"/>
          <w:szCs w:val="21"/>
        </w:rPr>
        <w:t xml:space="preserve">, </w:t>
      </w:r>
      <w:r w:rsidR="006403B1" w:rsidRPr="003B46D5">
        <w:rPr>
          <w:rFonts w:asciiTheme="majorHAnsi" w:hAnsiTheme="majorHAnsi" w:cstheme="majorHAnsi"/>
          <w:sz w:val="21"/>
          <w:szCs w:val="21"/>
        </w:rPr>
        <w:t xml:space="preserve">Oxford, Berg 1994, </w:t>
      </w:r>
      <w:r>
        <w:t>pp.11</w:t>
      </w:r>
      <w:r w:rsidR="006403B1">
        <w:t>, pp.12</w:t>
      </w:r>
    </w:p>
  </w:footnote>
  <w:footnote w:id="6">
    <w:p w14:paraId="1761D770" w14:textId="640FB70A" w:rsidR="003B46D5" w:rsidRPr="003B46D5" w:rsidRDefault="003B46D5" w:rsidP="003B46D5">
      <w:pPr>
        <w:pStyle w:val="NormalWeb"/>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Michel Foucault, ‘Of Other Spaces: Utopia and Heterotopias’ in </w:t>
      </w:r>
      <w:r w:rsidRPr="003B46D5">
        <w:rPr>
          <w:rFonts w:asciiTheme="majorHAnsi" w:hAnsiTheme="majorHAnsi" w:cstheme="majorHAnsi"/>
          <w:i/>
          <w:iCs/>
          <w:sz w:val="21"/>
          <w:szCs w:val="21"/>
        </w:rPr>
        <w:t>Architecture/</w:t>
      </w:r>
      <w:proofErr w:type="spellStart"/>
      <w:r w:rsidRPr="003B46D5">
        <w:rPr>
          <w:rFonts w:asciiTheme="majorHAnsi" w:hAnsiTheme="majorHAnsi" w:cstheme="majorHAnsi"/>
          <w:i/>
          <w:iCs/>
          <w:sz w:val="21"/>
          <w:szCs w:val="21"/>
        </w:rPr>
        <w:t>Mouvement</w:t>
      </w:r>
      <w:proofErr w:type="spellEnd"/>
      <w:r w:rsidRPr="003B46D5">
        <w:rPr>
          <w:rFonts w:asciiTheme="majorHAnsi" w:hAnsiTheme="majorHAnsi" w:cstheme="majorHAnsi"/>
          <w:i/>
          <w:iCs/>
          <w:sz w:val="21"/>
          <w:szCs w:val="21"/>
        </w:rPr>
        <w:t>/</w:t>
      </w:r>
      <w:proofErr w:type="spellStart"/>
      <w:r w:rsidRPr="003B46D5">
        <w:rPr>
          <w:rFonts w:asciiTheme="majorHAnsi" w:hAnsiTheme="majorHAnsi" w:cstheme="majorHAnsi"/>
          <w:i/>
          <w:iCs/>
          <w:sz w:val="21"/>
          <w:szCs w:val="21"/>
        </w:rPr>
        <w:t>Continunit</w:t>
      </w:r>
      <w:r w:rsidRPr="003B46D5">
        <w:rPr>
          <w:rFonts w:asciiTheme="majorHAnsi" w:hAnsiTheme="majorHAnsi" w:cstheme="majorHAnsi"/>
          <w:i/>
          <w:iCs/>
          <w:sz w:val="21"/>
          <w:szCs w:val="21"/>
        </w:rPr>
        <w:t>e</w:t>
      </w:r>
      <w:proofErr w:type="spellEnd"/>
      <w:r w:rsidRPr="003B46D5">
        <w:rPr>
          <w:rFonts w:asciiTheme="majorHAnsi" w:hAnsiTheme="majorHAnsi" w:cstheme="majorHAnsi"/>
          <w:i/>
          <w:iCs/>
          <w:sz w:val="21"/>
          <w:szCs w:val="21"/>
        </w:rPr>
        <w:t>́</w:t>
      </w:r>
      <w:r>
        <w:rPr>
          <w:rFonts w:asciiTheme="majorHAnsi" w:hAnsiTheme="majorHAnsi" w:cstheme="majorHAnsi"/>
          <w:sz w:val="21"/>
          <w:szCs w:val="21"/>
        </w:rPr>
        <w:t xml:space="preserve">, October 1984, (“Des </w:t>
      </w:r>
      <w:proofErr w:type="spellStart"/>
      <w:r>
        <w:rPr>
          <w:rFonts w:asciiTheme="majorHAnsi" w:hAnsiTheme="majorHAnsi" w:cstheme="majorHAnsi"/>
          <w:sz w:val="21"/>
          <w:szCs w:val="21"/>
        </w:rPr>
        <w:t>Espace</w:t>
      </w:r>
      <w:proofErr w:type="spellEnd"/>
      <w:r>
        <w:rPr>
          <w:rFonts w:asciiTheme="majorHAnsi" w:hAnsiTheme="majorHAnsi" w:cstheme="majorHAnsi"/>
          <w:sz w:val="21"/>
          <w:szCs w:val="21"/>
        </w:rPr>
        <w:t xml:space="preserve"> </w:t>
      </w:r>
      <w:proofErr w:type="spellStart"/>
      <w:r>
        <w:rPr>
          <w:rFonts w:asciiTheme="majorHAnsi" w:hAnsiTheme="majorHAnsi" w:cstheme="majorHAnsi"/>
          <w:sz w:val="21"/>
          <w:szCs w:val="21"/>
        </w:rPr>
        <w:t>Autres</w:t>
      </w:r>
      <w:proofErr w:type="spellEnd"/>
      <w:r>
        <w:rPr>
          <w:rFonts w:asciiTheme="majorHAnsi" w:hAnsiTheme="majorHAnsi" w:cstheme="majorHAnsi"/>
          <w:sz w:val="21"/>
          <w:szCs w:val="21"/>
        </w:rPr>
        <w:t>,” March 1967, trans.</w:t>
      </w:r>
      <w:r w:rsidRPr="003B46D5">
        <w:rPr>
          <w:rFonts w:asciiTheme="majorHAnsi" w:hAnsiTheme="majorHAnsi" w:cstheme="majorHAnsi"/>
          <w:sz w:val="21"/>
          <w:szCs w:val="21"/>
        </w:rPr>
        <w:t xml:space="preserve"> </w:t>
      </w:r>
      <w:r>
        <w:rPr>
          <w:rFonts w:asciiTheme="majorHAnsi" w:hAnsiTheme="majorHAnsi" w:cstheme="majorHAnsi"/>
          <w:sz w:val="21"/>
          <w:szCs w:val="21"/>
        </w:rPr>
        <w:t xml:space="preserve">Jay </w:t>
      </w:r>
      <w:proofErr w:type="spellStart"/>
      <w:r>
        <w:rPr>
          <w:rFonts w:asciiTheme="majorHAnsi" w:hAnsiTheme="majorHAnsi" w:cstheme="majorHAnsi"/>
          <w:sz w:val="21"/>
          <w:szCs w:val="21"/>
        </w:rPr>
        <w:t>Miskowiec</w:t>
      </w:r>
      <w:proofErr w:type="spellEnd"/>
      <w:r>
        <w:rPr>
          <w:rFonts w:asciiTheme="majorHAnsi" w:hAnsiTheme="majorHAnsi" w:cstheme="majorHAnsi"/>
          <w:sz w:val="21"/>
          <w:szCs w:val="21"/>
        </w:rPr>
        <w:t>), pp.2</w:t>
      </w:r>
    </w:p>
  </w:footnote>
  <w:footnote w:id="7">
    <w:p w14:paraId="72B273BF" w14:textId="30A388CD" w:rsidR="003B46D5" w:rsidRPr="003B46D5" w:rsidRDefault="003B46D5">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w:t>
      </w:r>
      <w:r w:rsidRPr="003B46D5">
        <w:rPr>
          <w:rFonts w:asciiTheme="majorHAnsi" w:hAnsiTheme="majorHAnsi" w:cstheme="majorHAnsi"/>
          <w:sz w:val="21"/>
          <w:szCs w:val="21"/>
        </w:rPr>
        <w:t>115</w:t>
      </w:r>
      <w:r>
        <w:rPr>
          <w:rFonts w:asciiTheme="majorHAnsi" w:hAnsiTheme="majorHAnsi" w:cstheme="majorHAnsi"/>
          <w:sz w:val="21"/>
          <w:szCs w:val="21"/>
        </w:rPr>
        <w:t>, pp.112, pp.111</w:t>
      </w:r>
    </w:p>
  </w:footnote>
  <w:footnote w:id="8">
    <w:p w14:paraId="5DEADE44" w14:textId="4642AED6"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Christopher</w:t>
      </w:r>
      <w:r>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sidRPr="003B46D5">
        <w:rPr>
          <w:rFonts w:asciiTheme="majorHAnsi" w:hAnsiTheme="majorHAnsi" w:cstheme="majorHAnsi"/>
          <w:i/>
          <w:iCs/>
          <w:sz w:val="21"/>
          <w:szCs w:val="21"/>
        </w:rPr>
        <w:t>A Phenomenology of Landscape</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 Berg 1994, pp.</w:t>
      </w:r>
      <w:r>
        <w:rPr>
          <w:rFonts w:asciiTheme="majorHAnsi" w:hAnsiTheme="majorHAnsi" w:cstheme="majorHAnsi"/>
          <w:sz w:val="21"/>
          <w:szCs w:val="21"/>
        </w:rPr>
        <w:t>9, pp.21, pp.25</w:t>
      </w:r>
      <w:r w:rsidR="006403B1">
        <w:rPr>
          <w:rFonts w:asciiTheme="majorHAnsi" w:hAnsiTheme="majorHAnsi" w:cstheme="majorHAnsi"/>
          <w:sz w:val="21"/>
          <w:szCs w:val="21"/>
        </w:rPr>
        <w:t>, pp.22</w:t>
      </w:r>
    </w:p>
  </w:footnote>
  <w:footnote w:id="9">
    <w:p w14:paraId="2553A7E9" w14:textId="1C96E866"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04, pp.132</w:t>
      </w:r>
      <w:r w:rsidR="006403B1">
        <w:rPr>
          <w:rFonts w:asciiTheme="majorHAnsi" w:hAnsiTheme="majorHAnsi" w:cstheme="majorHAnsi"/>
          <w:sz w:val="21"/>
          <w:szCs w:val="21"/>
        </w:rPr>
        <w:t>, pp.100</w:t>
      </w:r>
    </w:p>
  </w:footnote>
  <w:footnote w:id="10">
    <w:p w14:paraId="497E8831" w14:textId="1DE6FDD0" w:rsidR="003B46D5" w:rsidRPr="003B46D5" w:rsidRDefault="003B46D5">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Pierre Bourdieu, ‘Cultural Reproduction and Social Reproduction’ in ‘Knowledge, Education and Cultural Change’, 1973, Routledge, pp.56</w:t>
      </w:r>
    </w:p>
  </w:footnote>
  <w:footnote w:id="11">
    <w:p w14:paraId="6A013DBD" w14:textId="2679A378"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Pr>
          <w:rFonts w:asciiTheme="majorHAnsi" w:hAnsiTheme="majorHAnsi" w:cstheme="majorHAnsi"/>
          <w:sz w:val="21"/>
          <w:szCs w:val="21"/>
        </w:rPr>
        <w:t>‘</w:t>
      </w:r>
      <w:r w:rsidRPr="003B46D5">
        <w:rPr>
          <w:rFonts w:asciiTheme="majorHAnsi" w:hAnsiTheme="majorHAnsi" w:cstheme="majorHAnsi"/>
          <w:i/>
          <w:iCs/>
          <w:sz w:val="21"/>
          <w:szCs w:val="21"/>
        </w:rPr>
        <w:t>Stonehenge: Making Space</w:t>
      </w:r>
      <w:r>
        <w:rPr>
          <w:rFonts w:asciiTheme="majorHAnsi" w:hAnsiTheme="majorHAnsi" w:cstheme="majorHAnsi"/>
          <w:i/>
          <w:iCs/>
          <w:sz w:val="21"/>
          <w:szCs w:val="21"/>
        </w:rPr>
        <w:t>’</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21</w:t>
      </w:r>
    </w:p>
  </w:footnote>
  <w:footnote w:id="12">
    <w:p w14:paraId="2B25AF1C" w14:textId="2A3FB279" w:rsidR="003B46D5" w:rsidRDefault="003B46D5">
      <w:pPr>
        <w:pStyle w:val="FootnoteText"/>
      </w:pPr>
      <w:r>
        <w:rPr>
          <w:rStyle w:val="FootnoteReference"/>
        </w:rPr>
        <w:footnoteRef/>
      </w:r>
      <w:r>
        <w:t xml:space="preserve"> Raymond Williams, ‘</w:t>
      </w:r>
      <w:r w:rsidRPr="003B46D5">
        <w:rPr>
          <w:i/>
          <w:iCs/>
        </w:rPr>
        <w:t>Base and Superstructure in Marxist Cultural Theory’</w:t>
      </w:r>
      <w:r>
        <w:t xml:space="preserve"> in NLR O/82, November-December 1973</w:t>
      </w:r>
    </w:p>
  </w:footnote>
  <w:footnote w:id="13">
    <w:p w14:paraId="12B5D8BA" w14:textId="5D4000D7"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21, pp.117</w:t>
      </w:r>
    </w:p>
  </w:footnote>
  <w:footnote w:id="14">
    <w:p w14:paraId="374B7C66" w14:textId="4871C5BB" w:rsidR="003B46D5" w:rsidRDefault="003B46D5">
      <w:pPr>
        <w:pStyle w:val="FootnoteText"/>
      </w:pPr>
      <w:r>
        <w:rPr>
          <w:rStyle w:val="FootnoteReference"/>
        </w:rPr>
        <w:footnoteRef/>
      </w:r>
      <w:r>
        <w:t xml:space="preserve"> Edward Said, ‘</w:t>
      </w:r>
      <w:r w:rsidRPr="003B46D5">
        <w:rPr>
          <w:i/>
          <w:iCs/>
        </w:rPr>
        <w:t>Orientalism</w:t>
      </w:r>
      <w:r>
        <w:t>’, Vol 10, Pantheon Books, 1978</w:t>
      </w:r>
    </w:p>
  </w:footnote>
  <w:footnote w:id="15">
    <w:p w14:paraId="3991AD58" w14:textId="08BBEA21" w:rsidR="003B46D5" w:rsidRPr="003B46D5" w:rsidRDefault="003B46D5">
      <w:pPr>
        <w:pStyle w:val="FootnoteText"/>
      </w:pPr>
      <w:r>
        <w:rPr>
          <w:rStyle w:val="FootnoteReference"/>
        </w:rPr>
        <w:footnoteRef/>
      </w:r>
      <w:r>
        <w:t xml:space="preserve"> Doyin </w:t>
      </w:r>
      <w:proofErr w:type="spellStart"/>
      <w:r>
        <w:t>Atewologun</w:t>
      </w:r>
      <w:proofErr w:type="spellEnd"/>
      <w:r>
        <w:t>, ‘</w:t>
      </w:r>
      <w:r w:rsidRPr="003B46D5">
        <w:rPr>
          <w:i/>
          <w:iCs/>
        </w:rPr>
        <w:t>Intersectionality Theory and Practice’</w:t>
      </w:r>
      <w:r>
        <w:rPr>
          <w:i/>
          <w:iCs/>
        </w:rPr>
        <w:t xml:space="preserve"> </w:t>
      </w:r>
      <w:r w:rsidRPr="003B46D5">
        <w:t>in</w:t>
      </w:r>
      <w:r>
        <w:t xml:space="preserve"> Business and Management: Oxford Research Encyclopaedias</w:t>
      </w:r>
      <w:r w:rsidRPr="003B46D5">
        <w:t>, Oxford University Press, 2018</w:t>
      </w:r>
    </w:p>
  </w:footnote>
  <w:footnote w:id="16">
    <w:p w14:paraId="0FF05194" w14:textId="08977DB8"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Christopher</w:t>
      </w:r>
      <w:r>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Pr>
          <w:rFonts w:asciiTheme="majorHAnsi" w:hAnsiTheme="majorHAnsi" w:cstheme="majorHAnsi"/>
          <w:sz w:val="21"/>
          <w:szCs w:val="21"/>
        </w:rPr>
        <w:t>‘</w:t>
      </w:r>
      <w:r w:rsidRPr="003B46D5">
        <w:rPr>
          <w:rFonts w:asciiTheme="majorHAnsi" w:hAnsiTheme="majorHAnsi" w:cstheme="majorHAnsi"/>
          <w:i/>
          <w:iCs/>
          <w:sz w:val="21"/>
          <w:szCs w:val="21"/>
        </w:rPr>
        <w:t>A Phenomenology of Landscape</w:t>
      </w:r>
      <w:r>
        <w:rPr>
          <w:rFonts w:asciiTheme="majorHAnsi" w:hAnsiTheme="majorHAnsi" w:cstheme="majorHAnsi"/>
          <w:i/>
          <w:iCs/>
          <w:sz w:val="21"/>
          <w:szCs w:val="21"/>
        </w:rPr>
        <w:t>’</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 Berg 1994, pp.</w:t>
      </w:r>
      <w:r>
        <w:rPr>
          <w:rFonts w:asciiTheme="majorHAnsi" w:hAnsiTheme="majorHAnsi" w:cstheme="majorHAnsi"/>
          <w:sz w:val="21"/>
          <w:szCs w:val="21"/>
        </w:rPr>
        <w:t>17, pp.24-25, pp.12</w:t>
      </w:r>
    </w:p>
  </w:footnote>
  <w:footnote w:id="17">
    <w:p w14:paraId="683FD0AD" w14:textId="0443521A" w:rsidR="003B46D5" w:rsidRDefault="003B46D5">
      <w:pPr>
        <w:pStyle w:val="FootnoteText"/>
      </w:pPr>
      <w:r>
        <w:rPr>
          <w:rStyle w:val="FootnoteReference"/>
        </w:rPr>
        <w:footnoteRef/>
      </w:r>
      <w:r>
        <w:t xml:space="preserve"> </w:t>
      </w:r>
      <w:r w:rsidR="006403B1"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006403B1" w:rsidRPr="003B46D5">
        <w:rPr>
          <w:rFonts w:asciiTheme="majorHAnsi" w:hAnsiTheme="majorHAnsi" w:cstheme="majorHAnsi"/>
          <w:sz w:val="21"/>
          <w:szCs w:val="21"/>
        </w:rPr>
        <w:t xml:space="preserve">, </w:t>
      </w:r>
      <w:r w:rsidR="006403B1" w:rsidRPr="003B46D5">
        <w:rPr>
          <w:rFonts w:asciiTheme="majorHAnsi" w:hAnsiTheme="majorHAnsi" w:cstheme="majorHAnsi"/>
          <w:i/>
          <w:iCs/>
          <w:sz w:val="21"/>
          <w:szCs w:val="21"/>
        </w:rPr>
        <w:t>A Phenomenology of Landscape</w:t>
      </w:r>
      <w:r w:rsidR="006403B1" w:rsidRPr="003B46D5">
        <w:rPr>
          <w:rFonts w:asciiTheme="majorHAnsi" w:hAnsiTheme="majorHAnsi" w:cstheme="majorHAnsi"/>
          <w:position w:val="2"/>
          <w:sz w:val="21"/>
          <w:szCs w:val="21"/>
        </w:rPr>
        <w:t xml:space="preserve">, </w:t>
      </w:r>
      <w:r w:rsidR="006403B1" w:rsidRPr="003B46D5">
        <w:rPr>
          <w:rFonts w:asciiTheme="majorHAnsi" w:hAnsiTheme="majorHAnsi" w:cstheme="majorHAnsi"/>
          <w:sz w:val="21"/>
          <w:szCs w:val="21"/>
        </w:rPr>
        <w:t>Oxford, Berg 1994,</w:t>
      </w:r>
      <w:r>
        <w:t xml:space="preserve"> p.12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0070D"/>
    <w:multiLevelType w:val="hybridMultilevel"/>
    <w:tmpl w:val="6A2A2668"/>
    <w:lvl w:ilvl="0" w:tplc="5D7CBC0C">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31DF0"/>
    <w:multiLevelType w:val="hybridMultilevel"/>
    <w:tmpl w:val="3D3817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D9B4BE9"/>
    <w:multiLevelType w:val="hybridMultilevel"/>
    <w:tmpl w:val="FF22685A"/>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EEB3407"/>
    <w:multiLevelType w:val="hybridMultilevel"/>
    <w:tmpl w:val="6B647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9558129">
    <w:abstractNumId w:val="0"/>
  </w:num>
  <w:num w:numId="2" w16cid:durableId="782265453">
    <w:abstractNumId w:val="3"/>
  </w:num>
  <w:num w:numId="3" w16cid:durableId="931163597">
    <w:abstractNumId w:val="1"/>
  </w:num>
  <w:num w:numId="4" w16cid:durableId="20016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CC9"/>
    <w:rsid w:val="000215E0"/>
    <w:rsid w:val="00023F58"/>
    <w:rsid w:val="000A172F"/>
    <w:rsid w:val="002C71A4"/>
    <w:rsid w:val="003B46D5"/>
    <w:rsid w:val="003E7ED5"/>
    <w:rsid w:val="005C5056"/>
    <w:rsid w:val="006403B1"/>
    <w:rsid w:val="00644FE0"/>
    <w:rsid w:val="006C022E"/>
    <w:rsid w:val="007945F0"/>
    <w:rsid w:val="008113E5"/>
    <w:rsid w:val="00846423"/>
    <w:rsid w:val="00AD6BB0"/>
    <w:rsid w:val="00B66BB2"/>
    <w:rsid w:val="00C96CC9"/>
    <w:rsid w:val="00DD5826"/>
    <w:rsid w:val="00EF7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57314"/>
  <w15:chartTrackingRefBased/>
  <w15:docId w15:val="{9644AC19-E4BA-D748-A9AF-F1D68CD52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96CC9"/>
    <w:rPr>
      <w:sz w:val="20"/>
      <w:szCs w:val="20"/>
    </w:rPr>
  </w:style>
  <w:style w:type="character" w:customStyle="1" w:styleId="FootnoteTextChar">
    <w:name w:val="Footnote Text Char"/>
    <w:basedOn w:val="DefaultParagraphFont"/>
    <w:link w:val="FootnoteText"/>
    <w:uiPriority w:val="99"/>
    <w:rsid w:val="00C96CC9"/>
    <w:rPr>
      <w:sz w:val="20"/>
      <w:szCs w:val="20"/>
    </w:rPr>
  </w:style>
  <w:style w:type="character" w:styleId="FootnoteReference">
    <w:name w:val="footnote reference"/>
    <w:basedOn w:val="DefaultParagraphFont"/>
    <w:uiPriority w:val="99"/>
    <w:semiHidden/>
    <w:unhideWhenUsed/>
    <w:rsid w:val="00C96CC9"/>
    <w:rPr>
      <w:vertAlign w:val="superscript"/>
    </w:rPr>
  </w:style>
  <w:style w:type="paragraph" w:styleId="NormalWeb">
    <w:name w:val="Normal (Web)"/>
    <w:basedOn w:val="Normal"/>
    <w:uiPriority w:val="99"/>
    <w:unhideWhenUsed/>
    <w:rsid w:val="00C96CC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66BB2"/>
    <w:pPr>
      <w:ind w:left="720"/>
      <w:contextualSpacing/>
    </w:pPr>
  </w:style>
  <w:style w:type="character" w:styleId="CommentReference">
    <w:name w:val="annotation reference"/>
    <w:basedOn w:val="DefaultParagraphFont"/>
    <w:uiPriority w:val="99"/>
    <w:semiHidden/>
    <w:unhideWhenUsed/>
    <w:rsid w:val="00B66BB2"/>
    <w:rPr>
      <w:sz w:val="16"/>
      <w:szCs w:val="16"/>
    </w:rPr>
  </w:style>
  <w:style w:type="character" w:styleId="Hyperlink">
    <w:name w:val="Hyperlink"/>
    <w:basedOn w:val="DefaultParagraphFont"/>
    <w:uiPriority w:val="99"/>
    <w:unhideWhenUsed/>
    <w:rsid w:val="003B46D5"/>
    <w:rPr>
      <w:color w:val="0563C1" w:themeColor="hyperlink"/>
      <w:u w:val="single"/>
    </w:rPr>
  </w:style>
  <w:style w:type="character" w:styleId="UnresolvedMention">
    <w:name w:val="Unresolved Mention"/>
    <w:basedOn w:val="DefaultParagraphFont"/>
    <w:uiPriority w:val="99"/>
    <w:semiHidden/>
    <w:unhideWhenUsed/>
    <w:rsid w:val="003B46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085928">
      <w:bodyDiv w:val="1"/>
      <w:marLeft w:val="0"/>
      <w:marRight w:val="0"/>
      <w:marTop w:val="0"/>
      <w:marBottom w:val="0"/>
      <w:divBdr>
        <w:top w:val="none" w:sz="0" w:space="0" w:color="auto"/>
        <w:left w:val="none" w:sz="0" w:space="0" w:color="auto"/>
        <w:bottom w:val="none" w:sz="0" w:space="0" w:color="auto"/>
        <w:right w:val="none" w:sz="0" w:space="0" w:color="auto"/>
      </w:divBdr>
      <w:divsChild>
        <w:div w:id="1602489980">
          <w:marLeft w:val="0"/>
          <w:marRight w:val="0"/>
          <w:marTop w:val="0"/>
          <w:marBottom w:val="0"/>
          <w:divBdr>
            <w:top w:val="none" w:sz="0" w:space="0" w:color="auto"/>
            <w:left w:val="none" w:sz="0" w:space="0" w:color="auto"/>
            <w:bottom w:val="none" w:sz="0" w:space="0" w:color="auto"/>
            <w:right w:val="none" w:sz="0" w:space="0" w:color="auto"/>
          </w:divBdr>
          <w:divsChild>
            <w:div w:id="1669941319">
              <w:marLeft w:val="0"/>
              <w:marRight w:val="0"/>
              <w:marTop w:val="0"/>
              <w:marBottom w:val="0"/>
              <w:divBdr>
                <w:top w:val="none" w:sz="0" w:space="0" w:color="auto"/>
                <w:left w:val="none" w:sz="0" w:space="0" w:color="auto"/>
                <w:bottom w:val="none" w:sz="0" w:space="0" w:color="auto"/>
                <w:right w:val="none" w:sz="0" w:space="0" w:color="auto"/>
              </w:divBdr>
              <w:divsChild>
                <w:div w:id="109624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ucl.ac.uk/anthropology/people/academic-and-teaching-staff/chris-tilley" TargetMode="External"/><Relationship Id="rId1" Type="http://schemas.openxmlformats.org/officeDocument/2006/relationships/hyperlink" Target="https://www.researchgate.net/scientific-contributions/Barbara-Bender-36269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72C88-604E-CE4A-A89A-C6687705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5</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5</cp:revision>
  <dcterms:created xsi:type="dcterms:W3CDTF">2022-11-18T17:07:00Z</dcterms:created>
  <dcterms:modified xsi:type="dcterms:W3CDTF">2022-11-21T17:09:00Z</dcterms:modified>
</cp:coreProperties>
</file>