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076D10" w14:textId="5021E40D" w:rsidR="00B873C6" w:rsidRDefault="003B182C" w:rsidP="005270B2">
      <w:pPr>
        <w:pStyle w:val="NoSpacing"/>
        <w:rPr>
          <w:u w:val="single"/>
        </w:rPr>
      </w:pPr>
      <w:r w:rsidRPr="001F1486">
        <w:rPr>
          <w:u w:val="single"/>
        </w:rPr>
        <w:t>F</w:t>
      </w:r>
      <w:r w:rsidR="003B3EC0" w:rsidRPr="001F1486">
        <w:rPr>
          <w:u w:val="single"/>
        </w:rPr>
        <w:t>ragmented histories, lost wanderers and</w:t>
      </w:r>
      <w:r w:rsidR="00D91B36" w:rsidRPr="001F1486">
        <w:rPr>
          <w:u w:val="single"/>
        </w:rPr>
        <w:t xml:space="preserve"> return</w:t>
      </w:r>
      <w:r w:rsidRPr="001F1486">
        <w:rPr>
          <w:u w:val="single"/>
        </w:rPr>
        <w:t>ing</w:t>
      </w:r>
      <w:r w:rsidR="00D91B36" w:rsidRPr="001F1486">
        <w:rPr>
          <w:u w:val="single"/>
        </w:rPr>
        <w:t xml:space="preserve"> to </w:t>
      </w:r>
      <w:r w:rsidRPr="001F1486">
        <w:rPr>
          <w:u w:val="single"/>
        </w:rPr>
        <w:t xml:space="preserve">the </w:t>
      </w:r>
      <w:r w:rsidR="00D91B36" w:rsidRPr="001F1486">
        <w:rPr>
          <w:u w:val="single"/>
        </w:rPr>
        <w:t>home</w:t>
      </w:r>
      <w:r w:rsidRPr="001F1486">
        <w:rPr>
          <w:u w:val="single"/>
        </w:rPr>
        <w:t xml:space="preserve">; exploring the </w:t>
      </w:r>
      <w:r w:rsidR="00B21049">
        <w:rPr>
          <w:u w:val="single"/>
        </w:rPr>
        <w:t>relationship between home and identity</w:t>
      </w:r>
      <w:bookmarkStart w:id="0" w:name="_GoBack"/>
      <w:bookmarkEnd w:id="0"/>
    </w:p>
    <w:p w14:paraId="3F36A715" w14:textId="2EB49ABC" w:rsidR="00985E85" w:rsidRDefault="00985E85" w:rsidP="005270B2">
      <w:pPr>
        <w:pStyle w:val="NoSpacing"/>
        <w:rPr>
          <w:u w:val="single"/>
        </w:rPr>
      </w:pPr>
    </w:p>
    <w:p w14:paraId="6F2DB6A8" w14:textId="6173E30F" w:rsidR="00E7142A" w:rsidRDefault="00D2432A" w:rsidP="005270B2">
      <w:pPr>
        <w:pStyle w:val="NoSpacing"/>
      </w:pPr>
      <w:r>
        <w:t>“</w:t>
      </w:r>
      <w:r w:rsidRPr="00D2432A">
        <w:t xml:space="preserve">We are dwellers, we are </w:t>
      </w:r>
      <w:proofErr w:type="spellStart"/>
      <w:r w:rsidRPr="00D2432A">
        <w:t>namers</w:t>
      </w:r>
      <w:proofErr w:type="spellEnd"/>
      <w:r w:rsidRPr="00D2432A">
        <w:t xml:space="preserve">, we are lovers, we make homes and search for </w:t>
      </w:r>
      <w:r>
        <w:t xml:space="preserve">our </w:t>
      </w:r>
      <w:r w:rsidRPr="00D2432A">
        <w:t>histories</w:t>
      </w:r>
      <w:r>
        <w:t>. And when we look for the history of our sensibilities, … it is to … the stable element, the land itself, that we must look for continuity”</w:t>
      </w:r>
      <w:r>
        <w:rPr>
          <w:rStyle w:val="FootnoteReference"/>
        </w:rPr>
        <w:footnoteReference w:id="1"/>
      </w:r>
      <w:r>
        <w:t>.</w:t>
      </w:r>
      <w:r w:rsidR="00263CAA">
        <w:t xml:space="preserve"> This interpretation of the sense of place by Seamus Heaney is significant to the research in this essay </w:t>
      </w:r>
      <w:r w:rsidR="00E84F89">
        <w:t xml:space="preserve">in order </w:t>
      </w:r>
      <w:r w:rsidR="00263CAA">
        <w:t xml:space="preserve">to develop an understanding of how places are inhabited by traces of the past. </w:t>
      </w:r>
      <w:r w:rsidR="00E84F89">
        <w:t xml:space="preserve">The key factor from </w:t>
      </w:r>
      <w:r w:rsidR="00EB0E65">
        <w:t xml:space="preserve">Heaney’s statement is the focus on personal history and how that must be recognised for the objective of continuity. I shall explore this idea further in the study of </w:t>
      </w:r>
      <w:proofErr w:type="spellStart"/>
      <w:r w:rsidR="00EB0E65">
        <w:t>Trezza</w:t>
      </w:r>
      <w:proofErr w:type="spellEnd"/>
      <w:r w:rsidR="00EB0E65">
        <w:t xml:space="preserve"> Azzopardi’s novel </w:t>
      </w:r>
      <w:r w:rsidR="00EB0E65" w:rsidRPr="00D06B94">
        <w:rPr>
          <w:i/>
          <w:iCs/>
        </w:rPr>
        <w:t>The Hiding Place</w:t>
      </w:r>
      <w:r w:rsidR="00EB0E65">
        <w:t xml:space="preserve"> and Tristan Hughes’ collection of short stories in </w:t>
      </w:r>
      <w:r w:rsidR="00EB0E65" w:rsidRPr="00D06B94">
        <w:rPr>
          <w:i/>
          <w:iCs/>
        </w:rPr>
        <w:t>The Tower</w:t>
      </w:r>
      <w:r w:rsidR="00EB0E65">
        <w:t>.</w:t>
      </w:r>
      <w:r w:rsidR="00EB0E65" w:rsidRPr="00EB0E65">
        <w:t xml:space="preserve"> </w:t>
      </w:r>
      <w:r w:rsidR="00355508">
        <w:t>Both</w:t>
      </w:r>
      <w:r w:rsidR="00EB0E65">
        <w:t xml:space="preserve"> texts contain characters that explore stories of the past and </w:t>
      </w:r>
      <w:r w:rsidR="005D67DC">
        <w:t>its relation</w:t>
      </w:r>
      <w:r w:rsidR="00EB0E65">
        <w:t xml:space="preserve"> to their own interpretations of the home. </w:t>
      </w:r>
      <w:r w:rsidR="00355508">
        <w:t xml:space="preserve">The characters of focus here are those who stay </w:t>
      </w:r>
      <w:r w:rsidR="005D67DC">
        <w:t xml:space="preserve">at home </w:t>
      </w:r>
      <w:r w:rsidR="00355508">
        <w:t>and those who leave. Hughes suggests that looking at a graveyard on the island of Anglesey will reveal that “</w:t>
      </w:r>
      <w:r w:rsidR="00355508" w:rsidRPr="00355508">
        <w:t>half the people buried there probably didn't stray much further than their village pub, while the other half probably travelled the world</w:t>
      </w:r>
      <w:r w:rsidR="00355508">
        <w:t>”</w:t>
      </w:r>
      <w:r w:rsidR="00355508">
        <w:rPr>
          <w:rStyle w:val="FootnoteReference"/>
        </w:rPr>
        <w:footnoteReference w:id="2"/>
      </w:r>
      <w:r w:rsidR="00355508" w:rsidRPr="00355508">
        <w:t>.</w:t>
      </w:r>
      <w:r w:rsidR="00DE7AEC">
        <w:t xml:space="preserve"> This shows that place is </w:t>
      </w:r>
      <w:r w:rsidR="006E74E0">
        <w:t xml:space="preserve">directly </w:t>
      </w:r>
      <w:r w:rsidR="00DE7AEC">
        <w:t xml:space="preserve">correlated to the idea of the home as some people desire to search the world to find a home, often to return to their place of origin, whilst others are satisfied staying in the place generations of their family have built up. </w:t>
      </w:r>
      <w:r w:rsidR="00EB0E65">
        <w:t xml:space="preserve">Regardless of whether the characters from </w:t>
      </w:r>
      <w:r w:rsidR="00DE7AEC">
        <w:t>these</w:t>
      </w:r>
      <w:r w:rsidR="00EB0E65">
        <w:t xml:space="preserve"> chosen texts leave the home or stay in the same place their entire lives, </w:t>
      </w:r>
      <w:r w:rsidR="00DE7AEC">
        <w:t xml:space="preserve">my thesis is that </w:t>
      </w:r>
      <w:r w:rsidR="00EB0E65">
        <w:t xml:space="preserve">it is their individual histories </w:t>
      </w:r>
      <w:r w:rsidR="005D67DC">
        <w:t>are</w:t>
      </w:r>
      <w:r w:rsidR="00EB0E65">
        <w:t xml:space="preserve"> </w:t>
      </w:r>
      <w:r w:rsidR="00DE7AEC">
        <w:t xml:space="preserve">the portal to </w:t>
      </w:r>
      <w:r w:rsidR="00EB0E65">
        <w:t>understanding the relationship between the home and identity.</w:t>
      </w:r>
      <w:r w:rsidR="00DE7AEC">
        <w:t xml:space="preserve"> T</w:t>
      </w:r>
      <w:r w:rsidR="001C0B7A">
        <w:t>his essay shall focus on the story of the individual and their position in the history and geography of the</w:t>
      </w:r>
      <w:r w:rsidR="004E1E8F">
        <w:t>ir depicted</w:t>
      </w:r>
      <w:r w:rsidR="001C0B7A">
        <w:t xml:space="preserve"> world. </w:t>
      </w:r>
    </w:p>
    <w:p w14:paraId="167FBA25" w14:textId="638A6F84" w:rsidR="006E74E0" w:rsidRDefault="001B7CB1" w:rsidP="006E74E0">
      <w:pPr>
        <w:pStyle w:val="NoSpacing"/>
      </w:pPr>
      <w:r>
        <w:tab/>
      </w:r>
      <w:r w:rsidR="006E74E0">
        <w:t>First to consider are the various definitions of the home and what they may reveal about each of the characters reasons for staying or leaving. There are many depictions of the home across all literature “</w:t>
      </w:r>
      <w:r w:rsidR="006E74E0" w:rsidRPr="00B903E2">
        <w:t>as conflated with or related to house, family, haven, self, gender, and journeying</w:t>
      </w:r>
      <w:r w:rsidR="006E74E0">
        <w:rPr>
          <w:rStyle w:val="FootnoteReference"/>
        </w:rPr>
        <w:footnoteReference w:id="3"/>
      </w:r>
      <w:r w:rsidR="006E74E0" w:rsidRPr="00B903E2">
        <w:t>.</w:t>
      </w:r>
      <w:r w:rsidR="006E74E0">
        <w:t>”</w:t>
      </w:r>
      <w:r w:rsidR="008E7DAB">
        <w:t xml:space="preserve"> It is interesting that ‘journeying’ is included in this definition because it </w:t>
      </w:r>
      <w:r w:rsidR="005D67DC">
        <w:t xml:space="preserve">reiterates the </w:t>
      </w:r>
      <w:r w:rsidR="008E7DAB">
        <w:t xml:space="preserve">idea </w:t>
      </w:r>
      <w:r w:rsidR="005D67DC">
        <w:t>that</w:t>
      </w:r>
      <w:r w:rsidR="008E7DAB">
        <w:t xml:space="preserve"> home to some people is not always the place they were brought up in as a child, but it can be any location in the world that they have a connection to. In her critical review of literature, Mallett refers to Saunders and Williams exploration of the house, home and household </w:t>
      </w:r>
      <w:r w:rsidR="00F57157">
        <w:t>and what each definition represents. They suggest that home is “</w:t>
      </w:r>
      <w:r w:rsidR="00F57157" w:rsidRPr="008E7DAB">
        <w:t>simultaneously and indivisibly a spatial and a social unit of interaction</w:t>
      </w:r>
      <w:r w:rsidR="00F57157">
        <w:t>”</w:t>
      </w:r>
      <w:r w:rsidR="00F57157">
        <w:rPr>
          <w:rStyle w:val="FootnoteReference"/>
        </w:rPr>
        <w:footnoteReference w:id="4"/>
      </w:r>
      <w:r w:rsidR="00F57157">
        <w:t xml:space="preserve"> indicating that home is the physical setting to which family </w:t>
      </w:r>
      <w:r w:rsidR="00741EF4">
        <w:t>relationships</w:t>
      </w:r>
      <w:r w:rsidR="00F57157">
        <w:t xml:space="preserve"> and experiences take place. This </w:t>
      </w:r>
      <w:r w:rsidR="005D67DC">
        <w:t>shows</w:t>
      </w:r>
      <w:r w:rsidR="00F57157">
        <w:t xml:space="preserve"> that home is identified as the place which relates to family, of shared memories and the place of learning. Mallett </w:t>
      </w:r>
      <w:r w:rsidR="005D67DC">
        <w:t>expresses this</w:t>
      </w:r>
      <w:r w:rsidR="00F57157">
        <w:t xml:space="preserve"> further by highlighting the</w:t>
      </w:r>
      <w:r w:rsidR="00741EF4">
        <w:t xml:space="preserve"> </w:t>
      </w:r>
      <w:r w:rsidR="00F57157">
        <w:t xml:space="preserve">physical structure </w:t>
      </w:r>
      <w:r w:rsidR="00741EF4">
        <w:t>“</w:t>
      </w:r>
      <w:r w:rsidR="00741EF4" w:rsidRPr="008E7DAB">
        <w:t>including the location, design, and size of the home</w:t>
      </w:r>
      <w:r w:rsidR="00741EF4">
        <w:t>”</w:t>
      </w:r>
      <w:r w:rsidR="00741EF4">
        <w:rPr>
          <w:rStyle w:val="FootnoteReference"/>
        </w:rPr>
        <w:footnoteReference w:id="5"/>
      </w:r>
      <w:r w:rsidR="00741EF4">
        <w:t xml:space="preserve"> which </w:t>
      </w:r>
      <w:r w:rsidR="005D67DC">
        <w:t>defines</w:t>
      </w:r>
      <w:r w:rsidR="00741EF4">
        <w:t xml:space="preserve"> the house; its architecture. </w:t>
      </w:r>
      <w:r w:rsidR="005D67DC">
        <w:t>Finally, is</w:t>
      </w:r>
      <w:r w:rsidR="00741EF4">
        <w:t xml:space="preserve"> the household which is the “</w:t>
      </w:r>
      <w:r w:rsidR="00741EF4" w:rsidRPr="008E7DAB">
        <w:t>basic economic uni</w:t>
      </w:r>
      <w:r w:rsidR="00741EF4">
        <w:t>t”</w:t>
      </w:r>
      <w:r w:rsidR="00741EF4">
        <w:rPr>
          <w:rStyle w:val="FootnoteReference"/>
        </w:rPr>
        <w:footnoteReference w:id="6"/>
      </w:r>
      <w:r w:rsidR="00741EF4">
        <w:t xml:space="preserve"> that focuses on the relationship between those living in the house</w:t>
      </w:r>
      <w:r w:rsidR="005D67DC">
        <w:t xml:space="preserve">. </w:t>
      </w:r>
      <w:r w:rsidR="007938CA">
        <w:t xml:space="preserve">This idea about the household relates to the one </w:t>
      </w:r>
      <w:r w:rsidR="005D67DC">
        <w:t>Azzopardi presents</w:t>
      </w:r>
      <w:r w:rsidR="007938CA">
        <w:t xml:space="preserve"> in </w:t>
      </w:r>
      <w:r w:rsidR="007938CA" w:rsidRPr="007B3600">
        <w:rPr>
          <w:i/>
          <w:iCs/>
        </w:rPr>
        <w:t>The Hiding Place</w:t>
      </w:r>
      <w:r w:rsidR="007938CA">
        <w:t xml:space="preserve">. Dolores’ </w:t>
      </w:r>
      <w:r w:rsidR="0082688B">
        <w:t>position</w:t>
      </w:r>
      <w:r w:rsidR="007938CA">
        <w:t xml:space="preserve"> within her family </w:t>
      </w:r>
      <w:r w:rsidR="0082688B">
        <w:t xml:space="preserve">indicates </w:t>
      </w:r>
      <w:r w:rsidR="007938CA">
        <w:t xml:space="preserve">that she is both connected and disconnected to them and therefore </w:t>
      </w:r>
      <w:r w:rsidR="0082688B">
        <w:t xml:space="preserve">displays an uncertainty about </w:t>
      </w:r>
      <w:r w:rsidR="007938CA">
        <w:t xml:space="preserve">the house. The knowledge she has about her sisters mostly comes from stories </w:t>
      </w:r>
      <w:r w:rsidR="0082688B">
        <w:t xml:space="preserve">which </w:t>
      </w:r>
      <w:proofErr w:type="spellStart"/>
      <w:r w:rsidR="0082688B">
        <w:t>Dol</w:t>
      </w:r>
      <w:proofErr w:type="spellEnd"/>
      <w:r w:rsidR="0082688B">
        <w:t xml:space="preserve"> tells as though she has witnessed them, however</w:t>
      </w:r>
      <w:r w:rsidR="007938CA">
        <w:t xml:space="preserve"> she reveals that Celesta and Rose are “my other two sisters who I don’t really know”</w:t>
      </w:r>
      <w:r w:rsidR="007938CA">
        <w:rPr>
          <w:rStyle w:val="FootnoteReference"/>
        </w:rPr>
        <w:footnoteReference w:id="7"/>
      </w:r>
      <w:r w:rsidR="0082688B">
        <w:t>.</w:t>
      </w:r>
      <w:r w:rsidR="007B3600">
        <w:t xml:space="preserve"> This </w:t>
      </w:r>
      <w:r w:rsidR="0082688B">
        <w:t>suggests that due to her age Dol is an</w:t>
      </w:r>
      <w:r w:rsidR="007B3600">
        <w:t xml:space="preserve"> unreliable </w:t>
      </w:r>
      <w:r w:rsidR="0082688B">
        <w:t xml:space="preserve">narrator who relies on stories to </w:t>
      </w:r>
      <w:r w:rsidR="0082688B">
        <w:lastRenderedPageBreak/>
        <w:t>piece her life together. I</w:t>
      </w:r>
      <w:r w:rsidR="007B3600">
        <w:t xml:space="preserve">t is accurate to propose that this household is held together with stories which removes the characters </w:t>
      </w:r>
      <w:r w:rsidR="0082688B">
        <w:t xml:space="preserve">connection with </w:t>
      </w:r>
      <w:r w:rsidR="007B3600">
        <w:t>the home.</w:t>
      </w:r>
    </w:p>
    <w:p w14:paraId="20CC6B2D" w14:textId="0D799A59" w:rsidR="00EF2BE5" w:rsidRDefault="00EF2BE5" w:rsidP="00EF2BE5">
      <w:pPr>
        <w:pStyle w:val="NoSpacing"/>
      </w:pPr>
      <w:r>
        <w:tab/>
        <w:t>Another interesting section of Mallett’s review is the attention to different languages and translation</w:t>
      </w:r>
      <w:r w:rsidR="0082688B">
        <w:t>s</w:t>
      </w:r>
      <w:r>
        <w:t xml:space="preserve"> of the word ‘home’. She notes that “</w:t>
      </w:r>
      <w:r w:rsidRPr="00B903E2">
        <w:t xml:space="preserve">the Germanic words for home, </w:t>
      </w:r>
      <w:r w:rsidRPr="00B903E2">
        <w:rPr>
          <w:i/>
          <w:iCs/>
        </w:rPr>
        <w:t>Heim</w:t>
      </w:r>
      <w:r w:rsidRPr="00B903E2">
        <w:t xml:space="preserve">, </w:t>
      </w:r>
      <w:r w:rsidRPr="00B903E2">
        <w:rPr>
          <w:i/>
          <w:iCs/>
        </w:rPr>
        <w:t>ham</w:t>
      </w:r>
      <w:r w:rsidRPr="00B903E2">
        <w:t xml:space="preserve">, </w:t>
      </w:r>
      <w:proofErr w:type="spellStart"/>
      <w:r w:rsidRPr="00B903E2">
        <w:rPr>
          <w:i/>
          <w:iCs/>
        </w:rPr>
        <w:t>heem</w:t>
      </w:r>
      <w:proofErr w:type="spellEnd"/>
      <w:r w:rsidRPr="00B903E2">
        <w:t xml:space="preserve">, are derived from the Indo-European </w:t>
      </w:r>
      <w:proofErr w:type="spellStart"/>
      <w:r w:rsidRPr="00B903E2">
        <w:rPr>
          <w:i/>
          <w:iCs/>
        </w:rPr>
        <w:t>kei</w:t>
      </w:r>
      <w:proofErr w:type="spellEnd"/>
      <w:r w:rsidRPr="00B903E2">
        <w:t xml:space="preserve"> meaning lying down and something dear or beloved</w:t>
      </w:r>
      <w:r>
        <w:t>”</w:t>
      </w:r>
      <w:r>
        <w:rPr>
          <w:rStyle w:val="FootnoteReference"/>
        </w:rPr>
        <w:footnoteReference w:id="8"/>
      </w:r>
      <w:r>
        <w:t>. This indicates that the home is a place to sleep,</w:t>
      </w:r>
      <w:r w:rsidR="0082688B">
        <w:t xml:space="preserve"> but also a place of safety. The English definition of home “</w:t>
      </w:r>
      <w:r w:rsidRPr="00B903E2">
        <w:t>derives from the Anglo-Saxon word </w:t>
      </w:r>
      <w:r w:rsidRPr="00B903E2">
        <w:rPr>
          <w:i/>
          <w:iCs/>
        </w:rPr>
        <w:t>ham</w:t>
      </w:r>
      <w:r w:rsidRPr="00B903E2">
        <w:t>, meaning village, estate or town</w:t>
      </w:r>
      <w:r>
        <w:t>”</w:t>
      </w:r>
      <w:r>
        <w:rPr>
          <w:rStyle w:val="FootnoteReference"/>
        </w:rPr>
        <w:footnoteReference w:id="9"/>
      </w:r>
      <w:r>
        <w:t xml:space="preserve"> revealing that the home is a place of community. In </w:t>
      </w:r>
      <w:proofErr w:type="gramStart"/>
      <w:r w:rsidRPr="00BE5AEF">
        <w:rPr>
          <w:i/>
          <w:iCs/>
        </w:rPr>
        <w:t>The</w:t>
      </w:r>
      <w:proofErr w:type="gramEnd"/>
      <w:r w:rsidRPr="00BE5AEF">
        <w:rPr>
          <w:i/>
          <w:iCs/>
        </w:rPr>
        <w:t xml:space="preserve"> Hiding Place</w:t>
      </w:r>
      <w:r>
        <w:t xml:space="preserve"> the home is a place </w:t>
      </w:r>
      <w:r w:rsidR="0082688B">
        <w:t>to sleep and eat, it is not a place of safety or a loving environment,</w:t>
      </w:r>
      <w:r w:rsidR="00BE5AEF">
        <w:t xml:space="preserve"> </w:t>
      </w:r>
      <w:r w:rsidR="00D82D02">
        <w:t>showing that “w</w:t>
      </w:r>
      <w:r w:rsidR="00D82D02" w:rsidRPr="00D82D02">
        <w:t>ithout the family a home is ‘only a house’”</w:t>
      </w:r>
      <w:r w:rsidR="00D82D02">
        <w:rPr>
          <w:rStyle w:val="FootnoteReference"/>
        </w:rPr>
        <w:footnoteReference w:id="10"/>
      </w:r>
      <w:r w:rsidR="00D82D02">
        <w:t xml:space="preserve">. This contrasts with the depiction of the home in </w:t>
      </w:r>
      <w:r w:rsidR="00BE5AEF" w:rsidRPr="00BE5AEF">
        <w:rPr>
          <w:i/>
          <w:iCs/>
        </w:rPr>
        <w:t>The Tower</w:t>
      </w:r>
      <w:r w:rsidR="00BE5AEF">
        <w:t xml:space="preserve">, </w:t>
      </w:r>
      <w:r w:rsidR="00D82D02">
        <w:t xml:space="preserve">where </w:t>
      </w:r>
      <w:r w:rsidR="00BE5AEF">
        <w:t xml:space="preserve">there is a focus on local rural life and </w:t>
      </w:r>
      <w:r w:rsidR="00D82D02">
        <w:t xml:space="preserve">because </w:t>
      </w:r>
      <w:r w:rsidR="00BE5AEF">
        <w:t xml:space="preserve">each story has </w:t>
      </w:r>
      <w:r w:rsidR="00D82D02">
        <w:t xml:space="preserve">character </w:t>
      </w:r>
      <w:r w:rsidR="00BE5AEF">
        <w:t xml:space="preserve">crossovers </w:t>
      </w:r>
      <w:r w:rsidR="00D82D02">
        <w:t xml:space="preserve">this further illustrates </w:t>
      </w:r>
      <w:r w:rsidR="00BE5AEF">
        <w:t xml:space="preserve">the importance of a community in creating a home. </w:t>
      </w:r>
      <w:r w:rsidR="00C11C79">
        <w:t>Hughes reveals that in his childhood growing up in a small rural community he “spent a lot of time listening to local tales and legends, genealogies, ghost stories, a whole body of oral history (and fiction too, I suspect) relating to the place</w:t>
      </w:r>
      <w:r w:rsidR="0082688B">
        <w:t>”</w:t>
      </w:r>
      <w:r w:rsidR="00C11C79">
        <w:rPr>
          <w:rStyle w:val="FootnoteReference"/>
        </w:rPr>
        <w:footnoteReference w:id="11"/>
      </w:r>
      <w:r w:rsidR="0082688B">
        <w:t xml:space="preserve"> which helped him to create rich landscapes full of history</w:t>
      </w:r>
      <w:r w:rsidR="00C11C79">
        <w:t xml:space="preserve">. This is evident in the community he has created in </w:t>
      </w:r>
      <w:r w:rsidR="00C11C79" w:rsidRPr="00C11C79">
        <w:rPr>
          <w:i/>
          <w:iCs/>
        </w:rPr>
        <w:t>The Tower</w:t>
      </w:r>
      <w:r w:rsidR="00C11C79">
        <w:t>, as all the characters are driven by stories, from Nain’s “gift”</w:t>
      </w:r>
      <w:r w:rsidR="00C11C79">
        <w:rPr>
          <w:rStyle w:val="FootnoteReference"/>
        </w:rPr>
        <w:footnoteReference w:id="12"/>
      </w:r>
      <w:r w:rsidR="00C11C79">
        <w:t xml:space="preserve"> of telling her </w:t>
      </w:r>
      <w:r w:rsidR="00402A67">
        <w:t>tale</w:t>
      </w:r>
      <w:r w:rsidR="00C11C79">
        <w:t xml:space="preserve"> about the tower to Jack </w:t>
      </w:r>
      <w:proofErr w:type="spellStart"/>
      <w:r w:rsidR="00C11C79">
        <w:t>Cucu</w:t>
      </w:r>
      <w:proofErr w:type="spellEnd"/>
      <w:r w:rsidR="00C11C79">
        <w:t xml:space="preserve"> </w:t>
      </w:r>
      <w:r w:rsidR="00402A67">
        <w:t>reminiscing his childhood</w:t>
      </w:r>
      <w:r w:rsidR="00C11C79">
        <w:t>.</w:t>
      </w:r>
      <w:r w:rsidR="00D35F6E">
        <w:t xml:space="preserve"> This shows that the idea of home presented here is one that has a shared experience through storytelling and keeping the past alive, which relates back to Heaney’s perception </w:t>
      </w:r>
      <w:r w:rsidR="00402A67">
        <w:t>that</w:t>
      </w:r>
      <w:r w:rsidR="00D35F6E">
        <w:t xml:space="preserve"> knowledge of the past </w:t>
      </w:r>
      <w:r w:rsidR="00402A67">
        <w:t>is</w:t>
      </w:r>
      <w:r w:rsidR="00D35F6E">
        <w:t xml:space="preserve"> important to continuity. </w:t>
      </w:r>
    </w:p>
    <w:p w14:paraId="20BB3FAB" w14:textId="2D8A888D" w:rsidR="00CA1266" w:rsidRDefault="0041575E" w:rsidP="007B5B97">
      <w:pPr>
        <w:pStyle w:val="NoSpacing"/>
      </w:pPr>
      <w:r>
        <w:tab/>
        <w:t xml:space="preserve">As a result of industrialisation </w:t>
      </w:r>
      <w:r w:rsidR="00D63DD4">
        <w:t>“</w:t>
      </w:r>
      <w:r w:rsidR="00D63DD4" w:rsidRPr="00955A48">
        <w:t>households were increasingly seen as a domestic retreat for the nuclear family</w:t>
      </w:r>
      <w:r w:rsidR="00D63DD4">
        <w:t>”</w:t>
      </w:r>
      <w:r>
        <w:rPr>
          <w:rStyle w:val="FootnoteReference"/>
        </w:rPr>
        <w:footnoteReference w:id="13"/>
      </w:r>
      <w:r>
        <w:t xml:space="preserve"> yet as we see in</w:t>
      </w:r>
      <w:r w:rsidR="00D63DD4" w:rsidRPr="0041575E">
        <w:rPr>
          <w:i/>
          <w:iCs/>
        </w:rPr>
        <w:t xml:space="preserve"> The Importance of Being Elsewhere</w:t>
      </w:r>
      <w:r w:rsidR="00D63DD4">
        <w:t>, Jack Bach feels “claustrophobic”</w:t>
      </w:r>
      <w:r>
        <w:rPr>
          <w:rStyle w:val="FootnoteReference"/>
        </w:rPr>
        <w:footnoteReference w:id="14"/>
      </w:r>
      <w:r w:rsidR="00D63DD4">
        <w:t xml:space="preserve"> </w:t>
      </w:r>
      <w:r>
        <w:t>staying</w:t>
      </w:r>
      <w:r w:rsidR="00D63DD4">
        <w:t xml:space="preserve"> in the room he shares with his girlfriend and child. This suggests that he doesn’t feel like this </w:t>
      </w:r>
      <w:r>
        <w:t>place is</w:t>
      </w:r>
      <w:r w:rsidR="00D63DD4">
        <w:t xml:space="preserve"> </w:t>
      </w:r>
      <w:r>
        <w:t>his</w:t>
      </w:r>
      <w:r w:rsidR="00D63DD4">
        <w:t xml:space="preserve"> home and does not share a connection with his family and the home. </w:t>
      </w:r>
      <w:r w:rsidR="00D63DD4" w:rsidRPr="000171FD">
        <w:t xml:space="preserve">Anselm Kiefer </w:t>
      </w:r>
      <w:r>
        <w:t>suggests that</w:t>
      </w:r>
      <w:r w:rsidR="00D63DD4" w:rsidRPr="000171FD">
        <w:t xml:space="preserve"> “no empty place is really empty: everywhere is filled up, ‘almost claustrophobically’ with all traces of the past. The past is always there in the present”</w:t>
      </w:r>
      <w:r>
        <w:rPr>
          <w:rStyle w:val="FootnoteReference"/>
        </w:rPr>
        <w:footnoteReference w:id="15"/>
      </w:r>
      <w:r>
        <w:t>. This theory of the past being</w:t>
      </w:r>
      <w:r w:rsidR="002F52EC">
        <w:t xml:space="preserve"> a constant</w:t>
      </w:r>
      <w:r>
        <w:t xml:space="preserve"> present may indicate that Jack Bach </w:t>
      </w:r>
      <w:r w:rsidR="002F52EC">
        <w:t>feels</w:t>
      </w:r>
      <w:r>
        <w:t xml:space="preserve"> </w:t>
      </w:r>
      <w:r w:rsidR="002F52EC">
        <w:t xml:space="preserve">enclosed by the past and associates that feeling with the walls of a room </w:t>
      </w:r>
      <w:r w:rsidR="003B5421">
        <w:t xml:space="preserve">compared to </w:t>
      </w:r>
      <w:r w:rsidR="002F52EC">
        <w:t xml:space="preserve">the freedom he experiences </w:t>
      </w:r>
      <w:r w:rsidR="003B5421">
        <w:t xml:space="preserve">outside in nature. This is emphasised by his </w:t>
      </w:r>
      <w:r>
        <w:t>only way to process th</w:t>
      </w:r>
      <w:r w:rsidR="003B5421">
        <w:t xml:space="preserve">ese emotions </w:t>
      </w:r>
      <w:r w:rsidR="002F52EC">
        <w:t>which is</w:t>
      </w:r>
      <w:r w:rsidR="009874EE">
        <w:t xml:space="preserve"> using</w:t>
      </w:r>
      <w:r w:rsidR="003B5421">
        <w:t xml:space="preserve"> drugs</w:t>
      </w:r>
      <w:r>
        <w:t xml:space="preserve"> to distort his reality.</w:t>
      </w:r>
      <w:r w:rsidR="009874EE">
        <w:t xml:space="preserve"> The perspective of the individual is something that Hughes explores in most of </w:t>
      </w:r>
      <w:r w:rsidR="002F52EC">
        <w:t>his</w:t>
      </w:r>
      <w:r w:rsidR="009874EE">
        <w:t xml:space="preserve"> short stories where t</w:t>
      </w:r>
      <w:r w:rsidR="00C57F4F">
        <w:t>he meaning of place is partly what is brought to it by the viewer</w:t>
      </w:r>
      <w:r w:rsidR="009874EE">
        <w:t xml:space="preserve">. For example, </w:t>
      </w:r>
      <w:r w:rsidR="009874EE" w:rsidRPr="009874EE">
        <w:rPr>
          <w:i/>
          <w:iCs/>
        </w:rPr>
        <w:t>God’s Breath</w:t>
      </w:r>
      <w:r w:rsidR="009874EE">
        <w:t xml:space="preserve"> begins with the binoculars, an instrument to look through. They </w:t>
      </w:r>
      <w:r w:rsidR="002F52EC">
        <w:t xml:space="preserve">are </w:t>
      </w:r>
      <w:r w:rsidR="009874EE">
        <w:t>accompan</w:t>
      </w:r>
      <w:r w:rsidR="002F52EC">
        <w:t>ied with</w:t>
      </w:r>
      <w:r w:rsidR="009874EE">
        <w:t xml:space="preserve"> a description of the past, “they have seen a great deal, these binoculars”</w:t>
      </w:r>
      <w:r w:rsidR="009874EE">
        <w:rPr>
          <w:rStyle w:val="FootnoteReference"/>
        </w:rPr>
        <w:footnoteReference w:id="16"/>
      </w:r>
      <w:r w:rsidR="009874EE">
        <w:t xml:space="preserve"> yet this history is overlooked in order to portray “the view from my </w:t>
      </w:r>
      <w:proofErr w:type="spellStart"/>
      <w:r w:rsidR="009874EE">
        <w:t>nain’s</w:t>
      </w:r>
      <w:proofErr w:type="spellEnd"/>
      <w:r w:rsidR="009874EE">
        <w:t xml:space="preserve"> window”</w:t>
      </w:r>
      <w:r w:rsidR="009874EE">
        <w:rPr>
          <w:rStyle w:val="FootnoteReference"/>
        </w:rPr>
        <w:footnoteReference w:id="17"/>
      </w:r>
      <w:r w:rsidR="009874EE">
        <w:t xml:space="preserve">. Both the binoculars and the window are sources to look out from, thus placing a distance between the viewer and the object. </w:t>
      </w:r>
      <w:r w:rsidR="002F52EC">
        <w:t xml:space="preserve">The reader is therefore limited to these perspectives. </w:t>
      </w:r>
      <w:r w:rsidR="009874EE">
        <w:t>Another example of</w:t>
      </w:r>
      <w:r w:rsidR="007B5B97">
        <w:t xml:space="preserve"> the single perspective is </w:t>
      </w:r>
      <w:r w:rsidR="00CA1266">
        <w:t>Derrick</w:t>
      </w:r>
      <w:r w:rsidR="007B5B97">
        <w:t>’s</w:t>
      </w:r>
      <w:r w:rsidR="00CA1266">
        <w:t xml:space="preserve"> place</w:t>
      </w:r>
      <w:r w:rsidR="007B5B97">
        <w:t>ment of</w:t>
      </w:r>
      <w:r w:rsidR="00CA1266">
        <w:t xml:space="preserve"> great importance on the eyes as the only source of vision</w:t>
      </w:r>
      <w:r w:rsidR="007B5B97">
        <w:t xml:space="preserve">. He is drawn to the tower </w:t>
      </w:r>
      <w:r w:rsidR="002F52EC">
        <w:t>as a</w:t>
      </w:r>
      <w:r w:rsidR="007B5B97">
        <w:t xml:space="preserve"> viewing platform, but whilst this is happening his eyesight is failing. Instead of letting his vision deplete slowly he cuts out his own eyes, </w:t>
      </w:r>
      <w:r w:rsidR="00974502">
        <w:t xml:space="preserve">which means he loses out on so many other experiences he could have focused on, such as the life he had with his wife. These examples show </w:t>
      </w:r>
      <w:r w:rsidR="00974502">
        <w:lastRenderedPageBreak/>
        <w:t>the limitations of being able to connect with each other when past histories are laid aside and forgotten about.</w:t>
      </w:r>
    </w:p>
    <w:p w14:paraId="7816324D" w14:textId="32E57011" w:rsidR="00AD3042" w:rsidRDefault="007442B1" w:rsidP="000171FD">
      <w:pPr>
        <w:pStyle w:val="NoSpacing"/>
      </w:pPr>
      <w:r>
        <w:tab/>
        <w:t xml:space="preserve">There are several characters who choose to stay in one place they associate as home across both texts. </w:t>
      </w:r>
      <w:r w:rsidR="00704290">
        <w:t xml:space="preserve">In </w:t>
      </w:r>
      <w:proofErr w:type="gramStart"/>
      <w:r w:rsidR="00704290" w:rsidRPr="00704290">
        <w:rPr>
          <w:i/>
          <w:iCs/>
        </w:rPr>
        <w:t>The</w:t>
      </w:r>
      <w:proofErr w:type="gramEnd"/>
      <w:r w:rsidR="00704290" w:rsidRPr="00704290">
        <w:rPr>
          <w:i/>
          <w:iCs/>
        </w:rPr>
        <w:t xml:space="preserve"> Tower</w:t>
      </w:r>
      <w:r w:rsidR="00704290">
        <w:t xml:space="preserve"> </w:t>
      </w:r>
      <w:r>
        <w:t xml:space="preserve">We are introduced to Jack </w:t>
      </w:r>
      <w:proofErr w:type="spellStart"/>
      <w:r>
        <w:t>Cucu</w:t>
      </w:r>
      <w:proofErr w:type="spellEnd"/>
      <w:r>
        <w:t xml:space="preserve"> </w:t>
      </w:r>
      <w:r w:rsidR="002F52EC">
        <w:t>during</w:t>
      </w:r>
      <w:r>
        <w:t xml:space="preserve"> the second story </w:t>
      </w:r>
      <w:r w:rsidRPr="007442B1">
        <w:rPr>
          <w:i/>
          <w:iCs/>
        </w:rPr>
        <w:t>Ley Lines</w:t>
      </w:r>
      <w:r>
        <w:t xml:space="preserve"> as an older man and again in </w:t>
      </w:r>
      <w:r w:rsidRPr="007442B1">
        <w:rPr>
          <w:i/>
          <w:iCs/>
        </w:rPr>
        <w:t>Persistence</w:t>
      </w:r>
      <w:r>
        <w:t xml:space="preserve">, the fifth story, as a younger boy </w:t>
      </w:r>
      <w:r w:rsidR="002F52EC">
        <w:t>telling</w:t>
      </w:r>
      <w:r>
        <w:t xml:space="preserve"> the story of his </w:t>
      </w:r>
      <w:r w:rsidR="002F52EC">
        <w:t>childhood i</w:t>
      </w:r>
      <w:r>
        <w:t>nto adulthood. This shows that Jack has stayed on the island his whole life, which argues the point that he thinks of the island as his home. However, he reveals possible insight into a reason for staying is because he is trapped with his memories of Megan in a past “that he had never let go”</w:t>
      </w:r>
      <w:r>
        <w:rPr>
          <w:rStyle w:val="FootnoteReference"/>
        </w:rPr>
        <w:footnoteReference w:id="18"/>
      </w:r>
      <w:r w:rsidR="00704290">
        <w:t xml:space="preserve"> implying that his association of home is with the past. Another character who we assume has always stayed on the island is </w:t>
      </w:r>
      <w:proofErr w:type="spellStart"/>
      <w:r w:rsidR="00704290">
        <w:t>Felin</w:t>
      </w:r>
      <w:proofErr w:type="spellEnd"/>
      <w:r w:rsidR="00704290">
        <w:t>. His experience of staying is likely that of following the family business through the generations as evidence supports this through the discussion of the coal dust and flour stained skin “she should have seen his father before he died”</w:t>
      </w:r>
      <w:r w:rsidR="00704290">
        <w:rPr>
          <w:rStyle w:val="FootnoteReference"/>
        </w:rPr>
        <w:footnoteReference w:id="19"/>
      </w:r>
      <w:r w:rsidR="00704290">
        <w:t xml:space="preserve">. This illuminates a different reason why people stay; through family ties and past connections. </w:t>
      </w:r>
      <w:r w:rsidR="00CC0377">
        <w:t xml:space="preserve">In </w:t>
      </w:r>
      <w:proofErr w:type="gramStart"/>
      <w:r w:rsidR="00CC0377" w:rsidRPr="00CC0377">
        <w:rPr>
          <w:i/>
          <w:iCs/>
        </w:rPr>
        <w:t>The</w:t>
      </w:r>
      <w:proofErr w:type="gramEnd"/>
      <w:r w:rsidR="00CC0377" w:rsidRPr="00CC0377">
        <w:rPr>
          <w:i/>
          <w:iCs/>
        </w:rPr>
        <w:t xml:space="preserve"> Hiding Place</w:t>
      </w:r>
      <w:r w:rsidR="00CC0377">
        <w:t>, it is revealed that the Gauci’s neighbour Mrs Riley remains on the same street “more than thirty years on”</w:t>
      </w:r>
      <w:r w:rsidR="00CC0377">
        <w:rPr>
          <w:rStyle w:val="FootnoteReference"/>
        </w:rPr>
        <w:footnoteReference w:id="20"/>
      </w:r>
      <w:r w:rsidR="00CC0377">
        <w:t xml:space="preserve">. She appears to be firmly embedded into the community, therefore supporting the previous discussion of the community playing an important role in identifying the home. Eva too stays is the area, however she says to </w:t>
      </w:r>
      <w:proofErr w:type="spellStart"/>
      <w:r w:rsidR="00CC0377">
        <w:t>Dol</w:t>
      </w:r>
      <w:proofErr w:type="spellEnd"/>
      <w:r w:rsidR="00CC0377">
        <w:t xml:space="preserve"> “they’ll be none of us left soon!”</w:t>
      </w:r>
      <w:r w:rsidR="00CC0377">
        <w:rPr>
          <w:rStyle w:val="FootnoteReference"/>
        </w:rPr>
        <w:footnoteReference w:id="21"/>
      </w:r>
      <w:r w:rsidR="00CC0377">
        <w:t xml:space="preserve"> and later “there’s none of us left now”</w:t>
      </w:r>
      <w:r w:rsidR="00CC0377">
        <w:rPr>
          <w:rStyle w:val="FootnoteReference"/>
        </w:rPr>
        <w:footnoteReference w:id="22"/>
      </w:r>
      <w:r w:rsidR="00CC0377">
        <w:t xml:space="preserve"> showing that everyone she has ever known has either left or died. Martineau is another character who stays but like Hughes’ Jack </w:t>
      </w:r>
      <w:proofErr w:type="spellStart"/>
      <w:r w:rsidR="00CC0377">
        <w:t>Cucu</w:t>
      </w:r>
      <w:proofErr w:type="spellEnd"/>
      <w:r w:rsidR="00CC0377">
        <w:t xml:space="preserve">, it appears as though Martineau is still stuck in the past. He recounts his memories of Mary and the girls growing up to </w:t>
      </w:r>
      <w:proofErr w:type="spellStart"/>
      <w:r w:rsidR="00CC0377">
        <w:t>Dol</w:t>
      </w:r>
      <w:proofErr w:type="spellEnd"/>
      <w:r w:rsidR="00CC0377">
        <w:t xml:space="preserve"> and Louis, but the way he depicts them suggests he may be haunted by his actions in the past </w:t>
      </w:r>
      <w:r w:rsidR="002F52EC">
        <w:t>because</w:t>
      </w:r>
      <w:r w:rsidR="00CC0377">
        <w:t xml:space="preserve"> </w:t>
      </w:r>
      <w:proofErr w:type="spellStart"/>
      <w:r w:rsidR="00CC0377">
        <w:t>Dol</w:t>
      </w:r>
      <w:proofErr w:type="spellEnd"/>
      <w:r w:rsidR="00CC0377">
        <w:t xml:space="preserve"> states “we’re both stuck here in The Moonlight, in Martineau’s story”</w:t>
      </w:r>
      <w:r w:rsidR="00CC0377">
        <w:rPr>
          <w:rStyle w:val="FootnoteReference"/>
        </w:rPr>
        <w:footnoteReference w:id="23"/>
      </w:r>
      <w:r w:rsidR="00CC0377">
        <w:t xml:space="preserve"> as though they are all trapped by the past.</w:t>
      </w:r>
    </w:p>
    <w:p w14:paraId="459383D2" w14:textId="3A5EC0C2" w:rsidR="005A7B17" w:rsidRDefault="00CC0377" w:rsidP="00D63DD4">
      <w:pPr>
        <w:pStyle w:val="NoSpacing"/>
      </w:pPr>
      <w:r>
        <w:tab/>
      </w:r>
      <w:r w:rsidR="005F6423">
        <w:t>The following element to consider is t</w:t>
      </w:r>
      <w:r w:rsidR="00FA3F46" w:rsidRPr="00FA3F46">
        <w:t>he house as a microcosm of the body and its surfaces and boundaries</w:t>
      </w:r>
      <w:r w:rsidR="005F6423">
        <w:t>.</w:t>
      </w:r>
      <w:r w:rsidR="00A30E4E">
        <w:t xml:space="preserve"> Elaine </w:t>
      </w:r>
      <w:proofErr w:type="spellStart"/>
      <w:r w:rsidR="00A30E4E">
        <w:t>Scarry</w:t>
      </w:r>
      <w:proofErr w:type="spellEnd"/>
      <w:r w:rsidR="00A30E4E">
        <w:t xml:space="preserve"> suggests that </w:t>
      </w:r>
      <w:r w:rsidR="00A30E4E" w:rsidRPr="00FA3F46">
        <w:t>“the room, the simplest form of shelter, expresses the most benign potential of human life. It is, on the one hand, an enlargement of the body: it keeps warm and safe the individual it houses in the same way the body encloses and protects the individual within; like the body, its walls put boundaries around the self preventing undifferentiated contact with the world, yet in its windows and doors, crude versions of the senses, it enables the self to move out into the world and allows that world to enter”</w:t>
      </w:r>
      <w:r w:rsidR="00A30E4E">
        <w:rPr>
          <w:rStyle w:val="FootnoteReference"/>
        </w:rPr>
        <w:footnoteReference w:id="24"/>
      </w:r>
      <w:r w:rsidR="00A30E4E">
        <w:t xml:space="preserve">. This illustrates that the body is a method of movement, it is </w:t>
      </w:r>
      <w:proofErr w:type="gramStart"/>
      <w:r w:rsidR="00A30E4E">
        <w:t>in itself a</w:t>
      </w:r>
      <w:proofErr w:type="gramEnd"/>
      <w:r w:rsidR="00A30E4E">
        <w:t xml:space="preserve"> home, therefore </w:t>
      </w:r>
      <w:r w:rsidR="00B26397">
        <w:t>anyone is</w:t>
      </w:r>
      <w:r w:rsidR="00A30E4E">
        <w:t xml:space="preserve"> always</w:t>
      </w:r>
      <w:r w:rsidR="00B26397">
        <w:t xml:space="preserve"> </w:t>
      </w:r>
      <w:r w:rsidR="006D1CB1">
        <w:t xml:space="preserve">at </w:t>
      </w:r>
      <w:r w:rsidR="00A30E4E">
        <w:t xml:space="preserve">home. This however poses the argument that if one is not comfortable with their own body, they will not feel like it is their home. </w:t>
      </w:r>
      <w:proofErr w:type="spellStart"/>
      <w:r w:rsidR="005A7B17">
        <w:t>Scarry</w:t>
      </w:r>
      <w:proofErr w:type="spellEnd"/>
      <w:r w:rsidR="005A7B17">
        <w:t xml:space="preserve"> explores this further by saying</w:t>
      </w:r>
      <w:r w:rsidR="00FA3F46" w:rsidRPr="00FA3F46">
        <w:t xml:space="preserve"> “while the room is a magnification of the body it is simultaneously a miniaturisation of the world of civilisation”</w:t>
      </w:r>
      <w:r w:rsidR="005A7B17">
        <w:rPr>
          <w:rStyle w:val="FootnoteReference"/>
        </w:rPr>
        <w:footnoteReference w:id="25"/>
      </w:r>
      <w:r w:rsidR="005A7B17">
        <w:t xml:space="preserve">. This shows that rooms can be personalised, they are a place to showcase experiences, which reveals elements of creativity and visions of the mind. In </w:t>
      </w:r>
      <w:proofErr w:type="gramStart"/>
      <w:r w:rsidR="005A7B17" w:rsidRPr="005A7B17">
        <w:rPr>
          <w:i/>
          <w:iCs/>
        </w:rPr>
        <w:t>The</w:t>
      </w:r>
      <w:proofErr w:type="gramEnd"/>
      <w:r w:rsidR="005A7B17" w:rsidRPr="005A7B17">
        <w:rPr>
          <w:i/>
          <w:iCs/>
        </w:rPr>
        <w:t xml:space="preserve"> Hiding Place</w:t>
      </w:r>
      <w:r w:rsidR="005A7B17">
        <w:t>, Fran personalises her body with tattoos as a way of becoming comfortable with herself and reminding herself of her wild side when everyone around her is determined to oppress it. Therefore, the body becomes a reflection of society.</w:t>
      </w:r>
    </w:p>
    <w:p w14:paraId="32727887" w14:textId="462BA4B5" w:rsidR="00674249" w:rsidRDefault="00FA3F46" w:rsidP="00674249">
      <w:pPr>
        <w:pStyle w:val="NoSpacing"/>
        <w:ind w:firstLine="720"/>
      </w:pPr>
      <w:r w:rsidRPr="00FA3F46">
        <w:t>The body in terms of anatomical meaning is “one that is inherently fragile and always potentially contestable; while the intermeshing of the body with signifying systems produces meaning and identity, it also makes possible their disruption or collapse”</w:t>
      </w:r>
      <w:r w:rsidR="0081338D">
        <w:rPr>
          <w:rStyle w:val="FootnoteReference"/>
        </w:rPr>
        <w:footnoteReference w:id="26"/>
      </w:r>
      <w:r w:rsidR="0081338D">
        <w:t xml:space="preserve">. The fragile body is </w:t>
      </w:r>
      <w:r w:rsidR="0081338D">
        <w:lastRenderedPageBreak/>
        <w:t>explore</w:t>
      </w:r>
      <w:r w:rsidR="00E657C8">
        <w:t>d</w:t>
      </w:r>
      <w:r w:rsidR="0081338D">
        <w:t xml:space="preserve"> in </w:t>
      </w:r>
      <w:r w:rsidR="0081338D" w:rsidRPr="00E657C8">
        <w:rPr>
          <w:i/>
          <w:iCs/>
        </w:rPr>
        <w:t>The Hiding Place</w:t>
      </w:r>
      <w:r w:rsidR="0081338D">
        <w:t xml:space="preserve"> with Mary protecting Dolores by hiding her from her father in the chest, as well as her hand being burned</w:t>
      </w:r>
      <w:r w:rsidR="00E657C8">
        <w:t>: “that soft skin is petrol, those bones are tinder, so small, so easily eaten in a flame”</w:t>
      </w:r>
      <w:r w:rsidR="00E657C8">
        <w:rPr>
          <w:rStyle w:val="FootnoteReference"/>
        </w:rPr>
        <w:footnoteReference w:id="27"/>
      </w:r>
      <w:r w:rsidR="00E657C8">
        <w:t>.</w:t>
      </w:r>
      <w:r w:rsidR="00674249">
        <w:t xml:space="preserve"> T</w:t>
      </w:r>
      <w:r w:rsidRPr="00FA3F46">
        <w:t>ony Conran</w:t>
      </w:r>
      <w:r w:rsidR="00674249">
        <w:t xml:space="preserve"> notes that </w:t>
      </w:r>
      <w:r w:rsidRPr="00FA3F46">
        <w:t>“Welsh modernist writing in particular is strongly attracted to the grotesque, a genre in which the body is depicted as distorted, monstrous and hybrid”</w:t>
      </w:r>
      <w:r w:rsidR="00674249">
        <w:rPr>
          <w:rStyle w:val="FootnoteReference"/>
        </w:rPr>
        <w:footnoteReference w:id="28"/>
      </w:r>
      <w:r w:rsidR="00C9220E">
        <w:t xml:space="preserve">. This is shown through the fascination and disgust the locals have with </w:t>
      </w:r>
      <w:proofErr w:type="spellStart"/>
      <w:r w:rsidR="00C9220E">
        <w:t>Dol’s</w:t>
      </w:r>
      <w:proofErr w:type="spellEnd"/>
      <w:r w:rsidR="00C9220E">
        <w:t xml:space="preserve"> hand, for example in Evans’ shop: “Now – Let’s have a look at that hand of yours”</w:t>
      </w:r>
      <w:r w:rsidR="00C9220E">
        <w:rPr>
          <w:rStyle w:val="FootnoteReference"/>
        </w:rPr>
        <w:footnoteReference w:id="29"/>
      </w:r>
      <w:r w:rsidR="00C9220E">
        <w:t>. This indicates that the local people in the community live a sheltered life that is dependent on gossip. Conran further argues that representations of the body as grotesque “</w:t>
      </w:r>
      <w:r w:rsidR="00C9220E" w:rsidRPr="00FA3F46">
        <w:t>are a marker of wider social concerns, being symptomatic of the middle-class rejection of the social and moral imperatives of Welsh Nonconformity</w:t>
      </w:r>
      <w:r w:rsidR="00C9220E">
        <w:t>”</w:t>
      </w:r>
      <w:r w:rsidR="00C9220E">
        <w:rPr>
          <w:rStyle w:val="FootnoteReference"/>
        </w:rPr>
        <w:footnoteReference w:id="30"/>
      </w:r>
      <w:r w:rsidR="00C9220E">
        <w:t>. In the present Dolores is mistaken for Mary by Mrs Riley but at “the sight of my hand. I needed no other introduction”</w:t>
      </w:r>
      <w:r w:rsidR="00C9220E">
        <w:rPr>
          <w:rStyle w:val="FootnoteReference"/>
        </w:rPr>
        <w:footnoteReference w:id="31"/>
      </w:r>
      <w:r w:rsidR="000F375D">
        <w:t xml:space="preserve"> </w:t>
      </w:r>
      <w:r w:rsidR="00B26397">
        <w:t xml:space="preserve">showing that Mrs Riley is inhabited by her fascination with the grotesque. </w:t>
      </w:r>
    </w:p>
    <w:p w14:paraId="08092B32" w14:textId="22370CB4" w:rsidR="005756C0" w:rsidRDefault="005756C0" w:rsidP="00C95648">
      <w:pPr>
        <w:pStyle w:val="NoSpacing"/>
        <w:ind w:firstLine="720"/>
      </w:pPr>
      <w:r>
        <w:t>Hughes proposes that “</w:t>
      </w:r>
      <w:r w:rsidRPr="00355508">
        <w:t>Islands represent a paradoxical mix of isolation, detachment, and connection; the sea that cuts you off also links you more promiscuously with the wider world</w:t>
      </w:r>
      <w:r>
        <w:rPr>
          <w:rStyle w:val="FootnoteReference"/>
        </w:rPr>
        <w:footnoteReference w:id="32"/>
      </w:r>
      <w:r>
        <w:t xml:space="preserve">. This </w:t>
      </w:r>
      <w:r w:rsidR="00B26397">
        <w:t>displays</w:t>
      </w:r>
      <w:r>
        <w:t xml:space="preserve"> the concept of an island that the water isolates the land, but the water also allows the possibility of travel. </w:t>
      </w:r>
      <w:r w:rsidR="00C95648">
        <w:t xml:space="preserve">In </w:t>
      </w:r>
      <w:proofErr w:type="gramStart"/>
      <w:r w:rsidR="00C95648" w:rsidRPr="00BC1CC7">
        <w:rPr>
          <w:i/>
          <w:iCs/>
        </w:rPr>
        <w:t>The</w:t>
      </w:r>
      <w:proofErr w:type="gramEnd"/>
      <w:r w:rsidR="00C95648" w:rsidRPr="00BC1CC7">
        <w:rPr>
          <w:i/>
          <w:iCs/>
        </w:rPr>
        <w:t xml:space="preserve"> Tower</w:t>
      </w:r>
      <w:r w:rsidR="00C95648">
        <w:t>, there are only two notable people that leave. One is Megan who must leave with her father for his job.</w:t>
      </w:r>
      <w:r w:rsidR="00C95648" w:rsidRPr="00BC1CC7">
        <w:t xml:space="preserve"> </w:t>
      </w:r>
      <w:r w:rsidR="00C95648">
        <w:t>At first writes back to Jack with letters of misery but in time these turn into letters of interesting places she has seen showing that despite being forced to leave her homeland she manages to find her own home elsewhere. The other is Edward’s brother William. Edward pictures his brother “on a pleasant porch, swathed in tropical sunshine and drinking mint juleps”</w:t>
      </w:r>
      <w:r w:rsidR="00C95648">
        <w:rPr>
          <w:rStyle w:val="FootnoteReference"/>
        </w:rPr>
        <w:footnoteReference w:id="33"/>
      </w:r>
      <w:r w:rsidR="00C95648">
        <w:t xml:space="preserve"> which indicates a hint of jealousy that his brother left in search of his own life and home. It also demonstrates Edward’s lack of knowledge of </w:t>
      </w:r>
      <w:r w:rsidR="00C95648">
        <w:t>America and</w:t>
      </w:r>
      <w:r w:rsidR="00C95648">
        <w:t xml:space="preserve"> displays a level of irony because his brother taught geography.</w:t>
      </w:r>
      <w:r w:rsidR="00C95648">
        <w:t xml:space="preserve"> </w:t>
      </w:r>
      <w:r>
        <w:t>Mallett suggests that “</w:t>
      </w:r>
      <w:r w:rsidRPr="00955A48">
        <w:t>the identity of a place is ‘provisional’ or in flux. The boundaries of place and/or home are permeable and unstable. Equally, places have no fixed or essential past. The identity and meaning of a place must be constructed and negotiated</w:t>
      </w:r>
      <w:r>
        <w:t>”</w:t>
      </w:r>
      <w:r>
        <w:rPr>
          <w:rStyle w:val="FootnoteReference"/>
        </w:rPr>
        <w:footnoteReference w:id="34"/>
      </w:r>
      <w:r>
        <w:t xml:space="preserve">. This constructs imagery of water, </w:t>
      </w:r>
      <w:r w:rsidR="0096724A">
        <w:t xml:space="preserve">as water is never in the same place more than once it is </w:t>
      </w:r>
      <w:r>
        <w:t xml:space="preserve">constantly moving, much like people. </w:t>
      </w:r>
      <w:r w:rsidR="0096724A">
        <w:t>Additionally, as people grow and have more experiences, they will never look at the same place in the same way, therefore supporting Mallett’s idea that place’s identity is in constant flux. This means that as people travel away from home, the journey and destination “</w:t>
      </w:r>
      <w:r w:rsidR="0096724A" w:rsidRPr="00B21049">
        <w:t>impact on their identity and understanding of home</w:t>
      </w:r>
      <w:r w:rsidR="0096724A">
        <w:t>”</w:t>
      </w:r>
      <w:r w:rsidR="0096724A">
        <w:rPr>
          <w:rStyle w:val="FootnoteReference"/>
        </w:rPr>
        <w:footnoteReference w:id="35"/>
      </w:r>
      <w:r w:rsidR="0096724A">
        <w:t>. The search for a home is a journey that many people embark on at some point during their lives. It is a determination to find a balance between the “</w:t>
      </w:r>
      <w:r w:rsidR="0096724A" w:rsidRPr="00955A48">
        <w:t>natural home</w:t>
      </w:r>
      <w:r w:rsidR="0096724A">
        <w:t xml:space="preserve"> […] </w:t>
      </w:r>
      <w:r w:rsidR="0096724A" w:rsidRPr="00955A48">
        <w:t>and the particular ideal home where they would be fully fulfilled</w:t>
      </w:r>
      <w:r w:rsidR="0096724A">
        <w:t>”</w:t>
      </w:r>
      <w:r w:rsidR="0096724A">
        <w:rPr>
          <w:rStyle w:val="FootnoteReference"/>
        </w:rPr>
        <w:footnoteReference w:id="36"/>
      </w:r>
      <w:r w:rsidR="0096724A">
        <w:t>. If we were to replace ‘ideal home’ with ‘imagined home’, this summarises the journey Dolores takes in searching for the missing fragments of her past to further understand her experience with her childhood home.</w:t>
      </w:r>
      <w:r w:rsidR="00C95648" w:rsidRPr="00C95648">
        <w:t xml:space="preserve"> </w:t>
      </w:r>
    </w:p>
    <w:p w14:paraId="5D1A1B56" w14:textId="05EE0A6F" w:rsidR="00BC1CC7" w:rsidRDefault="0096724A" w:rsidP="00C95648">
      <w:pPr>
        <w:pStyle w:val="NoSpacing"/>
        <w:ind w:firstLine="720"/>
      </w:pPr>
      <w:r>
        <w:t>The connotations of home “</w:t>
      </w:r>
      <w:r w:rsidRPr="00955A48">
        <w:t>may evoke security in one context and seem confining in another’</w:t>
      </w:r>
      <w:r>
        <w:t>”</w:t>
      </w:r>
      <w:r>
        <w:rPr>
          <w:rStyle w:val="FootnoteReference"/>
        </w:rPr>
        <w:footnoteReference w:id="37"/>
      </w:r>
      <w:r>
        <w:t xml:space="preserve">. In </w:t>
      </w:r>
      <w:proofErr w:type="gramStart"/>
      <w:r w:rsidRPr="0096724A">
        <w:rPr>
          <w:i/>
          <w:iCs/>
        </w:rPr>
        <w:t>The</w:t>
      </w:r>
      <w:proofErr w:type="gramEnd"/>
      <w:r w:rsidRPr="0096724A">
        <w:rPr>
          <w:i/>
          <w:iCs/>
        </w:rPr>
        <w:t xml:space="preserve"> Hiding Place</w:t>
      </w:r>
      <w:r>
        <w:t xml:space="preserve">, the home is not a place of safety. An example of this is the memory Luca has of wanting her father’s </w:t>
      </w:r>
      <w:r w:rsidR="00E17D6C">
        <w:t>attention,</w:t>
      </w:r>
      <w:r>
        <w:t xml:space="preserve"> but he picks her up by her neck and throws her </w:t>
      </w:r>
      <w:r w:rsidR="00E17D6C">
        <w:t>into the house as though she is a stray cat and not his daughter. It is noted that as a two-year-old she has not “learned to fear him yet”</w:t>
      </w:r>
      <w:r w:rsidR="00E17D6C">
        <w:rPr>
          <w:rStyle w:val="FootnoteReference"/>
        </w:rPr>
        <w:footnoteReference w:id="38"/>
      </w:r>
      <w:r w:rsidR="00E17D6C">
        <w:t xml:space="preserve">. When her mother sees her, she steps right over her body and does “not </w:t>
      </w:r>
      <w:r w:rsidR="00E17D6C">
        <w:lastRenderedPageBreak/>
        <w:t>register her child on the floor”</w:t>
      </w:r>
      <w:r w:rsidR="00E17D6C">
        <w:rPr>
          <w:rStyle w:val="FootnoteReference"/>
        </w:rPr>
        <w:footnoteReference w:id="39"/>
      </w:r>
      <w:r w:rsidR="00E17D6C">
        <w:t xml:space="preserve"> and</w:t>
      </w:r>
      <w:r w:rsidR="00B26397">
        <w:t xml:space="preserve"> then</w:t>
      </w:r>
      <w:r w:rsidR="00E17D6C">
        <w:t xml:space="preserve"> precedes to step over her a second time. This does not depict a loving, family home but rather an absence of a nurturing space. In their other house it is said that they do not have a kitchen but instead it has been replaced by a gambling station. Stereotypically, the kitchen is known as the heart of the home, it is where the children are fed and cared for and that family conversations are held. There is nothing that makes the girls feel like this is a home, therefore they cannot </w:t>
      </w:r>
      <w:r w:rsidR="00B26397">
        <w:t xml:space="preserve">form a </w:t>
      </w:r>
      <w:r w:rsidR="00E17D6C">
        <w:t>connect</w:t>
      </w:r>
      <w:r w:rsidR="00B26397">
        <w:t>ion</w:t>
      </w:r>
      <w:r w:rsidR="00E17D6C">
        <w:t xml:space="preserve"> to it</w:t>
      </w:r>
      <w:r w:rsidR="00B26397">
        <w:t>.</w:t>
      </w:r>
      <w:r w:rsidR="00E17D6C">
        <w:t xml:space="preserve"> Fran’s fascination with fire and when she burns down the abandoned house illuminates her lack of a connection with the home.</w:t>
      </w:r>
      <w:r w:rsidR="00C95648">
        <w:t xml:space="preserve"> </w:t>
      </w:r>
      <w:r w:rsidR="00E17D6C">
        <w:t>Each of the girls leave or are sent away. The first to go is Marina, a trade deal with Joe Medora to keep the house</w:t>
      </w:r>
      <w:r w:rsidR="00BC1CC7">
        <w:t xml:space="preserve">, secondly is Celesta who marries </w:t>
      </w:r>
      <w:proofErr w:type="spellStart"/>
      <w:r w:rsidR="00BC1CC7">
        <w:t>Pippo</w:t>
      </w:r>
      <w:proofErr w:type="spellEnd"/>
      <w:r w:rsidR="00BC1CC7">
        <w:t>, and then “everyone got sent away. Except [their] father – he simply ran”</w:t>
      </w:r>
      <w:r w:rsidR="00BC1CC7">
        <w:rPr>
          <w:rStyle w:val="FootnoteReference"/>
        </w:rPr>
        <w:footnoteReference w:id="40"/>
      </w:r>
      <w:r w:rsidR="00BC1CC7">
        <w:t xml:space="preserve">. In adult life none of them attempted to contact one another until the funeral, they had their own missions to find their definition of a home. </w:t>
      </w:r>
    </w:p>
    <w:p w14:paraId="3390371B" w14:textId="2E10A433" w:rsidR="00C95648" w:rsidRDefault="005977C8" w:rsidP="00C95648">
      <w:pPr>
        <w:pStyle w:val="NoSpacing"/>
      </w:pPr>
      <w:r>
        <w:t xml:space="preserve">Increased availability of cheap travel and access to communications through the internet </w:t>
      </w:r>
      <w:r w:rsidR="00C95648">
        <w:t xml:space="preserve">acts as a </w:t>
      </w:r>
      <w:r w:rsidR="00D231AF">
        <w:t>source to</w:t>
      </w:r>
      <w:r w:rsidR="00C95648">
        <w:t xml:space="preserve"> </w:t>
      </w:r>
      <w:r>
        <w:t>bring the world closer</w:t>
      </w:r>
      <w:r w:rsidR="00C95648">
        <w:t xml:space="preserve">. Hughes says that </w:t>
      </w:r>
      <w:r>
        <w:t>“We seem torn more than ever by the simultaneous desire for a home and an elsewhere, staying still and lighting out for the territories”</w:t>
      </w:r>
      <w:r w:rsidR="00C95648">
        <w:rPr>
          <w:rStyle w:val="FootnoteReference"/>
        </w:rPr>
        <w:footnoteReference w:id="41"/>
      </w:r>
      <w:r w:rsidR="00C95648">
        <w:t>. This indicates that whilst people choose to leave home there is always the possibility for them to return</w:t>
      </w:r>
      <w:r w:rsidR="00E70ABD">
        <w:t xml:space="preserve"> because h</w:t>
      </w:r>
      <w:r w:rsidR="00C95648">
        <w:t xml:space="preserve">ome </w:t>
      </w:r>
      <w:r w:rsidR="00C95648">
        <w:t xml:space="preserve">can be </w:t>
      </w:r>
      <w:r w:rsidR="00C95648">
        <w:t>“</w:t>
      </w:r>
      <w:r w:rsidR="00C95648" w:rsidRPr="00955A48">
        <w:t>represented as a spatial and relational realm from which people venture into the world and to which they generally hope to return</w:t>
      </w:r>
      <w:r w:rsidR="00C95648">
        <w:t>”</w:t>
      </w:r>
      <w:r w:rsidR="00C95648">
        <w:rPr>
          <w:rStyle w:val="FootnoteReference"/>
        </w:rPr>
        <w:footnoteReference w:id="42"/>
      </w:r>
      <w:r w:rsidR="00C95648">
        <w:t>.</w:t>
      </w:r>
      <w:r w:rsidR="00E70ABD">
        <w:t xml:space="preserve"> Growing up the only things </w:t>
      </w:r>
      <w:proofErr w:type="spellStart"/>
      <w:r w:rsidR="00E70ABD">
        <w:t>Dol</w:t>
      </w:r>
      <w:proofErr w:type="spellEnd"/>
      <w:r w:rsidR="00E70ABD">
        <w:t xml:space="preserve"> knew about herself and her family were from stories and the memories of a child</w:t>
      </w:r>
      <w:r w:rsidR="00201DFC">
        <w:t xml:space="preserve"> and </w:t>
      </w:r>
      <w:r w:rsidR="00201DFC">
        <w:t>“</w:t>
      </w:r>
      <w:r w:rsidR="00201DFC" w:rsidRPr="00B903E2">
        <w:t>memories show no respect for chronological time</w:t>
      </w:r>
      <w:r w:rsidR="00201DFC">
        <w:t>”</w:t>
      </w:r>
      <w:r w:rsidR="00201DFC">
        <w:rPr>
          <w:rStyle w:val="FootnoteReference"/>
        </w:rPr>
        <w:footnoteReference w:id="43"/>
      </w:r>
      <w:r w:rsidR="00E70ABD">
        <w:t xml:space="preserve">. Upon her return she wants answers and the missing pieces of her story, </w:t>
      </w:r>
      <w:r w:rsidR="00201DFC">
        <w:t xml:space="preserve">a </w:t>
      </w:r>
      <w:r w:rsidR="00E70ABD">
        <w:t>“</w:t>
      </w:r>
      <w:r w:rsidR="00E70ABD">
        <w:t>quest for identity: we must know who we are before we can decide where we are going</w:t>
      </w:r>
      <w:r w:rsidR="00E70ABD">
        <w:t>”</w:t>
      </w:r>
      <w:r w:rsidR="00E70ABD">
        <w:rPr>
          <w:rStyle w:val="FootnoteReference"/>
        </w:rPr>
        <w:footnoteReference w:id="44"/>
      </w:r>
      <w:r w:rsidR="00201DFC">
        <w:t xml:space="preserve">. Only Dolores speaks of the past, her sisters avoid it, but the past can be a way of understanding the present and therefore it provides a connection between home and identity. This correlates </w:t>
      </w:r>
      <w:r w:rsidR="00D231AF">
        <w:t>with</w:t>
      </w:r>
      <w:r w:rsidR="00201DFC">
        <w:t xml:space="preserve"> the </w:t>
      </w:r>
      <w:r w:rsidR="00D231AF">
        <w:t>concept</w:t>
      </w:r>
      <w:r w:rsidR="00201DFC">
        <w:t xml:space="preserve"> of belonging, a “</w:t>
      </w:r>
      <w:r w:rsidR="00201DFC">
        <w:t>sense of feeling part of a community or country, of having links and ties with its past and present and being able to contribute to its future</w:t>
      </w:r>
      <w:r w:rsidR="00201DFC">
        <w:t>”</w:t>
      </w:r>
      <w:r w:rsidR="00201DFC">
        <w:rPr>
          <w:rStyle w:val="FootnoteReference"/>
        </w:rPr>
        <w:footnoteReference w:id="45"/>
      </w:r>
      <w:r w:rsidR="00201DFC">
        <w:t>. There are many variants of belonging: “</w:t>
      </w:r>
      <w:r w:rsidR="00201DFC">
        <w:t>it can mean the claim of one person on another, the claim of a country on a citizen, the claim of an owner on property”</w:t>
      </w:r>
      <w:r w:rsidR="00201DFC">
        <w:rPr>
          <w:rStyle w:val="FootnoteReference"/>
        </w:rPr>
        <w:footnoteReference w:id="46"/>
      </w:r>
      <w:r w:rsidR="00201DFC">
        <w:t xml:space="preserve">. </w:t>
      </w:r>
      <w:r w:rsidR="00FB6780">
        <w:t xml:space="preserve">In </w:t>
      </w:r>
      <w:proofErr w:type="gramStart"/>
      <w:r w:rsidR="00FB6780" w:rsidRPr="00FB6780">
        <w:rPr>
          <w:i/>
          <w:iCs/>
        </w:rPr>
        <w:t>The</w:t>
      </w:r>
      <w:proofErr w:type="gramEnd"/>
      <w:r w:rsidR="00FB6780" w:rsidRPr="00FB6780">
        <w:rPr>
          <w:i/>
          <w:iCs/>
        </w:rPr>
        <w:t xml:space="preserve"> Hiding Place</w:t>
      </w:r>
      <w:r w:rsidR="00FB6780">
        <w:t xml:space="preserve"> there is a chain of belonging; the girls and Mary belong to Frankie, Marina belongs to Joe Medora, Frankie belongs to Medora, it is only when Frankie runs away that the chain breaks and the girls can move on.</w:t>
      </w:r>
    </w:p>
    <w:p w14:paraId="69A4EB6A" w14:textId="5B18C9BD" w:rsidR="00D231AF" w:rsidRDefault="00FB6780">
      <w:pPr>
        <w:pStyle w:val="NoSpacing"/>
      </w:pPr>
      <w:r>
        <w:tab/>
        <w:t xml:space="preserve">In conclusion, I feel that the evidence I have discussed in this essay supports the opinion that history is the key to understanding the relationship between home and identity. The two texts display </w:t>
      </w:r>
      <w:proofErr w:type="gramStart"/>
      <w:r>
        <w:t>various different</w:t>
      </w:r>
      <w:proofErr w:type="gramEnd"/>
      <w:r>
        <w:t xml:space="preserve"> meanings of home which impacts their stories and decisions. There is a focus on the importance of searching for your own identity, whether that is the result of staying or leaving, but in the end </w:t>
      </w:r>
      <w:r w:rsidR="000805B9">
        <w:t>“there’s no law against coming back”</w:t>
      </w:r>
      <w:r>
        <w:rPr>
          <w:rStyle w:val="FootnoteReference"/>
        </w:rPr>
        <w:footnoteReference w:id="47"/>
      </w:r>
      <w:r>
        <w:t>.</w:t>
      </w:r>
    </w:p>
    <w:p w14:paraId="610041C2" w14:textId="77777777" w:rsidR="00D231AF" w:rsidRDefault="00D231AF">
      <w:r>
        <w:br w:type="page"/>
      </w:r>
    </w:p>
    <w:p w14:paraId="4C14F571" w14:textId="1B6B5D2D" w:rsidR="000805B9" w:rsidRPr="00820C8B" w:rsidRDefault="00D231AF" w:rsidP="00820C8B">
      <w:pPr>
        <w:pStyle w:val="NoSpacing"/>
        <w:jc w:val="center"/>
        <w:rPr>
          <w:u w:val="single"/>
        </w:rPr>
      </w:pPr>
      <w:r w:rsidRPr="00820C8B">
        <w:rPr>
          <w:u w:val="single"/>
        </w:rPr>
        <w:lastRenderedPageBreak/>
        <w:t>Bibliography</w:t>
      </w:r>
    </w:p>
    <w:p w14:paraId="00E25354" w14:textId="05A3780A" w:rsidR="00D231AF" w:rsidRDefault="00D231AF">
      <w:pPr>
        <w:pStyle w:val="NoSpacing"/>
      </w:pPr>
    </w:p>
    <w:p w14:paraId="6B40C5CA" w14:textId="3529DB0D" w:rsidR="00D231AF" w:rsidRDefault="00D231AF">
      <w:pPr>
        <w:pStyle w:val="NoSpacing"/>
      </w:pPr>
      <w:r w:rsidRPr="00D231AF">
        <w:t xml:space="preserve">Azzopardi, </w:t>
      </w:r>
      <w:proofErr w:type="spellStart"/>
      <w:r w:rsidRPr="00D231AF">
        <w:t>Trezza</w:t>
      </w:r>
      <w:proofErr w:type="spellEnd"/>
      <w:r w:rsidRPr="00D231AF">
        <w:t>, </w:t>
      </w:r>
      <w:r w:rsidRPr="00D231AF">
        <w:rPr>
          <w:i/>
          <w:iCs/>
        </w:rPr>
        <w:t>The Hiding Place</w:t>
      </w:r>
      <w:r w:rsidRPr="00D231AF">
        <w:t> (London: Picador, 2001)</w:t>
      </w:r>
    </w:p>
    <w:p w14:paraId="21C55F16" w14:textId="2BDD8EE8" w:rsidR="00D231AF" w:rsidRDefault="00D231AF">
      <w:pPr>
        <w:pStyle w:val="NoSpacing"/>
      </w:pPr>
    </w:p>
    <w:p w14:paraId="6DC031CC" w14:textId="2941C454" w:rsidR="00D231AF" w:rsidRDefault="00D231AF">
      <w:pPr>
        <w:pStyle w:val="NoSpacing"/>
      </w:pPr>
      <w:r w:rsidRPr="00D231AF">
        <w:t xml:space="preserve">Brockway, Anthony, </w:t>
      </w:r>
      <w:r>
        <w:t>“</w:t>
      </w:r>
      <w:r w:rsidRPr="00D231AF">
        <w:t xml:space="preserve">Interview </w:t>
      </w:r>
      <w:r>
        <w:t>w</w:t>
      </w:r>
      <w:r w:rsidRPr="00D231AF">
        <w:t>ith Tristan Hughes 2006</w:t>
      </w:r>
      <w:r>
        <w:t>”</w:t>
      </w:r>
      <w:r w:rsidRPr="00D231AF">
        <w:t>, </w:t>
      </w:r>
      <w:r>
        <w:rPr>
          <w:i/>
          <w:iCs/>
        </w:rPr>
        <w:t>b</w:t>
      </w:r>
      <w:r w:rsidRPr="00D231AF">
        <w:rPr>
          <w:i/>
          <w:iCs/>
        </w:rPr>
        <w:t>abylonwales.</w:t>
      </w:r>
      <w:r>
        <w:rPr>
          <w:i/>
          <w:iCs/>
        </w:rPr>
        <w:t>b</w:t>
      </w:r>
      <w:r w:rsidRPr="00D231AF">
        <w:rPr>
          <w:i/>
          <w:iCs/>
        </w:rPr>
        <w:t>logspot.</w:t>
      </w:r>
      <w:r>
        <w:rPr>
          <w:i/>
          <w:iCs/>
        </w:rPr>
        <w:t>c</w:t>
      </w:r>
      <w:r w:rsidRPr="00D231AF">
        <w:rPr>
          <w:i/>
          <w:iCs/>
        </w:rPr>
        <w:t>om</w:t>
      </w:r>
      <w:r w:rsidRPr="00D231AF">
        <w:t>, 2010 &lt;http://babylonwales.blogspot.com/2010/04/interview-with-tristan-hughes-2006.html&gt; [Accessed 1 February 2020]</w:t>
      </w:r>
    </w:p>
    <w:p w14:paraId="17F6C70C" w14:textId="713ED074" w:rsidR="00D231AF" w:rsidRDefault="00D231AF">
      <w:pPr>
        <w:pStyle w:val="NoSpacing"/>
      </w:pPr>
    </w:p>
    <w:p w14:paraId="11CFDBB8" w14:textId="0963CC99" w:rsidR="00D231AF" w:rsidRDefault="00D231AF">
      <w:pPr>
        <w:pStyle w:val="NoSpacing"/>
      </w:pPr>
      <w:r w:rsidRPr="00D231AF">
        <w:t>Denzin, Norman K, and Lincoln, </w:t>
      </w:r>
      <w:proofErr w:type="spellStart"/>
      <w:r>
        <w:t>Yvonna</w:t>
      </w:r>
      <w:proofErr w:type="spellEnd"/>
      <w:r>
        <w:t xml:space="preserve"> S., </w:t>
      </w:r>
      <w:r w:rsidRPr="00D231AF">
        <w:rPr>
          <w:i/>
          <w:iCs/>
        </w:rPr>
        <w:t xml:space="preserve">Collecting </w:t>
      </w:r>
      <w:r>
        <w:rPr>
          <w:i/>
          <w:iCs/>
        </w:rPr>
        <w:t>a</w:t>
      </w:r>
      <w:r w:rsidRPr="00D231AF">
        <w:rPr>
          <w:i/>
          <w:iCs/>
        </w:rPr>
        <w:t>nd Interpreting Qualitative Materials</w:t>
      </w:r>
      <w:r w:rsidRPr="00D231AF">
        <w:t xml:space="preserve">, 3rd </w:t>
      </w:r>
      <w:proofErr w:type="spellStart"/>
      <w:r w:rsidRPr="00D231AF">
        <w:t>edn</w:t>
      </w:r>
      <w:proofErr w:type="spellEnd"/>
      <w:r w:rsidRPr="00D231AF">
        <w:t xml:space="preserve"> (Los Angeles: SAGE Publications, 2008)</w:t>
      </w:r>
    </w:p>
    <w:p w14:paraId="22AD28C9" w14:textId="68027697" w:rsidR="00D231AF" w:rsidRDefault="00D231AF">
      <w:pPr>
        <w:pStyle w:val="NoSpacing"/>
      </w:pPr>
    </w:p>
    <w:p w14:paraId="418C7B50" w14:textId="38B379EA" w:rsidR="00D231AF" w:rsidRDefault="00D231AF">
      <w:pPr>
        <w:pStyle w:val="NoSpacing"/>
      </w:pPr>
      <w:r w:rsidRPr="00D231AF">
        <w:t>Filmer-Davies, Kath, </w:t>
      </w:r>
      <w:r w:rsidRPr="00D231AF">
        <w:rPr>
          <w:i/>
          <w:iCs/>
        </w:rPr>
        <w:t xml:space="preserve">Fantasy Fiction </w:t>
      </w:r>
      <w:r>
        <w:rPr>
          <w:i/>
          <w:iCs/>
        </w:rPr>
        <w:t>a</w:t>
      </w:r>
      <w:r w:rsidRPr="00D231AF">
        <w:rPr>
          <w:i/>
          <w:iCs/>
        </w:rPr>
        <w:t xml:space="preserve">nd Welsh Myth: Tales </w:t>
      </w:r>
      <w:r>
        <w:rPr>
          <w:i/>
          <w:iCs/>
        </w:rPr>
        <w:t>o</w:t>
      </w:r>
      <w:r w:rsidRPr="00D231AF">
        <w:rPr>
          <w:i/>
          <w:iCs/>
        </w:rPr>
        <w:t>f Belonging</w:t>
      </w:r>
      <w:r w:rsidRPr="00D231AF">
        <w:t> (London: Macmillan, 1996)</w:t>
      </w:r>
    </w:p>
    <w:p w14:paraId="5E0A4F03" w14:textId="4C860E9D" w:rsidR="00D231AF" w:rsidRDefault="00D231AF">
      <w:pPr>
        <w:pStyle w:val="NoSpacing"/>
      </w:pPr>
    </w:p>
    <w:p w14:paraId="4DEB85C9" w14:textId="39E75B4C" w:rsidR="00D231AF" w:rsidRDefault="00D231AF">
      <w:pPr>
        <w:pStyle w:val="NoSpacing"/>
      </w:pPr>
      <w:r w:rsidRPr="00D231AF">
        <w:t>Hughes, Tristan, </w:t>
      </w:r>
      <w:r w:rsidRPr="00D231AF">
        <w:rPr>
          <w:i/>
          <w:iCs/>
        </w:rPr>
        <w:t>The Tower</w:t>
      </w:r>
      <w:r w:rsidRPr="00D231AF">
        <w:t> (Cardigan: Parthian, 2004)</w:t>
      </w:r>
    </w:p>
    <w:p w14:paraId="7BA645ED" w14:textId="34D594B4" w:rsidR="00D231AF" w:rsidRDefault="00D231AF">
      <w:pPr>
        <w:pStyle w:val="NoSpacing"/>
      </w:pPr>
    </w:p>
    <w:p w14:paraId="00B67DC2" w14:textId="04FB0AFC" w:rsidR="00D231AF" w:rsidRDefault="00D231AF">
      <w:pPr>
        <w:pStyle w:val="NoSpacing"/>
      </w:pPr>
      <w:r w:rsidRPr="00D231AF">
        <w:t xml:space="preserve">Mallett, Shelley, </w:t>
      </w:r>
      <w:r>
        <w:t>“</w:t>
      </w:r>
      <w:r w:rsidRPr="00D231AF">
        <w:t xml:space="preserve">Understanding Home: A Critical Review </w:t>
      </w:r>
      <w:r>
        <w:t>o</w:t>
      </w:r>
      <w:r w:rsidRPr="00D231AF">
        <w:t xml:space="preserve">f </w:t>
      </w:r>
      <w:r>
        <w:t>t</w:t>
      </w:r>
      <w:r w:rsidRPr="00D231AF">
        <w:t>he Literature</w:t>
      </w:r>
      <w:r>
        <w:t>”</w:t>
      </w:r>
      <w:r w:rsidRPr="00D231AF">
        <w:t>, </w:t>
      </w:r>
      <w:r w:rsidRPr="00D231AF">
        <w:rPr>
          <w:i/>
          <w:iCs/>
        </w:rPr>
        <w:t>The Sociological Review</w:t>
      </w:r>
      <w:r w:rsidRPr="00D231AF">
        <w:t>,</w:t>
      </w:r>
      <w:r>
        <w:t xml:space="preserve"> </w:t>
      </w:r>
      <w:r w:rsidRPr="00D231AF">
        <w:t>52</w:t>
      </w:r>
      <w:r w:rsidR="00D75C49">
        <w:t>.1</w:t>
      </w:r>
      <w:r w:rsidRPr="00D231AF">
        <w:t xml:space="preserve"> (2004) &lt;https://doi.org/10.1111/j.1467-954x.2004.00442.x&gt;</w:t>
      </w:r>
    </w:p>
    <w:p w14:paraId="2B942138" w14:textId="77777777" w:rsidR="00D231AF" w:rsidRDefault="00D231AF">
      <w:pPr>
        <w:pStyle w:val="NoSpacing"/>
      </w:pPr>
    </w:p>
    <w:p w14:paraId="31F5D562" w14:textId="5024BF99" w:rsidR="003D56F1" w:rsidRDefault="00D231AF">
      <w:pPr>
        <w:pStyle w:val="NoSpacing"/>
      </w:pPr>
      <w:r w:rsidRPr="00D231AF">
        <w:t xml:space="preserve">McIver, Gillian, </w:t>
      </w:r>
      <w:r>
        <w:t>“</w:t>
      </w:r>
      <w:r w:rsidRPr="00D231AF">
        <w:t>Art/Site/Context</w:t>
      </w:r>
      <w:r>
        <w:t>”</w:t>
      </w:r>
      <w:r w:rsidRPr="00D231AF">
        <w:t>, </w:t>
      </w:r>
      <w:r>
        <w:rPr>
          <w:i/>
          <w:iCs/>
        </w:rPr>
        <w:t>s</w:t>
      </w:r>
      <w:r w:rsidRPr="00D231AF">
        <w:rPr>
          <w:i/>
          <w:iCs/>
        </w:rPr>
        <w:t>itespecificart.</w:t>
      </w:r>
      <w:r>
        <w:rPr>
          <w:i/>
          <w:iCs/>
        </w:rPr>
        <w:t>o</w:t>
      </w:r>
      <w:r w:rsidRPr="00D231AF">
        <w:rPr>
          <w:i/>
          <w:iCs/>
        </w:rPr>
        <w:t>rg.</w:t>
      </w:r>
      <w:r>
        <w:rPr>
          <w:i/>
          <w:iCs/>
        </w:rPr>
        <w:t>u</w:t>
      </w:r>
      <w:r w:rsidRPr="00D231AF">
        <w:rPr>
          <w:i/>
          <w:iCs/>
        </w:rPr>
        <w:t>k</w:t>
      </w:r>
      <w:r w:rsidRPr="00D231AF">
        <w:t>, 2004 &lt;http://www.sitespecificart.org.uk/6.htm&gt; [Accessed 30 January 2020]</w:t>
      </w:r>
    </w:p>
    <w:p w14:paraId="02FD76AB" w14:textId="50BE423B" w:rsidR="00D231AF" w:rsidRDefault="00D231AF">
      <w:pPr>
        <w:pStyle w:val="NoSpacing"/>
      </w:pPr>
    </w:p>
    <w:p w14:paraId="2DFFAF8C" w14:textId="78C4D4B2" w:rsidR="00D231AF" w:rsidRDefault="00D231AF">
      <w:pPr>
        <w:pStyle w:val="NoSpacing"/>
      </w:pPr>
      <w:r w:rsidRPr="00D231AF">
        <w:t xml:space="preserve">Roberts, </w:t>
      </w:r>
      <w:proofErr w:type="spellStart"/>
      <w:r w:rsidRPr="00D231AF">
        <w:t>Harri</w:t>
      </w:r>
      <w:proofErr w:type="spellEnd"/>
      <w:r w:rsidRPr="00D231AF">
        <w:t xml:space="preserve"> Garrod, </w:t>
      </w:r>
      <w:r w:rsidRPr="00D231AF">
        <w:rPr>
          <w:i/>
          <w:iCs/>
        </w:rPr>
        <w:t xml:space="preserve">Embodying Identity: Representations </w:t>
      </w:r>
      <w:r>
        <w:rPr>
          <w:i/>
          <w:iCs/>
        </w:rPr>
        <w:t>o</w:t>
      </w:r>
      <w:r w:rsidRPr="00D231AF">
        <w:rPr>
          <w:i/>
          <w:iCs/>
        </w:rPr>
        <w:t xml:space="preserve">f The Body </w:t>
      </w:r>
      <w:r>
        <w:rPr>
          <w:i/>
          <w:iCs/>
        </w:rPr>
        <w:t>i</w:t>
      </w:r>
      <w:r w:rsidRPr="00D231AF">
        <w:rPr>
          <w:i/>
          <w:iCs/>
        </w:rPr>
        <w:t>n Welsh Literature</w:t>
      </w:r>
      <w:r>
        <w:rPr>
          <w:i/>
          <w:iCs/>
        </w:rPr>
        <w:t>,</w:t>
      </w:r>
      <w:r w:rsidRPr="00D231AF">
        <w:t xml:space="preserve"> </w:t>
      </w:r>
      <w:r w:rsidRPr="00D231AF">
        <w:t>(Cardiff: University of Wales Press, 2009)</w:t>
      </w:r>
    </w:p>
    <w:p w14:paraId="2EC296D4" w14:textId="7A211B94" w:rsidR="00D231AF" w:rsidRDefault="00D231AF">
      <w:pPr>
        <w:pStyle w:val="NoSpacing"/>
      </w:pPr>
    </w:p>
    <w:p w14:paraId="632BF16D" w14:textId="2DE11BB9" w:rsidR="00D231AF" w:rsidRDefault="00D231AF">
      <w:pPr>
        <w:pStyle w:val="NoSpacing"/>
      </w:pPr>
      <w:proofErr w:type="spellStart"/>
      <w:r w:rsidRPr="00D231AF">
        <w:t>Scarry</w:t>
      </w:r>
      <w:proofErr w:type="spellEnd"/>
      <w:r w:rsidRPr="00D231AF">
        <w:t xml:space="preserve">, </w:t>
      </w:r>
      <w:r>
        <w:t xml:space="preserve">Elaine, </w:t>
      </w:r>
      <w:r w:rsidRPr="00D231AF">
        <w:rPr>
          <w:i/>
          <w:iCs/>
        </w:rPr>
        <w:t>The Body in Pain: The Making and Unmaking of the World</w:t>
      </w:r>
      <w:r w:rsidRPr="00D231AF">
        <w:t>, (Oxford: Oxford University Press, 1985)</w:t>
      </w:r>
    </w:p>
    <w:sectPr w:rsidR="00D231A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C6F804" w14:textId="77777777" w:rsidR="006C2C76" w:rsidRDefault="006C2C76" w:rsidP="00D2432A">
      <w:pPr>
        <w:spacing w:after="0" w:line="240" w:lineRule="auto"/>
      </w:pPr>
      <w:r>
        <w:separator/>
      </w:r>
    </w:p>
  </w:endnote>
  <w:endnote w:type="continuationSeparator" w:id="0">
    <w:p w14:paraId="6D036D04" w14:textId="77777777" w:rsidR="006C2C76" w:rsidRDefault="006C2C76" w:rsidP="00D243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2AFD48" w14:textId="77777777" w:rsidR="006C2C76" w:rsidRDefault="006C2C76" w:rsidP="00D2432A">
      <w:pPr>
        <w:spacing w:after="0" w:line="240" w:lineRule="auto"/>
      </w:pPr>
      <w:r>
        <w:separator/>
      </w:r>
    </w:p>
  </w:footnote>
  <w:footnote w:type="continuationSeparator" w:id="0">
    <w:p w14:paraId="766D8E65" w14:textId="77777777" w:rsidR="006C2C76" w:rsidRDefault="006C2C76" w:rsidP="00D2432A">
      <w:pPr>
        <w:spacing w:after="0" w:line="240" w:lineRule="auto"/>
      </w:pPr>
      <w:r>
        <w:continuationSeparator/>
      </w:r>
    </w:p>
  </w:footnote>
  <w:footnote w:id="1">
    <w:p w14:paraId="224BF169" w14:textId="6AC3F533" w:rsidR="00BC1CC7" w:rsidRDefault="00BC1CC7">
      <w:pPr>
        <w:pStyle w:val="FootnoteText"/>
      </w:pPr>
      <w:r>
        <w:rPr>
          <w:rStyle w:val="FootnoteReference"/>
        </w:rPr>
        <w:footnoteRef/>
      </w:r>
      <w:r>
        <w:t xml:space="preserve"> </w:t>
      </w:r>
      <w:r w:rsidRPr="00D2432A">
        <w:t xml:space="preserve">Norman K Denzin and </w:t>
      </w:r>
      <w:proofErr w:type="spellStart"/>
      <w:r w:rsidRPr="00D2432A">
        <w:t>Yvonna</w:t>
      </w:r>
      <w:proofErr w:type="spellEnd"/>
      <w:r w:rsidRPr="00D2432A">
        <w:t xml:space="preserve"> S. Lincoln, </w:t>
      </w:r>
      <w:r w:rsidRPr="00D2432A">
        <w:rPr>
          <w:i/>
          <w:iCs/>
        </w:rPr>
        <w:t xml:space="preserve">Collecting </w:t>
      </w:r>
      <w:r>
        <w:rPr>
          <w:i/>
          <w:iCs/>
        </w:rPr>
        <w:t>a</w:t>
      </w:r>
      <w:r w:rsidRPr="00D2432A">
        <w:rPr>
          <w:i/>
          <w:iCs/>
        </w:rPr>
        <w:t>nd Interpreting Qualitative Materials</w:t>
      </w:r>
      <w:r w:rsidRPr="00D2432A">
        <w:t xml:space="preserve">, 3rd </w:t>
      </w:r>
      <w:proofErr w:type="spellStart"/>
      <w:r w:rsidRPr="00D2432A">
        <w:t>edn</w:t>
      </w:r>
      <w:proofErr w:type="spellEnd"/>
      <w:r w:rsidRPr="00D2432A">
        <w:t xml:space="preserve"> (Los Angeles: SAGE Publications, 2008)</w:t>
      </w:r>
      <w:r>
        <w:t xml:space="preserve"> p. 501</w:t>
      </w:r>
      <w:r w:rsidR="00D75C49">
        <w:t>.</w:t>
      </w:r>
    </w:p>
  </w:footnote>
  <w:footnote w:id="2">
    <w:p w14:paraId="1B0698CB" w14:textId="43805C37" w:rsidR="00BC1CC7" w:rsidRDefault="00BC1CC7">
      <w:pPr>
        <w:pStyle w:val="FootnoteText"/>
      </w:pPr>
      <w:r>
        <w:rPr>
          <w:rStyle w:val="FootnoteReference"/>
        </w:rPr>
        <w:footnoteRef/>
      </w:r>
      <w:r>
        <w:t xml:space="preserve"> </w:t>
      </w:r>
      <w:r w:rsidRPr="00015F33">
        <w:t xml:space="preserve">Anthony Brockway, </w:t>
      </w:r>
      <w:r>
        <w:t>“</w:t>
      </w:r>
      <w:r w:rsidRPr="00015F33">
        <w:t xml:space="preserve">Interview </w:t>
      </w:r>
      <w:r>
        <w:t>w</w:t>
      </w:r>
      <w:r w:rsidRPr="00015F33">
        <w:t>ith Tristan Hughes 2006</w:t>
      </w:r>
      <w:r>
        <w:t>”</w:t>
      </w:r>
      <w:r w:rsidRPr="00015F33">
        <w:t>, </w:t>
      </w:r>
      <w:r>
        <w:rPr>
          <w:i/>
          <w:iCs/>
        </w:rPr>
        <w:t>b</w:t>
      </w:r>
      <w:r w:rsidRPr="00015F33">
        <w:rPr>
          <w:i/>
          <w:iCs/>
        </w:rPr>
        <w:t>abylonwales.</w:t>
      </w:r>
      <w:r>
        <w:rPr>
          <w:i/>
          <w:iCs/>
        </w:rPr>
        <w:t>b</w:t>
      </w:r>
      <w:r w:rsidRPr="00015F33">
        <w:rPr>
          <w:i/>
          <w:iCs/>
        </w:rPr>
        <w:t>logspot.</w:t>
      </w:r>
      <w:r>
        <w:rPr>
          <w:i/>
          <w:iCs/>
        </w:rPr>
        <w:t>c</w:t>
      </w:r>
      <w:r w:rsidRPr="00015F33">
        <w:rPr>
          <w:i/>
          <w:iCs/>
        </w:rPr>
        <w:t>om</w:t>
      </w:r>
      <w:r w:rsidRPr="00015F33">
        <w:t>, 2010 &lt;http://babylonwales.blogspot.com/2010/04/interview-with-tristan-hughes-2006.html&gt; [Accessed 1 February 2020].</w:t>
      </w:r>
    </w:p>
  </w:footnote>
  <w:footnote w:id="3">
    <w:p w14:paraId="54C2677C" w14:textId="2C9EFFB1" w:rsidR="00BC1CC7" w:rsidRDefault="00BC1CC7">
      <w:pPr>
        <w:pStyle w:val="FootnoteText"/>
      </w:pPr>
      <w:r>
        <w:rPr>
          <w:rStyle w:val="FootnoteReference"/>
        </w:rPr>
        <w:footnoteRef/>
      </w:r>
      <w:r>
        <w:t xml:space="preserve"> </w:t>
      </w:r>
      <w:r w:rsidRPr="006E74E0">
        <w:t xml:space="preserve">Shelley Mallett, </w:t>
      </w:r>
      <w:r>
        <w:t>“</w:t>
      </w:r>
      <w:r w:rsidRPr="006E74E0">
        <w:t xml:space="preserve">Understanding Home: A Critical Review </w:t>
      </w:r>
      <w:r>
        <w:t>o</w:t>
      </w:r>
      <w:r w:rsidRPr="006E74E0">
        <w:t xml:space="preserve">f </w:t>
      </w:r>
      <w:r>
        <w:t>t</w:t>
      </w:r>
      <w:r w:rsidRPr="006E74E0">
        <w:t>he Literature</w:t>
      </w:r>
      <w:r>
        <w:t>”</w:t>
      </w:r>
      <w:r w:rsidRPr="006E74E0">
        <w:t>, </w:t>
      </w:r>
      <w:r w:rsidRPr="006E74E0">
        <w:rPr>
          <w:i/>
          <w:iCs/>
        </w:rPr>
        <w:t>The Sociological Review</w:t>
      </w:r>
      <w:r w:rsidRPr="006E74E0">
        <w:t xml:space="preserve">, 52.1 (2004), </w:t>
      </w:r>
      <w:r w:rsidR="00D75C49">
        <w:t xml:space="preserve">pp. </w:t>
      </w:r>
      <w:r w:rsidRPr="006E74E0">
        <w:t>62-89</w:t>
      </w:r>
      <w:r w:rsidR="00D75C49">
        <w:t>.</w:t>
      </w:r>
      <w:r w:rsidRPr="006E74E0">
        <w:t xml:space="preserve"> &lt;https://doi.org/10.1111/j.1467-954x.2004.00442.x&gt;.</w:t>
      </w:r>
    </w:p>
  </w:footnote>
  <w:footnote w:id="4">
    <w:p w14:paraId="7C02FCE6" w14:textId="6524FFF5" w:rsidR="00BC1CC7" w:rsidRDefault="00BC1CC7">
      <w:pPr>
        <w:pStyle w:val="FootnoteText"/>
      </w:pPr>
      <w:r>
        <w:rPr>
          <w:rStyle w:val="FootnoteReference"/>
        </w:rPr>
        <w:footnoteRef/>
      </w:r>
      <w:r>
        <w:t xml:space="preserve"> Mallett</w:t>
      </w:r>
    </w:p>
  </w:footnote>
  <w:footnote w:id="5">
    <w:p w14:paraId="440CAA4E" w14:textId="511649C0" w:rsidR="00BC1CC7" w:rsidRDefault="00BC1CC7">
      <w:pPr>
        <w:pStyle w:val="FootnoteText"/>
      </w:pPr>
      <w:r>
        <w:rPr>
          <w:rStyle w:val="FootnoteReference"/>
        </w:rPr>
        <w:footnoteRef/>
      </w:r>
      <w:r>
        <w:t xml:space="preserve"> Mallett</w:t>
      </w:r>
    </w:p>
  </w:footnote>
  <w:footnote w:id="6">
    <w:p w14:paraId="126E2756" w14:textId="78B68E78" w:rsidR="00BC1CC7" w:rsidRDefault="00BC1CC7">
      <w:pPr>
        <w:pStyle w:val="FootnoteText"/>
      </w:pPr>
      <w:r>
        <w:rPr>
          <w:rStyle w:val="FootnoteReference"/>
        </w:rPr>
        <w:footnoteRef/>
      </w:r>
      <w:r>
        <w:t xml:space="preserve"> Mallett</w:t>
      </w:r>
    </w:p>
  </w:footnote>
  <w:footnote w:id="7">
    <w:p w14:paraId="1E6908E5" w14:textId="7AA2A5CD" w:rsidR="00BC1CC7" w:rsidRDefault="00BC1CC7">
      <w:pPr>
        <w:pStyle w:val="FootnoteText"/>
      </w:pPr>
      <w:r>
        <w:rPr>
          <w:rStyle w:val="FootnoteReference"/>
        </w:rPr>
        <w:footnoteRef/>
      </w:r>
      <w:r>
        <w:t xml:space="preserve"> </w:t>
      </w:r>
      <w:proofErr w:type="spellStart"/>
      <w:r w:rsidRPr="007B3600">
        <w:t>Trezza</w:t>
      </w:r>
      <w:proofErr w:type="spellEnd"/>
      <w:r w:rsidRPr="007B3600">
        <w:t xml:space="preserve"> Azzopardi, </w:t>
      </w:r>
      <w:r w:rsidRPr="007B3600">
        <w:rPr>
          <w:i/>
          <w:iCs/>
        </w:rPr>
        <w:t>The Hiding Place</w:t>
      </w:r>
      <w:r w:rsidRPr="007B3600">
        <w:t> (London: Picador, 2001)</w:t>
      </w:r>
      <w:r>
        <w:t xml:space="preserve"> p. 4</w:t>
      </w:r>
      <w:r w:rsidR="00D75C49">
        <w:t>.</w:t>
      </w:r>
    </w:p>
  </w:footnote>
  <w:footnote w:id="8">
    <w:p w14:paraId="5290B41B" w14:textId="6156A0B2" w:rsidR="00BC1CC7" w:rsidRDefault="00BC1CC7">
      <w:pPr>
        <w:pStyle w:val="FootnoteText"/>
      </w:pPr>
      <w:r>
        <w:rPr>
          <w:rStyle w:val="FootnoteReference"/>
        </w:rPr>
        <w:footnoteRef/>
      </w:r>
      <w:r>
        <w:t xml:space="preserve"> Mallett</w:t>
      </w:r>
    </w:p>
  </w:footnote>
  <w:footnote w:id="9">
    <w:p w14:paraId="7BE0FB97" w14:textId="225318BB" w:rsidR="00BC1CC7" w:rsidRDefault="00BC1CC7">
      <w:pPr>
        <w:pStyle w:val="FootnoteText"/>
      </w:pPr>
      <w:r>
        <w:rPr>
          <w:rStyle w:val="FootnoteReference"/>
        </w:rPr>
        <w:footnoteRef/>
      </w:r>
      <w:r>
        <w:t xml:space="preserve"> Mallett</w:t>
      </w:r>
    </w:p>
  </w:footnote>
  <w:footnote w:id="10">
    <w:p w14:paraId="3A8DD76C" w14:textId="5F12F574" w:rsidR="00BC1CC7" w:rsidRDefault="00BC1CC7">
      <w:pPr>
        <w:pStyle w:val="FootnoteText"/>
      </w:pPr>
      <w:r>
        <w:rPr>
          <w:rStyle w:val="FootnoteReference"/>
        </w:rPr>
        <w:footnoteRef/>
      </w:r>
      <w:r>
        <w:t xml:space="preserve"> Mallett</w:t>
      </w:r>
    </w:p>
  </w:footnote>
  <w:footnote w:id="11">
    <w:p w14:paraId="728CF8AC" w14:textId="5690EA99" w:rsidR="00BC1CC7" w:rsidRDefault="00BC1CC7">
      <w:pPr>
        <w:pStyle w:val="FootnoteText"/>
      </w:pPr>
      <w:r>
        <w:rPr>
          <w:rStyle w:val="FootnoteReference"/>
        </w:rPr>
        <w:footnoteRef/>
      </w:r>
      <w:r>
        <w:t xml:space="preserve"> Brockway</w:t>
      </w:r>
    </w:p>
  </w:footnote>
  <w:footnote w:id="12">
    <w:p w14:paraId="4F265789" w14:textId="1F6F66A1" w:rsidR="00BC1CC7" w:rsidRDefault="00BC1CC7">
      <w:pPr>
        <w:pStyle w:val="FootnoteText"/>
      </w:pPr>
      <w:r>
        <w:rPr>
          <w:rStyle w:val="FootnoteReference"/>
        </w:rPr>
        <w:footnoteRef/>
      </w:r>
      <w:r>
        <w:t xml:space="preserve"> </w:t>
      </w:r>
      <w:r w:rsidRPr="00D35F6E">
        <w:t>Tristan Hughes, </w:t>
      </w:r>
      <w:r w:rsidRPr="00D35F6E">
        <w:rPr>
          <w:i/>
          <w:iCs/>
        </w:rPr>
        <w:t>The Tower</w:t>
      </w:r>
      <w:r w:rsidRPr="00D35F6E">
        <w:t> (Cardigan: Parthian, 2004)</w:t>
      </w:r>
      <w:r>
        <w:t>,</w:t>
      </w:r>
      <w:r w:rsidRPr="00D35F6E">
        <w:rPr>
          <w:i/>
          <w:iCs/>
        </w:rPr>
        <w:t xml:space="preserve"> God’s Breath</w:t>
      </w:r>
      <w:r>
        <w:t>, p. 6.</w:t>
      </w:r>
    </w:p>
  </w:footnote>
  <w:footnote w:id="13">
    <w:p w14:paraId="1F0D26CE" w14:textId="1AF4F0CC" w:rsidR="00BC1CC7" w:rsidRDefault="00BC1CC7">
      <w:pPr>
        <w:pStyle w:val="FootnoteText"/>
      </w:pPr>
      <w:r>
        <w:rPr>
          <w:rStyle w:val="FootnoteReference"/>
        </w:rPr>
        <w:footnoteRef/>
      </w:r>
      <w:r>
        <w:t xml:space="preserve"> Mallett</w:t>
      </w:r>
    </w:p>
  </w:footnote>
  <w:footnote w:id="14">
    <w:p w14:paraId="6AE11AFC" w14:textId="6BFCCE8E" w:rsidR="00BC1CC7" w:rsidRDefault="00BC1CC7">
      <w:pPr>
        <w:pStyle w:val="FootnoteText"/>
      </w:pPr>
      <w:r>
        <w:rPr>
          <w:rStyle w:val="FootnoteReference"/>
        </w:rPr>
        <w:footnoteRef/>
      </w:r>
      <w:r>
        <w:t xml:space="preserve"> Hughes, p. 76.</w:t>
      </w:r>
    </w:p>
  </w:footnote>
  <w:footnote w:id="15">
    <w:p w14:paraId="4CB379F2" w14:textId="7FFE5270" w:rsidR="00BC1CC7" w:rsidRDefault="00BC1CC7">
      <w:pPr>
        <w:pStyle w:val="FootnoteText"/>
      </w:pPr>
      <w:r>
        <w:rPr>
          <w:rStyle w:val="FootnoteReference"/>
        </w:rPr>
        <w:footnoteRef/>
      </w:r>
      <w:r>
        <w:t xml:space="preserve"> </w:t>
      </w:r>
      <w:r w:rsidRPr="0041575E">
        <w:t xml:space="preserve">Gillian McIver, </w:t>
      </w:r>
      <w:r>
        <w:t>“</w:t>
      </w:r>
      <w:r w:rsidRPr="0041575E">
        <w:t>Art/Site/Context</w:t>
      </w:r>
      <w:r>
        <w:t>”</w:t>
      </w:r>
      <w:r w:rsidRPr="0041575E">
        <w:t>,</w:t>
      </w:r>
      <w:r>
        <w:t xml:space="preserve"> s</w:t>
      </w:r>
      <w:r w:rsidRPr="0041575E">
        <w:rPr>
          <w:i/>
          <w:iCs/>
        </w:rPr>
        <w:t>itespecificart.</w:t>
      </w:r>
      <w:r>
        <w:rPr>
          <w:i/>
          <w:iCs/>
        </w:rPr>
        <w:t>o</w:t>
      </w:r>
      <w:r w:rsidRPr="0041575E">
        <w:rPr>
          <w:i/>
          <w:iCs/>
        </w:rPr>
        <w:t>rg.</w:t>
      </w:r>
      <w:r>
        <w:rPr>
          <w:i/>
          <w:iCs/>
        </w:rPr>
        <w:t>u</w:t>
      </w:r>
      <w:r w:rsidRPr="0041575E">
        <w:rPr>
          <w:i/>
          <w:iCs/>
        </w:rPr>
        <w:t>k</w:t>
      </w:r>
      <w:r w:rsidRPr="0041575E">
        <w:t>, 2004 &lt;http://www.sitespecificart.org.uk/6.htm&gt; [Accessed 30 January 2020].</w:t>
      </w:r>
    </w:p>
  </w:footnote>
  <w:footnote w:id="16">
    <w:p w14:paraId="7D40C4D5" w14:textId="5F303291" w:rsidR="00BC1CC7" w:rsidRDefault="00BC1CC7">
      <w:pPr>
        <w:pStyle w:val="FootnoteText"/>
      </w:pPr>
      <w:r>
        <w:rPr>
          <w:rStyle w:val="FootnoteReference"/>
        </w:rPr>
        <w:footnoteRef/>
      </w:r>
      <w:r>
        <w:t xml:space="preserve"> Hughes, p. 3.</w:t>
      </w:r>
    </w:p>
  </w:footnote>
  <w:footnote w:id="17">
    <w:p w14:paraId="2DEE9636" w14:textId="3AB77842" w:rsidR="00BC1CC7" w:rsidRDefault="00BC1CC7">
      <w:pPr>
        <w:pStyle w:val="FootnoteText"/>
      </w:pPr>
      <w:r>
        <w:rPr>
          <w:rStyle w:val="FootnoteReference"/>
        </w:rPr>
        <w:footnoteRef/>
      </w:r>
      <w:r>
        <w:t xml:space="preserve"> </w:t>
      </w:r>
      <w:r w:rsidRPr="001047EF">
        <w:t>Hughes,</w:t>
      </w:r>
      <w:r>
        <w:rPr>
          <w:i/>
          <w:iCs/>
        </w:rPr>
        <w:t xml:space="preserve"> </w:t>
      </w:r>
      <w:r w:rsidRPr="009874EE">
        <w:t>p. 3.</w:t>
      </w:r>
    </w:p>
  </w:footnote>
  <w:footnote w:id="18">
    <w:p w14:paraId="2C9CEF32" w14:textId="510692CD" w:rsidR="00BC1CC7" w:rsidRDefault="00BC1CC7">
      <w:pPr>
        <w:pStyle w:val="FootnoteText"/>
      </w:pPr>
      <w:r>
        <w:rPr>
          <w:rStyle w:val="FootnoteReference"/>
        </w:rPr>
        <w:footnoteRef/>
      </w:r>
      <w:r>
        <w:t xml:space="preserve"> Hughes, p. 114.</w:t>
      </w:r>
    </w:p>
  </w:footnote>
  <w:footnote w:id="19">
    <w:p w14:paraId="188927DB" w14:textId="38F8369F" w:rsidR="00BC1CC7" w:rsidRDefault="00BC1CC7">
      <w:pPr>
        <w:pStyle w:val="FootnoteText"/>
      </w:pPr>
      <w:r>
        <w:rPr>
          <w:rStyle w:val="FootnoteReference"/>
        </w:rPr>
        <w:footnoteRef/>
      </w:r>
      <w:r>
        <w:t xml:space="preserve"> Hughes, p. 16.</w:t>
      </w:r>
    </w:p>
  </w:footnote>
  <w:footnote w:id="20">
    <w:p w14:paraId="669665D3" w14:textId="53438396" w:rsidR="00BC1CC7" w:rsidRDefault="00BC1CC7">
      <w:pPr>
        <w:pStyle w:val="FootnoteText"/>
      </w:pPr>
      <w:r>
        <w:rPr>
          <w:rStyle w:val="FootnoteReference"/>
        </w:rPr>
        <w:footnoteRef/>
      </w:r>
      <w:r>
        <w:t xml:space="preserve"> Azzopardi, p. 204.</w:t>
      </w:r>
    </w:p>
  </w:footnote>
  <w:footnote w:id="21">
    <w:p w14:paraId="631EDB5E" w14:textId="56AE26EA" w:rsidR="00BC1CC7" w:rsidRDefault="00BC1CC7">
      <w:pPr>
        <w:pStyle w:val="FootnoteText"/>
      </w:pPr>
      <w:r>
        <w:rPr>
          <w:rStyle w:val="FootnoteReference"/>
        </w:rPr>
        <w:footnoteRef/>
      </w:r>
      <w:r>
        <w:t xml:space="preserve"> Azzopardi, p. 227</w:t>
      </w:r>
    </w:p>
  </w:footnote>
  <w:footnote w:id="22">
    <w:p w14:paraId="2C3896A1" w14:textId="444D2833" w:rsidR="00BC1CC7" w:rsidRDefault="00BC1CC7">
      <w:pPr>
        <w:pStyle w:val="FootnoteText"/>
      </w:pPr>
      <w:r>
        <w:rPr>
          <w:rStyle w:val="FootnoteReference"/>
        </w:rPr>
        <w:footnoteRef/>
      </w:r>
      <w:r>
        <w:t xml:space="preserve"> Azzopardi, p. 228.</w:t>
      </w:r>
    </w:p>
  </w:footnote>
  <w:footnote w:id="23">
    <w:p w14:paraId="30C4F8E9" w14:textId="2CAED94F" w:rsidR="00BC1CC7" w:rsidRDefault="00BC1CC7">
      <w:pPr>
        <w:pStyle w:val="FootnoteText"/>
      </w:pPr>
      <w:r>
        <w:rPr>
          <w:rStyle w:val="FootnoteReference"/>
        </w:rPr>
        <w:footnoteRef/>
      </w:r>
      <w:r>
        <w:t xml:space="preserve"> Azzopardi, p. 264.</w:t>
      </w:r>
    </w:p>
  </w:footnote>
  <w:footnote w:id="24">
    <w:p w14:paraId="1BBDA116" w14:textId="475E408F" w:rsidR="00BC1CC7" w:rsidRDefault="00BC1CC7">
      <w:pPr>
        <w:pStyle w:val="FootnoteText"/>
      </w:pPr>
      <w:r>
        <w:rPr>
          <w:rStyle w:val="FootnoteReference"/>
        </w:rPr>
        <w:footnoteRef/>
      </w:r>
      <w:r>
        <w:t xml:space="preserve"> Elaine </w:t>
      </w:r>
      <w:proofErr w:type="spellStart"/>
      <w:r>
        <w:t>Scarry</w:t>
      </w:r>
      <w:proofErr w:type="spellEnd"/>
      <w:r>
        <w:t xml:space="preserve">, </w:t>
      </w:r>
      <w:r w:rsidRPr="00A30E4E">
        <w:rPr>
          <w:i/>
          <w:iCs/>
        </w:rPr>
        <w:t>The Body in Pain: The Making and Unmaking of the World</w:t>
      </w:r>
      <w:r w:rsidRPr="00FA3F46">
        <w:t xml:space="preserve">, </w:t>
      </w:r>
      <w:r>
        <w:t>(</w:t>
      </w:r>
      <w:r w:rsidRPr="00FA3F46">
        <w:t>Oxford: Oxford University Press, 1985</w:t>
      </w:r>
      <w:r>
        <w:t>)</w:t>
      </w:r>
      <w:r w:rsidRPr="00FA3F46">
        <w:t>, pp. 38-40</w:t>
      </w:r>
      <w:r>
        <w:t xml:space="preserve">. </w:t>
      </w:r>
    </w:p>
  </w:footnote>
  <w:footnote w:id="25">
    <w:p w14:paraId="1F838ED5" w14:textId="75CAF060" w:rsidR="00BC1CC7" w:rsidRDefault="00BC1CC7">
      <w:pPr>
        <w:pStyle w:val="FootnoteText"/>
      </w:pPr>
      <w:r>
        <w:rPr>
          <w:rStyle w:val="FootnoteReference"/>
        </w:rPr>
        <w:footnoteRef/>
      </w:r>
      <w:r>
        <w:t xml:space="preserve"> </w:t>
      </w:r>
      <w:proofErr w:type="spellStart"/>
      <w:r>
        <w:t>Scarry</w:t>
      </w:r>
      <w:proofErr w:type="spellEnd"/>
    </w:p>
  </w:footnote>
  <w:footnote w:id="26">
    <w:p w14:paraId="3B3D2C98" w14:textId="6562D253" w:rsidR="00BC1CC7" w:rsidRDefault="00BC1CC7">
      <w:pPr>
        <w:pStyle w:val="FootnoteText"/>
      </w:pPr>
      <w:r>
        <w:rPr>
          <w:rStyle w:val="FootnoteReference"/>
        </w:rPr>
        <w:footnoteRef/>
      </w:r>
      <w:r>
        <w:t xml:space="preserve"> </w:t>
      </w:r>
      <w:proofErr w:type="spellStart"/>
      <w:r w:rsidRPr="0081338D">
        <w:t>Harri</w:t>
      </w:r>
      <w:proofErr w:type="spellEnd"/>
      <w:r w:rsidRPr="0081338D">
        <w:t xml:space="preserve"> Garrod Roberts, </w:t>
      </w:r>
      <w:bookmarkStart w:id="1" w:name="_Hlk31466793"/>
      <w:r w:rsidRPr="0081338D">
        <w:rPr>
          <w:i/>
          <w:iCs/>
        </w:rPr>
        <w:t xml:space="preserve">Embodying Identity: Representations </w:t>
      </w:r>
      <w:r>
        <w:rPr>
          <w:i/>
          <w:iCs/>
        </w:rPr>
        <w:t>o</w:t>
      </w:r>
      <w:r w:rsidRPr="0081338D">
        <w:rPr>
          <w:i/>
          <w:iCs/>
        </w:rPr>
        <w:t xml:space="preserve">f </w:t>
      </w:r>
      <w:r>
        <w:rPr>
          <w:i/>
          <w:iCs/>
        </w:rPr>
        <w:t>t</w:t>
      </w:r>
      <w:r w:rsidRPr="0081338D">
        <w:rPr>
          <w:i/>
          <w:iCs/>
        </w:rPr>
        <w:t xml:space="preserve">he Body </w:t>
      </w:r>
      <w:r>
        <w:rPr>
          <w:i/>
          <w:iCs/>
        </w:rPr>
        <w:t>i</w:t>
      </w:r>
      <w:r w:rsidRPr="0081338D">
        <w:rPr>
          <w:i/>
          <w:iCs/>
        </w:rPr>
        <w:t xml:space="preserve">n Welsh Literature </w:t>
      </w:r>
      <w:bookmarkEnd w:id="1"/>
      <w:r w:rsidRPr="0081338D">
        <w:t>(Cardiff: University of Wales Press, 2009)</w:t>
      </w:r>
      <w:r>
        <w:t xml:space="preserve">, </w:t>
      </w:r>
      <w:r w:rsidRPr="0081338D">
        <w:t>pp. 1-2</w:t>
      </w:r>
      <w:r>
        <w:t>.</w:t>
      </w:r>
    </w:p>
  </w:footnote>
  <w:footnote w:id="27">
    <w:p w14:paraId="27DF5DEF" w14:textId="10FD7556" w:rsidR="00BC1CC7" w:rsidRDefault="00BC1CC7">
      <w:pPr>
        <w:pStyle w:val="FootnoteText"/>
      </w:pPr>
      <w:r>
        <w:rPr>
          <w:rStyle w:val="FootnoteReference"/>
        </w:rPr>
        <w:footnoteRef/>
      </w:r>
      <w:r>
        <w:t xml:space="preserve"> Azzopardi, p. 33.</w:t>
      </w:r>
    </w:p>
  </w:footnote>
  <w:footnote w:id="28">
    <w:p w14:paraId="43646C65" w14:textId="1B2BA514" w:rsidR="00BC1CC7" w:rsidRPr="00674249" w:rsidRDefault="00BC1CC7">
      <w:pPr>
        <w:pStyle w:val="FootnoteText"/>
      </w:pPr>
      <w:r>
        <w:rPr>
          <w:rStyle w:val="FootnoteReference"/>
        </w:rPr>
        <w:footnoteRef/>
      </w:r>
      <w:r>
        <w:t xml:space="preserve"> Roberts, p. 2.</w:t>
      </w:r>
    </w:p>
  </w:footnote>
  <w:footnote w:id="29">
    <w:p w14:paraId="742E1E83" w14:textId="0A63FC89" w:rsidR="00BC1CC7" w:rsidRDefault="00BC1CC7">
      <w:pPr>
        <w:pStyle w:val="FootnoteText"/>
      </w:pPr>
      <w:r>
        <w:rPr>
          <w:rStyle w:val="FootnoteReference"/>
        </w:rPr>
        <w:footnoteRef/>
      </w:r>
      <w:r>
        <w:t xml:space="preserve"> Azzopardi, p. 86.</w:t>
      </w:r>
    </w:p>
  </w:footnote>
  <w:footnote w:id="30">
    <w:p w14:paraId="63B9779F" w14:textId="7468AB75" w:rsidR="00BC1CC7" w:rsidRDefault="00BC1CC7">
      <w:pPr>
        <w:pStyle w:val="FootnoteText"/>
      </w:pPr>
      <w:r>
        <w:rPr>
          <w:rStyle w:val="FootnoteReference"/>
        </w:rPr>
        <w:footnoteRef/>
      </w:r>
      <w:r>
        <w:t xml:space="preserve"> </w:t>
      </w:r>
      <w:r w:rsidRPr="00C9220E">
        <w:t>Roberts, p. 2.</w:t>
      </w:r>
    </w:p>
  </w:footnote>
  <w:footnote w:id="31">
    <w:p w14:paraId="2947E396" w14:textId="70B92AC8" w:rsidR="00BC1CC7" w:rsidRDefault="00BC1CC7">
      <w:pPr>
        <w:pStyle w:val="FootnoteText"/>
      </w:pPr>
      <w:r>
        <w:rPr>
          <w:rStyle w:val="FootnoteReference"/>
        </w:rPr>
        <w:footnoteRef/>
      </w:r>
      <w:r>
        <w:t xml:space="preserve"> Azzopardi, p. 204.</w:t>
      </w:r>
    </w:p>
  </w:footnote>
  <w:footnote w:id="32">
    <w:p w14:paraId="0DB37583" w14:textId="203C110F" w:rsidR="00BC1CC7" w:rsidRDefault="00BC1CC7">
      <w:pPr>
        <w:pStyle w:val="FootnoteText"/>
      </w:pPr>
      <w:r>
        <w:rPr>
          <w:rStyle w:val="FootnoteReference"/>
        </w:rPr>
        <w:footnoteRef/>
      </w:r>
      <w:r>
        <w:t xml:space="preserve"> Brockway</w:t>
      </w:r>
    </w:p>
  </w:footnote>
  <w:footnote w:id="33">
    <w:p w14:paraId="44886C50" w14:textId="77777777" w:rsidR="00C95648" w:rsidRDefault="00C95648" w:rsidP="00C95648">
      <w:pPr>
        <w:pStyle w:val="FootnoteText"/>
      </w:pPr>
      <w:r>
        <w:rPr>
          <w:rStyle w:val="FootnoteReference"/>
        </w:rPr>
        <w:footnoteRef/>
      </w:r>
      <w:r>
        <w:t xml:space="preserve"> Hughes, p. 119.</w:t>
      </w:r>
    </w:p>
  </w:footnote>
  <w:footnote w:id="34">
    <w:p w14:paraId="7359BFD5" w14:textId="2A51331A" w:rsidR="00BC1CC7" w:rsidRDefault="00BC1CC7">
      <w:pPr>
        <w:pStyle w:val="FootnoteText"/>
      </w:pPr>
      <w:r>
        <w:rPr>
          <w:rStyle w:val="FootnoteReference"/>
        </w:rPr>
        <w:footnoteRef/>
      </w:r>
      <w:r>
        <w:t xml:space="preserve"> Mallett</w:t>
      </w:r>
    </w:p>
  </w:footnote>
  <w:footnote w:id="35">
    <w:p w14:paraId="352F3847" w14:textId="0AB5CC61" w:rsidR="00BC1CC7" w:rsidRDefault="00BC1CC7">
      <w:pPr>
        <w:pStyle w:val="FootnoteText"/>
      </w:pPr>
      <w:r>
        <w:rPr>
          <w:rStyle w:val="FootnoteReference"/>
        </w:rPr>
        <w:footnoteRef/>
      </w:r>
      <w:r>
        <w:t xml:space="preserve"> Mallett</w:t>
      </w:r>
    </w:p>
  </w:footnote>
  <w:footnote w:id="36">
    <w:p w14:paraId="5D901677" w14:textId="21BD6C86" w:rsidR="00BC1CC7" w:rsidRDefault="00BC1CC7">
      <w:pPr>
        <w:pStyle w:val="FootnoteText"/>
      </w:pPr>
      <w:r>
        <w:rPr>
          <w:rStyle w:val="FootnoteReference"/>
        </w:rPr>
        <w:footnoteRef/>
      </w:r>
      <w:r>
        <w:t xml:space="preserve"> Mallett</w:t>
      </w:r>
    </w:p>
  </w:footnote>
  <w:footnote w:id="37">
    <w:p w14:paraId="40CF8BAB" w14:textId="753F8911" w:rsidR="00BC1CC7" w:rsidRDefault="00BC1CC7">
      <w:pPr>
        <w:pStyle w:val="FootnoteText"/>
      </w:pPr>
      <w:r>
        <w:rPr>
          <w:rStyle w:val="FootnoteReference"/>
        </w:rPr>
        <w:footnoteRef/>
      </w:r>
      <w:r>
        <w:t xml:space="preserve"> Mallett</w:t>
      </w:r>
    </w:p>
  </w:footnote>
  <w:footnote w:id="38">
    <w:p w14:paraId="45DC4342" w14:textId="57D2EF55" w:rsidR="00BC1CC7" w:rsidRDefault="00BC1CC7">
      <w:pPr>
        <w:pStyle w:val="FootnoteText"/>
      </w:pPr>
      <w:r>
        <w:rPr>
          <w:rStyle w:val="FootnoteReference"/>
        </w:rPr>
        <w:footnoteRef/>
      </w:r>
      <w:r>
        <w:t xml:space="preserve"> Azzopardi, p. 219</w:t>
      </w:r>
    </w:p>
  </w:footnote>
  <w:footnote w:id="39">
    <w:p w14:paraId="532D7123" w14:textId="6ED4B28D" w:rsidR="00BC1CC7" w:rsidRDefault="00BC1CC7">
      <w:pPr>
        <w:pStyle w:val="FootnoteText"/>
      </w:pPr>
      <w:r>
        <w:rPr>
          <w:rStyle w:val="FootnoteReference"/>
        </w:rPr>
        <w:footnoteRef/>
      </w:r>
      <w:r>
        <w:t xml:space="preserve"> Azzopardi, p. 219</w:t>
      </w:r>
    </w:p>
  </w:footnote>
  <w:footnote w:id="40">
    <w:p w14:paraId="2774E215" w14:textId="329878C5" w:rsidR="00BC1CC7" w:rsidRDefault="00BC1CC7">
      <w:pPr>
        <w:pStyle w:val="FootnoteText"/>
      </w:pPr>
      <w:r>
        <w:rPr>
          <w:rStyle w:val="FootnoteReference"/>
        </w:rPr>
        <w:footnoteRef/>
      </w:r>
      <w:r>
        <w:t xml:space="preserve"> Azzopardi, p. 212.</w:t>
      </w:r>
    </w:p>
  </w:footnote>
  <w:footnote w:id="41">
    <w:p w14:paraId="1EF7AE19" w14:textId="14A8C623" w:rsidR="00C95648" w:rsidRDefault="00C95648">
      <w:pPr>
        <w:pStyle w:val="FootnoteText"/>
      </w:pPr>
      <w:r>
        <w:rPr>
          <w:rStyle w:val="FootnoteReference"/>
        </w:rPr>
        <w:footnoteRef/>
      </w:r>
      <w:r>
        <w:t xml:space="preserve"> Brockway</w:t>
      </w:r>
    </w:p>
  </w:footnote>
  <w:footnote w:id="42">
    <w:p w14:paraId="33EA47B0" w14:textId="2B6C0252" w:rsidR="00C95648" w:rsidRDefault="00C95648">
      <w:pPr>
        <w:pStyle w:val="FootnoteText"/>
      </w:pPr>
      <w:r>
        <w:rPr>
          <w:rStyle w:val="FootnoteReference"/>
        </w:rPr>
        <w:footnoteRef/>
      </w:r>
      <w:r>
        <w:t xml:space="preserve"> Mallett</w:t>
      </w:r>
    </w:p>
  </w:footnote>
  <w:footnote w:id="43">
    <w:p w14:paraId="10EAFDD9" w14:textId="005436CD" w:rsidR="00201DFC" w:rsidRDefault="00201DFC">
      <w:pPr>
        <w:pStyle w:val="FootnoteText"/>
      </w:pPr>
      <w:r>
        <w:rPr>
          <w:rStyle w:val="FootnoteReference"/>
        </w:rPr>
        <w:footnoteRef/>
      </w:r>
      <w:r>
        <w:t xml:space="preserve"> Mallett</w:t>
      </w:r>
    </w:p>
  </w:footnote>
  <w:footnote w:id="44">
    <w:p w14:paraId="7BB7D623" w14:textId="0B20FAD3" w:rsidR="00E70ABD" w:rsidRDefault="00E70ABD">
      <w:pPr>
        <w:pStyle w:val="FootnoteText"/>
      </w:pPr>
      <w:r>
        <w:rPr>
          <w:rStyle w:val="FootnoteReference"/>
        </w:rPr>
        <w:footnoteRef/>
      </w:r>
      <w:r>
        <w:t xml:space="preserve"> </w:t>
      </w:r>
      <w:r w:rsidR="00201DFC" w:rsidRPr="00201DFC">
        <w:t>Kath Filmer-Davies, </w:t>
      </w:r>
      <w:r w:rsidR="00201DFC" w:rsidRPr="00201DFC">
        <w:rPr>
          <w:i/>
          <w:iCs/>
        </w:rPr>
        <w:t xml:space="preserve">Fantasy Fiction </w:t>
      </w:r>
      <w:r w:rsidR="0056692E">
        <w:rPr>
          <w:i/>
          <w:iCs/>
        </w:rPr>
        <w:t>a</w:t>
      </w:r>
      <w:r w:rsidR="00201DFC" w:rsidRPr="00201DFC">
        <w:rPr>
          <w:i/>
          <w:iCs/>
        </w:rPr>
        <w:t xml:space="preserve">nd Welsh Myth: Tales </w:t>
      </w:r>
      <w:r w:rsidR="0056692E">
        <w:rPr>
          <w:i/>
          <w:iCs/>
        </w:rPr>
        <w:t>o</w:t>
      </w:r>
      <w:r w:rsidR="00201DFC" w:rsidRPr="00201DFC">
        <w:rPr>
          <w:i/>
          <w:iCs/>
        </w:rPr>
        <w:t>f Belonging</w:t>
      </w:r>
      <w:r w:rsidR="00201DFC" w:rsidRPr="00201DFC">
        <w:t> (London: Macmillan, 1996)</w:t>
      </w:r>
      <w:r w:rsidR="00201DFC">
        <w:t>, p. 32.</w:t>
      </w:r>
    </w:p>
  </w:footnote>
  <w:footnote w:id="45">
    <w:p w14:paraId="77F130D0" w14:textId="5598EE61" w:rsidR="00201DFC" w:rsidRDefault="00201DFC">
      <w:pPr>
        <w:pStyle w:val="FootnoteText"/>
      </w:pPr>
      <w:r>
        <w:rPr>
          <w:rStyle w:val="FootnoteReference"/>
        </w:rPr>
        <w:footnoteRef/>
      </w:r>
      <w:r>
        <w:t xml:space="preserve"> Filmer-Davies, p. 99.</w:t>
      </w:r>
    </w:p>
  </w:footnote>
  <w:footnote w:id="46">
    <w:p w14:paraId="1E9FEB17" w14:textId="2C7F0136" w:rsidR="00201DFC" w:rsidRDefault="00201DFC">
      <w:pPr>
        <w:pStyle w:val="FootnoteText"/>
      </w:pPr>
      <w:r>
        <w:rPr>
          <w:rStyle w:val="FootnoteReference"/>
        </w:rPr>
        <w:footnoteRef/>
      </w:r>
      <w:r>
        <w:t xml:space="preserve"> Filmer-Davies, p. 99. </w:t>
      </w:r>
    </w:p>
  </w:footnote>
  <w:footnote w:id="47">
    <w:p w14:paraId="3A99E104" w14:textId="317D42B3" w:rsidR="00FB6780" w:rsidRDefault="00FB6780">
      <w:pPr>
        <w:pStyle w:val="FootnoteText"/>
      </w:pPr>
      <w:r>
        <w:rPr>
          <w:rStyle w:val="FootnoteReference"/>
        </w:rPr>
        <w:footnoteRef/>
      </w:r>
      <w:r>
        <w:t xml:space="preserve"> Azzopardi, p. 212.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1BD532" w14:textId="37C4C5A1" w:rsidR="00820C8B" w:rsidRPr="00820C8B" w:rsidRDefault="00820C8B" w:rsidP="00820C8B">
    <w:pPr>
      <w:pStyle w:val="Header"/>
      <w:jc w:val="right"/>
      <w:rPr>
        <w:u w:val="single"/>
      </w:rPr>
    </w:pPr>
    <w:r w:rsidRPr="00820C8B">
      <w:rPr>
        <w:u w:val="single"/>
      </w:rPr>
      <w:t>Jade Davies, 1702321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3E6D06"/>
    <w:multiLevelType w:val="hybridMultilevel"/>
    <w:tmpl w:val="0FA22CB4"/>
    <w:lvl w:ilvl="0" w:tplc="FC8A066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D20172"/>
    <w:multiLevelType w:val="hybridMultilevel"/>
    <w:tmpl w:val="92A69344"/>
    <w:lvl w:ilvl="0" w:tplc="865CF3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5E6"/>
    <w:rsid w:val="00015F33"/>
    <w:rsid w:val="000171FD"/>
    <w:rsid w:val="00050F1F"/>
    <w:rsid w:val="000805B9"/>
    <w:rsid w:val="000F375D"/>
    <w:rsid w:val="00101151"/>
    <w:rsid w:val="001047EF"/>
    <w:rsid w:val="00155359"/>
    <w:rsid w:val="001568E2"/>
    <w:rsid w:val="001B78A7"/>
    <w:rsid w:val="001B7CB1"/>
    <w:rsid w:val="001B7DF0"/>
    <w:rsid w:val="001C0B7A"/>
    <w:rsid w:val="001F1486"/>
    <w:rsid w:val="00201DFC"/>
    <w:rsid w:val="00263CAA"/>
    <w:rsid w:val="002B3619"/>
    <w:rsid w:val="002F52EC"/>
    <w:rsid w:val="00340534"/>
    <w:rsid w:val="00355508"/>
    <w:rsid w:val="003B182C"/>
    <w:rsid w:val="003B3EC0"/>
    <w:rsid w:val="003B5421"/>
    <w:rsid w:val="003D56F1"/>
    <w:rsid w:val="00402A67"/>
    <w:rsid w:val="0041575E"/>
    <w:rsid w:val="00425FF4"/>
    <w:rsid w:val="00436A20"/>
    <w:rsid w:val="00461EF3"/>
    <w:rsid w:val="004A5C32"/>
    <w:rsid w:val="004E1E8F"/>
    <w:rsid w:val="004E518B"/>
    <w:rsid w:val="005270B2"/>
    <w:rsid w:val="00533AAB"/>
    <w:rsid w:val="0055485C"/>
    <w:rsid w:val="0056692E"/>
    <w:rsid w:val="00567EA1"/>
    <w:rsid w:val="005756C0"/>
    <w:rsid w:val="005977C8"/>
    <w:rsid w:val="005A3C0C"/>
    <w:rsid w:val="005A7B17"/>
    <w:rsid w:val="005D67DC"/>
    <w:rsid w:val="005F6423"/>
    <w:rsid w:val="0060523C"/>
    <w:rsid w:val="00641621"/>
    <w:rsid w:val="00674249"/>
    <w:rsid w:val="006C2C76"/>
    <w:rsid w:val="006D1CB1"/>
    <w:rsid w:val="006E74E0"/>
    <w:rsid w:val="00704290"/>
    <w:rsid w:val="00710785"/>
    <w:rsid w:val="00716445"/>
    <w:rsid w:val="0071664F"/>
    <w:rsid w:val="00716EA0"/>
    <w:rsid w:val="00741EF4"/>
    <w:rsid w:val="007442B1"/>
    <w:rsid w:val="00766300"/>
    <w:rsid w:val="007938CA"/>
    <w:rsid w:val="007B3600"/>
    <w:rsid w:val="007B5B97"/>
    <w:rsid w:val="007D0724"/>
    <w:rsid w:val="007F05E6"/>
    <w:rsid w:val="0081165C"/>
    <w:rsid w:val="0081338D"/>
    <w:rsid w:val="00820C8B"/>
    <w:rsid w:val="0082688B"/>
    <w:rsid w:val="0088081A"/>
    <w:rsid w:val="008B3AD4"/>
    <w:rsid w:val="008E7DAB"/>
    <w:rsid w:val="00933E33"/>
    <w:rsid w:val="00941F8D"/>
    <w:rsid w:val="00955A48"/>
    <w:rsid w:val="0096724A"/>
    <w:rsid w:val="00974502"/>
    <w:rsid w:val="00985E85"/>
    <w:rsid w:val="009874EE"/>
    <w:rsid w:val="009A020C"/>
    <w:rsid w:val="00A00D1E"/>
    <w:rsid w:val="00A111DC"/>
    <w:rsid w:val="00A13924"/>
    <w:rsid w:val="00A30E4E"/>
    <w:rsid w:val="00AD3042"/>
    <w:rsid w:val="00AE7E93"/>
    <w:rsid w:val="00B21049"/>
    <w:rsid w:val="00B26397"/>
    <w:rsid w:val="00B873C6"/>
    <w:rsid w:val="00B903E2"/>
    <w:rsid w:val="00B94D72"/>
    <w:rsid w:val="00BC1CC7"/>
    <w:rsid w:val="00BC6722"/>
    <w:rsid w:val="00BE2124"/>
    <w:rsid w:val="00BE5AEF"/>
    <w:rsid w:val="00C11C79"/>
    <w:rsid w:val="00C57F4F"/>
    <w:rsid w:val="00C739CF"/>
    <w:rsid w:val="00C9220E"/>
    <w:rsid w:val="00C95648"/>
    <w:rsid w:val="00CA1266"/>
    <w:rsid w:val="00CC0293"/>
    <w:rsid w:val="00CC0377"/>
    <w:rsid w:val="00D06B94"/>
    <w:rsid w:val="00D231AF"/>
    <w:rsid w:val="00D2432A"/>
    <w:rsid w:val="00D35F6E"/>
    <w:rsid w:val="00D40AB8"/>
    <w:rsid w:val="00D63DD4"/>
    <w:rsid w:val="00D75C49"/>
    <w:rsid w:val="00D82D02"/>
    <w:rsid w:val="00D91B36"/>
    <w:rsid w:val="00DE7AEC"/>
    <w:rsid w:val="00E17D6C"/>
    <w:rsid w:val="00E657C8"/>
    <w:rsid w:val="00E70ABD"/>
    <w:rsid w:val="00E7142A"/>
    <w:rsid w:val="00E84F89"/>
    <w:rsid w:val="00EB0E65"/>
    <w:rsid w:val="00EB2FAB"/>
    <w:rsid w:val="00EF2BE5"/>
    <w:rsid w:val="00F57157"/>
    <w:rsid w:val="00FA3F46"/>
    <w:rsid w:val="00FB6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6C747F"/>
  <w15:chartTrackingRefBased/>
  <w15:docId w15:val="{6B2E812E-DC77-48DA-89CC-E578A77F7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270B2"/>
    <w:pPr>
      <w:spacing w:after="0" w:line="240" w:lineRule="auto"/>
    </w:pPr>
  </w:style>
  <w:style w:type="paragraph" w:styleId="FootnoteText">
    <w:name w:val="footnote text"/>
    <w:basedOn w:val="Normal"/>
    <w:link w:val="FootnoteTextChar"/>
    <w:uiPriority w:val="99"/>
    <w:semiHidden/>
    <w:unhideWhenUsed/>
    <w:rsid w:val="00D243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2432A"/>
    <w:rPr>
      <w:sz w:val="20"/>
      <w:szCs w:val="20"/>
    </w:rPr>
  </w:style>
  <w:style w:type="character" w:styleId="FootnoteReference">
    <w:name w:val="footnote reference"/>
    <w:basedOn w:val="DefaultParagraphFont"/>
    <w:uiPriority w:val="99"/>
    <w:semiHidden/>
    <w:unhideWhenUsed/>
    <w:rsid w:val="00D2432A"/>
    <w:rPr>
      <w:vertAlign w:val="superscript"/>
    </w:rPr>
  </w:style>
  <w:style w:type="paragraph" w:styleId="Header">
    <w:name w:val="header"/>
    <w:basedOn w:val="Normal"/>
    <w:link w:val="HeaderChar"/>
    <w:uiPriority w:val="99"/>
    <w:unhideWhenUsed/>
    <w:rsid w:val="00820C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0C8B"/>
  </w:style>
  <w:style w:type="paragraph" w:styleId="Footer">
    <w:name w:val="footer"/>
    <w:basedOn w:val="Normal"/>
    <w:link w:val="FooterChar"/>
    <w:uiPriority w:val="99"/>
    <w:unhideWhenUsed/>
    <w:rsid w:val="00820C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0C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F9F0BE-711B-421D-9D8C-B5301CDA94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4166</TotalTime>
  <Pages>6</Pages>
  <Words>3284</Words>
  <Characters>16060</Characters>
  <Application>Microsoft Office Word</Application>
  <DocSecurity>0</DocSecurity>
  <Lines>292</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Davies</dc:creator>
  <cp:keywords/>
  <dc:description/>
  <cp:lastModifiedBy>Jade Davies</cp:lastModifiedBy>
  <cp:revision>73</cp:revision>
  <dcterms:created xsi:type="dcterms:W3CDTF">2020-01-30T15:05:00Z</dcterms:created>
  <dcterms:modified xsi:type="dcterms:W3CDTF">2020-02-02T12:32:00Z</dcterms:modified>
</cp:coreProperties>
</file>