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87874739"/>
        <w:docPartObj>
          <w:docPartGallery w:val="Cover Pages"/>
          <w:docPartUnique/>
        </w:docPartObj>
      </w:sdtPr>
      <w:sdtContent>
        <w:p w14:paraId="441DC13D" w14:textId="27F2A9C1" w:rsidR="00362E92" w:rsidRDefault="00362E92">
          <w:r>
            <w:rPr>
              <w:noProof/>
            </w:rPr>
            <mc:AlternateContent>
              <mc:Choice Requires="wpg">
                <w:drawing>
                  <wp:anchor distT="0" distB="0" distL="114300" distR="114300" simplePos="0" relativeHeight="251662336" behindDoc="0" locked="0" layoutInCell="1" allowOverlap="1" wp14:anchorId="448B160E" wp14:editId="26D9E93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5D7A2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0D47318" wp14:editId="4150153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944BF5" w14:textId="513E992B" w:rsidR="00362E92" w:rsidRDefault="00362E92">
                                    <w:pPr>
                                      <w:pStyle w:val="NoSpacing"/>
                                      <w:jc w:val="right"/>
                                      <w:rPr>
                                        <w:color w:val="595959" w:themeColor="text1" w:themeTint="A6"/>
                                        <w:sz w:val="28"/>
                                        <w:szCs w:val="28"/>
                                      </w:rPr>
                                    </w:pPr>
                                    <w:r>
                                      <w:rPr>
                                        <w:color w:val="595959" w:themeColor="text1" w:themeTint="A6"/>
                                        <w:sz w:val="28"/>
                                        <w:szCs w:val="28"/>
                                      </w:rPr>
                                      <w:t>melat mekbeb</w:t>
                                    </w:r>
                                  </w:p>
                                </w:sdtContent>
                              </w:sdt>
                              <w:p w14:paraId="7532BF95" w14:textId="77777777" w:rsidR="00362E9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62E92">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0D4731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944BF5" w14:textId="513E992B" w:rsidR="00362E92" w:rsidRDefault="00362E92">
                              <w:pPr>
                                <w:pStyle w:val="NoSpacing"/>
                                <w:jc w:val="right"/>
                                <w:rPr>
                                  <w:color w:val="595959" w:themeColor="text1" w:themeTint="A6"/>
                                  <w:sz w:val="28"/>
                                  <w:szCs w:val="28"/>
                                </w:rPr>
                              </w:pPr>
                              <w:r>
                                <w:rPr>
                                  <w:color w:val="595959" w:themeColor="text1" w:themeTint="A6"/>
                                  <w:sz w:val="28"/>
                                  <w:szCs w:val="28"/>
                                </w:rPr>
                                <w:t>melat mekbeb</w:t>
                              </w:r>
                            </w:p>
                          </w:sdtContent>
                        </w:sdt>
                        <w:p w14:paraId="7532BF95" w14:textId="77777777" w:rsidR="00362E9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62E92">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84AD358" wp14:editId="299AB42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47345" w14:textId="771C167C" w:rsidR="00362E92" w:rsidRDefault="00362E92">
                                <w:pPr>
                                  <w:pStyle w:val="NoSpacing"/>
                                  <w:jc w:val="right"/>
                                  <w:rPr>
                                    <w:color w:val="156082" w:themeColor="accent1"/>
                                    <w:sz w:val="28"/>
                                    <w:szCs w:val="28"/>
                                  </w:rPr>
                                </w:pPr>
                              </w:p>
                              <w:sdt>
                                <w:sdtPr>
                                  <w:rPr>
                                    <w:rFonts w:ascii="Arial" w:hAnsi="Arial" w:cs="Arial"/>
                                    <w:b/>
                                    <w:bCs/>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75E6EEB0" w14:textId="29504E1D" w:rsidR="00362E92" w:rsidRPr="00170B3F" w:rsidRDefault="004A7C8B">
                                    <w:pPr>
                                      <w:pStyle w:val="NoSpacing"/>
                                      <w:jc w:val="right"/>
                                      <w:rPr>
                                        <w:b/>
                                        <w:bCs/>
                                        <w:color w:val="595959" w:themeColor="text1" w:themeTint="A6"/>
                                        <w:sz w:val="20"/>
                                        <w:szCs w:val="20"/>
                                      </w:rPr>
                                    </w:pPr>
                                    <w:r w:rsidRPr="00170B3F">
                                      <w:rPr>
                                        <w:rFonts w:ascii="Arial" w:hAnsi="Arial" w:cs="Arial"/>
                                        <w:b/>
                                        <w:bCs/>
                                        <w:color w:val="595959" w:themeColor="text1" w:themeTint="A6"/>
                                        <w:sz w:val="32"/>
                                        <w:szCs w:val="32"/>
                                      </w:rPr>
                                      <w:t xml:space="preserve">Student name </w:t>
                                    </w:r>
                                    <w:r w:rsidR="00170B3F">
                                      <w:rPr>
                                        <w:rFonts w:ascii="Arial" w:hAnsi="Arial" w:cs="Arial"/>
                                        <w:b/>
                                        <w:bCs/>
                                        <w:color w:val="595959" w:themeColor="text1" w:themeTint="A6"/>
                                        <w:sz w:val="32"/>
                                        <w:szCs w:val="32"/>
                                      </w:rPr>
                                      <w:t>M</w:t>
                                    </w:r>
                                    <w:r w:rsidRPr="00170B3F">
                                      <w:rPr>
                                        <w:rFonts w:ascii="Arial" w:hAnsi="Arial" w:cs="Arial"/>
                                        <w:b/>
                                        <w:bCs/>
                                        <w:color w:val="595959" w:themeColor="text1" w:themeTint="A6"/>
                                        <w:sz w:val="32"/>
                                        <w:szCs w:val="32"/>
                                      </w:rPr>
                                      <w:t xml:space="preserve">elat Genene </w:t>
                                    </w:r>
                                    <w:r w:rsidR="00170B3F">
                                      <w:rPr>
                                        <w:rFonts w:ascii="Arial" w:hAnsi="Arial" w:cs="Arial"/>
                                        <w:b/>
                                        <w:bCs/>
                                        <w:color w:val="595959" w:themeColor="text1" w:themeTint="A6"/>
                                        <w:sz w:val="32"/>
                                        <w:szCs w:val="32"/>
                                      </w:rPr>
                                      <w:t>M</w:t>
                                    </w:r>
                                    <w:r w:rsidRPr="00170B3F">
                                      <w:rPr>
                                        <w:rFonts w:ascii="Arial" w:hAnsi="Arial" w:cs="Arial"/>
                                        <w:b/>
                                        <w:bCs/>
                                        <w:color w:val="595959" w:themeColor="text1" w:themeTint="A6"/>
                                        <w:sz w:val="32"/>
                                        <w:szCs w:val="32"/>
                                      </w:rPr>
                                      <w:t xml:space="preserve">ekbeb </w:t>
                                    </w:r>
                                    <w:r w:rsidRPr="00170B3F">
                                      <w:rPr>
                                        <w:rFonts w:ascii="Arial" w:hAnsi="Arial" w:cs="Arial"/>
                                        <w:b/>
                                        <w:bCs/>
                                        <w:color w:val="595959" w:themeColor="text1" w:themeTint="A6"/>
                                        <w:sz w:val="32"/>
                                        <w:szCs w:val="32"/>
                                      </w:rPr>
                                      <w:br/>
                                    </w:r>
                                    <w:r w:rsidR="00366D4B" w:rsidRPr="00170B3F">
                                      <w:rPr>
                                        <w:rFonts w:ascii="Arial" w:hAnsi="Arial" w:cs="Arial"/>
                                        <w:b/>
                                        <w:bCs/>
                                        <w:color w:val="595959" w:themeColor="text1" w:themeTint="A6"/>
                                        <w:sz w:val="32"/>
                                        <w:szCs w:val="32"/>
                                      </w:rPr>
                                      <w:t>student Id</w:t>
                                    </w:r>
                                    <w:r w:rsidR="007E68D3" w:rsidRPr="00170B3F">
                                      <w:rPr>
                                        <w:rFonts w:ascii="Arial" w:hAnsi="Arial" w:cs="Arial"/>
                                        <w:b/>
                                        <w:bCs/>
                                        <w:color w:val="595959" w:themeColor="text1" w:themeTint="A6"/>
                                        <w:sz w:val="32"/>
                                        <w:szCs w:val="32"/>
                                      </w:rPr>
                                      <w:t xml:space="preserve"> 2123174</w:t>
                                    </w:r>
                                    <w:r w:rsidR="00366D4B" w:rsidRPr="00170B3F">
                                      <w:rPr>
                                        <w:rFonts w:ascii="Arial" w:hAnsi="Arial" w:cs="Arial"/>
                                        <w:b/>
                                        <w:bCs/>
                                        <w:color w:val="595959" w:themeColor="text1" w:themeTint="A6"/>
                                        <w:sz w:val="32"/>
                                        <w:szCs w:val="32"/>
                                      </w:rPr>
                                      <w:t xml:space="preserve"> </w:t>
                                    </w:r>
                                    <w:r w:rsidR="00366D4B" w:rsidRPr="00170B3F">
                                      <w:rPr>
                                        <w:rFonts w:ascii="Arial" w:hAnsi="Arial" w:cs="Arial"/>
                                        <w:b/>
                                        <w:bCs/>
                                        <w:color w:val="595959" w:themeColor="text1" w:themeTint="A6"/>
                                        <w:sz w:val="32"/>
                                        <w:szCs w:val="32"/>
                                      </w:rPr>
                                      <w:br/>
                                      <w:t xml:space="preserve">model </w:t>
                                    </w:r>
                                    <w:r w:rsidR="004A75DE" w:rsidRPr="00170B3F">
                                      <w:rPr>
                                        <w:rFonts w:ascii="Arial" w:hAnsi="Arial" w:cs="Arial"/>
                                        <w:b/>
                                        <w:bCs/>
                                        <w:color w:val="595959" w:themeColor="text1" w:themeTint="A6"/>
                                        <w:sz w:val="32"/>
                                        <w:szCs w:val="32"/>
                                      </w:rPr>
                                      <w:t>code</w:t>
                                    </w:r>
                                    <w:r w:rsidR="00883386" w:rsidRPr="00170B3F">
                                      <w:rPr>
                                        <w:rFonts w:ascii="Arial" w:hAnsi="Arial" w:cs="Arial"/>
                                        <w:b/>
                                        <w:bCs/>
                                        <w:color w:val="595959" w:themeColor="text1" w:themeTint="A6"/>
                                        <w:sz w:val="32"/>
                                        <w:szCs w:val="32"/>
                                      </w:rPr>
                                      <w:t xml:space="preserve"> </w:t>
                                    </w:r>
                                    <w:r w:rsidR="00B84015" w:rsidRPr="00170B3F">
                                      <w:rPr>
                                        <w:rFonts w:ascii="Arial" w:hAnsi="Arial" w:cs="Arial"/>
                                        <w:b/>
                                        <w:bCs/>
                                        <w:color w:val="595959" w:themeColor="text1" w:themeTint="A6"/>
                                        <w:sz w:val="32"/>
                                        <w:szCs w:val="32"/>
                                      </w:rPr>
                                      <w:t>(</w:t>
                                    </w:r>
                                    <w:r w:rsidR="000C0344" w:rsidRPr="00170B3F">
                                      <w:rPr>
                                        <w:rFonts w:ascii="Arial" w:hAnsi="Arial" w:cs="Arial"/>
                                        <w:b/>
                                        <w:bCs/>
                                        <w:color w:val="595959" w:themeColor="text1" w:themeTint="A6"/>
                                        <w:sz w:val="32"/>
                                        <w:szCs w:val="32"/>
                                      </w:rPr>
                                      <w:t>LCLM5003_LON)</w:t>
                                    </w:r>
                                    <w:r w:rsidR="004A75DE" w:rsidRPr="00170B3F">
                                      <w:rPr>
                                        <w:rFonts w:ascii="Arial" w:hAnsi="Arial" w:cs="Arial"/>
                                        <w:b/>
                                        <w:bCs/>
                                        <w:color w:val="595959" w:themeColor="text1" w:themeTint="A6"/>
                                        <w:sz w:val="32"/>
                                        <w:szCs w:val="32"/>
                                      </w:rPr>
                                      <w:t xml:space="preserve"> </w:t>
                                    </w:r>
                                    <w:r w:rsidR="0053280B" w:rsidRPr="00170B3F">
                                      <w:rPr>
                                        <w:rFonts w:ascii="Arial" w:hAnsi="Arial" w:cs="Arial"/>
                                        <w:b/>
                                        <w:bCs/>
                                        <w:color w:val="595959" w:themeColor="text1" w:themeTint="A6"/>
                                        <w:sz w:val="32"/>
                                        <w:szCs w:val="32"/>
                                      </w:rPr>
                                      <w:br/>
                                      <w:t>lecture nam</w:t>
                                    </w:r>
                                    <w:r w:rsidR="007E68D3" w:rsidRPr="00170B3F">
                                      <w:rPr>
                                        <w:rFonts w:ascii="Arial" w:hAnsi="Arial" w:cs="Arial"/>
                                        <w:b/>
                                        <w:bCs/>
                                        <w:color w:val="595959" w:themeColor="text1" w:themeTint="A6"/>
                                        <w:sz w:val="32"/>
                                        <w:szCs w:val="32"/>
                                      </w:rPr>
                                      <w:t>e</w:t>
                                    </w:r>
                                    <w:r w:rsidR="002E1135" w:rsidRPr="00170B3F">
                                      <w:rPr>
                                        <w:rFonts w:ascii="Arial" w:hAnsi="Arial" w:cs="Arial"/>
                                        <w:b/>
                                        <w:bCs/>
                                        <w:color w:val="595959" w:themeColor="text1" w:themeTint="A6"/>
                                        <w:sz w:val="32"/>
                                        <w:szCs w:val="32"/>
                                      </w:rPr>
                                      <w:t xml:space="preserve"> Dr Rexon </w:t>
                                    </w:r>
                                    <w:r w:rsidR="007D3D3A" w:rsidRPr="00170B3F">
                                      <w:rPr>
                                        <w:rFonts w:ascii="Arial" w:hAnsi="Arial" w:cs="Arial"/>
                                        <w:b/>
                                        <w:bCs/>
                                        <w:color w:val="595959" w:themeColor="text1" w:themeTint="A6"/>
                                        <w:sz w:val="32"/>
                                        <w:szCs w:val="32"/>
                                      </w:rPr>
                                      <w:t>N</w:t>
                                    </w:r>
                                    <w:r w:rsidR="002E1135" w:rsidRPr="00170B3F">
                                      <w:rPr>
                                        <w:rFonts w:ascii="Arial" w:hAnsi="Arial" w:cs="Arial"/>
                                        <w:b/>
                                        <w:bCs/>
                                        <w:color w:val="595959" w:themeColor="text1" w:themeTint="A6"/>
                                        <w:sz w:val="32"/>
                                        <w:szCs w:val="32"/>
                                      </w:rPr>
                                      <w:t>ting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4AD35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EA47345" w14:textId="771C167C" w:rsidR="00362E92" w:rsidRDefault="00362E92">
                          <w:pPr>
                            <w:pStyle w:val="NoSpacing"/>
                            <w:jc w:val="right"/>
                            <w:rPr>
                              <w:color w:val="156082" w:themeColor="accent1"/>
                              <w:sz w:val="28"/>
                              <w:szCs w:val="28"/>
                            </w:rPr>
                          </w:pPr>
                        </w:p>
                        <w:sdt>
                          <w:sdtPr>
                            <w:rPr>
                              <w:rFonts w:ascii="Arial" w:hAnsi="Arial" w:cs="Arial"/>
                              <w:b/>
                              <w:bCs/>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75E6EEB0" w14:textId="29504E1D" w:rsidR="00362E92" w:rsidRPr="00170B3F" w:rsidRDefault="004A7C8B">
                              <w:pPr>
                                <w:pStyle w:val="NoSpacing"/>
                                <w:jc w:val="right"/>
                                <w:rPr>
                                  <w:b/>
                                  <w:bCs/>
                                  <w:color w:val="595959" w:themeColor="text1" w:themeTint="A6"/>
                                  <w:sz w:val="20"/>
                                  <w:szCs w:val="20"/>
                                </w:rPr>
                              </w:pPr>
                              <w:r w:rsidRPr="00170B3F">
                                <w:rPr>
                                  <w:rFonts w:ascii="Arial" w:hAnsi="Arial" w:cs="Arial"/>
                                  <w:b/>
                                  <w:bCs/>
                                  <w:color w:val="595959" w:themeColor="text1" w:themeTint="A6"/>
                                  <w:sz w:val="32"/>
                                  <w:szCs w:val="32"/>
                                </w:rPr>
                                <w:t xml:space="preserve">Student name </w:t>
                              </w:r>
                              <w:r w:rsidR="00170B3F">
                                <w:rPr>
                                  <w:rFonts w:ascii="Arial" w:hAnsi="Arial" w:cs="Arial"/>
                                  <w:b/>
                                  <w:bCs/>
                                  <w:color w:val="595959" w:themeColor="text1" w:themeTint="A6"/>
                                  <w:sz w:val="32"/>
                                  <w:szCs w:val="32"/>
                                </w:rPr>
                                <w:t>M</w:t>
                              </w:r>
                              <w:r w:rsidRPr="00170B3F">
                                <w:rPr>
                                  <w:rFonts w:ascii="Arial" w:hAnsi="Arial" w:cs="Arial"/>
                                  <w:b/>
                                  <w:bCs/>
                                  <w:color w:val="595959" w:themeColor="text1" w:themeTint="A6"/>
                                  <w:sz w:val="32"/>
                                  <w:szCs w:val="32"/>
                                </w:rPr>
                                <w:t xml:space="preserve">elat Genene </w:t>
                              </w:r>
                              <w:r w:rsidR="00170B3F">
                                <w:rPr>
                                  <w:rFonts w:ascii="Arial" w:hAnsi="Arial" w:cs="Arial"/>
                                  <w:b/>
                                  <w:bCs/>
                                  <w:color w:val="595959" w:themeColor="text1" w:themeTint="A6"/>
                                  <w:sz w:val="32"/>
                                  <w:szCs w:val="32"/>
                                </w:rPr>
                                <w:t>M</w:t>
                              </w:r>
                              <w:r w:rsidRPr="00170B3F">
                                <w:rPr>
                                  <w:rFonts w:ascii="Arial" w:hAnsi="Arial" w:cs="Arial"/>
                                  <w:b/>
                                  <w:bCs/>
                                  <w:color w:val="595959" w:themeColor="text1" w:themeTint="A6"/>
                                  <w:sz w:val="32"/>
                                  <w:szCs w:val="32"/>
                                </w:rPr>
                                <w:t xml:space="preserve">ekbeb </w:t>
                              </w:r>
                              <w:r w:rsidRPr="00170B3F">
                                <w:rPr>
                                  <w:rFonts w:ascii="Arial" w:hAnsi="Arial" w:cs="Arial"/>
                                  <w:b/>
                                  <w:bCs/>
                                  <w:color w:val="595959" w:themeColor="text1" w:themeTint="A6"/>
                                  <w:sz w:val="32"/>
                                  <w:szCs w:val="32"/>
                                </w:rPr>
                                <w:br/>
                              </w:r>
                              <w:r w:rsidR="00366D4B" w:rsidRPr="00170B3F">
                                <w:rPr>
                                  <w:rFonts w:ascii="Arial" w:hAnsi="Arial" w:cs="Arial"/>
                                  <w:b/>
                                  <w:bCs/>
                                  <w:color w:val="595959" w:themeColor="text1" w:themeTint="A6"/>
                                  <w:sz w:val="32"/>
                                  <w:szCs w:val="32"/>
                                </w:rPr>
                                <w:t>student Id</w:t>
                              </w:r>
                              <w:r w:rsidR="007E68D3" w:rsidRPr="00170B3F">
                                <w:rPr>
                                  <w:rFonts w:ascii="Arial" w:hAnsi="Arial" w:cs="Arial"/>
                                  <w:b/>
                                  <w:bCs/>
                                  <w:color w:val="595959" w:themeColor="text1" w:themeTint="A6"/>
                                  <w:sz w:val="32"/>
                                  <w:szCs w:val="32"/>
                                </w:rPr>
                                <w:t xml:space="preserve"> 2123174</w:t>
                              </w:r>
                              <w:r w:rsidR="00366D4B" w:rsidRPr="00170B3F">
                                <w:rPr>
                                  <w:rFonts w:ascii="Arial" w:hAnsi="Arial" w:cs="Arial"/>
                                  <w:b/>
                                  <w:bCs/>
                                  <w:color w:val="595959" w:themeColor="text1" w:themeTint="A6"/>
                                  <w:sz w:val="32"/>
                                  <w:szCs w:val="32"/>
                                </w:rPr>
                                <w:t xml:space="preserve"> </w:t>
                              </w:r>
                              <w:r w:rsidR="00366D4B" w:rsidRPr="00170B3F">
                                <w:rPr>
                                  <w:rFonts w:ascii="Arial" w:hAnsi="Arial" w:cs="Arial"/>
                                  <w:b/>
                                  <w:bCs/>
                                  <w:color w:val="595959" w:themeColor="text1" w:themeTint="A6"/>
                                  <w:sz w:val="32"/>
                                  <w:szCs w:val="32"/>
                                </w:rPr>
                                <w:br/>
                                <w:t xml:space="preserve">model </w:t>
                              </w:r>
                              <w:r w:rsidR="004A75DE" w:rsidRPr="00170B3F">
                                <w:rPr>
                                  <w:rFonts w:ascii="Arial" w:hAnsi="Arial" w:cs="Arial"/>
                                  <w:b/>
                                  <w:bCs/>
                                  <w:color w:val="595959" w:themeColor="text1" w:themeTint="A6"/>
                                  <w:sz w:val="32"/>
                                  <w:szCs w:val="32"/>
                                </w:rPr>
                                <w:t>code</w:t>
                              </w:r>
                              <w:r w:rsidR="00883386" w:rsidRPr="00170B3F">
                                <w:rPr>
                                  <w:rFonts w:ascii="Arial" w:hAnsi="Arial" w:cs="Arial"/>
                                  <w:b/>
                                  <w:bCs/>
                                  <w:color w:val="595959" w:themeColor="text1" w:themeTint="A6"/>
                                  <w:sz w:val="32"/>
                                  <w:szCs w:val="32"/>
                                </w:rPr>
                                <w:t xml:space="preserve"> </w:t>
                              </w:r>
                              <w:r w:rsidR="00B84015" w:rsidRPr="00170B3F">
                                <w:rPr>
                                  <w:rFonts w:ascii="Arial" w:hAnsi="Arial" w:cs="Arial"/>
                                  <w:b/>
                                  <w:bCs/>
                                  <w:color w:val="595959" w:themeColor="text1" w:themeTint="A6"/>
                                  <w:sz w:val="32"/>
                                  <w:szCs w:val="32"/>
                                </w:rPr>
                                <w:t>(</w:t>
                              </w:r>
                              <w:r w:rsidR="000C0344" w:rsidRPr="00170B3F">
                                <w:rPr>
                                  <w:rFonts w:ascii="Arial" w:hAnsi="Arial" w:cs="Arial"/>
                                  <w:b/>
                                  <w:bCs/>
                                  <w:color w:val="595959" w:themeColor="text1" w:themeTint="A6"/>
                                  <w:sz w:val="32"/>
                                  <w:szCs w:val="32"/>
                                </w:rPr>
                                <w:t>LCLM5003_LON)</w:t>
                              </w:r>
                              <w:r w:rsidR="004A75DE" w:rsidRPr="00170B3F">
                                <w:rPr>
                                  <w:rFonts w:ascii="Arial" w:hAnsi="Arial" w:cs="Arial"/>
                                  <w:b/>
                                  <w:bCs/>
                                  <w:color w:val="595959" w:themeColor="text1" w:themeTint="A6"/>
                                  <w:sz w:val="32"/>
                                  <w:szCs w:val="32"/>
                                </w:rPr>
                                <w:t xml:space="preserve"> </w:t>
                              </w:r>
                              <w:r w:rsidR="0053280B" w:rsidRPr="00170B3F">
                                <w:rPr>
                                  <w:rFonts w:ascii="Arial" w:hAnsi="Arial" w:cs="Arial"/>
                                  <w:b/>
                                  <w:bCs/>
                                  <w:color w:val="595959" w:themeColor="text1" w:themeTint="A6"/>
                                  <w:sz w:val="32"/>
                                  <w:szCs w:val="32"/>
                                </w:rPr>
                                <w:br/>
                                <w:t>lecture nam</w:t>
                              </w:r>
                              <w:r w:rsidR="007E68D3" w:rsidRPr="00170B3F">
                                <w:rPr>
                                  <w:rFonts w:ascii="Arial" w:hAnsi="Arial" w:cs="Arial"/>
                                  <w:b/>
                                  <w:bCs/>
                                  <w:color w:val="595959" w:themeColor="text1" w:themeTint="A6"/>
                                  <w:sz w:val="32"/>
                                  <w:szCs w:val="32"/>
                                </w:rPr>
                                <w:t>e</w:t>
                              </w:r>
                              <w:r w:rsidR="002E1135" w:rsidRPr="00170B3F">
                                <w:rPr>
                                  <w:rFonts w:ascii="Arial" w:hAnsi="Arial" w:cs="Arial"/>
                                  <w:b/>
                                  <w:bCs/>
                                  <w:color w:val="595959" w:themeColor="text1" w:themeTint="A6"/>
                                  <w:sz w:val="32"/>
                                  <w:szCs w:val="32"/>
                                </w:rPr>
                                <w:t xml:space="preserve"> Dr Rexon </w:t>
                              </w:r>
                              <w:r w:rsidR="007D3D3A" w:rsidRPr="00170B3F">
                                <w:rPr>
                                  <w:rFonts w:ascii="Arial" w:hAnsi="Arial" w:cs="Arial"/>
                                  <w:b/>
                                  <w:bCs/>
                                  <w:color w:val="595959" w:themeColor="text1" w:themeTint="A6"/>
                                  <w:sz w:val="32"/>
                                  <w:szCs w:val="32"/>
                                </w:rPr>
                                <w:t>N</w:t>
                              </w:r>
                              <w:r w:rsidR="002E1135" w:rsidRPr="00170B3F">
                                <w:rPr>
                                  <w:rFonts w:ascii="Arial" w:hAnsi="Arial" w:cs="Arial"/>
                                  <w:b/>
                                  <w:bCs/>
                                  <w:color w:val="595959" w:themeColor="text1" w:themeTint="A6"/>
                                  <w:sz w:val="32"/>
                                  <w:szCs w:val="32"/>
                                </w:rPr>
                                <w:t>ting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FF210E" wp14:editId="0CA3CF7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76998D" w14:textId="0571BEA0" w:rsidR="00362E92" w:rsidRDefault="0000000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3280B">
                                      <w:rPr>
                                        <w:caps/>
                                        <w:color w:val="156082" w:themeColor="accent1"/>
                                        <w:sz w:val="64"/>
                                        <w:szCs w:val="64"/>
                                      </w:rPr>
                                      <w:t xml:space="preserve">     </w:t>
                                    </w:r>
                                  </w:sdtContent>
                                </w:sdt>
                              </w:p>
                              <w:sdt>
                                <w:sdtPr>
                                  <w:rPr>
                                    <w:b/>
                                    <w:bCs/>
                                    <w:color w:val="4EA72E" w:themeColor="accent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EDAA10" w14:textId="066E18F7" w:rsidR="00362E92" w:rsidRDefault="00170B3F" w:rsidP="00170B3F">
                                    <w:pPr>
                                      <w:jc w:val="right"/>
                                      <w:rPr>
                                        <w:smallCaps/>
                                        <w:color w:val="404040" w:themeColor="text1" w:themeTint="BF"/>
                                        <w:sz w:val="36"/>
                                        <w:szCs w:val="36"/>
                                      </w:rPr>
                                    </w:pPr>
                                    <w:r w:rsidRPr="00170B3F">
                                      <w:rPr>
                                        <w:b/>
                                        <w:bCs/>
                                        <w:color w:val="4EA72E" w:themeColor="accent6"/>
                                      </w:rPr>
                                      <w:t>Project Management Plan</w:t>
                                    </w:r>
                                    <w:r w:rsidRPr="00170B3F">
                                      <w:rPr>
                                        <w:b/>
                                        <w:bCs/>
                                        <w:color w:val="4EA72E" w:themeColor="accent6"/>
                                      </w:rPr>
                                      <w:t xml:space="preserve"> </w:t>
                                    </w:r>
                                    <w:r w:rsidRPr="00170B3F">
                                      <w:rPr>
                                        <w:b/>
                                        <w:bCs/>
                                        <w:color w:val="4EA72E" w:themeColor="accent6"/>
                                      </w:rPr>
                                      <w:t>Task Scenario:  Massive Flooding in 2022 led to a destruction of the principal corridor for transportation in British Columbia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FF210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F76998D" w14:textId="0571BEA0" w:rsidR="00362E92" w:rsidRDefault="0000000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3280B">
                                <w:rPr>
                                  <w:caps/>
                                  <w:color w:val="156082" w:themeColor="accent1"/>
                                  <w:sz w:val="64"/>
                                  <w:szCs w:val="64"/>
                                </w:rPr>
                                <w:t xml:space="preserve">     </w:t>
                              </w:r>
                            </w:sdtContent>
                          </w:sdt>
                        </w:p>
                        <w:sdt>
                          <w:sdtPr>
                            <w:rPr>
                              <w:b/>
                              <w:bCs/>
                              <w:color w:val="4EA72E" w:themeColor="accent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EDAA10" w14:textId="066E18F7" w:rsidR="00362E92" w:rsidRDefault="00170B3F" w:rsidP="00170B3F">
                              <w:pPr>
                                <w:jc w:val="right"/>
                                <w:rPr>
                                  <w:smallCaps/>
                                  <w:color w:val="404040" w:themeColor="text1" w:themeTint="BF"/>
                                  <w:sz w:val="36"/>
                                  <w:szCs w:val="36"/>
                                </w:rPr>
                              </w:pPr>
                              <w:r w:rsidRPr="00170B3F">
                                <w:rPr>
                                  <w:b/>
                                  <w:bCs/>
                                  <w:color w:val="4EA72E" w:themeColor="accent6"/>
                                </w:rPr>
                                <w:t>Project Management Plan</w:t>
                              </w:r>
                              <w:r w:rsidRPr="00170B3F">
                                <w:rPr>
                                  <w:b/>
                                  <w:bCs/>
                                  <w:color w:val="4EA72E" w:themeColor="accent6"/>
                                </w:rPr>
                                <w:t xml:space="preserve"> </w:t>
                              </w:r>
                              <w:r w:rsidRPr="00170B3F">
                                <w:rPr>
                                  <w:b/>
                                  <w:bCs/>
                                  <w:color w:val="4EA72E" w:themeColor="accent6"/>
                                </w:rPr>
                                <w:t>Task Scenario:  Massive Flooding in 2022 led to a destruction of the principal corridor for transportation in British Columbia</w:t>
                              </w:r>
                            </w:p>
                          </w:sdtContent>
                        </w:sdt>
                      </w:txbxContent>
                    </v:textbox>
                    <w10:wrap type="square" anchorx="page" anchory="page"/>
                  </v:shape>
                </w:pict>
              </mc:Fallback>
            </mc:AlternateContent>
          </w:r>
        </w:p>
        <w:p w14:paraId="55C2D34B" w14:textId="71156B6E" w:rsidR="00362E92" w:rsidRDefault="00362E92">
          <w:r>
            <w:br w:type="page"/>
          </w:r>
        </w:p>
      </w:sdtContent>
    </w:sdt>
    <w:sdt>
      <w:sdtPr>
        <w:rPr>
          <w:rFonts w:asciiTheme="minorHAnsi" w:eastAsiaTheme="minorHAnsi" w:hAnsiTheme="minorHAnsi" w:cstheme="minorBidi"/>
          <w:color w:val="auto"/>
          <w:kern w:val="2"/>
          <w:sz w:val="24"/>
          <w:szCs w:val="24"/>
          <w:lang w:eastAsia="en-US"/>
          <w14:ligatures w14:val="standardContextual"/>
        </w:rPr>
        <w:id w:val="437252593"/>
        <w:docPartObj>
          <w:docPartGallery w:val="Table of Contents"/>
          <w:docPartUnique/>
        </w:docPartObj>
      </w:sdtPr>
      <w:sdtEndPr>
        <w:rPr>
          <w:b/>
          <w:bCs/>
        </w:rPr>
      </w:sdtEndPr>
      <w:sdtContent>
        <w:p w14:paraId="39F08A1A" w14:textId="323A98E0" w:rsidR="00362E92" w:rsidRDefault="00362E92">
          <w:pPr>
            <w:pStyle w:val="TOCHeading"/>
          </w:pPr>
          <w:r>
            <w:t>Contents</w:t>
          </w:r>
        </w:p>
        <w:p w14:paraId="5EF0055D" w14:textId="2C384C0E" w:rsidR="003A3EDB" w:rsidRDefault="00362E9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732180" w:history="1">
            <w:r w:rsidR="003A3EDB" w:rsidRPr="006347C0">
              <w:rPr>
                <w:rStyle w:val="Hyperlink"/>
                <w:noProof/>
              </w:rPr>
              <w:t>Project proposal poster</w:t>
            </w:r>
            <w:r w:rsidR="003A3EDB">
              <w:rPr>
                <w:noProof/>
                <w:webHidden/>
              </w:rPr>
              <w:tab/>
            </w:r>
            <w:r w:rsidR="003A3EDB">
              <w:rPr>
                <w:noProof/>
                <w:webHidden/>
              </w:rPr>
              <w:fldChar w:fldCharType="begin"/>
            </w:r>
            <w:r w:rsidR="003A3EDB">
              <w:rPr>
                <w:noProof/>
                <w:webHidden/>
              </w:rPr>
              <w:instrText xml:space="preserve"> PAGEREF _Toc216732180 \h </w:instrText>
            </w:r>
            <w:r w:rsidR="003A3EDB">
              <w:rPr>
                <w:noProof/>
                <w:webHidden/>
              </w:rPr>
            </w:r>
            <w:r w:rsidR="003A3EDB">
              <w:rPr>
                <w:noProof/>
                <w:webHidden/>
              </w:rPr>
              <w:fldChar w:fldCharType="separate"/>
            </w:r>
            <w:r w:rsidR="003A3EDB">
              <w:rPr>
                <w:noProof/>
                <w:webHidden/>
              </w:rPr>
              <w:t>2</w:t>
            </w:r>
            <w:r w:rsidR="003A3EDB">
              <w:rPr>
                <w:noProof/>
                <w:webHidden/>
              </w:rPr>
              <w:fldChar w:fldCharType="end"/>
            </w:r>
          </w:hyperlink>
        </w:p>
        <w:p w14:paraId="390AB3A7" w14:textId="2043213E" w:rsidR="003A3EDB" w:rsidRDefault="003A3EDB">
          <w:pPr>
            <w:pStyle w:val="TOC1"/>
            <w:tabs>
              <w:tab w:val="right" w:leader="dot" w:pos="9016"/>
            </w:tabs>
            <w:rPr>
              <w:rFonts w:eastAsiaTheme="minorEastAsia"/>
              <w:noProof/>
              <w:lang w:eastAsia="en-GB"/>
            </w:rPr>
          </w:pPr>
          <w:hyperlink w:anchor="_Toc216732181" w:history="1">
            <w:r w:rsidRPr="006347C0">
              <w:rPr>
                <w:rStyle w:val="Hyperlink"/>
                <w:noProof/>
              </w:rPr>
              <w:t>Reflection on Feedback from Tutor</w:t>
            </w:r>
            <w:r>
              <w:rPr>
                <w:noProof/>
                <w:webHidden/>
              </w:rPr>
              <w:tab/>
            </w:r>
            <w:r>
              <w:rPr>
                <w:noProof/>
                <w:webHidden/>
              </w:rPr>
              <w:fldChar w:fldCharType="begin"/>
            </w:r>
            <w:r>
              <w:rPr>
                <w:noProof/>
                <w:webHidden/>
              </w:rPr>
              <w:instrText xml:space="preserve"> PAGEREF _Toc216732181 \h </w:instrText>
            </w:r>
            <w:r>
              <w:rPr>
                <w:noProof/>
                <w:webHidden/>
              </w:rPr>
            </w:r>
            <w:r>
              <w:rPr>
                <w:noProof/>
                <w:webHidden/>
              </w:rPr>
              <w:fldChar w:fldCharType="separate"/>
            </w:r>
            <w:r>
              <w:rPr>
                <w:noProof/>
                <w:webHidden/>
              </w:rPr>
              <w:t>3</w:t>
            </w:r>
            <w:r>
              <w:rPr>
                <w:noProof/>
                <w:webHidden/>
              </w:rPr>
              <w:fldChar w:fldCharType="end"/>
            </w:r>
          </w:hyperlink>
        </w:p>
        <w:p w14:paraId="6A9AD29A" w14:textId="0A626E24" w:rsidR="003A3EDB" w:rsidRDefault="003A3EDB">
          <w:pPr>
            <w:pStyle w:val="TOC1"/>
            <w:tabs>
              <w:tab w:val="right" w:leader="dot" w:pos="9016"/>
            </w:tabs>
            <w:rPr>
              <w:rFonts w:eastAsiaTheme="minorEastAsia"/>
              <w:noProof/>
              <w:lang w:eastAsia="en-GB"/>
            </w:rPr>
          </w:pPr>
          <w:hyperlink w:anchor="_Toc216732182" w:history="1">
            <w:r w:rsidRPr="006347C0">
              <w:rPr>
                <w:rStyle w:val="Hyperlink"/>
                <w:noProof/>
              </w:rPr>
              <w:t>Introduction</w:t>
            </w:r>
            <w:r>
              <w:rPr>
                <w:noProof/>
                <w:webHidden/>
              </w:rPr>
              <w:tab/>
            </w:r>
            <w:r>
              <w:rPr>
                <w:noProof/>
                <w:webHidden/>
              </w:rPr>
              <w:fldChar w:fldCharType="begin"/>
            </w:r>
            <w:r>
              <w:rPr>
                <w:noProof/>
                <w:webHidden/>
              </w:rPr>
              <w:instrText xml:space="preserve"> PAGEREF _Toc216732182 \h </w:instrText>
            </w:r>
            <w:r>
              <w:rPr>
                <w:noProof/>
                <w:webHidden/>
              </w:rPr>
            </w:r>
            <w:r>
              <w:rPr>
                <w:noProof/>
                <w:webHidden/>
              </w:rPr>
              <w:fldChar w:fldCharType="separate"/>
            </w:r>
            <w:r>
              <w:rPr>
                <w:noProof/>
                <w:webHidden/>
              </w:rPr>
              <w:t>5</w:t>
            </w:r>
            <w:r>
              <w:rPr>
                <w:noProof/>
                <w:webHidden/>
              </w:rPr>
              <w:fldChar w:fldCharType="end"/>
            </w:r>
          </w:hyperlink>
        </w:p>
        <w:p w14:paraId="508E3BFB" w14:textId="04251660" w:rsidR="003A3EDB" w:rsidRDefault="003A3EDB">
          <w:pPr>
            <w:pStyle w:val="TOC1"/>
            <w:tabs>
              <w:tab w:val="right" w:leader="dot" w:pos="9016"/>
            </w:tabs>
            <w:rPr>
              <w:rFonts w:eastAsiaTheme="minorEastAsia"/>
              <w:noProof/>
              <w:lang w:eastAsia="en-GB"/>
            </w:rPr>
          </w:pPr>
          <w:hyperlink w:anchor="_Toc216732183" w:history="1">
            <w:r w:rsidRPr="006347C0">
              <w:rPr>
                <w:rStyle w:val="Hyperlink"/>
                <w:noProof/>
              </w:rPr>
              <w:t>Project Description</w:t>
            </w:r>
            <w:r>
              <w:rPr>
                <w:noProof/>
                <w:webHidden/>
              </w:rPr>
              <w:tab/>
            </w:r>
            <w:r>
              <w:rPr>
                <w:noProof/>
                <w:webHidden/>
              </w:rPr>
              <w:fldChar w:fldCharType="begin"/>
            </w:r>
            <w:r>
              <w:rPr>
                <w:noProof/>
                <w:webHidden/>
              </w:rPr>
              <w:instrText xml:space="preserve"> PAGEREF _Toc216732183 \h </w:instrText>
            </w:r>
            <w:r>
              <w:rPr>
                <w:noProof/>
                <w:webHidden/>
              </w:rPr>
            </w:r>
            <w:r>
              <w:rPr>
                <w:noProof/>
                <w:webHidden/>
              </w:rPr>
              <w:fldChar w:fldCharType="separate"/>
            </w:r>
            <w:r>
              <w:rPr>
                <w:noProof/>
                <w:webHidden/>
              </w:rPr>
              <w:t>6</w:t>
            </w:r>
            <w:r>
              <w:rPr>
                <w:noProof/>
                <w:webHidden/>
              </w:rPr>
              <w:fldChar w:fldCharType="end"/>
            </w:r>
          </w:hyperlink>
        </w:p>
        <w:p w14:paraId="23E5E5F5" w14:textId="0FCD42D2" w:rsidR="003A3EDB" w:rsidRPr="008052A1" w:rsidRDefault="003A3EDB" w:rsidP="008052A1">
          <w:pPr>
            <w:pStyle w:val="TOC1"/>
            <w:tabs>
              <w:tab w:val="right" w:leader="dot" w:pos="9016"/>
            </w:tabs>
            <w:rPr>
              <w:rFonts w:eastAsiaTheme="minorEastAsia"/>
              <w:noProof/>
              <w:lang w:eastAsia="en-GB"/>
            </w:rPr>
          </w:pPr>
          <w:hyperlink w:anchor="_Toc216732184" w:history="1">
            <w:r w:rsidRPr="006347C0">
              <w:rPr>
                <w:rStyle w:val="Hyperlink"/>
                <w:noProof/>
              </w:rPr>
              <w:t>Scope</w:t>
            </w:r>
            <w:r>
              <w:rPr>
                <w:noProof/>
                <w:webHidden/>
              </w:rPr>
              <w:tab/>
            </w:r>
            <w:r>
              <w:rPr>
                <w:noProof/>
                <w:webHidden/>
              </w:rPr>
              <w:fldChar w:fldCharType="begin"/>
            </w:r>
            <w:r>
              <w:rPr>
                <w:noProof/>
                <w:webHidden/>
              </w:rPr>
              <w:instrText xml:space="preserve"> PAGEREF _Toc216732184 \h </w:instrText>
            </w:r>
            <w:r>
              <w:rPr>
                <w:noProof/>
                <w:webHidden/>
              </w:rPr>
            </w:r>
            <w:r>
              <w:rPr>
                <w:noProof/>
                <w:webHidden/>
              </w:rPr>
              <w:fldChar w:fldCharType="separate"/>
            </w:r>
            <w:r>
              <w:rPr>
                <w:noProof/>
                <w:webHidden/>
              </w:rPr>
              <w:t>7</w:t>
            </w:r>
            <w:r>
              <w:rPr>
                <w:noProof/>
                <w:webHidden/>
              </w:rPr>
              <w:fldChar w:fldCharType="end"/>
            </w:r>
          </w:hyperlink>
        </w:p>
        <w:p w14:paraId="45B3B554" w14:textId="52C27EC9" w:rsidR="003A3EDB" w:rsidRDefault="003A3EDB">
          <w:pPr>
            <w:pStyle w:val="TOC1"/>
            <w:tabs>
              <w:tab w:val="right" w:leader="dot" w:pos="9016"/>
            </w:tabs>
            <w:rPr>
              <w:rFonts w:eastAsiaTheme="minorEastAsia"/>
              <w:noProof/>
              <w:lang w:eastAsia="en-GB"/>
            </w:rPr>
          </w:pPr>
          <w:hyperlink w:anchor="_Toc216732187" w:history="1">
            <w:r w:rsidRPr="006347C0">
              <w:rPr>
                <w:rStyle w:val="Hyperlink"/>
                <w:rFonts w:eastAsia="Times New Roman"/>
                <w:noProof/>
                <w:lang w:eastAsia="en-GB"/>
              </w:rPr>
              <w:t>Work breakdown structure</w:t>
            </w:r>
            <w:r>
              <w:rPr>
                <w:noProof/>
                <w:webHidden/>
              </w:rPr>
              <w:tab/>
            </w:r>
            <w:r>
              <w:rPr>
                <w:noProof/>
                <w:webHidden/>
              </w:rPr>
              <w:fldChar w:fldCharType="begin"/>
            </w:r>
            <w:r>
              <w:rPr>
                <w:noProof/>
                <w:webHidden/>
              </w:rPr>
              <w:instrText xml:space="preserve"> PAGEREF _Toc216732187 \h </w:instrText>
            </w:r>
            <w:r>
              <w:rPr>
                <w:noProof/>
                <w:webHidden/>
              </w:rPr>
            </w:r>
            <w:r>
              <w:rPr>
                <w:noProof/>
                <w:webHidden/>
              </w:rPr>
              <w:fldChar w:fldCharType="separate"/>
            </w:r>
            <w:r>
              <w:rPr>
                <w:noProof/>
                <w:webHidden/>
              </w:rPr>
              <w:t>8</w:t>
            </w:r>
            <w:r>
              <w:rPr>
                <w:noProof/>
                <w:webHidden/>
              </w:rPr>
              <w:fldChar w:fldCharType="end"/>
            </w:r>
          </w:hyperlink>
        </w:p>
        <w:p w14:paraId="1A4042BE" w14:textId="716E2BE6" w:rsidR="003A3EDB" w:rsidRDefault="003A3EDB">
          <w:pPr>
            <w:pStyle w:val="TOC1"/>
            <w:tabs>
              <w:tab w:val="right" w:leader="dot" w:pos="9016"/>
            </w:tabs>
            <w:rPr>
              <w:rFonts w:eastAsiaTheme="minorEastAsia"/>
              <w:noProof/>
              <w:lang w:eastAsia="en-GB"/>
            </w:rPr>
          </w:pPr>
          <w:hyperlink w:anchor="_Toc216732188" w:history="1">
            <w:r w:rsidRPr="006347C0">
              <w:rPr>
                <w:rStyle w:val="Hyperlink"/>
                <w:noProof/>
              </w:rPr>
              <w:t>Quad Chart</w:t>
            </w:r>
            <w:r>
              <w:rPr>
                <w:noProof/>
                <w:webHidden/>
              </w:rPr>
              <w:tab/>
            </w:r>
            <w:r>
              <w:rPr>
                <w:noProof/>
                <w:webHidden/>
              </w:rPr>
              <w:fldChar w:fldCharType="begin"/>
            </w:r>
            <w:r>
              <w:rPr>
                <w:noProof/>
                <w:webHidden/>
              </w:rPr>
              <w:instrText xml:space="preserve"> PAGEREF _Toc216732188 \h </w:instrText>
            </w:r>
            <w:r>
              <w:rPr>
                <w:noProof/>
                <w:webHidden/>
              </w:rPr>
            </w:r>
            <w:r>
              <w:rPr>
                <w:noProof/>
                <w:webHidden/>
              </w:rPr>
              <w:fldChar w:fldCharType="separate"/>
            </w:r>
            <w:r>
              <w:rPr>
                <w:noProof/>
                <w:webHidden/>
              </w:rPr>
              <w:t>9</w:t>
            </w:r>
            <w:r>
              <w:rPr>
                <w:noProof/>
                <w:webHidden/>
              </w:rPr>
              <w:fldChar w:fldCharType="end"/>
            </w:r>
          </w:hyperlink>
        </w:p>
        <w:p w14:paraId="2E4D23BA" w14:textId="7D854DEF" w:rsidR="003A3EDB" w:rsidRDefault="003A3EDB">
          <w:pPr>
            <w:pStyle w:val="TOC1"/>
            <w:tabs>
              <w:tab w:val="right" w:leader="dot" w:pos="9016"/>
            </w:tabs>
            <w:rPr>
              <w:rFonts w:eastAsiaTheme="minorEastAsia"/>
              <w:noProof/>
              <w:lang w:eastAsia="en-GB"/>
            </w:rPr>
          </w:pPr>
          <w:hyperlink w:anchor="_Toc216732189" w:history="1">
            <w:r w:rsidRPr="006347C0">
              <w:rPr>
                <w:rStyle w:val="Hyperlink"/>
                <w:noProof/>
              </w:rPr>
              <w:t>Gantt Chart</w:t>
            </w:r>
            <w:r>
              <w:rPr>
                <w:noProof/>
                <w:webHidden/>
              </w:rPr>
              <w:tab/>
            </w:r>
            <w:r>
              <w:rPr>
                <w:noProof/>
                <w:webHidden/>
              </w:rPr>
              <w:fldChar w:fldCharType="begin"/>
            </w:r>
            <w:r>
              <w:rPr>
                <w:noProof/>
                <w:webHidden/>
              </w:rPr>
              <w:instrText xml:space="preserve"> PAGEREF _Toc216732189 \h </w:instrText>
            </w:r>
            <w:r>
              <w:rPr>
                <w:noProof/>
                <w:webHidden/>
              </w:rPr>
            </w:r>
            <w:r>
              <w:rPr>
                <w:noProof/>
                <w:webHidden/>
              </w:rPr>
              <w:fldChar w:fldCharType="separate"/>
            </w:r>
            <w:r>
              <w:rPr>
                <w:noProof/>
                <w:webHidden/>
              </w:rPr>
              <w:t>10</w:t>
            </w:r>
            <w:r>
              <w:rPr>
                <w:noProof/>
                <w:webHidden/>
              </w:rPr>
              <w:fldChar w:fldCharType="end"/>
            </w:r>
          </w:hyperlink>
        </w:p>
        <w:p w14:paraId="606072F5" w14:textId="2252C2BF" w:rsidR="003A3EDB" w:rsidRDefault="003A3EDB">
          <w:pPr>
            <w:pStyle w:val="TOC1"/>
            <w:tabs>
              <w:tab w:val="right" w:leader="dot" w:pos="9016"/>
            </w:tabs>
            <w:rPr>
              <w:rFonts w:eastAsiaTheme="minorEastAsia"/>
              <w:noProof/>
              <w:lang w:eastAsia="en-GB"/>
            </w:rPr>
          </w:pPr>
          <w:hyperlink w:anchor="_Toc216732190" w:history="1">
            <w:r w:rsidRPr="006347C0">
              <w:rPr>
                <w:rStyle w:val="Hyperlink"/>
                <w:noProof/>
              </w:rPr>
              <w:t>Stakeholders Involvement</w:t>
            </w:r>
            <w:r>
              <w:rPr>
                <w:noProof/>
                <w:webHidden/>
              </w:rPr>
              <w:tab/>
            </w:r>
            <w:r>
              <w:rPr>
                <w:noProof/>
                <w:webHidden/>
              </w:rPr>
              <w:fldChar w:fldCharType="begin"/>
            </w:r>
            <w:r>
              <w:rPr>
                <w:noProof/>
                <w:webHidden/>
              </w:rPr>
              <w:instrText xml:space="preserve"> PAGEREF _Toc216732190 \h </w:instrText>
            </w:r>
            <w:r>
              <w:rPr>
                <w:noProof/>
                <w:webHidden/>
              </w:rPr>
            </w:r>
            <w:r>
              <w:rPr>
                <w:noProof/>
                <w:webHidden/>
              </w:rPr>
              <w:fldChar w:fldCharType="separate"/>
            </w:r>
            <w:r>
              <w:rPr>
                <w:noProof/>
                <w:webHidden/>
              </w:rPr>
              <w:t>11</w:t>
            </w:r>
            <w:r>
              <w:rPr>
                <w:noProof/>
                <w:webHidden/>
              </w:rPr>
              <w:fldChar w:fldCharType="end"/>
            </w:r>
          </w:hyperlink>
        </w:p>
        <w:p w14:paraId="39C7D67E" w14:textId="010009B2" w:rsidR="003A3EDB" w:rsidRPr="00E26109" w:rsidRDefault="003A3EDB" w:rsidP="00E26109">
          <w:pPr>
            <w:pStyle w:val="TOC1"/>
            <w:tabs>
              <w:tab w:val="right" w:leader="dot" w:pos="9016"/>
            </w:tabs>
            <w:rPr>
              <w:rFonts w:eastAsiaTheme="minorEastAsia"/>
              <w:noProof/>
              <w:lang w:eastAsia="en-GB"/>
            </w:rPr>
          </w:pPr>
          <w:hyperlink w:anchor="_Toc216732191" w:history="1">
            <w:r w:rsidRPr="006347C0">
              <w:rPr>
                <w:rStyle w:val="Hyperlink"/>
                <w:noProof/>
              </w:rPr>
              <w:t>Allocation of Resources</w:t>
            </w:r>
            <w:r>
              <w:rPr>
                <w:noProof/>
                <w:webHidden/>
              </w:rPr>
              <w:tab/>
            </w:r>
            <w:r>
              <w:rPr>
                <w:noProof/>
                <w:webHidden/>
              </w:rPr>
              <w:fldChar w:fldCharType="begin"/>
            </w:r>
            <w:r>
              <w:rPr>
                <w:noProof/>
                <w:webHidden/>
              </w:rPr>
              <w:instrText xml:space="preserve"> PAGEREF _Toc216732191 \h </w:instrText>
            </w:r>
            <w:r>
              <w:rPr>
                <w:noProof/>
                <w:webHidden/>
              </w:rPr>
            </w:r>
            <w:r>
              <w:rPr>
                <w:noProof/>
                <w:webHidden/>
              </w:rPr>
              <w:fldChar w:fldCharType="separate"/>
            </w:r>
            <w:r>
              <w:rPr>
                <w:noProof/>
                <w:webHidden/>
              </w:rPr>
              <w:t>13</w:t>
            </w:r>
            <w:r>
              <w:rPr>
                <w:noProof/>
                <w:webHidden/>
              </w:rPr>
              <w:fldChar w:fldCharType="end"/>
            </w:r>
          </w:hyperlink>
        </w:p>
        <w:p w14:paraId="427C7844" w14:textId="27EDD93A" w:rsidR="003A3EDB" w:rsidRDefault="003A3EDB">
          <w:pPr>
            <w:pStyle w:val="TOC1"/>
            <w:tabs>
              <w:tab w:val="right" w:leader="dot" w:pos="9016"/>
            </w:tabs>
            <w:rPr>
              <w:rFonts w:eastAsiaTheme="minorEastAsia"/>
              <w:noProof/>
              <w:lang w:eastAsia="en-GB"/>
            </w:rPr>
          </w:pPr>
          <w:hyperlink w:anchor="_Toc216732199" w:history="1">
            <w:r w:rsidRPr="006347C0">
              <w:rPr>
                <w:rStyle w:val="Hyperlink"/>
                <w:noProof/>
              </w:rPr>
              <w:t>Conclusion</w:t>
            </w:r>
            <w:r>
              <w:rPr>
                <w:noProof/>
                <w:webHidden/>
              </w:rPr>
              <w:tab/>
            </w:r>
            <w:r>
              <w:rPr>
                <w:noProof/>
                <w:webHidden/>
              </w:rPr>
              <w:fldChar w:fldCharType="begin"/>
            </w:r>
            <w:r>
              <w:rPr>
                <w:noProof/>
                <w:webHidden/>
              </w:rPr>
              <w:instrText xml:space="preserve"> PAGEREF _Toc216732199 \h </w:instrText>
            </w:r>
            <w:r>
              <w:rPr>
                <w:noProof/>
                <w:webHidden/>
              </w:rPr>
            </w:r>
            <w:r>
              <w:rPr>
                <w:noProof/>
                <w:webHidden/>
              </w:rPr>
              <w:fldChar w:fldCharType="separate"/>
            </w:r>
            <w:r>
              <w:rPr>
                <w:noProof/>
                <w:webHidden/>
              </w:rPr>
              <w:t>16</w:t>
            </w:r>
            <w:r>
              <w:rPr>
                <w:noProof/>
                <w:webHidden/>
              </w:rPr>
              <w:fldChar w:fldCharType="end"/>
            </w:r>
          </w:hyperlink>
        </w:p>
        <w:p w14:paraId="3C1E9009" w14:textId="7BE3DCCD" w:rsidR="003A3EDB" w:rsidRDefault="003A3EDB">
          <w:pPr>
            <w:pStyle w:val="TOC1"/>
            <w:tabs>
              <w:tab w:val="right" w:leader="dot" w:pos="9016"/>
            </w:tabs>
            <w:rPr>
              <w:rFonts w:eastAsiaTheme="minorEastAsia"/>
              <w:noProof/>
              <w:lang w:eastAsia="en-GB"/>
            </w:rPr>
          </w:pPr>
          <w:hyperlink w:anchor="_Toc216732200" w:history="1">
            <w:r w:rsidRPr="006347C0">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_Toc216732200 \h </w:instrText>
            </w:r>
            <w:r>
              <w:rPr>
                <w:noProof/>
                <w:webHidden/>
              </w:rPr>
            </w:r>
            <w:r>
              <w:rPr>
                <w:noProof/>
                <w:webHidden/>
              </w:rPr>
              <w:fldChar w:fldCharType="separate"/>
            </w:r>
            <w:r>
              <w:rPr>
                <w:noProof/>
                <w:webHidden/>
              </w:rPr>
              <w:t>17</w:t>
            </w:r>
            <w:r>
              <w:rPr>
                <w:noProof/>
                <w:webHidden/>
              </w:rPr>
              <w:fldChar w:fldCharType="end"/>
            </w:r>
          </w:hyperlink>
        </w:p>
        <w:p w14:paraId="5BEECF9A" w14:textId="7B88801C" w:rsidR="00362E92" w:rsidRDefault="00362E92">
          <w:r>
            <w:rPr>
              <w:b/>
              <w:bCs/>
              <w:noProof/>
            </w:rPr>
            <w:fldChar w:fldCharType="end"/>
          </w:r>
        </w:p>
      </w:sdtContent>
    </w:sdt>
    <w:p w14:paraId="38CE6A4A" w14:textId="1327ADC7" w:rsidR="00362E92" w:rsidRDefault="00362E92">
      <w:r>
        <w:br w:type="page"/>
      </w:r>
    </w:p>
    <w:p w14:paraId="744272D9" w14:textId="0503BC89" w:rsidR="00362E92" w:rsidRPr="008628BB" w:rsidRDefault="00362E92" w:rsidP="008628BB">
      <w:pPr>
        <w:pStyle w:val="Heading1"/>
      </w:pPr>
      <w:bookmarkStart w:id="0" w:name="_Toc216732180"/>
      <w:r w:rsidRPr="008628BB">
        <w:lastRenderedPageBreak/>
        <w:t>Project proposal poster</w:t>
      </w:r>
      <w:bookmarkEnd w:id="0"/>
      <w:r w:rsidRPr="008628BB">
        <w:t xml:space="preserve"> </w:t>
      </w:r>
    </w:p>
    <w:p w14:paraId="10899640" w14:textId="42BC77E5" w:rsidR="008D4E2B" w:rsidRDefault="00362E92">
      <w:pPr>
        <w:rPr>
          <w:rFonts w:ascii="Arial" w:hAnsi="Arial" w:cs="Arial"/>
          <w:b/>
          <w:bCs/>
          <w:sz w:val="32"/>
          <w:szCs w:val="32"/>
        </w:rPr>
      </w:pPr>
      <w:r>
        <w:rPr>
          <w:noProof/>
        </w:rPr>
        <w:drawing>
          <wp:inline distT="0" distB="0" distL="0" distR="0" wp14:anchorId="021A947B" wp14:editId="1FA9763E">
            <wp:extent cx="5731510" cy="4298950"/>
            <wp:effectExtent l="0" t="0" r="2540" b="6350"/>
            <wp:docPr id="19971513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51355"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4298950"/>
                    </a:xfrm>
                    <a:prstGeom prst="rect">
                      <a:avLst/>
                    </a:prstGeom>
                  </pic:spPr>
                </pic:pic>
              </a:graphicData>
            </a:graphic>
          </wp:inline>
        </w:drawing>
      </w:r>
    </w:p>
    <w:p w14:paraId="53506AFA" w14:textId="77777777" w:rsidR="008D4E2B" w:rsidRDefault="008D4E2B">
      <w:pPr>
        <w:rPr>
          <w:rFonts w:ascii="Arial" w:hAnsi="Arial" w:cs="Arial"/>
          <w:b/>
          <w:bCs/>
          <w:sz w:val="32"/>
          <w:szCs w:val="32"/>
        </w:rPr>
      </w:pPr>
      <w:r>
        <w:rPr>
          <w:rFonts w:ascii="Arial" w:hAnsi="Arial" w:cs="Arial"/>
          <w:b/>
          <w:bCs/>
          <w:sz w:val="32"/>
          <w:szCs w:val="32"/>
        </w:rPr>
        <w:br w:type="page"/>
      </w:r>
    </w:p>
    <w:p w14:paraId="147E0CC4" w14:textId="50719A73" w:rsidR="00362E92" w:rsidRPr="008052A1" w:rsidRDefault="008D4E2B" w:rsidP="008052A1">
      <w:pPr>
        <w:pStyle w:val="Heading1"/>
        <w:spacing w:line="276" w:lineRule="auto"/>
        <w:rPr>
          <w:rFonts w:ascii="Arial" w:hAnsi="Arial" w:cs="Arial"/>
          <w:sz w:val="24"/>
          <w:szCs w:val="24"/>
        </w:rPr>
      </w:pPr>
      <w:bookmarkStart w:id="1" w:name="_Toc216732181"/>
      <w:r w:rsidRPr="008052A1">
        <w:rPr>
          <w:rFonts w:ascii="Arial" w:hAnsi="Arial" w:cs="Arial"/>
          <w:sz w:val="24"/>
          <w:szCs w:val="24"/>
        </w:rPr>
        <w:lastRenderedPageBreak/>
        <w:t xml:space="preserve">Reflection on Feedback from Tutor </w:t>
      </w:r>
      <w:bookmarkEnd w:id="1"/>
    </w:p>
    <w:p w14:paraId="4FB30682" w14:textId="77777777" w:rsidR="008D4E2B" w:rsidRPr="008052A1" w:rsidRDefault="008D4E2B" w:rsidP="008052A1">
      <w:pPr>
        <w:pStyle w:val="NormalWeb"/>
        <w:spacing w:line="276" w:lineRule="auto"/>
        <w:rPr>
          <w:rFonts w:ascii="Arial" w:hAnsi="Arial" w:cs="Arial"/>
        </w:rPr>
      </w:pPr>
      <w:r w:rsidRPr="008052A1">
        <w:rPr>
          <w:rFonts w:ascii="Arial" w:hAnsi="Arial" w:cs="Arial"/>
        </w:rPr>
        <w:t>Feedback received from the tutor and peers on the project proposal poster was valuable in refining both the structure and content of the final project management plan. One of the main strengths identified was the clear presentation of the problem context and the relevance of the proposed solution. The poster effectively communicated the impact of frequent flooding on homes, infrastructure, and public facilities, which helped establish a strong justification for the project. The concise explanation of project objectives and deliverables was also positively received, as it demonstrated alignment between the identified problem and the proposed interventions.</w:t>
      </w:r>
    </w:p>
    <w:p w14:paraId="220D8DB5" w14:textId="7B09A5B1" w:rsidR="008D4E2B" w:rsidRPr="008052A1" w:rsidRDefault="008D4E2B" w:rsidP="008052A1">
      <w:pPr>
        <w:pStyle w:val="NormalWeb"/>
        <w:spacing w:line="276" w:lineRule="auto"/>
        <w:rPr>
          <w:rFonts w:ascii="Arial" w:hAnsi="Arial" w:cs="Arial"/>
        </w:rPr>
      </w:pPr>
      <w:r w:rsidRPr="008052A1">
        <w:rPr>
          <w:rFonts w:ascii="Arial" w:hAnsi="Arial" w:cs="Arial"/>
        </w:rPr>
        <w:t xml:space="preserve">Another area that was commended was the inclusion of community-focused solutions alongside technical measures. Peers noted that combining drainage improvements with early warning systems and community training showed an understanding that flood resilience is not solely an engineering challenge but also a social one. The identification of key stakeholders, particularly local government and community members, was considered appropriate and realistic for a </w:t>
      </w:r>
      <w:r w:rsidR="00757897" w:rsidRPr="008052A1">
        <w:rPr>
          <w:rFonts w:ascii="Arial" w:hAnsi="Arial" w:cs="Arial"/>
        </w:rPr>
        <w:t>community-based</w:t>
      </w:r>
      <w:r w:rsidRPr="008052A1">
        <w:rPr>
          <w:rFonts w:ascii="Arial" w:hAnsi="Arial" w:cs="Arial"/>
        </w:rPr>
        <w:t xml:space="preserve"> project.</w:t>
      </w:r>
    </w:p>
    <w:p w14:paraId="7D02227B" w14:textId="77777777" w:rsidR="008D4E2B" w:rsidRPr="008052A1" w:rsidRDefault="008D4E2B" w:rsidP="008052A1">
      <w:pPr>
        <w:pStyle w:val="NormalWeb"/>
        <w:spacing w:line="276" w:lineRule="auto"/>
        <w:rPr>
          <w:rFonts w:ascii="Arial" w:hAnsi="Arial" w:cs="Arial"/>
        </w:rPr>
      </w:pPr>
      <w:r w:rsidRPr="008052A1">
        <w:rPr>
          <w:rFonts w:ascii="Arial" w:hAnsi="Arial" w:cs="Arial"/>
        </w:rPr>
        <w:t>Despite these strengths, several constructive suggestions were provided. One key area for improvement was the need for greater detail in the project management components, particularly the work breakdown structure and scheduling. While the poster provided a high-level overview, it was recommended that the final report clearly demonstrate how the project would be planned, executed, and monitored using formal project management tools. In response, the final plan includes a detailed work breakdown structure and a summarised Gantt chart to illustrate sequencing and timelines.</w:t>
      </w:r>
    </w:p>
    <w:p w14:paraId="55F1BEB2" w14:textId="77777777" w:rsidR="008D4E2B" w:rsidRPr="008052A1" w:rsidRDefault="008D4E2B" w:rsidP="008052A1">
      <w:pPr>
        <w:pStyle w:val="NormalWeb"/>
        <w:spacing w:line="276" w:lineRule="auto"/>
        <w:rPr>
          <w:rFonts w:ascii="Arial" w:hAnsi="Arial" w:cs="Arial"/>
        </w:rPr>
      </w:pPr>
      <w:r w:rsidRPr="008052A1">
        <w:rPr>
          <w:rFonts w:ascii="Arial" w:hAnsi="Arial" w:cs="Arial"/>
        </w:rPr>
        <w:t>Feedback also highlighted the importance of explicitly addressing risks and mitigation strategies. The initial poster mentioned flood risk reduction but did not clearly identify project delivery risks such as weather delays, funding constraints, or community engagement challenges. The final plan therefore includes a structured risk analysis section with clear mitigation measures.</w:t>
      </w:r>
    </w:p>
    <w:p w14:paraId="362D8FCD" w14:textId="77777777" w:rsidR="008D4E2B" w:rsidRPr="008052A1" w:rsidRDefault="008D4E2B" w:rsidP="008052A1">
      <w:pPr>
        <w:pStyle w:val="NormalWeb"/>
        <w:spacing w:line="276" w:lineRule="auto"/>
        <w:rPr>
          <w:rFonts w:ascii="Arial" w:hAnsi="Arial" w:cs="Arial"/>
        </w:rPr>
      </w:pPr>
      <w:r w:rsidRPr="008052A1">
        <w:rPr>
          <w:rFonts w:ascii="Arial" w:hAnsi="Arial" w:cs="Arial"/>
        </w:rPr>
        <w:t>Overall, the feedback helped transform the proposal from a concept-focused presentation into a comprehensive and professionally structured project management plan. The revisions strengthen clarity, feasibility, and alignment with academic and practical project management standards.</w:t>
      </w:r>
    </w:p>
    <w:p w14:paraId="3446B3DA" w14:textId="77777777" w:rsidR="0022601F" w:rsidRPr="008052A1" w:rsidRDefault="0022601F" w:rsidP="008052A1">
      <w:pPr>
        <w:spacing w:line="276" w:lineRule="auto"/>
        <w:rPr>
          <w:rFonts w:ascii="Arial" w:hAnsi="Arial" w:cs="Arial"/>
        </w:rPr>
      </w:pPr>
    </w:p>
    <w:p w14:paraId="06556E93" w14:textId="03EF80E5" w:rsidR="0022601F" w:rsidRPr="008052A1" w:rsidRDefault="0022601F" w:rsidP="008052A1">
      <w:pPr>
        <w:spacing w:line="276" w:lineRule="auto"/>
        <w:rPr>
          <w:rFonts w:ascii="Arial" w:hAnsi="Arial" w:cs="Arial"/>
        </w:rPr>
      </w:pPr>
      <w:r w:rsidRPr="008052A1">
        <w:rPr>
          <w:rFonts w:ascii="Arial" w:hAnsi="Arial" w:cs="Arial"/>
        </w:rPr>
        <w:t xml:space="preserve">While key risks such as extreme weather, landslides, and supply chain disruption were acknowledged, the mitigation measures were not clearly explained. In response to this feedback, the final Project Management Plan includes an expanded </w:t>
      </w:r>
      <w:r w:rsidRPr="008052A1">
        <w:rPr>
          <w:rFonts w:ascii="Arial" w:hAnsi="Arial" w:cs="Arial"/>
        </w:rPr>
        <w:lastRenderedPageBreak/>
        <w:t>risk analysis section incorporating a structured risk register, probability-impact assessment, and clearly defined mitigation and monitoring strategies.</w:t>
      </w:r>
    </w:p>
    <w:p w14:paraId="4D149D6B" w14:textId="176E879E" w:rsidR="00FB5288" w:rsidRPr="008052A1" w:rsidRDefault="005033FB" w:rsidP="008052A1">
      <w:pPr>
        <w:spacing w:line="276" w:lineRule="auto"/>
        <w:rPr>
          <w:rFonts w:ascii="Arial" w:hAnsi="Arial" w:cs="Arial"/>
        </w:rPr>
      </w:pPr>
      <w:r w:rsidRPr="008052A1">
        <w:rPr>
          <w:rFonts w:ascii="Arial" w:hAnsi="Arial" w:cs="Arial"/>
        </w:rPr>
        <w:t>The tutor also emphasised the importance of stakeholder engagement, particularly the recognition of Indigenous communities and environmental regulators. This feedback was addressed by expanding the stakeholder involvement section to include consultation, ongoing communication, and regulatory compliance strategies. This improvement strengthened the project’s social and governance considerations.</w:t>
      </w:r>
    </w:p>
    <w:p w14:paraId="1CE04716" w14:textId="77777777" w:rsidR="00FB5288" w:rsidRPr="008052A1" w:rsidRDefault="00FB5288" w:rsidP="008052A1">
      <w:pPr>
        <w:spacing w:line="276" w:lineRule="auto"/>
        <w:rPr>
          <w:rFonts w:ascii="Arial" w:hAnsi="Arial" w:cs="Arial"/>
        </w:rPr>
      </w:pPr>
    </w:p>
    <w:p w14:paraId="5BA7A368" w14:textId="2AE7E245" w:rsidR="008D4E2B" w:rsidRPr="008052A1" w:rsidRDefault="00D3574F" w:rsidP="008052A1">
      <w:pPr>
        <w:spacing w:line="276" w:lineRule="auto"/>
        <w:rPr>
          <w:rFonts w:ascii="Arial" w:hAnsi="Arial" w:cs="Arial"/>
        </w:rPr>
      </w:pPr>
      <w:r w:rsidRPr="008052A1">
        <w:rPr>
          <w:rFonts w:ascii="Arial" w:hAnsi="Arial" w:cs="Arial"/>
        </w:rPr>
        <w:t>In conclusion, the feedback process played a critical role in refining the project plan. Strengths such as project relevance, clarity of objectives, and strategic focus were reinforced, while weaknesses related to risk management, resource allocation, and stakeholder engagement were effectively addressed. The final Project Management Plan reflects these improvements and demonstrates a more comprehensive, realistic, and professionally structured approach suitable for submission to relevant stakeholders.</w:t>
      </w:r>
    </w:p>
    <w:p w14:paraId="5BFCCCE4" w14:textId="77777777" w:rsidR="008D4E2B" w:rsidRPr="008052A1" w:rsidRDefault="008D4E2B" w:rsidP="008052A1">
      <w:pPr>
        <w:spacing w:line="276" w:lineRule="auto"/>
        <w:rPr>
          <w:rFonts w:ascii="Arial" w:hAnsi="Arial" w:cs="Arial"/>
        </w:rPr>
      </w:pPr>
      <w:r w:rsidRPr="008052A1">
        <w:rPr>
          <w:rFonts w:ascii="Arial" w:hAnsi="Arial" w:cs="Arial"/>
        </w:rPr>
        <w:br w:type="page"/>
      </w:r>
    </w:p>
    <w:p w14:paraId="5DFFA704" w14:textId="77777777" w:rsidR="008D4E2B" w:rsidRPr="008052A1" w:rsidRDefault="008D4E2B" w:rsidP="008052A1">
      <w:pPr>
        <w:pStyle w:val="Heading1"/>
        <w:spacing w:line="276" w:lineRule="auto"/>
        <w:rPr>
          <w:rFonts w:ascii="Arial" w:hAnsi="Arial" w:cs="Arial"/>
          <w:sz w:val="24"/>
          <w:szCs w:val="24"/>
        </w:rPr>
      </w:pPr>
      <w:bookmarkStart w:id="2" w:name="_Toc216732182"/>
      <w:r w:rsidRPr="008052A1">
        <w:rPr>
          <w:rFonts w:ascii="Arial" w:hAnsi="Arial" w:cs="Arial"/>
          <w:sz w:val="24"/>
          <w:szCs w:val="24"/>
        </w:rPr>
        <w:lastRenderedPageBreak/>
        <w:t>Introduction</w:t>
      </w:r>
      <w:bookmarkEnd w:id="2"/>
    </w:p>
    <w:p w14:paraId="71A2A5E2" w14:textId="77777777" w:rsidR="009525A5" w:rsidRPr="008052A1" w:rsidRDefault="009525A5"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Flooding is one of the most destructive natural hazards globally, with climate change increasing both the frequency and intensity of extreme rainfall events. In November 2022, British Columbia experienced unprecedented flooding following a powerful atmospheric river event. The resulting landslides, road washouts, and bridge failures caused extensive damage to transportation networks and public infrastructure, isolating communities and disrupting economic activities.</w:t>
      </w:r>
    </w:p>
    <w:p w14:paraId="07C2BABD" w14:textId="77777777" w:rsidR="009525A5" w:rsidRPr="008052A1" w:rsidRDefault="009525A5"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Highway 5 plays a critical role in connecting the Lower Mainland with the interior of British Columbia and the rest of Canada. Its closure significantly affected the transportation of goods, emergency response capabilities, and access to essential services. In addition, local infrastructure such as schools, hospitals, farms, and utilities sustained damage, further exacerbating community vulnerability.</w:t>
      </w:r>
    </w:p>
    <w:p w14:paraId="5482A89F" w14:textId="77777777" w:rsidR="009525A5" w:rsidRPr="008052A1" w:rsidRDefault="009525A5"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Effective recovery from such disasters requires structured planning and professional project management. This Project Management Plan outlines a coordinated Flood Resilience and Recovery Project aimed at reopening Highway 5 and reconstructing critical community infrastructure. The plan demonstrates the application of recognised project management principles to ensure timely, cost-effective, and sustainable recovery.</w:t>
      </w:r>
    </w:p>
    <w:p w14:paraId="48A03D21" w14:textId="77777777" w:rsidR="00352EAA" w:rsidRPr="008052A1" w:rsidRDefault="00352EAA" w:rsidP="008052A1">
      <w:pPr>
        <w:pStyle w:val="NormalWeb"/>
        <w:spacing w:line="276" w:lineRule="auto"/>
        <w:rPr>
          <w:rFonts w:ascii="Arial" w:hAnsi="Arial" w:cs="Arial"/>
        </w:rPr>
      </w:pPr>
      <w:r w:rsidRPr="008052A1">
        <w:rPr>
          <w:rFonts w:ascii="Arial" w:hAnsi="Arial" w:cs="Arial"/>
        </w:rPr>
        <w:t>The Project Management Plan presented here provides a comprehensive framework for addressing these challenges. It integrates modern project management techniques, including the development of a Work Breakdown Structure (WBS), creation of a Gantt chart for scheduling, identification and engagement of stakeholders, allocation of resources, and risk assessment and mitigation strategies. The plan emphasizes efficiency, safety, compliance with environmental regulations, and stakeholder communication, ensuring that reconstruction efforts are executed in a coordinated and timely manner.</w:t>
      </w:r>
    </w:p>
    <w:p w14:paraId="4655EE15" w14:textId="77777777" w:rsidR="00352EAA" w:rsidRPr="008052A1" w:rsidRDefault="00352EAA" w:rsidP="008052A1">
      <w:pPr>
        <w:pStyle w:val="NormalWeb"/>
        <w:spacing w:line="276" w:lineRule="auto"/>
        <w:rPr>
          <w:rFonts w:ascii="Arial" w:hAnsi="Arial" w:cs="Arial"/>
        </w:rPr>
      </w:pPr>
      <w:r w:rsidRPr="008052A1">
        <w:rPr>
          <w:rFonts w:ascii="Arial" w:hAnsi="Arial" w:cs="Arial"/>
        </w:rPr>
        <w:t>Ultimately, this project is designed to restore connectivity, enhance public safety, support economic recovery, and strengthen the region’s preparedness for future disasters. By applying structured project management practices, the project aims to deliver a resilient, sustainable, and fully functional transportation corridor that meets the needs of all stakeholders while minimizing future risks.</w:t>
      </w:r>
    </w:p>
    <w:p w14:paraId="0DD88289" w14:textId="77777777" w:rsidR="00352EAA" w:rsidRPr="008052A1" w:rsidRDefault="00352EAA" w:rsidP="008052A1">
      <w:pPr>
        <w:spacing w:before="100" w:beforeAutospacing="1" w:after="100" w:afterAutospacing="1" w:line="276" w:lineRule="auto"/>
        <w:rPr>
          <w:rFonts w:ascii="Arial" w:eastAsia="Times New Roman" w:hAnsi="Arial" w:cs="Arial"/>
          <w:kern w:val="0"/>
          <w:lang w:eastAsia="en-GB"/>
          <w14:ligatures w14:val="none"/>
        </w:rPr>
      </w:pPr>
    </w:p>
    <w:p w14:paraId="338BABF0" w14:textId="6D631193" w:rsidR="009525A5" w:rsidRPr="008052A1" w:rsidRDefault="009525A5" w:rsidP="008052A1">
      <w:pPr>
        <w:spacing w:after="0" w:line="276" w:lineRule="auto"/>
        <w:rPr>
          <w:rFonts w:ascii="Arial" w:eastAsia="Times New Roman" w:hAnsi="Arial" w:cs="Arial"/>
          <w:kern w:val="0"/>
          <w:lang w:eastAsia="en-GB"/>
          <w14:ligatures w14:val="none"/>
        </w:rPr>
      </w:pPr>
    </w:p>
    <w:p w14:paraId="29D5F319" w14:textId="77777777" w:rsidR="009525A5" w:rsidRPr="008052A1" w:rsidRDefault="009525A5" w:rsidP="008052A1">
      <w:pPr>
        <w:spacing w:before="100" w:beforeAutospacing="1" w:after="100" w:afterAutospacing="1" w:line="276" w:lineRule="auto"/>
        <w:outlineLvl w:val="1"/>
        <w:rPr>
          <w:rFonts w:ascii="Arial" w:eastAsia="Times New Roman" w:hAnsi="Arial" w:cs="Arial"/>
          <w:kern w:val="0"/>
          <w:lang w:eastAsia="en-GB"/>
          <w14:ligatures w14:val="none"/>
        </w:rPr>
      </w:pPr>
    </w:p>
    <w:p w14:paraId="663F6F0D" w14:textId="77777777" w:rsidR="00352EAA" w:rsidRPr="008052A1" w:rsidRDefault="00352EAA" w:rsidP="008052A1">
      <w:pPr>
        <w:spacing w:line="276" w:lineRule="auto"/>
        <w:rPr>
          <w:rFonts w:ascii="Arial" w:eastAsia="Times New Roman" w:hAnsi="Arial" w:cs="Arial"/>
          <w:kern w:val="0"/>
          <w:lang w:eastAsia="en-GB"/>
          <w14:ligatures w14:val="none"/>
        </w:rPr>
      </w:pPr>
    </w:p>
    <w:p w14:paraId="104FD74E" w14:textId="2259B347" w:rsidR="009525A5" w:rsidRPr="008052A1" w:rsidRDefault="009525A5" w:rsidP="008052A1">
      <w:pPr>
        <w:pStyle w:val="Heading1"/>
        <w:spacing w:line="276" w:lineRule="auto"/>
        <w:rPr>
          <w:rFonts w:ascii="Arial" w:hAnsi="Arial" w:cs="Arial"/>
          <w:sz w:val="24"/>
          <w:szCs w:val="24"/>
        </w:rPr>
      </w:pPr>
      <w:r w:rsidRPr="008052A1">
        <w:rPr>
          <w:rFonts w:ascii="Arial" w:eastAsia="Times New Roman" w:hAnsi="Arial" w:cs="Arial"/>
          <w:sz w:val="24"/>
          <w:szCs w:val="24"/>
          <w:lang w:eastAsia="en-GB"/>
        </w:rPr>
        <w:lastRenderedPageBreak/>
        <w:t xml:space="preserve"> </w:t>
      </w:r>
      <w:bookmarkStart w:id="3" w:name="_Toc216566639"/>
      <w:bookmarkStart w:id="4" w:name="_Toc216732183"/>
      <w:r w:rsidRPr="008052A1">
        <w:rPr>
          <w:rFonts w:ascii="Arial" w:hAnsi="Arial" w:cs="Arial"/>
          <w:sz w:val="24"/>
          <w:szCs w:val="24"/>
        </w:rPr>
        <w:t>Project Description</w:t>
      </w:r>
      <w:bookmarkEnd w:id="3"/>
      <w:bookmarkEnd w:id="4"/>
    </w:p>
    <w:p w14:paraId="620378E4" w14:textId="77777777" w:rsidR="009525A5" w:rsidRPr="008052A1" w:rsidRDefault="009525A5"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The Flood Resilience and Recovery Project is a multi-component initiative designed to address the immediate and long-term impacts of the 2022 flooding in British Columbia. The project focuses on three primary areas: reopening Highway 5, rebuilding the principal transportation corridor for goods and people, and reconstructing damaged local infrastructure, including schools, hospitals, farms, and utilities.</w:t>
      </w:r>
    </w:p>
    <w:p w14:paraId="3A41AD74" w14:textId="77777777" w:rsidR="009525A5" w:rsidRPr="008052A1" w:rsidRDefault="009525A5"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The project adopts an integrated approach combining engineering solutions, environmental management, and stakeholder engagement. Highway reopening involves debris removal, slope stabilisation, bridge repairs, and pavement restoration to ensure safe and reliable transportation. Community infrastructure recovery includes repairing essential public facilities and restoring communication and utility networks.</w:t>
      </w:r>
    </w:p>
    <w:p w14:paraId="04A800D4" w14:textId="77777777" w:rsidR="009525A5" w:rsidRPr="008052A1" w:rsidRDefault="009525A5"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The project also incorporates flood resilience measures such as improved drainage systems, slope monitoring technologies, and climate-resilient design standards. These measures aim to reduce future vulnerability and enhance the long-term sustainability of infrastructure investments. The total project duration is six months, with phased implementation to allow early reopening of critical routes where possible.</w:t>
      </w:r>
    </w:p>
    <w:p w14:paraId="2C682CB0" w14:textId="2D168D3D" w:rsidR="00352EAA" w:rsidRPr="008052A1" w:rsidRDefault="00352EAA" w:rsidP="008052A1">
      <w:pPr>
        <w:pStyle w:val="NormalWeb"/>
        <w:spacing w:line="276" w:lineRule="auto"/>
        <w:rPr>
          <w:rFonts w:ascii="Arial" w:hAnsi="Arial" w:cs="Arial"/>
        </w:rPr>
      </w:pPr>
      <w:r w:rsidRPr="008052A1">
        <w:rPr>
          <w:rStyle w:val="Strong"/>
          <w:rFonts w:ascii="Arial" w:eastAsiaTheme="majorEastAsia" w:hAnsi="Arial" w:cs="Arial"/>
          <w:b w:val="0"/>
          <w:bCs w:val="0"/>
        </w:rPr>
        <w:t xml:space="preserve">Project Objectives </w:t>
      </w:r>
      <w:r w:rsidRPr="008052A1">
        <w:rPr>
          <w:rFonts w:ascii="Arial" w:hAnsi="Arial" w:cs="Arial"/>
        </w:rPr>
        <w:t>Rebuild</w:t>
      </w:r>
      <w:r w:rsidRPr="008052A1">
        <w:rPr>
          <w:rStyle w:val="Strong"/>
          <w:rFonts w:ascii="Arial" w:eastAsiaTheme="majorEastAsia" w:hAnsi="Arial" w:cs="Arial"/>
          <w:b w:val="0"/>
          <w:bCs w:val="0"/>
        </w:rPr>
        <w:t xml:space="preserve"> the Principal Corridor</w:t>
      </w:r>
      <w:r w:rsidRPr="008052A1">
        <w:rPr>
          <w:rStyle w:val="Strong"/>
          <w:rFonts w:ascii="Arial" w:eastAsiaTheme="majorEastAsia" w:hAnsi="Arial" w:cs="Arial"/>
        </w:rPr>
        <w:t>:</w:t>
      </w:r>
      <w:r w:rsidRPr="008052A1">
        <w:rPr>
          <w:rFonts w:ascii="Arial" w:hAnsi="Arial" w:cs="Arial"/>
        </w:rPr>
        <w:t xml:space="preserve"> Reconstruct roads and bridges that were destroyed or severely damaged by flooding, ensuring structural integrity and long-term resilience</w:t>
      </w:r>
      <w:r w:rsidRPr="008052A1">
        <w:rPr>
          <w:rFonts w:ascii="Arial" w:hAnsi="Arial" w:cs="Arial"/>
          <w:b/>
          <w:bCs/>
        </w:rPr>
        <w:t xml:space="preserve">. </w:t>
      </w:r>
      <w:r w:rsidRPr="008052A1">
        <w:rPr>
          <w:rStyle w:val="Strong"/>
          <w:rFonts w:ascii="Arial" w:eastAsiaTheme="majorEastAsia" w:hAnsi="Arial" w:cs="Arial"/>
          <w:b w:val="0"/>
          <w:bCs w:val="0"/>
        </w:rPr>
        <w:t>Safety and Reliability</w:t>
      </w:r>
      <w:r w:rsidRPr="008052A1">
        <w:rPr>
          <w:rStyle w:val="Strong"/>
          <w:rFonts w:ascii="Arial" w:eastAsiaTheme="majorEastAsia" w:hAnsi="Arial" w:cs="Arial"/>
        </w:rPr>
        <w:t>:</w:t>
      </w:r>
      <w:r w:rsidRPr="008052A1">
        <w:rPr>
          <w:rFonts w:ascii="Arial" w:hAnsi="Arial" w:cs="Arial"/>
        </w:rPr>
        <w:t xml:space="preserve"> Implement flood-resistant designs, guardrails, signage, and monitoring systems to improve public safety and transportation efficiency</w:t>
      </w:r>
      <w:r w:rsidRPr="008052A1">
        <w:rPr>
          <w:rFonts w:ascii="Arial" w:hAnsi="Arial" w:cs="Arial"/>
          <w:b/>
          <w:bCs/>
        </w:rPr>
        <w:t xml:space="preserve">. </w:t>
      </w:r>
      <w:r w:rsidRPr="008052A1">
        <w:rPr>
          <w:rStyle w:val="Strong"/>
          <w:rFonts w:ascii="Arial" w:eastAsiaTheme="majorEastAsia" w:hAnsi="Arial" w:cs="Arial"/>
          <w:b w:val="0"/>
          <w:bCs w:val="0"/>
        </w:rPr>
        <w:t>Support Economic Recovery</w:t>
      </w:r>
      <w:r w:rsidRPr="008052A1">
        <w:rPr>
          <w:rStyle w:val="Strong"/>
          <w:rFonts w:ascii="Arial" w:eastAsiaTheme="majorEastAsia" w:hAnsi="Arial" w:cs="Arial"/>
        </w:rPr>
        <w:t>:</w:t>
      </w:r>
      <w:r w:rsidRPr="008052A1">
        <w:rPr>
          <w:rFonts w:ascii="Arial" w:hAnsi="Arial" w:cs="Arial"/>
        </w:rPr>
        <w:t xml:space="preserve"> Restore the movement of goods and services, thereby minimizing economic losses for businesses, farms, and public institutions</w:t>
      </w:r>
      <w:r w:rsidRPr="008052A1">
        <w:rPr>
          <w:rFonts w:ascii="Arial" w:hAnsi="Arial" w:cs="Arial"/>
          <w:b/>
          <w:bCs/>
        </w:rPr>
        <w:t>.</w:t>
      </w:r>
      <w:r w:rsidR="00FA354D" w:rsidRPr="008052A1">
        <w:rPr>
          <w:rFonts w:ascii="Arial" w:hAnsi="Arial" w:cs="Arial"/>
          <w:b/>
          <w:bCs/>
        </w:rPr>
        <w:t xml:space="preserve"> </w:t>
      </w:r>
      <w:r w:rsidRPr="008052A1">
        <w:rPr>
          <w:rStyle w:val="Strong"/>
          <w:rFonts w:ascii="Arial" w:eastAsiaTheme="majorEastAsia" w:hAnsi="Arial" w:cs="Arial"/>
          <w:b w:val="0"/>
          <w:bCs w:val="0"/>
        </w:rPr>
        <w:t>Improve Disaster Resilience:</w:t>
      </w:r>
      <w:r w:rsidRPr="008052A1">
        <w:rPr>
          <w:rFonts w:ascii="Arial" w:hAnsi="Arial" w:cs="Arial"/>
        </w:rPr>
        <w:t xml:space="preserve"> Incorporate infrastructure improvements that reduce the likelihood of future disruptions caused by extreme weather events.</w:t>
      </w:r>
      <w:r w:rsidR="00FA354D" w:rsidRPr="008052A1">
        <w:rPr>
          <w:rFonts w:ascii="Arial" w:hAnsi="Arial" w:cs="Arial"/>
        </w:rPr>
        <w:t xml:space="preserve"> </w:t>
      </w:r>
      <w:r w:rsidRPr="008052A1">
        <w:rPr>
          <w:rStyle w:val="Strong"/>
          <w:rFonts w:ascii="Arial" w:eastAsiaTheme="majorEastAsia" w:hAnsi="Arial" w:cs="Arial"/>
          <w:b w:val="0"/>
          <w:bCs w:val="0"/>
        </w:rPr>
        <w:t>Stakeholder Engagement</w:t>
      </w:r>
      <w:r w:rsidRPr="008052A1">
        <w:rPr>
          <w:rStyle w:val="Strong"/>
          <w:rFonts w:ascii="Arial" w:eastAsiaTheme="majorEastAsia" w:hAnsi="Arial" w:cs="Arial"/>
        </w:rPr>
        <w:t>:</w:t>
      </w:r>
      <w:r w:rsidRPr="008052A1">
        <w:rPr>
          <w:rFonts w:ascii="Arial" w:hAnsi="Arial" w:cs="Arial"/>
        </w:rPr>
        <w:t xml:space="preserve"> Coordinate closely with provincial authorities, municipalities, emergency services, and local communities to ensure the project meets the needs of all affected parties.</w:t>
      </w:r>
    </w:p>
    <w:p w14:paraId="33873554" w14:textId="77777777" w:rsidR="00352EAA" w:rsidRPr="008052A1" w:rsidRDefault="00352EAA" w:rsidP="008052A1">
      <w:pPr>
        <w:pStyle w:val="NormalWeb"/>
        <w:spacing w:line="276" w:lineRule="auto"/>
        <w:rPr>
          <w:rFonts w:ascii="Arial" w:hAnsi="Arial" w:cs="Arial"/>
        </w:rPr>
      </w:pPr>
      <w:r w:rsidRPr="008052A1">
        <w:rPr>
          <w:rStyle w:val="Strong"/>
          <w:rFonts w:ascii="Arial" w:eastAsiaTheme="majorEastAsia" w:hAnsi="Arial" w:cs="Arial"/>
        </w:rPr>
        <w:t>Project Deliverables:</w:t>
      </w:r>
    </w:p>
    <w:p w14:paraId="6515A5BD" w14:textId="77777777" w:rsidR="00352EAA" w:rsidRPr="008052A1" w:rsidRDefault="00352EAA" w:rsidP="008052A1">
      <w:pPr>
        <w:pStyle w:val="NormalWeb"/>
        <w:spacing w:line="276" w:lineRule="auto"/>
        <w:rPr>
          <w:rFonts w:ascii="Arial" w:hAnsi="Arial" w:cs="Arial"/>
        </w:rPr>
      </w:pPr>
      <w:r w:rsidRPr="008052A1">
        <w:rPr>
          <w:rFonts w:ascii="Arial" w:hAnsi="Arial" w:cs="Arial"/>
        </w:rPr>
        <w:t>Fully reconstructed and operational transportation corridor.</w:t>
      </w:r>
    </w:p>
    <w:p w14:paraId="66F5E6CD" w14:textId="77777777" w:rsidR="00842438" w:rsidRPr="008052A1" w:rsidRDefault="00352EAA" w:rsidP="008052A1">
      <w:pPr>
        <w:pStyle w:val="NormalWeb"/>
        <w:spacing w:line="276" w:lineRule="auto"/>
        <w:rPr>
          <w:rFonts w:ascii="Arial" w:hAnsi="Arial" w:cs="Arial"/>
        </w:rPr>
      </w:pPr>
      <w:r w:rsidRPr="008052A1">
        <w:rPr>
          <w:rFonts w:ascii="Arial" w:hAnsi="Arial" w:cs="Arial"/>
        </w:rPr>
        <w:t>Rebuilt bridges with flood-resistant structural designs. Roadway improvements, including resurfacing, drainage systems, and embankment reinforcement.</w:t>
      </w:r>
      <w:r w:rsidR="00FA354D" w:rsidRPr="008052A1">
        <w:rPr>
          <w:rFonts w:ascii="Arial" w:hAnsi="Arial" w:cs="Arial"/>
        </w:rPr>
        <w:t xml:space="preserve"> </w:t>
      </w:r>
      <w:r w:rsidRPr="008052A1">
        <w:rPr>
          <w:rFonts w:ascii="Arial" w:hAnsi="Arial" w:cs="Arial"/>
        </w:rPr>
        <w:t xml:space="preserve">Safety features such as guardrails, signage, and monitoring </w:t>
      </w:r>
      <w:r w:rsidR="00FA354D" w:rsidRPr="008052A1">
        <w:rPr>
          <w:rFonts w:ascii="Arial" w:hAnsi="Arial" w:cs="Arial"/>
        </w:rPr>
        <w:t>equipment. Environmental</w:t>
      </w:r>
      <w:r w:rsidRPr="008052A1">
        <w:rPr>
          <w:rFonts w:ascii="Arial" w:hAnsi="Arial" w:cs="Arial"/>
        </w:rPr>
        <w:t xml:space="preserve"> compliance measures, including mitigation of erosion and habitat </w:t>
      </w:r>
      <w:r w:rsidR="00FA354D" w:rsidRPr="008052A1">
        <w:rPr>
          <w:rFonts w:ascii="Arial" w:hAnsi="Arial" w:cs="Arial"/>
        </w:rPr>
        <w:t xml:space="preserve">disruption. </w:t>
      </w:r>
      <w:r w:rsidR="00FA354D" w:rsidRPr="008052A1">
        <w:rPr>
          <w:rFonts w:ascii="Arial" w:hAnsi="Arial" w:cs="Arial"/>
        </w:rPr>
        <w:lastRenderedPageBreak/>
        <w:t>Handover</w:t>
      </w:r>
      <w:r w:rsidRPr="008052A1">
        <w:rPr>
          <w:rFonts w:ascii="Arial" w:hAnsi="Arial" w:cs="Arial"/>
        </w:rPr>
        <w:t xml:space="preserve"> documentation, including inspection reports, as-built drawings, and operational guidelines.</w:t>
      </w:r>
      <w:bookmarkStart w:id="5" w:name="_Toc216566640"/>
    </w:p>
    <w:p w14:paraId="3AFB0A31" w14:textId="641DD15E" w:rsidR="00B83DFA" w:rsidRPr="008052A1" w:rsidRDefault="00B83DFA" w:rsidP="008052A1">
      <w:pPr>
        <w:pStyle w:val="Heading1"/>
        <w:spacing w:line="276" w:lineRule="auto"/>
        <w:rPr>
          <w:rFonts w:ascii="Arial" w:hAnsi="Arial" w:cs="Arial"/>
          <w:sz w:val="24"/>
          <w:szCs w:val="24"/>
        </w:rPr>
      </w:pPr>
      <w:bookmarkStart w:id="6" w:name="_Toc216732184"/>
      <w:r w:rsidRPr="008052A1">
        <w:rPr>
          <w:rFonts w:ascii="Arial" w:hAnsi="Arial" w:cs="Arial"/>
          <w:sz w:val="24"/>
          <w:szCs w:val="24"/>
        </w:rPr>
        <w:t>Scope</w:t>
      </w:r>
      <w:bookmarkEnd w:id="5"/>
      <w:bookmarkEnd w:id="6"/>
    </w:p>
    <w:p w14:paraId="4BC2C182" w14:textId="5D2935F2" w:rsidR="00B83DFA" w:rsidRPr="008052A1" w:rsidRDefault="00B83DF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Clearly defining the project scope is essential to ensure effective planning, resource allocation, and control throughout the project lifecycle. The Flood Resilience and Recovery Project </w:t>
      </w:r>
      <w:r w:rsidR="00FA354D" w:rsidRPr="008052A1">
        <w:rPr>
          <w:rFonts w:ascii="Arial" w:eastAsia="Times New Roman" w:hAnsi="Arial" w:cs="Arial"/>
          <w:kern w:val="0"/>
          <w:lang w:eastAsia="en-GB"/>
          <w14:ligatures w14:val="none"/>
        </w:rPr>
        <w:t>focus</w:t>
      </w:r>
      <w:r w:rsidRPr="008052A1">
        <w:rPr>
          <w:rFonts w:ascii="Arial" w:eastAsia="Times New Roman" w:hAnsi="Arial" w:cs="Arial"/>
          <w:kern w:val="0"/>
          <w:lang w:eastAsia="en-GB"/>
          <w14:ligatures w14:val="none"/>
        </w:rPr>
        <w:t xml:space="preserve"> on restoring critical infrastructure damaged during the November 2022 flooding in British Columbia, with particular emphasis on Highway 5 and essential community facilities.</w:t>
      </w:r>
    </w:p>
    <w:p w14:paraId="09866B8D" w14:textId="675CCF26" w:rsidR="00B83DFA" w:rsidRPr="008052A1" w:rsidRDefault="00B83DFA" w:rsidP="008052A1">
      <w:pPr>
        <w:spacing w:before="100" w:beforeAutospacing="1" w:after="100" w:afterAutospacing="1" w:line="276" w:lineRule="auto"/>
        <w:outlineLvl w:val="2"/>
        <w:rPr>
          <w:rFonts w:ascii="Arial" w:eastAsia="Times New Roman" w:hAnsi="Arial" w:cs="Arial"/>
          <w:kern w:val="0"/>
          <w:lang w:eastAsia="en-GB"/>
          <w14:ligatures w14:val="none"/>
        </w:rPr>
      </w:pPr>
      <w:bookmarkStart w:id="7" w:name="_Toc216566641"/>
      <w:bookmarkStart w:id="8" w:name="_Toc216566678"/>
      <w:bookmarkStart w:id="9" w:name="_Toc216567694"/>
      <w:bookmarkStart w:id="10" w:name="_Toc216731961"/>
      <w:bookmarkStart w:id="11" w:name="_Toc216732185"/>
      <w:r w:rsidRPr="008052A1">
        <w:rPr>
          <w:rFonts w:ascii="Arial" w:eastAsia="Times New Roman" w:hAnsi="Arial" w:cs="Arial"/>
          <w:kern w:val="0"/>
          <w:lang w:eastAsia="en-GB"/>
          <w14:ligatures w14:val="none"/>
        </w:rPr>
        <w:t>In</w:t>
      </w:r>
      <w:r w:rsidR="00FA354D" w:rsidRPr="008052A1">
        <w:rPr>
          <w:rFonts w:ascii="Arial" w:eastAsia="Times New Roman" w:hAnsi="Arial" w:cs="Arial"/>
          <w:kern w:val="0"/>
          <w:lang w:eastAsia="en-GB"/>
          <w14:ligatures w14:val="none"/>
        </w:rPr>
        <w:t xml:space="preserve"> </w:t>
      </w:r>
      <w:r w:rsidRPr="008052A1">
        <w:rPr>
          <w:rFonts w:ascii="Arial" w:eastAsia="Times New Roman" w:hAnsi="Arial" w:cs="Arial"/>
          <w:kern w:val="0"/>
          <w:lang w:eastAsia="en-GB"/>
          <w14:ligatures w14:val="none"/>
        </w:rPr>
        <w:t>Scope Activities</w:t>
      </w:r>
      <w:bookmarkEnd w:id="7"/>
      <w:bookmarkEnd w:id="8"/>
      <w:bookmarkEnd w:id="9"/>
      <w:bookmarkEnd w:id="10"/>
      <w:bookmarkEnd w:id="11"/>
    </w:p>
    <w:p w14:paraId="04D8B31A" w14:textId="24D2B62F" w:rsidR="00B83DFA" w:rsidRPr="008052A1" w:rsidRDefault="00B83DF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The project scope includes the following activities</w:t>
      </w:r>
    </w:p>
    <w:p w14:paraId="085BACBD" w14:textId="677C40E6" w:rsidR="00B83DFA" w:rsidRPr="008052A1" w:rsidRDefault="00B83DF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Reopening and stabilising Highway 5 to restore safe transportation for goods and people</w:t>
      </w:r>
      <w:r w:rsidR="00234275">
        <w:rPr>
          <w:rFonts w:ascii="Arial" w:eastAsia="Times New Roman" w:hAnsi="Arial" w:cs="Arial"/>
          <w:kern w:val="0"/>
          <w:lang w:eastAsia="en-GB"/>
          <w14:ligatures w14:val="none"/>
        </w:rPr>
        <w:t>.</w:t>
      </w:r>
    </w:p>
    <w:p w14:paraId="28654DE2" w14:textId="073AA65B" w:rsidR="00B83DFA" w:rsidRPr="008052A1" w:rsidRDefault="00B83DF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Removal of flood debris and damaged materials from affected transport corridors</w:t>
      </w:r>
      <w:r w:rsidR="00234275">
        <w:rPr>
          <w:rFonts w:ascii="Arial" w:eastAsia="Times New Roman" w:hAnsi="Arial" w:cs="Arial"/>
          <w:kern w:val="0"/>
          <w:lang w:eastAsia="en-GB"/>
          <w14:ligatures w14:val="none"/>
        </w:rPr>
        <w:t xml:space="preserve">. </w:t>
      </w:r>
      <w:r w:rsidRPr="008052A1">
        <w:rPr>
          <w:rFonts w:ascii="Arial" w:eastAsia="Times New Roman" w:hAnsi="Arial" w:cs="Arial"/>
          <w:kern w:val="0"/>
          <w:lang w:eastAsia="en-GB"/>
          <w14:ligatures w14:val="none"/>
        </w:rPr>
        <w:t>Geotechnical investigations and slope stabilisation works to prevent future</w:t>
      </w:r>
      <w:r w:rsidR="00234275">
        <w:rPr>
          <w:rFonts w:ascii="Arial" w:eastAsia="Times New Roman" w:hAnsi="Arial" w:cs="Arial"/>
          <w:kern w:val="0"/>
          <w:lang w:eastAsia="en-GB"/>
          <w14:ligatures w14:val="none"/>
        </w:rPr>
        <w:t>.</w:t>
      </w:r>
      <w:r w:rsidRPr="008052A1">
        <w:rPr>
          <w:rFonts w:ascii="Arial" w:eastAsia="Times New Roman" w:hAnsi="Arial" w:cs="Arial"/>
          <w:kern w:val="0"/>
          <w:lang w:eastAsia="en-GB"/>
          <w14:ligatures w14:val="none"/>
        </w:rPr>
        <w:t xml:space="preserve"> landslides</w:t>
      </w:r>
      <w:r w:rsidR="00234275">
        <w:rPr>
          <w:rFonts w:ascii="Arial" w:eastAsia="Times New Roman" w:hAnsi="Arial" w:cs="Arial"/>
          <w:kern w:val="0"/>
          <w:lang w:eastAsia="en-GB"/>
          <w14:ligatures w14:val="none"/>
        </w:rPr>
        <w:t xml:space="preserve">. </w:t>
      </w:r>
      <w:r w:rsidRPr="008052A1">
        <w:rPr>
          <w:rFonts w:ascii="Arial" w:eastAsia="Times New Roman" w:hAnsi="Arial" w:cs="Arial"/>
          <w:kern w:val="0"/>
          <w:lang w:eastAsia="en-GB"/>
          <w14:ligatures w14:val="none"/>
        </w:rPr>
        <w:t>Repair and reconstruction of damaged bridges and road sections</w:t>
      </w:r>
      <w:r w:rsidR="00234275">
        <w:rPr>
          <w:rFonts w:ascii="Arial" w:eastAsia="Times New Roman" w:hAnsi="Arial" w:cs="Arial"/>
          <w:kern w:val="0"/>
          <w:lang w:eastAsia="en-GB"/>
          <w14:ligatures w14:val="none"/>
        </w:rPr>
        <w:t>.</w:t>
      </w:r>
    </w:p>
    <w:p w14:paraId="5169AE78" w14:textId="2E114476" w:rsidR="00B83DFA" w:rsidRPr="008052A1" w:rsidRDefault="00B83DF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Reconstruction and repair of essential public infrastructure, including schools, hospitals, farms, and utility facilities</w:t>
      </w:r>
      <w:r w:rsidR="00234275">
        <w:rPr>
          <w:rFonts w:ascii="Arial" w:eastAsia="Times New Roman" w:hAnsi="Arial" w:cs="Arial"/>
          <w:kern w:val="0"/>
          <w:lang w:eastAsia="en-GB"/>
          <w14:ligatures w14:val="none"/>
        </w:rPr>
        <w:t>.</w:t>
      </w:r>
    </w:p>
    <w:p w14:paraId="5E57037D" w14:textId="77777777" w:rsidR="00B83DFA" w:rsidRPr="008052A1" w:rsidRDefault="00B83DF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Restoration of communication and utility networks affected by flooding</w:t>
      </w:r>
    </w:p>
    <w:p w14:paraId="3546A19E" w14:textId="5E045097" w:rsidR="00B83DFA" w:rsidRPr="008052A1" w:rsidRDefault="00B83DF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Implementation of flood-resilient engineering solutions, such as improved drainage systems and erosion control measures</w:t>
      </w:r>
      <w:r w:rsidR="00234275">
        <w:rPr>
          <w:rFonts w:ascii="Arial" w:eastAsia="Times New Roman" w:hAnsi="Arial" w:cs="Arial"/>
          <w:kern w:val="0"/>
          <w:lang w:eastAsia="en-GB"/>
          <w14:ligatures w14:val="none"/>
        </w:rPr>
        <w:t>.</w:t>
      </w:r>
      <w:r w:rsidRPr="008052A1">
        <w:rPr>
          <w:rFonts w:ascii="Arial" w:eastAsia="Times New Roman" w:hAnsi="Arial" w:cs="Arial"/>
          <w:kern w:val="0"/>
          <w:lang w:eastAsia="en-GB"/>
          <w14:ligatures w14:val="none"/>
        </w:rPr>
        <w:t>Stakeholder engagement and coordination with government authorities, local communities, and contractors</w:t>
      </w:r>
      <w:r w:rsidR="00234275">
        <w:rPr>
          <w:rFonts w:ascii="Arial" w:eastAsia="Times New Roman" w:hAnsi="Arial" w:cs="Arial"/>
          <w:kern w:val="0"/>
          <w:lang w:eastAsia="en-GB"/>
          <w14:ligatures w14:val="none"/>
        </w:rPr>
        <w:t>.</w:t>
      </w:r>
    </w:p>
    <w:p w14:paraId="66584F0D" w14:textId="17BFBAB2" w:rsidR="00B83DFA" w:rsidRPr="008052A1" w:rsidRDefault="00B83DFA" w:rsidP="00427EEA">
      <w:pPr>
        <w:spacing w:before="100" w:beforeAutospacing="1" w:after="100" w:afterAutospacing="1" w:line="276" w:lineRule="auto"/>
        <w:outlineLvl w:val="2"/>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w:t>
      </w:r>
      <w:bookmarkStart w:id="12" w:name="_Toc216566642"/>
      <w:bookmarkStart w:id="13" w:name="_Toc216566679"/>
      <w:bookmarkStart w:id="14" w:name="_Toc216567695"/>
      <w:bookmarkStart w:id="15" w:name="_Toc216731962"/>
      <w:bookmarkStart w:id="16" w:name="_Toc216732186"/>
      <w:r w:rsidRPr="00427EEA">
        <w:rPr>
          <w:rFonts w:ascii="Arial" w:eastAsia="Times New Roman" w:hAnsi="Arial" w:cs="Arial"/>
          <w:b/>
          <w:bCs/>
          <w:kern w:val="0"/>
          <w:lang w:eastAsia="en-GB"/>
          <w14:ligatures w14:val="none"/>
        </w:rPr>
        <w:t>Out of Scope Activities</w:t>
      </w:r>
      <w:bookmarkEnd w:id="12"/>
      <w:bookmarkEnd w:id="13"/>
      <w:bookmarkEnd w:id="14"/>
      <w:bookmarkEnd w:id="15"/>
      <w:bookmarkEnd w:id="16"/>
      <w:r w:rsidR="00427EEA">
        <w:rPr>
          <w:rFonts w:ascii="Arial" w:eastAsia="Times New Roman" w:hAnsi="Arial" w:cs="Arial"/>
          <w:kern w:val="0"/>
          <w:lang w:eastAsia="en-GB"/>
          <w14:ligatures w14:val="none"/>
        </w:rPr>
        <w:t xml:space="preserve"> </w:t>
      </w:r>
      <w:r w:rsidRPr="008052A1">
        <w:rPr>
          <w:rFonts w:ascii="Arial" w:eastAsia="Times New Roman" w:hAnsi="Arial" w:cs="Arial"/>
          <w:kern w:val="0"/>
          <w:lang w:eastAsia="en-GB"/>
          <w14:ligatures w14:val="none"/>
        </w:rPr>
        <w:t>The following activities are excluded from the project scope:</w:t>
      </w:r>
      <w:r w:rsidR="00FA354D" w:rsidRPr="008052A1">
        <w:rPr>
          <w:rFonts w:ascii="Arial" w:eastAsia="Times New Roman" w:hAnsi="Arial" w:cs="Arial"/>
          <w:kern w:val="0"/>
          <w:lang w:eastAsia="en-GB"/>
          <w14:ligatures w14:val="none"/>
        </w:rPr>
        <w:t xml:space="preserve"> </w:t>
      </w:r>
      <w:r w:rsidRPr="008052A1">
        <w:rPr>
          <w:rFonts w:ascii="Arial" w:eastAsia="Times New Roman" w:hAnsi="Arial" w:cs="Arial"/>
          <w:kern w:val="0"/>
          <w:lang w:eastAsia="en-GB"/>
          <w14:ligatures w14:val="none"/>
        </w:rPr>
        <w:t>Construction of new highways or infrastructure unrelated to flood recovery</w:t>
      </w:r>
      <w:r w:rsidR="00FA354D" w:rsidRPr="008052A1">
        <w:rPr>
          <w:rFonts w:ascii="Arial" w:eastAsia="Times New Roman" w:hAnsi="Arial" w:cs="Arial"/>
          <w:kern w:val="0"/>
          <w:lang w:eastAsia="en-GB"/>
          <w14:ligatures w14:val="none"/>
        </w:rPr>
        <w:t xml:space="preserve"> </w:t>
      </w:r>
      <w:r w:rsidRPr="008052A1">
        <w:rPr>
          <w:rFonts w:ascii="Arial" w:eastAsia="Times New Roman" w:hAnsi="Arial" w:cs="Arial"/>
          <w:kern w:val="0"/>
          <w:lang w:eastAsia="en-GB"/>
          <w14:ligatures w14:val="none"/>
        </w:rPr>
        <w:t>Long-term operation and maintenance of infrastructure beyond project completion</w:t>
      </w:r>
      <w:r w:rsidR="00FA354D" w:rsidRPr="008052A1">
        <w:rPr>
          <w:rFonts w:ascii="Arial" w:eastAsia="Times New Roman" w:hAnsi="Arial" w:cs="Arial"/>
          <w:kern w:val="0"/>
          <w:lang w:eastAsia="en-GB"/>
          <w14:ligatures w14:val="none"/>
        </w:rPr>
        <w:t xml:space="preserve"> financial</w:t>
      </w:r>
      <w:r w:rsidRPr="008052A1">
        <w:rPr>
          <w:rFonts w:ascii="Arial" w:eastAsia="Times New Roman" w:hAnsi="Arial" w:cs="Arial"/>
          <w:kern w:val="0"/>
          <w:lang w:eastAsia="en-GB"/>
          <w14:ligatures w14:val="none"/>
        </w:rPr>
        <w:t xml:space="preserve"> compensation for private property losses</w:t>
      </w:r>
      <w:r w:rsidR="00FA354D" w:rsidRPr="008052A1">
        <w:rPr>
          <w:rFonts w:ascii="Arial" w:eastAsia="Times New Roman" w:hAnsi="Arial" w:cs="Arial"/>
          <w:kern w:val="0"/>
          <w:lang w:eastAsia="en-GB"/>
          <w14:ligatures w14:val="none"/>
        </w:rPr>
        <w:t xml:space="preserve"> non-essential</w:t>
      </w:r>
      <w:r w:rsidRPr="008052A1">
        <w:rPr>
          <w:rFonts w:ascii="Arial" w:eastAsia="Times New Roman" w:hAnsi="Arial" w:cs="Arial"/>
          <w:kern w:val="0"/>
          <w:lang w:eastAsia="en-GB"/>
          <w14:ligatures w14:val="none"/>
        </w:rPr>
        <w:t xml:space="preserve"> urban development projects</w:t>
      </w:r>
      <w:r w:rsidR="00FA354D" w:rsidRPr="008052A1">
        <w:rPr>
          <w:rFonts w:ascii="Arial" w:eastAsia="Times New Roman" w:hAnsi="Arial" w:cs="Arial"/>
          <w:kern w:val="0"/>
          <w:lang w:eastAsia="en-GB"/>
          <w14:ligatures w14:val="none"/>
        </w:rPr>
        <w:t xml:space="preserve"> </w:t>
      </w:r>
      <w:r w:rsidRPr="008052A1">
        <w:rPr>
          <w:rFonts w:ascii="Arial" w:eastAsia="Times New Roman" w:hAnsi="Arial" w:cs="Arial"/>
          <w:kern w:val="0"/>
          <w:lang w:eastAsia="en-GB"/>
          <w14:ligatures w14:val="none"/>
        </w:rPr>
        <w:t>Defining clear scope boundaries reduces the risk of scope creep and ensures that project objectives remain achievable within the allocated time and budget.</w:t>
      </w:r>
    </w:p>
    <w:p w14:paraId="64C26566" w14:textId="313F116F" w:rsidR="00492DDE" w:rsidRPr="008052A1" w:rsidRDefault="00492DDE" w:rsidP="008052A1">
      <w:pPr>
        <w:spacing w:before="100" w:beforeAutospacing="1" w:after="100" w:afterAutospacing="1" w:line="276" w:lineRule="auto"/>
        <w:outlineLvl w:val="3"/>
        <w:rPr>
          <w:rFonts w:ascii="Arial" w:eastAsia="Times New Roman" w:hAnsi="Arial" w:cs="Arial"/>
          <w:b/>
          <w:bCs/>
          <w:kern w:val="0"/>
          <w:lang w:eastAsia="en-GB"/>
          <w14:ligatures w14:val="none"/>
        </w:rPr>
      </w:pPr>
      <w:bookmarkStart w:id="17" w:name="_Toc216566643"/>
      <w:bookmarkStart w:id="18" w:name="_Toc216566680"/>
      <w:r w:rsidRPr="008052A1">
        <w:rPr>
          <w:rFonts w:ascii="Arial" w:eastAsia="Times New Roman" w:hAnsi="Arial" w:cs="Arial"/>
          <w:b/>
          <w:bCs/>
          <w:kern w:val="0"/>
          <w:lang w:eastAsia="en-GB"/>
          <w14:ligatures w14:val="none"/>
        </w:rPr>
        <w:t>Scope Assumptions</w:t>
      </w:r>
    </w:p>
    <w:p w14:paraId="10B8E68E" w14:textId="77777777" w:rsidR="00492DDE" w:rsidRPr="008052A1" w:rsidRDefault="00492DDE"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The following assumptions have been made during scope definition:</w:t>
      </w:r>
    </w:p>
    <w:p w14:paraId="529A62D6" w14:textId="77777777" w:rsidR="00757897" w:rsidRPr="008052A1" w:rsidRDefault="00492DDE"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Adequate funding will be secured prior to construction commencement.</w:t>
      </w:r>
    </w:p>
    <w:p w14:paraId="3A0115FA" w14:textId="07CE91CC" w:rsidR="001A14DC" w:rsidRPr="008052A1" w:rsidRDefault="00CE302E" w:rsidP="008052A1">
      <w:pPr>
        <w:pStyle w:val="Heading1"/>
        <w:spacing w:line="276" w:lineRule="auto"/>
        <w:rPr>
          <w:rFonts w:ascii="Arial" w:eastAsia="Times New Roman" w:hAnsi="Arial" w:cs="Arial"/>
          <w:kern w:val="0"/>
          <w:sz w:val="24"/>
          <w:szCs w:val="24"/>
          <w:lang w:eastAsia="en-GB"/>
          <w14:ligatures w14:val="none"/>
        </w:rPr>
      </w:pPr>
      <w:bookmarkStart w:id="19" w:name="_Toc216732187"/>
      <w:r w:rsidRPr="008052A1">
        <w:rPr>
          <w:rFonts w:ascii="Arial" w:eastAsia="Times New Roman" w:hAnsi="Arial" w:cs="Arial"/>
          <w:sz w:val="24"/>
          <w:szCs w:val="24"/>
          <w:lang w:eastAsia="en-GB"/>
        </w:rPr>
        <w:lastRenderedPageBreak/>
        <w:t xml:space="preserve">Work breakdown </w:t>
      </w:r>
      <w:r w:rsidR="001A14DC" w:rsidRPr="008052A1">
        <w:rPr>
          <w:rFonts w:ascii="Arial" w:eastAsia="Times New Roman" w:hAnsi="Arial" w:cs="Arial"/>
          <w:sz w:val="24"/>
          <w:szCs w:val="24"/>
          <w:lang w:eastAsia="en-GB"/>
        </w:rPr>
        <w:t>structure</w:t>
      </w:r>
      <w:bookmarkEnd w:id="19"/>
      <w:r w:rsidR="001A14DC" w:rsidRPr="008052A1">
        <w:rPr>
          <w:rFonts w:ascii="Arial" w:eastAsia="Times New Roman" w:hAnsi="Arial" w:cs="Arial"/>
          <w:sz w:val="24"/>
          <w:szCs w:val="24"/>
          <w:lang w:eastAsia="en-GB"/>
        </w:rPr>
        <w:t xml:space="preserve">  </w:t>
      </w:r>
    </w:p>
    <w:p w14:paraId="15634330" w14:textId="62322D4F" w:rsidR="00061ABA" w:rsidRPr="008052A1" w:rsidRDefault="00492DDE"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Required permits and approvals will be obtained without major delays</w:t>
      </w:r>
      <w:r w:rsidR="005B2780" w:rsidRPr="008052A1">
        <w:rPr>
          <w:rFonts w:ascii="Arial" w:eastAsia="Times New Roman" w:hAnsi="Arial" w:cs="Arial"/>
          <w:kern w:val="0"/>
          <w:lang w:eastAsia="en-GB"/>
          <w14:ligatures w14:val="none"/>
        </w:rPr>
        <w:t xml:space="preserve"> </w:t>
      </w:r>
      <w:r w:rsidRPr="008052A1">
        <w:rPr>
          <w:rFonts w:ascii="Arial" w:eastAsia="Times New Roman" w:hAnsi="Arial" w:cs="Arial"/>
          <w:kern w:val="0"/>
          <w:lang w:eastAsia="en-GB"/>
          <w14:ligatures w14:val="none"/>
        </w:rPr>
        <w:t xml:space="preserve">Skilled </w:t>
      </w:r>
      <w:r w:rsidR="005B2780" w:rsidRPr="008052A1">
        <w:rPr>
          <w:rFonts w:ascii="Arial" w:eastAsia="Times New Roman" w:hAnsi="Arial" w:cs="Arial"/>
          <w:kern w:val="0"/>
          <w:lang w:eastAsia="en-GB"/>
          <w14:ligatures w14:val="none"/>
        </w:rPr>
        <w:t>labour</w:t>
      </w:r>
      <w:r w:rsidRPr="008052A1">
        <w:rPr>
          <w:rFonts w:ascii="Arial" w:eastAsia="Times New Roman" w:hAnsi="Arial" w:cs="Arial"/>
          <w:kern w:val="0"/>
          <w:lang w:eastAsia="en-GB"/>
          <w14:ligatures w14:val="none"/>
        </w:rPr>
        <w:t xml:space="preserve">, materials, and equipment will be available throughout the project </w:t>
      </w:r>
      <w:bookmarkStart w:id="20" w:name="_Toc216567696"/>
      <w:r w:rsidR="004F1D8A" w:rsidRPr="008052A1">
        <w:rPr>
          <w:rFonts w:ascii="Arial" w:eastAsia="Times New Roman" w:hAnsi="Arial" w:cs="Arial"/>
          <w:kern w:val="0"/>
          <w:lang w:eastAsia="en-GB"/>
          <w14:ligatures w14:val="none"/>
        </w:rPr>
        <w:t>duration</w:t>
      </w:r>
      <w:r w:rsidR="004F1D8A" w:rsidRPr="008052A1">
        <w:rPr>
          <w:rFonts w:ascii="Arial" w:hAnsi="Arial" w:cs="Arial"/>
          <w:lang w:eastAsia="en-GB"/>
        </w:rPr>
        <w:t xml:space="preserve"> Work</w:t>
      </w:r>
      <w:r w:rsidR="00B83DFA" w:rsidRPr="008052A1">
        <w:rPr>
          <w:rFonts w:ascii="Arial" w:hAnsi="Arial" w:cs="Arial"/>
          <w:lang w:eastAsia="en-GB"/>
        </w:rPr>
        <w:t xml:space="preserve"> Breakdown Structure (WBS</w:t>
      </w:r>
      <w:r w:rsidR="00002994" w:rsidRPr="008052A1">
        <w:rPr>
          <w:rFonts w:ascii="Arial" w:hAnsi="Arial" w:cs="Arial"/>
          <w:lang w:eastAsia="en-GB"/>
        </w:rPr>
        <w:t>)</w:t>
      </w:r>
      <w:bookmarkEnd w:id="20"/>
    </w:p>
    <w:bookmarkEnd w:id="17"/>
    <w:bookmarkEnd w:id="18"/>
    <w:p w14:paraId="7C37A281" w14:textId="52DF8916" w:rsidR="00BF3AF8" w:rsidRPr="008052A1" w:rsidRDefault="00BF3AF8"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The Work Breakdown Structure (WBS) decomposes the project into manageable components, ensuring that all required work is clearly identified and organized. The WBS is structured hierarchically, starting from the overall project and breaking it down into phases, deliverables, and work packages. This approach supports effective planning, scheduling, resource allocation, and risk control.</w:t>
      </w:r>
    </w:p>
    <w:p w14:paraId="7D62282B" w14:textId="3802EA13" w:rsidR="00BF3AF8" w:rsidRPr="008052A1" w:rsidRDefault="00BF3AF8" w:rsidP="008052A1">
      <w:pPr>
        <w:spacing w:before="100" w:beforeAutospacing="1" w:after="100" w:afterAutospacing="1" w:line="276" w:lineRule="auto"/>
        <w:outlineLvl w:val="3"/>
        <w:rPr>
          <w:rFonts w:ascii="Arial" w:eastAsia="Times New Roman" w:hAnsi="Arial" w:cs="Arial"/>
          <w:b/>
          <w:bCs/>
          <w:kern w:val="0"/>
          <w:lang w:eastAsia="en-GB"/>
          <w14:ligatures w14:val="none"/>
        </w:rPr>
      </w:pPr>
      <w:r w:rsidRPr="008052A1">
        <w:rPr>
          <w:rFonts w:ascii="Arial" w:eastAsia="Times New Roman" w:hAnsi="Arial" w:cs="Arial"/>
          <w:b/>
          <w:bCs/>
          <w:kern w:val="0"/>
          <w:lang w:eastAsia="en-GB"/>
          <w14:ligatures w14:val="none"/>
        </w:rPr>
        <w:t xml:space="preserve"> Work Breakdown Structure for Reconstruction of the Principal Transportation Corridor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9"/>
        <w:gridCol w:w="5254"/>
      </w:tblGrid>
      <w:tr w:rsidR="00047B1C" w:rsidRPr="008052A1" w14:paraId="10D1E6BA" w14:textId="77777777" w:rsidTr="00047B1C">
        <w:trPr>
          <w:tblHeader/>
          <w:tblCellSpacing w:w="15" w:type="dxa"/>
        </w:trPr>
        <w:tc>
          <w:tcPr>
            <w:tcW w:w="1184" w:type="dxa"/>
            <w:vAlign w:val="center"/>
            <w:hideMark/>
          </w:tcPr>
          <w:p w14:paraId="39ABFCD2" w14:textId="77777777" w:rsidR="00047B1C" w:rsidRPr="008052A1" w:rsidRDefault="00047B1C"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WBS Level</w:t>
            </w:r>
          </w:p>
        </w:tc>
        <w:tc>
          <w:tcPr>
            <w:tcW w:w="5209" w:type="dxa"/>
            <w:vAlign w:val="center"/>
            <w:hideMark/>
          </w:tcPr>
          <w:p w14:paraId="53BCE60A" w14:textId="77777777" w:rsidR="00047B1C" w:rsidRPr="008052A1" w:rsidRDefault="00047B1C"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Task Description</w:t>
            </w:r>
          </w:p>
        </w:tc>
      </w:tr>
      <w:tr w:rsidR="00047B1C" w:rsidRPr="008052A1" w14:paraId="112B8DCC" w14:textId="77777777" w:rsidTr="00047B1C">
        <w:trPr>
          <w:tblCellSpacing w:w="15" w:type="dxa"/>
        </w:trPr>
        <w:tc>
          <w:tcPr>
            <w:tcW w:w="1184" w:type="dxa"/>
            <w:vAlign w:val="center"/>
            <w:hideMark/>
          </w:tcPr>
          <w:p w14:paraId="5F8D1FEC"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1</w:t>
            </w:r>
          </w:p>
        </w:tc>
        <w:tc>
          <w:tcPr>
            <w:tcW w:w="5209" w:type="dxa"/>
            <w:vAlign w:val="center"/>
            <w:hideMark/>
          </w:tcPr>
          <w:p w14:paraId="7ADD26EF" w14:textId="60A7327C"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Reconstruction of Principal Transportation Corridor</w:t>
            </w:r>
          </w:p>
        </w:tc>
      </w:tr>
      <w:tr w:rsidR="00047B1C" w:rsidRPr="008052A1" w14:paraId="4D17C5BF" w14:textId="77777777" w:rsidTr="00047B1C">
        <w:trPr>
          <w:tblCellSpacing w:w="15" w:type="dxa"/>
        </w:trPr>
        <w:tc>
          <w:tcPr>
            <w:tcW w:w="1184" w:type="dxa"/>
            <w:vAlign w:val="center"/>
            <w:hideMark/>
          </w:tcPr>
          <w:p w14:paraId="4EEB7F09"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2</w:t>
            </w:r>
          </w:p>
        </w:tc>
        <w:tc>
          <w:tcPr>
            <w:tcW w:w="5209" w:type="dxa"/>
            <w:vAlign w:val="center"/>
            <w:hideMark/>
          </w:tcPr>
          <w:p w14:paraId="1EC029FE" w14:textId="7043F19A"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Project Initiation</w:t>
            </w:r>
          </w:p>
        </w:tc>
      </w:tr>
      <w:tr w:rsidR="00047B1C" w:rsidRPr="008052A1" w14:paraId="12AFE741" w14:textId="77777777" w:rsidTr="00047B1C">
        <w:trPr>
          <w:tblCellSpacing w:w="15" w:type="dxa"/>
        </w:trPr>
        <w:tc>
          <w:tcPr>
            <w:tcW w:w="1184" w:type="dxa"/>
            <w:vAlign w:val="center"/>
            <w:hideMark/>
          </w:tcPr>
          <w:p w14:paraId="240A0D60"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3</w:t>
            </w:r>
          </w:p>
        </w:tc>
        <w:tc>
          <w:tcPr>
            <w:tcW w:w="5209" w:type="dxa"/>
            <w:vAlign w:val="center"/>
            <w:hideMark/>
          </w:tcPr>
          <w:p w14:paraId="6616C5D2" w14:textId="7F7C416A"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Stakeholder identification and analysis</w:t>
            </w:r>
          </w:p>
        </w:tc>
      </w:tr>
      <w:tr w:rsidR="00047B1C" w:rsidRPr="008052A1" w14:paraId="1F7D5470" w14:textId="77777777" w:rsidTr="00047B1C">
        <w:trPr>
          <w:tblCellSpacing w:w="15" w:type="dxa"/>
        </w:trPr>
        <w:tc>
          <w:tcPr>
            <w:tcW w:w="1184" w:type="dxa"/>
            <w:vAlign w:val="center"/>
            <w:hideMark/>
          </w:tcPr>
          <w:p w14:paraId="0147538D"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12A6AE67" w14:textId="26D21B9E"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Feasibility study and initial cost estimation</w:t>
            </w:r>
          </w:p>
        </w:tc>
      </w:tr>
      <w:tr w:rsidR="00047B1C" w:rsidRPr="008052A1" w14:paraId="412BF63D" w14:textId="77777777" w:rsidTr="00047B1C">
        <w:trPr>
          <w:tblCellSpacing w:w="15" w:type="dxa"/>
        </w:trPr>
        <w:tc>
          <w:tcPr>
            <w:tcW w:w="1184" w:type="dxa"/>
            <w:vAlign w:val="center"/>
            <w:hideMark/>
          </w:tcPr>
          <w:p w14:paraId="261D128F"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5D953C02" w14:textId="2067164B"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Preliminary risk assessment</w:t>
            </w:r>
          </w:p>
        </w:tc>
      </w:tr>
      <w:tr w:rsidR="00047B1C" w:rsidRPr="008052A1" w14:paraId="7B36E727" w14:textId="77777777" w:rsidTr="00047B1C">
        <w:trPr>
          <w:tblCellSpacing w:w="15" w:type="dxa"/>
        </w:trPr>
        <w:tc>
          <w:tcPr>
            <w:tcW w:w="1184" w:type="dxa"/>
            <w:vAlign w:val="center"/>
            <w:hideMark/>
          </w:tcPr>
          <w:p w14:paraId="4E925003"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2</w:t>
            </w:r>
          </w:p>
        </w:tc>
        <w:tc>
          <w:tcPr>
            <w:tcW w:w="5209" w:type="dxa"/>
            <w:vAlign w:val="center"/>
            <w:hideMark/>
          </w:tcPr>
          <w:p w14:paraId="4CA89A5E" w14:textId="7F1EC0BF"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Planning and Design</w:t>
            </w:r>
          </w:p>
        </w:tc>
      </w:tr>
      <w:tr w:rsidR="00047B1C" w:rsidRPr="008052A1" w14:paraId="7AD00F99" w14:textId="77777777" w:rsidTr="00047B1C">
        <w:trPr>
          <w:tblCellSpacing w:w="15" w:type="dxa"/>
        </w:trPr>
        <w:tc>
          <w:tcPr>
            <w:tcW w:w="1184" w:type="dxa"/>
            <w:vAlign w:val="center"/>
            <w:hideMark/>
          </w:tcPr>
          <w:p w14:paraId="044ECFAA"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3</w:t>
            </w:r>
          </w:p>
        </w:tc>
        <w:tc>
          <w:tcPr>
            <w:tcW w:w="5209" w:type="dxa"/>
            <w:vAlign w:val="center"/>
            <w:hideMark/>
          </w:tcPr>
          <w:p w14:paraId="21E8CB68" w14:textId="3C356E4E"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Detailed engineering design (roads and bridges)</w:t>
            </w:r>
          </w:p>
        </w:tc>
      </w:tr>
      <w:tr w:rsidR="00047B1C" w:rsidRPr="008052A1" w14:paraId="7A500CBD" w14:textId="77777777" w:rsidTr="00047B1C">
        <w:trPr>
          <w:tblCellSpacing w:w="15" w:type="dxa"/>
        </w:trPr>
        <w:tc>
          <w:tcPr>
            <w:tcW w:w="1184" w:type="dxa"/>
            <w:vAlign w:val="center"/>
            <w:hideMark/>
          </w:tcPr>
          <w:p w14:paraId="1AF350FA"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6C4DA8C2" w14:textId="29EBE92E"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Environmental impact assessment</w:t>
            </w:r>
          </w:p>
        </w:tc>
      </w:tr>
      <w:tr w:rsidR="00047B1C" w:rsidRPr="008052A1" w14:paraId="53EF3815" w14:textId="77777777" w:rsidTr="00047B1C">
        <w:trPr>
          <w:tblCellSpacing w:w="15" w:type="dxa"/>
        </w:trPr>
        <w:tc>
          <w:tcPr>
            <w:tcW w:w="1184" w:type="dxa"/>
            <w:vAlign w:val="center"/>
            <w:hideMark/>
          </w:tcPr>
          <w:p w14:paraId="6C05AF03"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7CD6B51E" w14:textId="5CAB6A5F"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Regulatory approvals and permits</w:t>
            </w:r>
          </w:p>
        </w:tc>
      </w:tr>
      <w:tr w:rsidR="00047B1C" w:rsidRPr="008052A1" w14:paraId="24781572" w14:textId="77777777" w:rsidTr="00047B1C">
        <w:trPr>
          <w:tblCellSpacing w:w="15" w:type="dxa"/>
        </w:trPr>
        <w:tc>
          <w:tcPr>
            <w:tcW w:w="1184" w:type="dxa"/>
            <w:vAlign w:val="center"/>
            <w:hideMark/>
          </w:tcPr>
          <w:p w14:paraId="1B4764F5"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1076466A" w14:textId="7B06167C"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Procurement planning</w:t>
            </w:r>
          </w:p>
        </w:tc>
      </w:tr>
      <w:tr w:rsidR="00047B1C" w:rsidRPr="008052A1" w14:paraId="55CDF868" w14:textId="77777777" w:rsidTr="00047B1C">
        <w:trPr>
          <w:tblCellSpacing w:w="15" w:type="dxa"/>
        </w:trPr>
        <w:tc>
          <w:tcPr>
            <w:tcW w:w="1184" w:type="dxa"/>
            <w:vAlign w:val="center"/>
            <w:hideMark/>
          </w:tcPr>
          <w:p w14:paraId="2DDB6E16"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2</w:t>
            </w:r>
          </w:p>
        </w:tc>
        <w:tc>
          <w:tcPr>
            <w:tcW w:w="5209" w:type="dxa"/>
            <w:vAlign w:val="center"/>
            <w:hideMark/>
          </w:tcPr>
          <w:p w14:paraId="68CB2EC4" w14:textId="1B5551C2"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Procurement</w:t>
            </w:r>
          </w:p>
        </w:tc>
      </w:tr>
      <w:tr w:rsidR="00047B1C" w:rsidRPr="008052A1" w14:paraId="340B0CCE" w14:textId="77777777" w:rsidTr="00047B1C">
        <w:trPr>
          <w:tblCellSpacing w:w="15" w:type="dxa"/>
        </w:trPr>
        <w:tc>
          <w:tcPr>
            <w:tcW w:w="1184" w:type="dxa"/>
            <w:vAlign w:val="center"/>
            <w:hideMark/>
          </w:tcPr>
          <w:p w14:paraId="59BF9A80"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3</w:t>
            </w:r>
          </w:p>
        </w:tc>
        <w:tc>
          <w:tcPr>
            <w:tcW w:w="5209" w:type="dxa"/>
            <w:vAlign w:val="center"/>
            <w:hideMark/>
          </w:tcPr>
          <w:p w14:paraId="0C47A82A" w14:textId="1BEB739D"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Contractor selection</w:t>
            </w:r>
          </w:p>
        </w:tc>
      </w:tr>
      <w:tr w:rsidR="00047B1C" w:rsidRPr="008052A1" w14:paraId="7B6E9724" w14:textId="77777777" w:rsidTr="00047B1C">
        <w:trPr>
          <w:tblCellSpacing w:w="15" w:type="dxa"/>
        </w:trPr>
        <w:tc>
          <w:tcPr>
            <w:tcW w:w="1184" w:type="dxa"/>
            <w:vAlign w:val="center"/>
            <w:hideMark/>
          </w:tcPr>
          <w:p w14:paraId="26F7017F"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5FC09DB2" w14:textId="1CC71C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Material procurement</w:t>
            </w:r>
          </w:p>
        </w:tc>
      </w:tr>
      <w:tr w:rsidR="00047B1C" w:rsidRPr="008052A1" w14:paraId="4E0A2DA7" w14:textId="77777777" w:rsidTr="00047B1C">
        <w:trPr>
          <w:tblCellSpacing w:w="15" w:type="dxa"/>
        </w:trPr>
        <w:tc>
          <w:tcPr>
            <w:tcW w:w="1184" w:type="dxa"/>
            <w:vAlign w:val="center"/>
            <w:hideMark/>
          </w:tcPr>
          <w:p w14:paraId="5CA94C58"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432DC5CD" w14:textId="555A069F"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Equipment acquisition</w:t>
            </w:r>
          </w:p>
        </w:tc>
      </w:tr>
      <w:tr w:rsidR="00047B1C" w:rsidRPr="008052A1" w14:paraId="0F874BE1" w14:textId="77777777" w:rsidTr="00047B1C">
        <w:trPr>
          <w:tblCellSpacing w:w="15" w:type="dxa"/>
        </w:trPr>
        <w:tc>
          <w:tcPr>
            <w:tcW w:w="1184" w:type="dxa"/>
            <w:vAlign w:val="center"/>
            <w:hideMark/>
          </w:tcPr>
          <w:p w14:paraId="778633E2"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2</w:t>
            </w:r>
          </w:p>
        </w:tc>
        <w:tc>
          <w:tcPr>
            <w:tcW w:w="5209" w:type="dxa"/>
            <w:vAlign w:val="center"/>
            <w:hideMark/>
          </w:tcPr>
          <w:p w14:paraId="6A09A838" w14:textId="723038C1"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Construction</w:t>
            </w:r>
          </w:p>
        </w:tc>
      </w:tr>
      <w:tr w:rsidR="00047B1C" w:rsidRPr="008052A1" w14:paraId="7821741C" w14:textId="77777777" w:rsidTr="00047B1C">
        <w:trPr>
          <w:tblCellSpacing w:w="15" w:type="dxa"/>
        </w:trPr>
        <w:tc>
          <w:tcPr>
            <w:tcW w:w="1184" w:type="dxa"/>
            <w:vAlign w:val="center"/>
            <w:hideMark/>
          </w:tcPr>
          <w:p w14:paraId="5476C0EB"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3</w:t>
            </w:r>
          </w:p>
        </w:tc>
        <w:tc>
          <w:tcPr>
            <w:tcW w:w="5209" w:type="dxa"/>
            <w:vAlign w:val="center"/>
            <w:hideMark/>
          </w:tcPr>
          <w:p w14:paraId="5A0B21ED" w14:textId="07F96601"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Site preparation and debris removal</w:t>
            </w:r>
          </w:p>
        </w:tc>
      </w:tr>
      <w:tr w:rsidR="00047B1C" w:rsidRPr="008052A1" w14:paraId="04CD9C67" w14:textId="77777777" w:rsidTr="00047B1C">
        <w:trPr>
          <w:tblCellSpacing w:w="15" w:type="dxa"/>
        </w:trPr>
        <w:tc>
          <w:tcPr>
            <w:tcW w:w="1184" w:type="dxa"/>
            <w:vAlign w:val="center"/>
            <w:hideMark/>
          </w:tcPr>
          <w:p w14:paraId="36704F68"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45DE8629" w14:textId="23DAAE45"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Bridge reconstruction</w:t>
            </w:r>
          </w:p>
        </w:tc>
      </w:tr>
      <w:tr w:rsidR="00047B1C" w:rsidRPr="008052A1" w14:paraId="3D4691BE" w14:textId="77777777" w:rsidTr="00047B1C">
        <w:trPr>
          <w:tblCellSpacing w:w="15" w:type="dxa"/>
        </w:trPr>
        <w:tc>
          <w:tcPr>
            <w:tcW w:w="1184" w:type="dxa"/>
            <w:vAlign w:val="center"/>
            <w:hideMark/>
          </w:tcPr>
          <w:p w14:paraId="5EF5D629"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7D1C2F11" w14:textId="42FA008C"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Roadway reconstruction and resurfacing</w:t>
            </w:r>
          </w:p>
        </w:tc>
      </w:tr>
      <w:tr w:rsidR="00047B1C" w:rsidRPr="008052A1" w14:paraId="12AFA703" w14:textId="77777777" w:rsidTr="00047B1C">
        <w:trPr>
          <w:tblCellSpacing w:w="15" w:type="dxa"/>
        </w:trPr>
        <w:tc>
          <w:tcPr>
            <w:tcW w:w="1184" w:type="dxa"/>
            <w:vAlign w:val="center"/>
            <w:hideMark/>
          </w:tcPr>
          <w:p w14:paraId="5751F585"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340A857C" w14:textId="242D9506"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Drainage and flood mitigation systems</w:t>
            </w:r>
          </w:p>
        </w:tc>
      </w:tr>
      <w:tr w:rsidR="00047B1C" w:rsidRPr="008052A1" w14:paraId="354FDD63" w14:textId="77777777" w:rsidTr="00047B1C">
        <w:trPr>
          <w:tblCellSpacing w:w="15" w:type="dxa"/>
        </w:trPr>
        <w:tc>
          <w:tcPr>
            <w:tcW w:w="1184" w:type="dxa"/>
            <w:vAlign w:val="center"/>
            <w:hideMark/>
          </w:tcPr>
          <w:p w14:paraId="77A6E412"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06A64FCB" w14:textId="1435F8CC"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Installation of safety features and signage</w:t>
            </w:r>
          </w:p>
        </w:tc>
      </w:tr>
      <w:tr w:rsidR="00047B1C" w:rsidRPr="008052A1" w14:paraId="5B513836" w14:textId="77777777" w:rsidTr="00047B1C">
        <w:trPr>
          <w:tblCellSpacing w:w="15" w:type="dxa"/>
        </w:trPr>
        <w:tc>
          <w:tcPr>
            <w:tcW w:w="1184" w:type="dxa"/>
            <w:vAlign w:val="center"/>
            <w:hideMark/>
          </w:tcPr>
          <w:p w14:paraId="53ECF31C"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2</w:t>
            </w:r>
          </w:p>
        </w:tc>
        <w:tc>
          <w:tcPr>
            <w:tcW w:w="5209" w:type="dxa"/>
            <w:vAlign w:val="center"/>
            <w:hideMark/>
          </w:tcPr>
          <w:p w14:paraId="195E8CEE" w14:textId="11E27EB0"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Quality Assurance and Testing</w:t>
            </w:r>
          </w:p>
        </w:tc>
      </w:tr>
      <w:tr w:rsidR="00047B1C" w:rsidRPr="008052A1" w14:paraId="7980D226" w14:textId="77777777" w:rsidTr="00047B1C">
        <w:trPr>
          <w:tblCellSpacing w:w="15" w:type="dxa"/>
        </w:trPr>
        <w:tc>
          <w:tcPr>
            <w:tcW w:w="1184" w:type="dxa"/>
            <w:vAlign w:val="center"/>
            <w:hideMark/>
          </w:tcPr>
          <w:p w14:paraId="55E660D5" w14:textId="1DBCFD4D"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lastRenderedPageBreak/>
              <w:t xml:space="preserve">Level 3 </w:t>
            </w:r>
          </w:p>
        </w:tc>
        <w:tc>
          <w:tcPr>
            <w:tcW w:w="5209" w:type="dxa"/>
            <w:vAlign w:val="center"/>
            <w:hideMark/>
          </w:tcPr>
          <w:p w14:paraId="48FBA8A0" w14:textId="1F04EAA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Structural integrity testing</w:t>
            </w:r>
          </w:p>
        </w:tc>
      </w:tr>
      <w:tr w:rsidR="00047B1C" w:rsidRPr="008052A1" w14:paraId="3A2B110B" w14:textId="77777777" w:rsidTr="00047B1C">
        <w:trPr>
          <w:tblCellSpacing w:w="15" w:type="dxa"/>
        </w:trPr>
        <w:tc>
          <w:tcPr>
            <w:tcW w:w="1184" w:type="dxa"/>
            <w:vAlign w:val="center"/>
            <w:hideMark/>
          </w:tcPr>
          <w:p w14:paraId="5E0AEC58"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50893109" w14:textId="39E67F9E"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Safety inspections</w:t>
            </w:r>
          </w:p>
        </w:tc>
      </w:tr>
      <w:tr w:rsidR="00047B1C" w:rsidRPr="008052A1" w14:paraId="75F8CAF2" w14:textId="77777777" w:rsidTr="00047B1C">
        <w:trPr>
          <w:tblCellSpacing w:w="15" w:type="dxa"/>
        </w:trPr>
        <w:tc>
          <w:tcPr>
            <w:tcW w:w="1184" w:type="dxa"/>
            <w:vAlign w:val="center"/>
            <w:hideMark/>
          </w:tcPr>
          <w:p w14:paraId="2139A69E"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618CE9F8" w14:textId="4DA9E629"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Compliance verification</w:t>
            </w:r>
          </w:p>
        </w:tc>
      </w:tr>
      <w:tr w:rsidR="00047B1C" w:rsidRPr="008052A1" w14:paraId="3AEC5458" w14:textId="77777777" w:rsidTr="00047B1C">
        <w:trPr>
          <w:tblCellSpacing w:w="15" w:type="dxa"/>
        </w:trPr>
        <w:tc>
          <w:tcPr>
            <w:tcW w:w="1184" w:type="dxa"/>
            <w:vAlign w:val="center"/>
            <w:hideMark/>
          </w:tcPr>
          <w:p w14:paraId="648EAFC8"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2</w:t>
            </w:r>
          </w:p>
        </w:tc>
        <w:tc>
          <w:tcPr>
            <w:tcW w:w="5209" w:type="dxa"/>
            <w:vAlign w:val="center"/>
            <w:hideMark/>
          </w:tcPr>
          <w:p w14:paraId="32567C53" w14:textId="78D4FB63"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Project Closeout</w:t>
            </w:r>
          </w:p>
        </w:tc>
      </w:tr>
      <w:tr w:rsidR="00047B1C" w:rsidRPr="008052A1" w14:paraId="4ECD32F2" w14:textId="77777777" w:rsidTr="00047B1C">
        <w:trPr>
          <w:tblCellSpacing w:w="15" w:type="dxa"/>
        </w:trPr>
        <w:tc>
          <w:tcPr>
            <w:tcW w:w="1184" w:type="dxa"/>
            <w:vAlign w:val="center"/>
            <w:hideMark/>
          </w:tcPr>
          <w:p w14:paraId="176C85CB" w14:textId="77777777"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Level 3</w:t>
            </w:r>
          </w:p>
        </w:tc>
        <w:tc>
          <w:tcPr>
            <w:tcW w:w="5209" w:type="dxa"/>
            <w:vAlign w:val="center"/>
            <w:hideMark/>
          </w:tcPr>
          <w:p w14:paraId="1FC4751A" w14:textId="764E4205"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Final inspection and approvals</w:t>
            </w:r>
          </w:p>
        </w:tc>
      </w:tr>
      <w:tr w:rsidR="00047B1C" w:rsidRPr="008052A1" w14:paraId="748D69C3" w14:textId="77777777" w:rsidTr="00047B1C">
        <w:trPr>
          <w:tblCellSpacing w:w="15" w:type="dxa"/>
        </w:trPr>
        <w:tc>
          <w:tcPr>
            <w:tcW w:w="1184" w:type="dxa"/>
            <w:vAlign w:val="center"/>
            <w:hideMark/>
          </w:tcPr>
          <w:p w14:paraId="31285936" w14:textId="77777777" w:rsidR="00047B1C" w:rsidRPr="008052A1" w:rsidRDefault="00047B1C" w:rsidP="008052A1">
            <w:pPr>
              <w:spacing w:after="0" w:line="276" w:lineRule="auto"/>
              <w:rPr>
                <w:rFonts w:ascii="Arial" w:eastAsia="Times New Roman" w:hAnsi="Arial" w:cs="Arial"/>
                <w:kern w:val="0"/>
                <w:lang w:eastAsia="en-GB"/>
                <w14:ligatures w14:val="none"/>
              </w:rPr>
            </w:pPr>
          </w:p>
        </w:tc>
        <w:tc>
          <w:tcPr>
            <w:tcW w:w="5209" w:type="dxa"/>
            <w:vAlign w:val="center"/>
            <w:hideMark/>
          </w:tcPr>
          <w:p w14:paraId="5783C0EF" w14:textId="3347ABDC" w:rsidR="00047B1C" w:rsidRPr="008052A1" w:rsidRDefault="00047B1C"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 Handover to provincial authorities</w:t>
            </w:r>
          </w:p>
        </w:tc>
      </w:tr>
    </w:tbl>
    <w:p w14:paraId="3271F5A9" w14:textId="5EB7CCFB" w:rsidR="00BF3AF8" w:rsidRPr="008052A1" w:rsidRDefault="00BF3AF8" w:rsidP="008052A1">
      <w:pPr>
        <w:spacing w:before="100" w:beforeAutospacing="1" w:after="100" w:afterAutospacing="1" w:line="276" w:lineRule="auto"/>
        <w:outlineLvl w:val="2"/>
        <w:rPr>
          <w:rFonts w:ascii="Arial" w:eastAsia="Times New Roman" w:hAnsi="Arial" w:cs="Arial"/>
          <w:b/>
          <w:bCs/>
          <w:kern w:val="0"/>
          <w:lang w:eastAsia="en-GB"/>
          <w14:ligatures w14:val="none"/>
        </w:rPr>
      </w:pPr>
    </w:p>
    <w:p w14:paraId="2857A345" w14:textId="77777777" w:rsidR="00A41E9D" w:rsidRPr="008052A1" w:rsidRDefault="00A41E9D" w:rsidP="008052A1">
      <w:pPr>
        <w:pStyle w:val="Heading1"/>
        <w:spacing w:line="276" w:lineRule="auto"/>
        <w:rPr>
          <w:rFonts w:ascii="Arial" w:hAnsi="Arial" w:cs="Arial"/>
          <w:sz w:val="24"/>
          <w:szCs w:val="24"/>
        </w:rPr>
      </w:pPr>
      <w:bookmarkStart w:id="21" w:name="_Toc216732188"/>
      <w:r w:rsidRPr="008052A1">
        <w:rPr>
          <w:rFonts w:ascii="Arial" w:hAnsi="Arial" w:cs="Arial"/>
          <w:sz w:val="24"/>
          <w:szCs w:val="24"/>
        </w:rPr>
        <w:t>Quad Chart</w:t>
      </w:r>
      <w:bookmarkEnd w:id="2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0"/>
        <w:gridCol w:w="1676"/>
      </w:tblGrid>
      <w:tr w:rsidR="000704A5" w:rsidRPr="000704A5" w14:paraId="0FE72356" w14:textId="77777777">
        <w:trPr>
          <w:tblHeader/>
          <w:tblCellSpacing w:w="15" w:type="dxa"/>
        </w:trPr>
        <w:tc>
          <w:tcPr>
            <w:tcW w:w="0" w:type="auto"/>
            <w:vAlign w:val="center"/>
            <w:hideMark/>
          </w:tcPr>
          <w:p w14:paraId="4D25027E" w14:textId="77777777" w:rsidR="000704A5" w:rsidRPr="000704A5" w:rsidRDefault="000704A5" w:rsidP="008052A1">
            <w:pPr>
              <w:spacing w:after="0" w:line="276" w:lineRule="auto"/>
              <w:jc w:val="center"/>
              <w:rPr>
                <w:rFonts w:ascii="Arial" w:eastAsia="Times New Roman" w:hAnsi="Arial" w:cs="Arial"/>
                <w:b/>
                <w:bCs/>
                <w:kern w:val="0"/>
                <w:lang w:eastAsia="en-GB"/>
                <w14:ligatures w14:val="none"/>
              </w:rPr>
            </w:pPr>
            <w:r w:rsidRPr="000704A5">
              <w:rPr>
                <w:rFonts w:ascii="Arial" w:eastAsia="Times New Roman" w:hAnsi="Arial" w:cs="Arial"/>
                <w:b/>
                <w:bCs/>
                <w:kern w:val="0"/>
                <w:lang w:eastAsia="en-GB"/>
                <w14:ligatures w14:val="none"/>
              </w:rPr>
              <w:t>Project Objectives</w:t>
            </w:r>
          </w:p>
        </w:tc>
        <w:tc>
          <w:tcPr>
            <w:tcW w:w="0" w:type="auto"/>
            <w:vAlign w:val="center"/>
            <w:hideMark/>
          </w:tcPr>
          <w:p w14:paraId="1FDD8294" w14:textId="77777777" w:rsidR="000704A5" w:rsidRPr="000704A5" w:rsidRDefault="000704A5" w:rsidP="008052A1">
            <w:pPr>
              <w:spacing w:after="0" w:line="276" w:lineRule="auto"/>
              <w:jc w:val="center"/>
              <w:rPr>
                <w:rFonts w:ascii="Arial" w:eastAsia="Times New Roman" w:hAnsi="Arial" w:cs="Arial"/>
                <w:b/>
                <w:bCs/>
                <w:kern w:val="0"/>
                <w:lang w:eastAsia="en-GB"/>
                <w14:ligatures w14:val="none"/>
              </w:rPr>
            </w:pPr>
            <w:r w:rsidRPr="000704A5">
              <w:rPr>
                <w:rFonts w:ascii="Arial" w:eastAsia="Times New Roman" w:hAnsi="Arial" w:cs="Arial"/>
                <w:b/>
                <w:bCs/>
                <w:kern w:val="0"/>
                <w:lang w:eastAsia="en-GB"/>
                <w14:ligatures w14:val="none"/>
              </w:rPr>
              <w:t>Project Scope</w:t>
            </w:r>
          </w:p>
        </w:tc>
      </w:tr>
    </w:tbl>
    <w:p w14:paraId="31435D3B" w14:textId="77777777" w:rsidR="000704A5" w:rsidRPr="000704A5" w:rsidRDefault="000704A5" w:rsidP="008052A1">
      <w:pPr>
        <w:spacing w:after="0" w:line="276" w:lineRule="auto"/>
        <w:rPr>
          <w:rFonts w:ascii="Arial" w:eastAsia="Times New Roman" w:hAnsi="Arial" w:cs="Arial"/>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86"/>
        <w:gridCol w:w="4040"/>
      </w:tblGrid>
      <w:tr w:rsidR="000704A5" w:rsidRPr="000704A5" w14:paraId="3A925A2B" w14:textId="77777777">
        <w:trPr>
          <w:tblCellSpacing w:w="15" w:type="dxa"/>
        </w:trPr>
        <w:tc>
          <w:tcPr>
            <w:tcW w:w="0" w:type="auto"/>
            <w:vAlign w:val="center"/>
            <w:hideMark/>
          </w:tcPr>
          <w:p w14:paraId="005C62C0" w14:textId="0A662A6D" w:rsidR="000704A5" w:rsidRPr="000704A5" w:rsidRDefault="000704A5" w:rsidP="008052A1">
            <w:pPr>
              <w:spacing w:after="0" w:line="276" w:lineRule="auto"/>
              <w:rPr>
                <w:rFonts w:ascii="Arial" w:eastAsia="Times New Roman" w:hAnsi="Arial" w:cs="Arial"/>
                <w:kern w:val="0"/>
                <w:lang w:eastAsia="en-GB"/>
                <w14:ligatures w14:val="none"/>
              </w:rPr>
            </w:pPr>
            <w:r w:rsidRPr="000704A5">
              <w:rPr>
                <w:rFonts w:ascii="Arial" w:eastAsia="Times New Roman" w:hAnsi="Arial" w:cs="Arial"/>
                <w:kern w:val="0"/>
                <w:lang w:eastAsia="en-GB"/>
                <w14:ligatures w14:val="none"/>
              </w:rPr>
              <w:t xml:space="preserve"> Restore safe and reliable access along Highway 5 </w:t>
            </w:r>
            <w:r w:rsidRPr="000704A5">
              <w:rPr>
                <w:rFonts w:ascii="Arial" w:eastAsia="Times New Roman" w:hAnsi="Arial" w:cs="Arial"/>
                <w:kern w:val="0"/>
                <w:lang w:eastAsia="en-GB"/>
                <w14:ligatures w14:val="none"/>
              </w:rPr>
              <w:br/>
              <w:t xml:space="preserve">Reopen the principal transportation corridor for goods and people </w:t>
            </w:r>
            <w:r w:rsidRPr="000704A5">
              <w:rPr>
                <w:rFonts w:ascii="Arial" w:eastAsia="Times New Roman" w:hAnsi="Arial" w:cs="Arial"/>
                <w:kern w:val="0"/>
                <w:lang w:eastAsia="en-GB"/>
                <w14:ligatures w14:val="none"/>
              </w:rPr>
              <w:br/>
              <w:t xml:space="preserve"> Enhance infrastructure resilience to future extreme weather events </w:t>
            </w:r>
            <w:r w:rsidRPr="000704A5">
              <w:rPr>
                <w:rFonts w:ascii="Arial" w:eastAsia="Times New Roman" w:hAnsi="Arial" w:cs="Arial"/>
                <w:kern w:val="0"/>
                <w:lang w:eastAsia="en-GB"/>
                <w14:ligatures w14:val="none"/>
              </w:rPr>
              <w:br/>
              <w:t xml:space="preserve">Minimise economic and social disruption </w:t>
            </w:r>
            <w:r w:rsidRPr="000704A5">
              <w:rPr>
                <w:rFonts w:ascii="Arial" w:eastAsia="Times New Roman" w:hAnsi="Arial" w:cs="Arial"/>
                <w:kern w:val="0"/>
                <w:lang w:eastAsia="en-GB"/>
                <w14:ligatures w14:val="none"/>
              </w:rPr>
              <w:br/>
              <w:t>Deliver the project within approved cost, time, and quality constraints</w:t>
            </w:r>
          </w:p>
        </w:tc>
        <w:tc>
          <w:tcPr>
            <w:tcW w:w="0" w:type="auto"/>
            <w:vAlign w:val="center"/>
            <w:hideMark/>
          </w:tcPr>
          <w:p w14:paraId="734509B5" w14:textId="38C04106" w:rsidR="000704A5" w:rsidRPr="000704A5" w:rsidRDefault="000704A5" w:rsidP="008052A1">
            <w:pPr>
              <w:spacing w:after="0" w:line="276" w:lineRule="auto"/>
              <w:rPr>
                <w:rFonts w:ascii="Arial" w:eastAsia="Times New Roman" w:hAnsi="Arial" w:cs="Arial"/>
                <w:kern w:val="0"/>
                <w:lang w:eastAsia="en-GB"/>
                <w14:ligatures w14:val="none"/>
              </w:rPr>
            </w:pPr>
            <w:r w:rsidRPr="000704A5">
              <w:rPr>
                <w:rFonts w:ascii="Arial" w:eastAsia="Times New Roman" w:hAnsi="Arial" w:cs="Arial"/>
                <w:kern w:val="0"/>
                <w:lang w:eastAsia="en-GB"/>
                <w14:ligatures w14:val="none"/>
              </w:rPr>
              <w:t xml:space="preserve"> Reconstruction of damaged bridges </w:t>
            </w:r>
            <w:r w:rsidRPr="000704A5">
              <w:rPr>
                <w:rFonts w:ascii="Arial" w:eastAsia="Times New Roman" w:hAnsi="Arial" w:cs="Arial"/>
                <w:kern w:val="0"/>
                <w:lang w:eastAsia="en-GB"/>
                <w14:ligatures w14:val="none"/>
              </w:rPr>
              <w:br/>
              <w:t xml:space="preserve"> Roadway rehabilitation and embankment repairs </w:t>
            </w:r>
            <w:r w:rsidRPr="000704A5">
              <w:rPr>
                <w:rFonts w:ascii="Arial" w:eastAsia="Times New Roman" w:hAnsi="Arial" w:cs="Arial"/>
                <w:kern w:val="0"/>
                <w:lang w:eastAsia="en-GB"/>
                <w14:ligatures w14:val="none"/>
              </w:rPr>
              <w:br/>
              <w:t xml:space="preserve"> Drainage and flood-mitigation upgrades </w:t>
            </w:r>
            <w:r w:rsidRPr="000704A5">
              <w:rPr>
                <w:rFonts w:ascii="Arial" w:eastAsia="Times New Roman" w:hAnsi="Arial" w:cs="Arial"/>
                <w:kern w:val="0"/>
                <w:lang w:eastAsia="en-GB"/>
                <w14:ligatures w14:val="none"/>
              </w:rPr>
              <w:br/>
              <w:t xml:space="preserve">Slope stabilisation and landslide protection </w:t>
            </w:r>
            <w:r w:rsidRPr="000704A5">
              <w:rPr>
                <w:rFonts w:ascii="Arial" w:eastAsia="Times New Roman" w:hAnsi="Arial" w:cs="Arial"/>
                <w:kern w:val="0"/>
                <w:lang w:eastAsia="en-GB"/>
                <w14:ligatures w14:val="none"/>
              </w:rPr>
              <w:br/>
              <w:t xml:space="preserve"> Environmental protection and regulatory compliance</w:t>
            </w:r>
          </w:p>
        </w:tc>
      </w:tr>
    </w:tbl>
    <w:p w14:paraId="4ACA6DBA" w14:textId="77777777" w:rsidR="001C1794" w:rsidRPr="008052A1" w:rsidRDefault="001C1794" w:rsidP="008052A1">
      <w:pPr>
        <w:spacing w:line="276" w:lineRule="auto"/>
        <w:rPr>
          <w:rFonts w:ascii="Arial" w:hAnsi="Arial" w:cs="Arial"/>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gridCol w:w="6972"/>
      </w:tblGrid>
      <w:tr w:rsidR="00A41E9D" w:rsidRPr="008052A1" w14:paraId="172BC294" w14:textId="77777777">
        <w:trPr>
          <w:tblHeader/>
          <w:tblCellSpacing w:w="15" w:type="dxa"/>
        </w:trPr>
        <w:tc>
          <w:tcPr>
            <w:tcW w:w="0" w:type="auto"/>
            <w:vAlign w:val="center"/>
            <w:hideMark/>
          </w:tcPr>
          <w:p w14:paraId="451F46A3"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Element</w:t>
            </w:r>
          </w:p>
        </w:tc>
        <w:tc>
          <w:tcPr>
            <w:tcW w:w="0" w:type="auto"/>
            <w:vAlign w:val="center"/>
            <w:hideMark/>
          </w:tcPr>
          <w:p w14:paraId="5BE5BA5F"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Details</w:t>
            </w:r>
          </w:p>
        </w:tc>
      </w:tr>
      <w:tr w:rsidR="00A41E9D" w:rsidRPr="008052A1" w14:paraId="62117C53" w14:textId="77777777">
        <w:trPr>
          <w:tblCellSpacing w:w="15" w:type="dxa"/>
        </w:trPr>
        <w:tc>
          <w:tcPr>
            <w:tcW w:w="0" w:type="auto"/>
            <w:vAlign w:val="center"/>
            <w:hideMark/>
          </w:tcPr>
          <w:p w14:paraId="04D4691B"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Project Title</w:t>
            </w:r>
          </w:p>
        </w:tc>
        <w:tc>
          <w:tcPr>
            <w:tcW w:w="0" w:type="auto"/>
            <w:vAlign w:val="center"/>
            <w:hideMark/>
          </w:tcPr>
          <w:p w14:paraId="63D0F345"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Reconstruction of Principal Corridor, BC</w:t>
            </w:r>
          </w:p>
        </w:tc>
      </w:tr>
      <w:tr w:rsidR="00A41E9D" w:rsidRPr="008052A1" w14:paraId="5D004F18" w14:textId="77777777">
        <w:trPr>
          <w:tblCellSpacing w:w="15" w:type="dxa"/>
        </w:trPr>
        <w:tc>
          <w:tcPr>
            <w:tcW w:w="0" w:type="auto"/>
            <w:vAlign w:val="center"/>
            <w:hideMark/>
          </w:tcPr>
          <w:p w14:paraId="53DB6952"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Objective</w:t>
            </w:r>
          </w:p>
        </w:tc>
        <w:tc>
          <w:tcPr>
            <w:tcW w:w="0" w:type="auto"/>
            <w:vAlign w:val="center"/>
            <w:hideMark/>
          </w:tcPr>
          <w:p w14:paraId="23646195"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Restore safe, reliable transport and improve infrastructure resilience</w:t>
            </w:r>
          </w:p>
        </w:tc>
      </w:tr>
      <w:tr w:rsidR="00A41E9D" w:rsidRPr="008052A1" w14:paraId="7A448716" w14:textId="77777777">
        <w:trPr>
          <w:tblCellSpacing w:w="15" w:type="dxa"/>
        </w:trPr>
        <w:tc>
          <w:tcPr>
            <w:tcW w:w="0" w:type="auto"/>
            <w:vAlign w:val="center"/>
            <w:hideMark/>
          </w:tcPr>
          <w:p w14:paraId="6FE72DDF"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Need/Problem</w:t>
            </w:r>
          </w:p>
        </w:tc>
        <w:tc>
          <w:tcPr>
            <w:tcW w:w="0" w:type="auto"/>
            <w:vAlign w:val="center"/>
            <w:hideMark/>
          </w:tcPr>
          <w:p w14:paraId="12D7C245"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Flooding destroyed bridges and roads, cutting off the lower mainland</w:t>
            </w:r>
          </w:p>
        </w:tc>
      </w:tr>
      <w:tr w:rsidR="00A41E9D" w:rsidRPr="008052A1" w14:paraId="73C41135" w14:textId="77777777">
        <w:trPr>
          <w:tblCellSpacing w:w="15" w:type="dxa"/>
        </w:trPr>
        <w:tc>
          <w:tcPr>
            <w:tcW w:w="0" w:type="auto"/>
            <w:vAlign w:val="center"/>
            <w:hideMark/>
          </w:tcPr>
          <w:p w14:paraId="31FF55C6"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Approach</w:t>
            </w:r>
          </w:p>
        </w:tc>
        <w:tc>
          <w:tcPr>
            <w:tcW w:w="0" w:type="auto"/>
            <w:vAlign w:val="center"/>
            <w:hideMark/>
          </w:tcPr>
          <w:p w14:paraId="2B8A4D4B"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Reconstruct roads and bridges using resilient designs and modern construction methods</w:t>
            </w:r>
          </w:p>
        </w:tc>
      </w:tr>
      <w:tr w:rsidR="00A41E9D" w:rsidRPr="008052A1" w14:paraId="41304EF1" w14:textId="77777777">
        <w:trPr>
          <w:tblCellSpacing w:w="15" w:type="dxa"/>
        </w:trPr>
        <w:tc>
          <w:tcPr>
            <w:tcW w:w="0" w:type="auto"/>
            <w:vAlign w:val="center"/>
            <w:hideMark/>
          </w:tcPr>
          <w:p w14:paraId="43D50BB9"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Impact/Benefit</w:t>
            </w:r>
          </w:p>
        </w:tc>
        <w:tc>
          <w:tcPr>
            <w:tcW w:w="0" w:type="auto"/>
            <w:vAlign w:val="center"/>
            <w:hideMark/>
          </w:tcPr>
          <w:p w14:paraId="5F2FA095"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Reestablish economic activity, emergency services, and connectivity</w:t>
            </w:r>
          </w:p>
        </w:tc>
      </w:tr>
      <w:tr w:rsidR="00A41E9D" w:rsidRPr="008052A1" w14:paraId="6750943A" w14:textId="77777777">
        <w:trPr>
          <w:tblCellSpacing w:w="15" w:type="dxa"/>
        </w:trPr>
        <w:tc>
          <w:tcPr>
            <w:tcW w:w="0" w:type="auto"/>
            <w:vAlign w:val="center"/>
            <w:hideMark/>
          </w:tcPr>
          <w:p w14:paraId="75515315"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Resources Required</w:t>
            </w:r>
          </w:p>
        </w:tc>
        <w:tc>
          <w:tcPr>
            <w:tcW w:w="0" w:type="auto"/>
            <w:vAlign w:val="center"/>
            <w:hideMark/>
          </w:tcPr>
          <w:p w14:paraId="4BED3D2C"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Workforce, construction equipment, provincial government funding</w:t>
            </w:r>
          </w:p>
        </w:tc>
      </w:tr>
      <w:tr w:rsidR="00A41E9D" w:rsidRPr="008052A1" w14:paraId="316287E1" w14:textId="77777777">
        <w:trPr>
          <w:tblCellSpacing w:w="15" w:type="dxa"/>
        </w:trPr>
        <w:tc>
          <w:tcPr>
            <w:tcW w:w="0" w:type="auto"/>
            <w:vAlign w:val="center"/>
            <w:hideMark/>
          </w:tcPr>
          <w:p w14:paraId="19536DB5"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Schedule</w:t>
            </w:r>
          </w:p>
        </w:tc>
        <w:tc>
          <w:tcPr>
            <w:tcW w:w="0" w:type="auto"/>
            <w:vAlign w:val="center"/>
            <w:hideMark/>
          </w:tcPr>
          <w:p w14:paraId="30A47D2A" w14:textId="11EF6784"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1</w:t>
            </w:r>
            <w:r w:rsidR="00FB5DD8">
              <w:rPr>
                <w:rFonts w:ascii="Arial" w:eastAsia="Times New Roman" w:hAnsi="Arial" w:cs="Arial"/>
                <w:kern w:val="0"/>
                <w:lang w:eastAsia="en-GB"/>
                <w14:ligatures w14:val="none"/>
              </w:rPr>
              <w:t>0</w:t>
            </w:r>
            <w:r w:rsidRPr="008052A1">
              <w:rPr>
                <w:rFonts w:ascii="Arial" w:eastAsia="Times New Roman" w:hAnsi="Arial" w:cs="Arial"/>
                <w:kern w:val="0"/>
                <w:lang w:eastAsia="en-GB"/>
                <w14:ligatures w14:val="none"/>
              </w:rPr>
              <w:t>–1</w:t>
            </w:r>
            <w:r w:rsidR="00FB5DD8">
              <w:rPr>
                <w:rFonts w:ascii="Arial" w:eastAsia="Times New Roman" w:hAnsi="Arial" w:cs="Arial"/>
                <w:kern w:val="0"/>
                <w:lang w:eastAsia="en-GB"/>
                <w14:ligatures w14:val="none"/>
              </w:rPr>
              <w:t>2</w:t>
            </w:r>
            <w:r w:rsidRPr="008052A1">
              <w:rPr>
                <w:rFonts w:ascii="Arial" w:eastAsia="Times New Roman" w:hAnsi="Arial" w:cs="Arial"/>
                <w:kern w:val="0"/>
                <w:lang w:eastAsia="en-GB"/>
                <w14:ligatures w14:val="none"/>
              </w:rPr>
              <w:t xml:space="preserve"> months</w:t>
            </w:r>
          </w:p>
        </w:tc>
      </w:tr>
      <w:tr w:rsidR="00A41E9D" w:rsidRPr="008052A1" w14:paraId="04FA8943" w14:textId="77777777">
        <w:trPr>
          <w:tblCellSpacing w:w="15" w:type="dxa"/>
        </w:trPr>
        <w:tc>
          <w:tcPr>
            <w:tcW w:w="0" w:type="auto"/>
            <w:vAlign w:val="center"/>
            <w:hideMark/>
          </w:tcPr>
          <w:p w14:paraId="2C03917D"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Cost Estimate</w:t>
            </w:r>
          </w:p>
        </w:tc>
        <w:tc>
          <w:tcPr>
            <w:tcW w:w="0" w:type="auto"/>
            <w:vAlign w:val="center"/>
            <w:hideMark/>
          </w:tcPr>
          <w:p w14:paraId="1FF13E94"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CAD 450–500 million</w:t>
            </w:r>
          </w:p>
        </w:tc>
      </w:tr>
    </w:tbl>
    <w:p w14:paraId="1A708C7C" w14:textId="5C0F33C1" w:rsidR="00A41E9D" w:rsidRPr="008052A1" w:rsidRDefault="00A41E9D" w:rsidP="008052A1">
      <w:pPr>
        <w:spacing w:after="0" w:line="276" w:lineRule="auto"/>
        <w:rPr>
          <w:rFonts w:ascii="Arial" w:eastAsia="Times New Roman" w:hAnsi="Arial" w:cs="Arial"/>
          <w:kern w:val="0"/>
          <w:lang w:eastAsia="en-GB"/>
          <w14:ligatures w14:val="none"/>
        </w:rPr>
      </w:pPr>
    </w:p>
    <w:p w14:paraId="6ACA2CEA" w14:textId="0945B48D" w:rsidR="00A41E9D" w:rsidRPr="008052A1" w:rsidRDefault="00A41E9D" w:rsidP="008052A1">
      <w:pPr>
        <w:pStyle w:val="Heading1"/>
        <w:spacing w:line="276" w:lineRule="auto"/>
        <w:rPr>
          <w:rFonts w:ascii="Arial" w:hAnsi="Arial" w:cs="Arial"/>
          <w:sz w:val="24"/>
          <w:szCs w:val="24"/>
        </w:rPr>
      </w:pPr>
      <w:r w:rsidRPr="008052A1">
        <w:rPr>
          <w:rFonts w:ascii="Arial" w:eastAsia="Times New Roman" w:hAnsi="Arial" w:cs="Arial"/>
          <w:sz w:val="24"/>
          <w:szCs w:val="24"/>
          <w:lang w:eastAsia="en-GB"/>
        </w:rPr>
        <w:lastRenderedPageBreak/>
        <w:t xml:space="preserve"> </w:t>
      </w:r>
      <w:bookmarkStart w:id="22" w:name="_Toc216731965"/>
      <w:bookmarkStart w:id="23" w:name="_Toc216732189"/>
      <w:r w:rsidRPr="008052A1">
        <w:rPr>
          <w:rFonts w:ascii="Arial" w:hAnsi="Arial" w:cs="Arial"/>
          <w:sz w:val="24"/>
          <w:szCs w:val="24"/>
        </w:rPr>
        <w:t>Gantt Chart</w:t>
      </w:r>
      <w:bookmarkEnd w:id="22"/>
      <w:bookmarkEnd w:id="2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0"/>
        <w:gridCol w:w="1141"/>
        <w:gridCol w:w="1088"/>
        <w:gridCol w:w="1063"/>
      </w:tblGrid>
      <w:tr w:rsidR="00A41E9D" w:rsidRPr="008052A1" w14:paraId="39BC12FD" w14:textId="77777777">
        <w:trPr>
          <w:tblHeader/>
          <w:tblCellSpacing w:w="15" w:type="dxa"/>
        </w:trPr>
        <w:tc>
          <w:tcPr>
            <w:tcW w:w="0" w:type="auto"/>
            <w:vAlign w:val="center"/>
            <w:hideMark/>
          </w:tcPr>
          <w:p w14:paraId="6929EBDD"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Task</w:t>
            </w:r>
          </w:p>
        </w:tc>
        <w:tc>
          <w:tcPr>
            <w:tcW w:w="0" w:type="auto"/>
            <w:vAlign w:val="center"/>
            <w:hideMark/>
          </w:tcPr>
          <w:p w14:paraId="084A7BFE"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Start Date</w:t>
            </w:r>
          </w:p>
        </w:tc>
        <w:tc>
          <w:tcPr>
            <w:tcW w:w="0" w:type="auto"/>
            <w:vAlign w:val="center"/>
            <w:hideMark/>
          </w:tcPr>
          <w:p w14:paraId="2C8378AC"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End Date</w:t>
            </w:r>
          </w:p>
        </w:tc>
        <w:tc>
          <w:tcPr>
            <w:tcW w:w="0" w:type="auto"/>
            <w:vAlign w:val="center"/>
            <w:hideMark/>
          </w:tcPr>
          <w:p w14:paraId="4AB91734"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Duration</w:t>
            </w:r>
          </w:p>
        </w:tc>
      </w:tr>
      <w:tr w:rsidR="00A41E9D" w:rsidRPr="008052A1" w14:paraId="378507DD" w14:textId="77777777">
        <w:trPr>
          <w:tblCellSpacing w:w="15" w:type="dxa"/>
        </w:trPr>
        <w:tc>
          <w:tcPr>
            <w:tcW w:w="0" w:type="auto"/>
            <w:vAlign w:val="center"/>
            <w:hideMark/>
          </w:tcPr>
          <w:p w14:paraId="7F31395D"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Project Initiation</w:t>
            </w:r>
          </w:p>
        </w:tc>
        <w:tc>
          <w:tcPr>
            <w:tcW w:w="0" w:type="auto"/>
            <w:vAlign w:val="center"/>
            <w:hideMark/>
          </w:tcPr>
          <w:p w14:paraId="1E72B39A"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Jan 2025</w:t>
            </w:r>
          </w:p>
        </w:tc>
        <w:tc>
          <w:tcPr>
            <w:tcW w:w="0" w:type="auto"/>
            <w:vAlign w:val="center"/>
            <w:hideMark/>
          </w:tcPr>
          <w:p w14:paraId="3160D684"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Feb 2025</w:t>
            </w:r>
          </w:p>
        </w:tc>
        <w:tc>
          <w:tcPr>
            <w:tcW w:w="0" w:type="auto"/>
            <w:vAlign w:val="center"/>
            <w:hideMark/>
          </w:tcPr>
          <w:p w14:paraId="6B1248F0" w14:textId="07EA7E7A" w:rsidR="00A41E9D" w:rsidRPr="008052A1" w:rsidRDefault="008B0ED0"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2</w:t>
            </w:r>
            <w:r w:rsidR="00A41E9D" w:rsidRPr="008052A1">
              <w:rPr>
                <w:rFonts w:ascii="Arial" w:eastAsia="Times New Roman" w:hAnsi="Arial" w:cs="Arial"/>
                <w:kern w:val="0"/>
                <w:lang w:eastAsia="en-GB"/>
                <w14:ligatures w14:val="none"/>
              </w:rPr>
              <w:t xml:space="preserve"> months</w:t>
            </w:r>
          </w:p>
        </w:tc>
      </w:tr>
      <w:tr w:rsidR="00A41E9D" w:rsidRPr="008052A1" w14:paraId="79D23B53" w14:textId="77777777">
        <w:trPr>
          <w:tblCellSpacing w:w="15" w:type="dxa"/>
        </w:trPr>
        <w:tc>
          <w:tcPr>
            <w:tcW w:w="0" w:type="auto"/>
            <w:vAlign w:val="center"/>
            <w:hideMark/>
          </w:tcPr>
          <w:p w14:paraId="058B79B0"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Planning &amp; Design</w:t>
            </w:r>
          </w:p>
        </w:tc>
        <w:tc>
          <w:tcPr>
            <w:tcW w:w="0" w:type="auto"/>
            <w:vAlign w:val="center"/>
            <w:hideMark/>
          </w:tcPr>
          <w:p w14:paraId="52C80497" w14:textId="6CB81758"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w:t>
            </w:r>
            <w:r w:rsidR="00E80D26" w:rsidRPr="008052A1">
              <w:rPr>
                <w:rFonts w:ascii="Arial" w:eastAsia="Times New Roman" w:hAnsi="Arial" w:cs="Arial"/>
                <w:kern w:val="0"/>
                <w:lang w:eastAsia="en-GB"/>
                <w14:ligatures w14:val="none"/>
              </w:rPr>
              <w:t>ay</w:t>
            </w:r>
            <w:r w:rsidRPr="008052A1">
              <w:rPr>
                <w:rFonts w:ascii="Arial" w:eastAsia="Times New Roman" w:hAnsi="Arial" w:cs="Arial"/>
                <w:kern w:val="0"/>
                <w:lang w:eastAsia="en-GB"/>
                <w14:ligatures w14:val="none"/>
              </w:rPr>
              <w:t xml:space="preserve"> 2025</w:t>
            </w:r>
          </w:p>
        </w:tc>
        <w:tc>
          <w:tcPr>
            <w:tcW w:w="0" w:type="auto"/>
            <w:vAlign w:val="center"/>
            <w:hideMark/>
          </w:tcPr>
          <w:p w14:paraId="5E6502C6"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Jun 2025</w:t>
            </w:r>
          </w:p>
        </w:tc>
        <w:tc>
          <w:tcPr>
            <w:tcW w:w="0" w:type="auto"/>
            <w:vAlign w:val="center"/>
            <w:hideMark/>
          </w:tcPr>
          <w:p w14:paraId="642851AD" w14:textId="67EE13FA" w:rsidR="00A41E9D" w:rsidRPr="008052A1" w:rsidRDefault="008B0ED0"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4</w:t>
            </w:r>
            <w:r w:rsidR="00A41E9D" w:rsidRPr="008052A1">
              <w:rPr>
                <w:rFonts w:ascii="Arial" w:eastAsia="Times New Roman" w:hAnsi="Arial" w:cs="Arial"/>
                <w:kern w:val="0"/>
                <w:lang w:eastAsia="en-GB"/>
                <w14:ligatures w14:val="none"/>
              </w:rPr>
              <w:t xml:space="preserve"> months</w:t>
            </w:r>
          </w:p>
        </w:tc>
      </w:tr>
      <w:tr w:rsidR="00A41E9D" w:rsidRPr="008052A1" w14:paraId="2D49B767" w14:textId="77777777">
        <w:trPr>
          <w:tblCellSpacing w:w="15" w:type="dxa"/>
        </w:trPr>
        <w:tc>
          <w:tcPr>
            <w:tcW w:w="0" w:type="auto"/>
            <w:vAlign w:val="center"/>
            <w:hideMark/>
          </w:tcPr>
          <w:p w14:paraId="113AEB6C"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Procurement</w:t>
            </w:r>
          </w:p>
        </w:tc>
        <w:tc>
          <w:tcPr>
            <w:tcW w:w="0" w:type="auto"/>
            <w:vAlign w:val="center"/>
            <w:hideMark/>
          </w:tcPr>
          <w:p w14:paraId="1C6642E9"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May 2025</w:t>
            </w:r>
          </w:p>
        </w:tc>
        <w:tc>
          <w:tcPr>
            <w:tcW w:w="0" w:type="auto"/>
            <w:vAlign w:val="center"/>
            <w:hideMark/>
          </w:tcPr>
          <w:p w14:paraId="1A21B2B9"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Jun 2025</w:t>
            </w:r>
          </w:p>
        </w:tc>
        <w:tc>
          <w:tcPr>
            <w:tcW w:w="0" w:type="auto"/>
            <w:vAlign w:val="center"/>
            <w:hideMark/>
          </w:tcPr>
          <w:p w14:paraId="19D22107"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2 months</w:t>
            </w:r>
          </w:p>
        </w:tc>
      </w:tr>
      <w:tr w:rsidR="00A41E9D" w:rsidRPr="008052A1" w14:paraId="7BEB2D1C" w14:textId="77777777">
        <w:trPr>
          <w:tblCellSpacing w:w="15" w:type="dxa"/>
        </w:trPr>
        <w:tc>
          <w:tcPr>
            <w:tcW w:w="0" w:type="auto"/>
            <w:vAlign w:val="center"/>
            <w:hideMark/>
          </w:tcPr>
          <w:p w14:paraId="000DA431"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Construction</w:t>
            </w:r>
          </w:p>
        </w:tc>
        <w:tc>
          <w:tcPr>
            <w:tcW w:w="0" w:type="auto"/>
            <w:vAlign w:val="center"/>
            <w:hideMark/>
          </w:tcPr>
          <w:p w14:paraId="2660A100"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Jul 2025</w:t>
            </w:r>
          </w:p>
        </w:tc>
        <w:tc>
          <w:tcPr>
            <w:tcW w:w="0" w:type="auto"/>
            <w:vAlign w:val="center"/>
            <w:hideMark/>
          </w:tcPr>
          <w:p w14:paraId="640D557D"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Dec 2025</w:t>
            </w:r>
          </w:p>
        </w:tc>
        <w:tc>
          <w:tcPr>
            <w:tcW w:w="0" w:type="auto"/>
            <w:vAlign w:val="center"/>
            <w:hideMark/>
          </w:tcPr>
          <w:p w14:paraId="6E9597BD"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6 months</w:t>
            </w:r>
          </w:p>
        </w:tc>
      </w:tr>
      <w:tr w:rsidR="00A41E9D" w:rsidRPr="008052A1" w14:paraId="4AE8412F" w14:textId="77777777">
        <w:trPr>
          <w:tblCellSpacing w:w="15" w:type="dxa"/>
        </w:trPr>
        <w:tc>
          <w:tcPr>
            <w:tcW w:w="0" w:type="auto"/>
            <w:vAlign w:val="center"/>
            <w:hideMark/>
          </w:tcPr>
          <w:p w14:paraId="082E8A54"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Quality Assurance</w:t>
            </w:r>
          </w:p>
        </w:tc>
        <w:tc>
          <w:tcPr>
            <w:tcW w:w="0" w:type="auto"/>
            <w:vAlign w:val="center"/>
            <w:hideMark/>
          </w:tcPr>
          <w:p w14:paraId="7C7D756E"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Dec 2025</w:t>
            </w:r>
          </w:p>
        </w:tc>
        <w:tc>
          <w:tcPr>
            <w:tcW w:w="0" w:type="auto"/>
            <w:vAlign w:val="center"/>
            <w:hideMark/>
          </w:tcPr>
          <w:p w14:paraId="740EF0A6"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Jan 2026</w:t>
            </w:r>
          </w:p>
        </w:tc>
        <w:tc>
          <w:tcPr>
            <w:tcW w:w="0" w:type="auto"/>
            <w:vAlign w:val="center"/>
            <w:hideMark/>
          </w:tcPr>
          <w:p w14:paraId="7C32FB86"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2 months</w:t>
            </w:r>
          </w:p>
        </w:tc>
      </w:tr>
      <w:tr w:rsidR="00A41E9D" w:rsidRPr="008052A1" w14:paraId="261833F8" w14:textId="77777777">
        <w:trPr>
          <w:tblCellSpacing w:w="15" w:type="dxa"/>
        </w:trPr>
        <w:tc>
          <w:tcPr>
            <w:tcW w:w="0" w:type="auto"/>
            <w:vAlign w:val="center"/>
            <w:hideMark/>
          </w:tcPr>
          <w:p w14:paraId="4B198B81"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Project Closeout</w:t>
            </w:r>
          </w:p>
        </w:tc>
        <w:tc>
          <w:tcPr>
            <w:tcW w:w="0" w:type="auto"/>
            <w:vAlign w:val="center"/>
            <w:hideMark/>
          </w:tcPr>
          <w:p w14:paraId="2E09AF21"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Jan 2026</w:t>
            </w:r>
          </w:p>
        </w:tc>
        <w:tc>
          <w:tcPr>
            <w:tcW w:w="0" w:type="auto"/>
            <w:vAlign w:val="center"/>
            <w:hideMark/>
          </w:tcPr>
          <w:p w14:paraId="4490419B"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Feb 2026</w:t>
            </w:r>
          </w:p>
        </w:tc>
        <w:tc>
          <w:tcPr>
            <w:tcW w:w="0" w:type="auto"/>
            <w:vAlign w:val="center"/>
            <w:hideMark/>
          </w:tcPr>
          <w:p w14:paraId="6D31AF1F"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1 month</w:t>
            </w:r>
          </w:p>
        </w:tc>
      </w:tr>
    </w:tbl>
    <w:p w14:paraId="3240287C" w14:textId="77777777" w:rsidR="009A31C9" w:rsidRPr="009A31C9" w:rsidRDefault="009A31C9" w:rsidP="008052A1">
      <w:pPr>
        <w:spacing w:before="100" w:beforeAutospacing="1" w:after="100" w:afterAutospacing="1" w:line="276" w:lineRule="auto"/>
        <w:rPr>
          <w:rFonts w:ascii="Arial" w:eastAsia="Times New Roman" w:hAnsi="Arial" w:cs="Arial"/>
          <w:kern w:val="0"/>
          <w:lang w:eastAsia="en-GB"/>
          <w14:ligatures w14:val="none"/>
        </w:rPr>
      </w:pPr>
      <w:r w:rsidRPr="009A31C9">
        <w:rPr>
          <w:rFonts w:ascii="Arial" w:eastAsia="Times New Roman" w:hAnsi="Arial" w:cs="Arial"/>
          <w:b/>
          <w:bCs/>
          <w:kern w:val="0"/>
          <w:lang w:eastAsia="en-GB"/>
          <w14:ligatures w14:val="none"/>
        </w:rPr>
        <w:t>Project Initiation and Planning (Month 1)</w:t>
      </w:r>
      <w:r w:rsidRPr="009A31C9">
        <w:rPr>
          <w:rFonts w:ascii="Arial" w:eastAsia="Times New Roman" w:hAnsi="Arial" w:cs="Arial"/>
          <w:kern w:val="0"/>
          <w:lang w:eastAsia="en-GB"/>
          <w14:ligatures w14:val="none"/>
        </w:rPr>
        <w:br/>
        <w:t>This phase includes project mobilisation, appointment of contractors, detailed site investigations, and finalisation of designs. Regulatory approvals and environmental permits are confirmed during this period to avoid downstream delays.</w:t>
      </w:r>
    </w:p>
    <w:p w14:paraId="625DF8D5" w14:textId="02CB332A" w:rsidR="009A31C9" w:rsidRPr="009A31C9" w:rsidRDefault="00426521"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Phase Emergency</w:t>
      </w:r>
      <w:r w:rsidR="009A31C9" w:rsidRPr="009A31C9">
        <w:rPr>
          <w:rFonts w:ascii="Arial" w:eastAsia="Times New Roman" w:hAnsi="Arial" w:cs="Arial"/>
          <w:b/>
          <w:bCs/>
          <w:kern w:val="0"/>
          <w:lang w:eastAsia="en-GB"/>
          <w14:ligatures w14:val="none"/>
        </w:rPr>
        <w:t xml:space="preserve"> Stabilisation Works (Months 1–2)</w:t>
      </w:r>
      <w:r w:rsidR="009A31C9" w:rsidRPr="009A31C9">
        <w:rPr>
          <w:rFonts w:ascii="Arial" w:eastAsia="Times New Roman" w:hAnsi="Arial" w:cs="Arial"/>
          <w:kern w:val="0"/>
          <w:lang w:eastAsia="en-GB"/>
          <w14:ligatures w14:val="none"/>
        </w:rPr>
        <w:br/>
        <w:t>Emergency activities begin in parallel with planning and include debris removal, temporary slope stabilisation, installation of temporary drainage, and establishment of site access routes. These activities are critical for enabling safe access to damaged sections of the highway.</w:t>
      </w:r>
    </w:p>
    <w:p w14:paraId="4A1FF0C6" w14:textId="1BB34D4C" w:rsidR="009A31C9" w:rsidRPr="009A31C9" w:rsidRDefault="00FB6D6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Phase Bridge</w:t>
      </w:r>
      <w:r w:rsidR="009A31C9" w:rsidRPr="009A31C9">
        <w:rPr>
          <w:rFonts w:ascii="Arial" w:eastAsia="Times New Roman" w:hAnsi="Arial" w:cs="Arial"/>
          <w:b/>
          <w:bCs/>
          <w:kern w:val="0"/>
          <w:lang w:eastAsia="en-GB"/>
          <w14:ligatures w14:val="none"/>
        </w:rPr>
        <w:t xml:space="preserve"> Reconstruction (Months 2–8)</w:t>
      </w:r>
      <w:r w:rsidR="009A31C9" w:rsidRPr="009A31C9">
        <w:rPr>
          <w:rFonts w:ascii="Arial" w:eastAsia="Times New Roman" w:hAnsi="Arial" w:cs="Arial"/>
          <w:kern w:val="0"/>
          <w:lang w:eastAsia="en-GB"/>
          <w14:ligatures w14:val="none"/>
        </w:rPr>
        <w:br/>
        <w:t xml:space="preserve">Bridge reconstruction represents the </w:t>
      </w:r>
      <w:r w:rsidR="009A31C9" w:rsidRPr="009A31C9">
        <w:rPr>
          <w:rFonts w:ascii="Arial" w:eastAsia="Times New Roman" w:hAnsi="Arial" w:cs="Arial"/>
          <w:b/>
          <w:bCs/>
          <w:kern w:val="0"/>
          <w:lang w:eastAsia="en-GB"/>
          <w14:ligatures w14:val="none"/>
        </w:rPr>
        <w:t>critical path</w:t>
      </w:r>
      <w:r w:rsidR="009A31C9" w:rsidRPr="009A31C9">
        <w:rPr>
          <w:rFonts w:ascii="Arial" w:eastAsia="Times New Roman" w:hAnsi="Arial" w:cs="Arial"/>
          <w:kern w:val="0"/>
          <w:lang w:eastAsia="en-GB"/>
          <w14:ligatures w14:val="none"/>
        </w:rPr>
        <w:t xml:space="preserve"> of the project. Activities include foundation works, pier construction, superstructure installation, and load testing. Given their complexity and long lead times, bridge works drive the overall project schedule.</w:t>
      </w:r>
    </w:p>
    <w:p w14:paraId="4664BD43" w14:textId="0B52679E" w:rsidR="009A31C9" w:rsidRPr="009A31C9" w:rsidRDefault="00FB6D6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Phase Roadway</w:t>
      </w:r>
      <w:r w:rsidR="009A31C9" w:rsidRPr="009A31C9">
        <w:rPr>
          <w:rFonts w:ascii="Arial" w:eastAsia="Times New Roman" w:hAnsi="Arial" w:cs="Arial"/>
          <w:b/>
          <w:bCs/>
          <w:kern w:val="0"/>
          <w:lang w:eastAsia="en-GB"/>
          <w14:ligatures w14:val="none"/>
        </w:rPr>
        <w:t xml:space="preserve"> and Drainage Rehabilitation (Months 3–9)</w:t>
      </w:r>
      <w:r w:rsidR="009A31C9" w:rsidRPr="009A31C9">
        <w:rPr>
          <w:rFonts w:ascii="Arial" w:eastAsia="Times New Roman" w:hAnsi="Arial" w:cs="Arial"/>
          <w:kern w:val="0"/>
          <w:lang w:eastAsia="en-GB"/>
          <w14:ligatures w14:val="none"/>
        </w:rPr>
        <w:br/>
        <w:t>Road reconstruction and drainage upgrades are carried out concurrently with bridge works where possible. Activities include embankment repair, pavement reconstruction, culvert replacement, and installation of flood-resilient drainage systems.</w:t>
      </w:r>
    </w:p>
    <w:p w14:paraId="21BD8B4F" w14:textId="40C1C300" w:rsidR="009A31C9" w:rsidRPr="009A31C9" w:rsidRDefault="00FB6D6A"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Phase Environmental</w:t>
      </w:r>
      <w:r w:rsidR="009A31C9" w:rsidRPr="009A31C9">
        <w:rPr>
          <w:rFonts w:ascii="Arial" w:eastAsia="Times New Roman" w:hAnsi="Arial" w:cs="Arial"/>
          <w:b/>
          <w:bCs/>
          <w:kern w:val="0"/>
          <w:lang w:eastAsia="en-GB"/>
          <w14:ligatures w14:val="none"/>
        </w:rPr>
        <w:t xml:space="preserve"> Protection and Compliance (Months 1–10)</w:t>
      </w:r>
      <w:r w:rsidR="009A31C9" w:rsidRPr="009A31C9">
        <w:rPr>
          <w:rFonts w:ascii="Arial" w:eastAsia="Times New Roman" w:hAnsi="Arial" w:cs="Arial"/>
          <w:kern w:val="0"/>
          <w:lang w:eastAsia="en-GB"/>
          <w14:ligatures w14:val="none"/>
        </w:rPr>
        <w:br/>
        <w:t>Environmental monitoring, erosion control, and regulatory reporting are continuous activities. This phase ensures compliance with environmental legislation and minimises ecological impact during construction.</w:t>
      </w:r>
    </w:p>
    <w:p w14:paraId="5B4AED7B" w14:textId="04C38BA3" w:rsidR="009A31C9" w:rsidRPr="009A31C9" w:rsidRDefault="00FB6D6A" w:rsidP="00427EEA">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Phase Testing</w:t>
      </w:r>
      <w:r w:rsidR="009A31C9" w:rsidRPr="009A31C9">
        <w:rPr>
          <w:rFonts w:ascii="Arial" w:eastAsia="Times New Roman" w:hAnsi="Arial" w:cs="Arial"/>
          <w:b/>
          <w:bCs/>
          <w:kern w:val="0"/>
          <w:lang w:eastAsia="en-GB"/>
          <w14:ligatures w14:val="none"/>
        </w:rPr>
        <w:t>, Commissioning, and Handover (Months 10–12)</w:t>
      </w:r>
      <w:r w:rsidR="009A31C9" w:rsidRPr="009A31C9">
        <w:rPr>
          <w:rFonts w:ascii="Arial" w:eastAsia="Times New Roman" w:hAnsi="Arial" w:cs="Arial"/>
          <w:kern w:val="0"/>
          <w:lang w:eastAsia="en-GB"/>
          <w14:ligatures w14:val="none"/>
        </w:rPr>
        <w:br/>
        <w:t xml:space="preserve">Final inspections, safety audits, load testing, and commissioning activities occur prior to reopening. Formal handover to the Ministry of Transportation concludes the </w:t>
      </w:r>
      <w:r w:rsidR="00F80793" w:rsidRPr="009A31C9">
        <w:rPr>
          <w:rFonts w:ascii="Arial" w:eastAsia="Times New Roman" w:hAnsi="Arial" w:cs="Arial"/>
          <w:kern w:val="0"/>
          <w:lang w:eastAsia="en-GB"/>
          <w14:ligatures w14:val="none"/>
        </w:rPr>
        <w:t>project. Final</w:t>
      </w:r>
      <w:r w:rsidR="009A31C9" w:rsidRPr="009A31C9">
        <w:rPr>
          <w:rFonts w:ascii="Arial" w:eastAsia="Times New Roman" w:hAnsi="Arial" w:cs="Arial"/>
          <w:kern w:val="0"/>
          <w:lang w:eastAsia="en-GB"/>
          <w14:ligatures w14:val="none"/>
        </w:rPr>
        <w:t xml:space="preserve"> safety certification and commissioning (End of Month 11)</w:t>
      </w:r>
    </w:p>
    <w:p w14:paraId="64857C1F" w14:textId="58955418" w:rsidR="009A31C9" w:rsidRPr="009A31C9" w:rsidRDefault="00694C64" w:rsidP="00694C64">
      <w:pPr>
        <w:rPr>
          <w:lang w:eastAsia="en-GB"/>
        </w:rPr>
      </w:pPr>
      <w:r>
        <w:rPr>
          <w:lang w:eastAsia="en-GB"/>
        </w:rPr>
        <w:t xml:space="preserve">             </w:t>
      </w:r>
      <w:r w:rsidR="00FB5DD8">
        <w:rPr>
          <w:lang w:eastAsia="en-GB"/>
        </w:rPr>
        <w:t xml:space="preserve"> </w:t>
      </w:r>
      <w:r w:rsidR="009A31C9" w:rsidRPr="009A31C9">
        <w:rPr>
          <w:lang w:eastAsia="en-GB"/>
        </w:rPr>
        <w:t>Full reopening of Highway 5 (Month 1</w:t>
      </w:r>
      <w:r w:rsidR="00FB6D6A" w:rsidRPr="008052A1">
        <w:rPr>
          <w:lang w:eastAsia="en-GB"/>
        </w:rPr>
        <w:t>2</w:t>
      </w:r>
      <w:r w:rsidR="009A31C9" w:rsidRPr="009A31C9">
        <w:rPr>
          <w:lang w:eastAsia="en-GB"/>
        </w:rPr>
        <w:t>)</w:t>
      </w:r>
    </w:p>
    <w:p w14:paraId="473BEBA6" w14:textId="5ABB6FC8" w:rsidR="00A41E9D" w:rsidRPr="00694C64" w:rsidRDefault="009A31C9" w:rsidP="00694C64">
      <w:pPr>
        <w:pStyle w:val="Heading1"/>
      </w:pPr>
      <w:r w:rsidRPr="009A31C9">
        <w:rPr>
          <w:rFonts w:eastAsia="Times New Roman"/>
          <w:b/>
          <w:bCs/>
          <w:lang w:eastAsia="en-GB"/>
        </w:rPr>
        <w:lastRenderedPageBreak/>
        <w:t xml:space="preserve"> </w:t>
      </w:r>
      <w:bookmarkStart w:id="24" w:name="_Toc216731966"/>
      <w:bookmarkStart w:id="25" w:name="_Toc216732190"/>
      <w:r w:rsidR="00A41E9D" w:rsidRPr="00694C64">
        <w:t>Stakeholders Involvemen</w:t>
      </w:r>
      <w:r w:rsidR="002D643B" w:rsidRPr="00694C64">
        <w:t>t</w:t>
      </w:r>
      <w:bookmarkEnd w:id="24"/>
      <w:bookmarkEnd w:id="25"/>
    </w:p>
    <w:p w14:paraId="578D751E" w14:textId="1FEB23C0"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 xml:space="preserve">Stakeholder involvement is critical to the successful delivery of infrastructure reconstruction projects, particularly in post-disaster environments. Stakeholders influence project decisions, provide essential resources, and are directly affected by project outcomes. Effective identification, analysis, and engagement of stakeholders </w:t>
      </w:r>
      <w:r w:rsidR="00694C64" w:rsidRPr="008052A1">
        <w:rPr>
          <w:rFonts w:ascii="Arial" w:eastAsia="Times New Roman" w:hAnsi="Arial" w:cs="Arial"/>
          <w:kern w:val="0"/>
          <w:lang w:eastAsia="en-GB"/>
          <w14:ligatures w14:val="none"/>
        </w:rPr>
        <w:t>ensure</w:t>
      </w:r>
      <w:r w:rsidRPr="008052A1">
        <w:rPr>
          <w:rFonts w:ascii="Arial" w:eastAsia="Times New Roman" w:hAnsi="Arial" w:cs="Arial"/>
          <w:kern w:val="0"/>
          <w:lang w:eastAsia="en-GB"/>
          <w14:ligatures w14:val="none"/>
        </w:rPr>
        <w:t xml:space="preserve"> alignment of project objectives, minimizes resistance, and supports timely decision-making throughout the project lifecycle.</w:t>
      </w:r>
    </w:p>
    <w:p w14:paraId="7BDE1A7E" w14:textId="3455E645"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For the reconstruction of the principal transportation corridor in British Columbia, stakeholders have been categorized based on their level of influence, interest, and responsibility in the project.</w:t>
      </w:r>
    </w:p>
    <w:p w14:paraId="12AB5241" w14:textId="0C47DB18" w:rsidR="00630552" w:rsidRPr="00694C64" w:rsidRDefault="00630552" w:rsidP="008052A1">
      <w:pPr>
        <w:spacing w:before="100" w:beforeAutospacing="1" w:after="100" w:afterAutospacing="1" w:line="276" w:lineRule="auto"/>
        <w:outlineLvl w:val="3"/>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 xml:space="preserve"> </w:t>
      </w:r>
      <w:r w:rsidRPr="00694C64">
        <w:rPr>
          <w:rFonts w:ascii="Arial" w:eastAsia="Times New Roman" w:hAnsi="Arial" w:cs="Arial"/>
          <w:kern w:val="0"/>
          <w:lang w:eastAsia="en-GB"/>
          <w14:ligatures w14:val="none"/>
        </w:rPr>
        <w:t>Identification of Key Stakeholders</w:t>
      </w:r>
    </w:p>
    <w:p w14:paraId="517F5277"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694C64">
        <w:rPr>
          <w:rFonts w:ascii="Arial" w:eastAsia="Times New Roman" w:hAnsi="Arial" w:cs="Arial"/>
          <w:kern w:val="0"/>
          <w:lang w:eastAsia="en-GB"/>
          <w14:ligatures w14:val="none"/>
        </w:rPr>
        <w:t>Provincial Government (British Columbia Ministry of Transportation and Infrastructure)</w:t>
      </w:r>
      <w:r w:rsidRPr="008052A1">
        <w:rPr>
          <w:rFonts w:ascii="Arial" w:eastAsia="Times New Roman" w:hAnsi="Arial" w:cs="Arial"/>
          <w:kern w:val="0"/>
          <w:lang w:eastAsia="en-GB"/>
          <w14:ligatures w14:val="none"/>
        </w:rPr>
        <w:br/>
        <w:t>The provincial government is the primary sponsor of the project. Responsibilities include funding approval, regulatory oversight, policy direction, and final acceptance of deliverables. The government ensures that the project aligns with provincial transportation strategies and disaster recovery objectives.</w:t>
      </w:r>
    </w:p>
    <w:p w14:paraId="1C8B8AAE"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Local Municipal Authorities</w:t>
      </w:r>
      <w:r w:rsidRPr="008052A1">
        <w:rPr>
          <w:rFonts w:ascii="Arial" w:eastAsia="Times New Roman" w:hAnsi="Arial" w:cs="Arial"/>
          <w:kern w:val="0"/>
          <w:lang w:eastAsia="en-GB"/>
          <w14:ligatures w14:val="none"/>
        </w:rPr>
        <w:br/>
        <w:t>Municipal governments play a vital role in coordinating local access, traffic management, and compliance with municipal regulations. They act as intermediaries between the project team and local communities, ensuring that community concerns are addressed.</w:t>
      </w:r>
    </w:p>
    <w:p w14:paraId="3053FAD2"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Federal Government Agencies</w:t>
      </w:r>
      <w:r w:rsidRPr="008052A1">
        <w:rPr>
          <w:rFonts w:ascii="Arial" w:eastAsia="Times New Roman" w:hAnsi="Arial" w:cs="Arial"/>
          <w:kern w:val="0"/>
          <w:lang w:eastAsia="en-GB"/>
          <w14:ligatures w14:val="none"/>
        </w:rPr>
        <w:br/>
        <w:t>Federal agencies may provide supplementary funding and technical guidance, particularly where the corridor supports national supply chains. Their involvement ensures alignment with federal disaster recovery frameworks and infrastructure standards.</w:t>
      </w:r>
    </w:p>
    <w:p w14:paraId="20CA1A51"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Construction Contractors and Engineering Consultants</w:t>
      </w:r>
      <w:r w:rsidRPr="008052A1">
        <w:rPr>
          <w:rFonts w:ascii="Arial" w:eastAsia="Times New Roman" w:hAnsi="Arial" w:cs="Arial"/>
          <w:kern w:val="0"/>
          <w:lang w:eastAsia="en-GB"/>
          <w14:ligatures w14:val="none"/>
        </w:rPr>
        <w:br/>
        <w:t>Contractors and consultants are responsible for the detailed design, construction, and technical execution of the project. Their expertise ensures structural integrity, safety compliance, and adherence to project timelines and budgets.</w:t>
      </w:r>
    </w:p>
    <w:p w14:paraId="0460489B"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Environmental Regulatory Agencies</w:t>
      </w:r>
      <w:r w:rsidRPr="008052A1">
        <w:rPr>
          <w:rFonts w:ascii="Arial" w:eastAsia="Times New Roman" w:hAnsi="Arial" w:cs="Arial"/>
          <w:kern w:val="0"/>
          <w:lang w:eastAsia="en-GB"/>
          <w14:ligatures w14:val="none"/>
        </w:rPr>
        <w:br/>
        <w:t>Environmental stakeholders ensure that construction activities comply with environmental laws and sustainability requirements. Responsibilities include monitoring environmental impact, approving mitigation strategies, and conducting audits throughout the project lifecycle.</w:t>
      </w:r>
    </w:p>
    <w:p w14:paraId="7CCE181B"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lastRenderedPageBreak/>
        <w:t>Emergency Services (Police, Fire, Ambulance)</w:t>
      </w:r>
      <w:r w:rsidRPr="008052A1">
        <w:rPr>
          <w:rFonts w:ascii="Arial" w:eastAsia="Times New Roman" w:hAnsi="Arial" w:cs="Arial"/>
          <w:kern w:val="0"/>
          <w:lang w:eastAsia="en-GB"/>
          <w14:ligatures w14:val="none"/>
        </w:rPr>
        <w:br/>
        <w:t>Emergency services depend on the corridor for rapid response. Their involvement ensures that reconstruction activities maintain emergency access and that the final infrastructure supports efficient emergency operations.</w:t>
      </w:r>
    </w:p>
    <w:p w14:paraId="097FADB0"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Local Businesses, Farmers, and Freight Operators</w:t>
      </w:r>
      <w:r w:rsidRPr="008052A1">
        <w:rPr>
          <w:rFonts w:ascii="Arial" w:eastAsia="Times New Roman" w:hAnsi="Arial" w:cs="Arial"/>
          <w:kern w:val="0"/>
          <w:lang w:eastAsia="en-GB"/>
          <w14:ligatures w14:val="none"/>
        </w:rPr>
        <w:br/>
        <w:t>These stakeholders are directly affected by transportation disruptions. Their input helps prioritize construction sequencing and minimize economic impacts during the reconstruction phase.</w:t>
      </w:r>
    </w:p>
    <w:p w14:paraId="0E2446B0" w14:textId="6C62CCC0"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FB5DD8">
        <w:rPr>
          <w:rFonts w:ascii="Arial" w:eastAsia="Times New Roman" w:hAnsi="Arial" w:cs="Arial"/>
          <w:b/>
          <w:bCs/>
          <w:kern w:val="0"/>
          <w:lang w:eastAsia="en-GB"/>
          <w14:ligatures w14:val="none"/>
        </w:rPr>
        <w:t>Residents and Road Users</w:t>
      </w:r>
      <w:r w:rsidRPr="00FB5DD8">
        <w:rPr>
          <w:rFonts w:ascii="Arial" w:eastAsia="Times New Roman" w:hAnsi="Arial" w:cs="Arial"/>
          <w:b/>
          <w:bCs/>
          <w:kern w:val="0"/>
          <w:lang w:eastAsia="en-GB"/>
          <w14:ligatures w14:val="none"/>
        </w:rPr>
        <w:br/>
      </w:r>
      <w:r w:rsidRPr="008052A1">
        <w:rPr>
          <w:rFonts w:ascii="Arial" w:eastAsia="Times New Roman" w:hAnsi="Arial" w:cs="Arial"/>
          <w:kern w:val="0"/>
          <w:lang w:eastAsia="en-GB"/>
          <w14:ligatures w14:val="none"/>
        </w:rPr>
        <w:t>Local residents and commuters are end users of the corridor. Their concerns relate to safety, accessibility, noise, and construction disruptions. Transparent communication with this group is essential to maintain public trust.</w:t>
      </w:r>
    </w:p>
    <w:p w14:paraId="20B87521" w14:textId="72B9D622" w:rsidR="00630552" w:rsidRPr="008052A1" w:rsidRDefault="00630552" w:rsidP="008052A1">
      <w:pPr>
        <w:spacing w:before="100" w:beforeAutospacing="1" w:after="100" w:afterAutospacing="1" w:line="276" w:lineRule="auto"/>
        <w:outlineLvl w:val="3"/>
        <w:rPr>
          <w:rFonts w:ascii="Arial" w:eastAsia="Times New Roman" w:hAnsi="Arial" w:cs="Arial"/>
          <w:b/>
          <w:bCs/>
          <w:kern w:val="0"/>
          <w:lang w:eastAsia="en-GB"/>
          <w14:ligatures w14:val="none"/>
        </w:rPr>
      </w:pPr>
      <w:r w:rsidRPr="008052A1">
        <w:rPr>
          <w:rFonts w:ascii="Arial" w:eastAsia="Times New Roman" w:hAnsi="Arial" w:cs="Arial"/>
          <w:b/>
          <w:bCs/>
          <w:kern w:val="0"/>
          <w:lang w:eastAsia="en-GB"/>
          <w14:ligatures w14:val="none"/>
        </w:rPr>
        <w:t xml:space="preserve"> Stakeholder Roles and Responsibilities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48"/>
        <w:gridCol w:w="5578"/>
      </w:tblGrid>
      <w:tr w:rsidR="00630552" w:rsidRPr="008052A1" w14:paraId="62CE2DD9" w14:textId="77777777">
        <w:trPr>
          <w:tblHeader/>
          <w:tblCellSpacing w:w="15" w:type="dxa"/>
        </w:trPr>
        <w:tc>
          <w:tcPr>
            <w:tcW w:w="0" w:type="auto"/>
            <w:vAlign w:val="center"/>
            <w:hideMark/>
          </w:tcPr>
          <w:p w14:paraId="5F723D64" w14:textId="77777777" w:rsidR="00630552" w:rsidRPr="008052A1" w:rsidRDefault="00630552" w:rsidP="008052A1">
            <w:pPr>
              <w:spacing w:after="0" w:line="276" w:lineRule="auto"/>
              <w:jc w:val="center"/>
              <w:rPr>
                <w:rFonts w:ascii="Arial" w:eastAsia="Times New Roman" w:hAnsi="Arial" w:cs="Arial"/>
                <w:b/>
                <w:bCs/>
                <w:kern w:val="0"/>
                <w:lang w:eastAsia="en-GB"/>
                <w14:ligatures w14:val="none"/>
              </w:rPr>
            </w:pPr>
            <w:r w:rsidRPr="008052A1">
              <w:rPr>
                <w:rFonts w:ascii="Arial" w:eastAsia="Times New Roman" w:hAnsi="Arial" w:cs="Arial"/>
                <w:b/>
                <w:bCs/>
                <w:kern w:val="0"/>
                <w:lang w:eastAsia="en-GB"/>
                <w14:ligatures w14:val="none"/>
              </w:rPr>
              <w:t>Stakeholder</w:t>
            </w:r>
          </w:p>
        </w:tc>
        <w:tc>
          <w:tcPr>
            <w:tcW w:w="0" w:type="auto"/>
            <w:vAlign w:val="center"/>
            <w:hideMark/>
          </w:tcPr>
          <w:p w14:paraId="3CAA0D54" w14:textId="77777777" w:rsidR="00630552" w:rsidRPr="008052A1" w:rsidRDefault="00630552" w:rsidP="008052A1">
            <w:pPr>
              <w:spacing w:after="0" w:line="276" w:lineRule="auto"/>
              <w:jc w:val="center"/>
              <w:rPr>
                <w:rFonts w:ascii="Arial" w:eastAsia="Times New Roman" w:hAnsi="Arial" w:cs="Arial"/>
                <w:b/>
                <w:bCs/>
                <w:kern w:val="0"/>
                <w:lang w:eastAsia="en-GB"/>
                <w14:ligatures w14:val="none"/>
              </w:rPr>
            </w:pPr>
            <w:r w:rsidRPr="008052A1">
              <w:rPr>
                <w:rFonts w:ascii="Arial" w:eastAsia="Times New Roman" w:hAnsi="Arial" w:cs="Arial"/>
                <w:b/>
                <w:bCs/>
                <w:kern w:val="0"/>
                <w:lang w:eastAsia="en-GB"/>
                <w14:ligatures w14:val="none"/>
              </w:rPr>
              <w:t>Role and Responsibility</w:t>
            </w:r>
          </w:p>
        </w:tc>
      </w:tr>
      <w:tr w:rsidR="00630552" w:rsidRPr="008052A1" w14:paraId="7466EE8A" w14:textId="77777777">
        <w:trPr>
          <w:tblCellSpacing w:w="15" w:type="dxa"/>
        </w:trPr>
        <w:tc>
          <w:tcPr>
            <w:tcW w:w="0" w:type="auto"/>
            <w:vAlign w:val="center"/>
            <w:hideMark/>
          </w:tcPr>
          <w:p w14:paraId="1AC1D1F9"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Provincial Government</w:t>
            </w:r>
          </w:p>
        </w:tc>
        <w:tc>
          <w:tcPr>
            <w:tcW w:w="0" w:type="auto"/>
            <w:vAlign w:val="center"/>
            <w:hideMark/>
          </w:tcPr>
          <w:p w14:paraId="18A105C4"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Funding, governance, approvals, strategic oversight</w:t>
            </w:r>
          </w:p>
        </w:tc>
      </w:tr>
      <w:tr w:rsidR="00630552" w:rsidRPr="008052A1" w14:paraId="2CB5EB46" w14:textId="77777777">
        <w:trPr>
          <w:tblCellSpacing w:w="15" w:type="dxa"/>
        </w:trPr>
        <w:tc>
          <w:tcPr>
            <w:tcW w:w="0" w:type="auto"/>
            <w:vAlign w:val="center"/>
            <w:hideMark/>
          </w:tcPr>
          <w:p w14:paraId="2BDA2922"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Municipal Authorities</w:t>
            </w:r>
          </w:p>
        </w:tc>
        <w:tc>
          <w:tcPr>
            <w:tcW w:w="0" w:type="auto"/>
            <w:vAlign w:val="center"/>
            <w:hideMark/>
          </w:tcPr>
          <w:p w14:paraId="6B68C0B6"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Local coordination, permits, community engagement</w:t>
            </w:r>
          </w:p>
        </w:tc>
      </w:tr>
      <w:tr w:rsidR="00630552" w:rsidRPr="008052A1" w14:paraId="2E3125C9" w14:textId="77777777">
        <w:trPr>
          <w:tblCellSpacing w:w="15" w:type="dxa"/>
        </w:trPr>
        <w:tc>
          <w:tcPr>
            <w:tcW w:w="0" w:type="auto"/>
            <w:vAlign w:val="center"/>
            <w:hideMark/>
          </w:tcPr>
          <w:p w14:paraId="5A0F984C"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Federal Agencies</w:t>
            </w:r>
          </w:p>
        </w:tc>
        <w:tc>
          <w:tcPr>
            <w:tcW w:w="0" w:type="auto"/>
            <w:vAlign w:val="center"/>
            <w:hideMark/>
          </w:tcPr>
          <w:p w14:paraId="23527A78"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Supplementary funding, policy alignment</w:t>
            </w:r>
          </w:p>
        </w:tc>
      </w:tr>
      <w:tr w:rsidR="00630552" w:rsidRPr="008052A1" w14:paraId="0FDFD44F" w14:textId="77777777">
        <w:trPr>
          <w:tblCellSpacing w:w="15" w:type="dxa"/>
        </w:trPr>
        <w:tc>
          <w:tcPr>
            <w:tcW w:w="0" w:type="auto"/>
            <w:vAlign w:val="center"/>
            <w:hideMark/>
          </w:tcPr>
          <w:p w14:paraId="2E8361D8"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Contractors &amp; Consultants</w:t>
            </w:r>
          </w:p>
        </w:tc>
        <w:tc>
          <w:tcPr>
            <w:tcW w:w="0" w:type="auto"/>
            <w:vAlign w:val="center"/>
            <w:hideMark/>
          </w:tcPr>
          <w:p w14:paraId="014D5C70"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Design, construction, quality control</w:t>
            </w:r>
          </w:p>
        </w:tc>
      </w:tr>
      <w:tr w:rsidR="00630552" w:rsidRPr="008052A1" w14:paraId="7D45CAD5" w14:textId="77777777">
        <w:trPr>
          <w:tblCellSpacing w:w="15" w:type="dxa"/>
        </w:trPr>
        <w:tc>
          <w:tcPr>
            <w:tcW w:w="0" w:type="auto"/>
            <w:vAlign w:val="center"/>
            <w:hideMark/>
          </w:tcPr>
          <w:p w14:paraId="18E0A734"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Environmental Agencies</w:t>
            </w:r>
          </w:p>
        </w:tc>
        <w:tc>
          <w:tcPr>
            <w:tcW w:w="0" w:type="auto"/>
            <w:vAlign w:val="center"/>
            <w:hideMark/>
          </w:tcPr>
          <w:p w14:paraId="7D7B4653"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Environmental compliance and monitoring</w:t>
            </w:r>
          </w:p>
        </w:tc>
      </w:tr>
      <w:tr w:rsidR="00630552" w:rsidRPr="008052A1" w14:paraId="71878D56" w14:textId="77777777">
        <w:trPr>
          <w:tblCellSpacing w:w="15" w:type="dxa"/>
        </w:trPr>
        <w:tc>
          <w:tcPr>
            <w:tcW w:w="0" w:type="auto"/>
            <w:vAlign w:val="center"/>
            <w:hideMark/>
          </w:tcPr>
          <w:p w14:paraId="79834C87"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Emergency Services</w:t>
            </w:r>
          </w:p>
        </w:tc>
        <w:tc>
          <w:tcPr>
            <w:tcW w:w="0" w:type="auto"/>
            <w:vAlign w:val="center"/>
            <w:hideMark/>
          </w:tcPr>
          <w:p w14:paraId="3D1BE0B0"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Access planning and safety coordination</w:t>
            </w:r>
          </w:p>
        </w:tc>
      </w:tr>
      <w:tr w:rsidR="00630552" w:rsidRPr="008052A1" w14:paraId="6D7FB2E6" w14:textId="77777777">
        <w:trPr>
          <w:tblCellSpacing w:w="15" w:type="dxa"/>
        </w:trPr>
        <w:tc>
          <w:tcPr>
            <w:tcW w:w="0" w:type="auto"/>
            <w:vAlign w:val="center"/>
            <w:hideMark/>
          </w:tcPr>
          <w:p w14:paraId="78460E6E"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Businesses &amp; Freight Operators</w:t>
            </w:r>
          </w:p>
        </w:tc>
        <w:tc>
          <w:tcPr>
            <w:tcW w:w="0" w:type="auto"/>
            <w:vAlign w:val="center"/>
            <w:hideMark/>
          </w:tcPr>
          <w:p w14:paraId="32A48B45"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Operational input and feedback</w:t>
            </w:r>
          </w:p>
        </w:tc>
      </w:tr>
      <w:tr w:rsidR="00630552" w:rsidRPr="008052A1" w14:paraId="1B4332FC" w14:textId="77777777">
        <w:trPr>
          <w:tblCellSpacing w:w="15" w:type="dxa"/>
        </w:trPr>
        <w:tc>
          <w:tcPr>
            <w:tcW w:w="0" w:type="auto"/>
            <w:vAlign w:val="center"/>
            <w:hideMark/>
          </w:tcPr>
          <w:p w14:paraId="56FF23C7"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Residents &amp; Road Users</w:t>
            </w:r>
          </w:p>
        </w:tc>
        <w:tc>
          <w:tcPr>
            <w:tcW w:w="0" w:type="auto"/>
            <w:vAlign w:val="center"/>
            <w:hideMark/>
          </w:tcPr>
          <w:p w14:paraId="150C7DCF" w14:textId="77777777" w:rsidR="00630552" w:rsidRPr="008052A1" w:rsidRDefault="00630552"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Public consultation and feedback</w:t>
            </w:r>
          </w:p>
        </w:tc>
      </w:tr>
    </w:tbl>
    <w:p w14:paraId="7C07BDA4" w14:textId="067691F8" w:rsidR="00630552" w:rsidRPr="008052A1" w:rsidRDefault="00630552" w:rsidP="008052A1">
      <w:pPr>
        <w:spacing w:after="0" w:line="276" w:lineRule="auto"/>
        <w:rPr>
          <w:rFonts w:ascii="Arial" w:eastAsia="Times New Roman" w:hAnsi="Arial" w:cs="Arial"/>
          <w:kern w:val="0"/>
          <w:lang w:eastAsia="en-GB"/>
          <w14:ligatures w14:val="none"/>
        </w:rPr>
      </w:pPr>
    </w:p>
    <w:p w14:paraId="50034373" w14:textId="6379F6BF" w:rsidR="00630552" w:rsidRPr="008052A1" w:rsidRDefault="00630552" w:rsidP="008052A1">
      <w:pPr>
        <w:spacing w:before="100" w:beforeAutospacing="1" w:after="100" w:afterAutospacing="1" w:line="276" w:lineRule="auto"/>
        <w:outlineLvl w:val="3"/>
        <w:rPr>
          <w:rFonts w:ascii="Arial" w:eastAsia="Times New Roman" w:hAnsi="Arial" w:cs="Arial"/>
          <w:b/>
          <w:bCs/>
          <w:kern w:val="0"/>
          <w:lang w:eastAsia="en-GB"/>
          <w14:ligatures w14:val="none"/>
        </w:rPr>
      </w:pPr>
      <w:r w:rsidRPr="008052A1">
        <w:rPr>
          <w:rFonts w:ascii="Arial" w:eastAsia="Times New Roman" w:hAnsi="Arial" w:cs="Arial"/>
          <w:b/>
          <w:bCs/>
          <w:kern w:val="0"/>
          <w:lang w:eastAsia="en-GB"/>
          <w14:ligatures w14:val="none"/>
        </w:rPr>
        <w:t>Stakeholder Engagement Strategy</w:t>
      </w:r>
    </w:p>
    <w:p w14:paraId="283F6AD2"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A structured stakeholder engagement strategy will be implemented to ensure continuous communication and collaboration:</w:t>
      </w:r>
    </w:p>
    <w:p w14:paraId="23F1BE2D"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Regular Progress Meetings:</w:t>
      </w:r>
      <w:r w:rsidRPr="008052A1">
        <w:rPr>
          <w:rFonts w:ascii="Arial" w:eastAsia="Times New Roman" w:hAnsi="Arial" w:cs="Arial"/>
          <w:kern w:val="0"/>
          <w:lang w:eastAsia="en-GB"/>
          <w14:ligatures w14:val="none"/>
        </w:rPr>
        <w:t xml:space="preserve"> Monthly meetings with government bodies and contractors to review progress and resolve issues.</w:t>
      </w:r>
    </w:p>
    <w:p w14:paraId="0C198D8E"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Public Communication:</w:t>
      </w:r>
      <w:r w:rsidRPr="008052A1">
        <w:rPr>
          <w:rFonts w:ascii="Arial" w:eastAsia="Times New Roman" w:hAnsi="Arial" w:cs="Arial"/>
          <w:kern w:val="0"/>
          <w:lang w:eastAsia="en-GB"/>
          <w14:ligatures w14:val="none"/>
        </w:rPr>
        <w:t xml:space="preserve"> Community briefings, project newsletters, and online updates to inform residents and businesses about construction schedules and impacts.</w:t>
      </w:r>
    </w:p>
    <w:p w14:paraId="4B5845D2"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lastRenderedPageBreak/>
        <w:t>Consultation Sessions:</w:t>
      </w:r>
      <w:r w:rsidRPr="008052A1">
        <w:rPr>
          <w:rFonts w:ascii="Arial" w:eastAsia="Times New Roman" w:hAnsi="Arial" w:cs="Arial"/>
          <w:kern w:val="0"/>
          <w:lang w:eastAsia="en-GB"/>
          <w14:ligatures w14:val="none"/>
        </w:rPr>
        <w:t xml:space="preserve"> Engagement with freight operators, farmers, and emergency services to ensure operational requirements are met.</w:t>
      </w:r>
    </w:p>
    <w:p w14:paraId="147B5CD6"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b/>
          <w:bCs/>
          <w:kern w:val="0"/>
          <w:lang w:eastAsia="en-GB"/>
          <w14:ligatures w14:val="none"/>
        </w:rPr>
        <w:t>Feedback Mechanisms:</w:t>
      </w:r>
      <w:r w:rsidRPr="008052A1">
        <w:rPr>
          <w:rFonts w:ascii="Arial" w:eastAsia="Times New Roman" w:hAnsi="Arial" w:cs="Arial"/>
          <w:kern w:val="0"/>
          <w:lang w:eastAsia="en-GB"/>
          <w14:ligatures w14:val="none"/>
        </w:rPr>
        <w:t xml:space="preserve"> Dedicated communication channels to receive and address stakeholder concerns promptly.</w:t>
      </w:r>
    </w:p>
    <w:p w14:paraId="5BA54586"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This approach ensures transparency, accountability, and stakeholder satisfaction throughout the project.</w:t>
      </w:r>
    </w:p>
    <w:p w14:paraId="4D30A236" w14:textId="32770309" w:rsidR="00630552" w:rsidRPr="008052A1" w:rsidRDefault="00630552" w:rsidP="008052A1">
      <w:pPr>
        <w:spacing w:before="100" w:beforeAutospacing="1" w:after="100" w:afterAutospacing="1" w:line="276" w:lineRule="auto"/>
        <w:outlineLvl w:val="3"/>
        <w:rPr>
          <w:rFonts w:ascii="Arial" w:eastAsia="Times New Roman" w:hAnsi="Arial" w:cs="Arial"/>
          <w:b/>
          <w:bCs/>
          <w:kern w:val="0"/>
          <w:lang w:eastAsia="en-GB"/>
          <w14:ligatures w14:val="none"/>
        </w:rPr>
      </w:pPr>
      <w:r w:rsidRPr="008052A1">
        <w:rPr>
          <w:rFonts w:ascii="Arial" w:eastAsia="Times New Roman" w:hAnsi="Arial" w:cs="Arial"/>
          <w:b/>
          <w:bCs/>
          <w:kern w:val="0"/>
          <w:lang w:eastAsia="en-GB"/>
          <w14:ligatures w14:val="none"/>
        </w:rPr>
        <w:t xml:space="preserve"> Stakeholder Management and Influence</w:t>
      </w:r>
    </w:p>
    <w:p w14:paraId="70430269" w14:textId="6EC5034A"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Stakeholders will be managed using an influence–interest matrix to prioritize engagement efforts. High-influence stakeholders such as the provincial government and contractors will be closely managed, while high-interest stakeholders such as residents and businesses will be kept informed and actively consulted. This structured approach reduces the risk of conflict, enhances cooperation, and supports project success.</w:t>
      </w:r>
    </w:p>
    <w:p w14:paraId="55C0797E" w14:textId="4EFF2AC0" w:rsidR="00630552" w:rsidRPr="008052A1" w:rsidRDefault="00630552" w:rsidP="008052A1">
      <w:pPr>
        <w:spacing w:before="100" w:beforeAutospacing="1" w:after="100" w:afterAutospacing="1" w:line="276" w:lineRule="auto"/>
        <w:outlineLvl w:val="3"/>
        <w:rPr>
          <w:rFonts w:ascii="Arial" w:eastAsia="Times New Roman" w:hAnsi="Arial" w:cs="Arial"/>
          <w:b/>
          <w:bCs/>
          <w:kern w:val="0"/>
          <w:lang w:eastAsia="en-GB"/>
          <w14:ligatures w14:val="none"/>
        </w:rPr>
      </w:pPr>
      <w:r w:rsidRPr="008052A1">
        <w:rPr>
          <w:rFonts w:ascii="Arial" w:eastAsia="Times New Roman" w:hAnsi="Arial" w:cs="Arial"/>
          <w:b/>
          <w:bCs/>
          <w:kern w:val="0"/>
          <w:lang w:eastAsia="en-GB"/>
          <w14:ligatures w14:val="none"/>
        </w:rPr>
        <w:t xml:space="preserve"> Importance of Stakeholder Involvement</w:t>
      </w:r>
    </w:p>
    <w:p w14:paraId="5401C0A5" w14:textId="77777777" w:rsidR="00630552" w:rsidRPr="008052A1" w:rsidRDefault="00630552" w:rsidP="008052A1">
      <w:pPr>
        <w:spacing w:before="100" w:beforeAutospacing="1" w:after="100" w:afterAutospacing="1"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Effective stakeholder involvement contributes to improved decision-making, reduced project risks, and enhanced public confidence. In the context of post-disaster recovery, strong stakeholder collaboration ensures that reconstruction efforts meet community needs, comply with regulations, and deliver long-term value.</w:t>
      </w:r>
    </w:p>
    <w:p w14:paraId="3470FA03" w14:textId="77777777" w:rsidR="00F04ACF" w:rsidRPr="008052A1" w:rsidRDefault="00F04ACF" w:rsidP="008052A1">
      <w:pPr>
        <w:pStyle w:val="Heading1"/>
        <w:spacing w:line="276" w:lineRule="auto"/>
        <w:rPr>
          <w:rFonts w:ascii="Arial" w:hAnsi="Arial" w:cs="Arial"/>
          <w:sz w:val="24"/>
          <w:szCs w:val="24"/>
        </w:rPr>
      </w:pPr>
      <w:bookmarkStart w:id="26" w:name="_Toc216731967"/>
      <w:bookmarkStart w:id="27" w:name="_Toc216732191"/>
      <w:r w:rsidRPr="008052A1">
        <w:rPr>
          <w:rFonts w:ascii="Arial" w:hAnsi="Arial" w:cs="Arial"/>
          <w:sz w:val="24"/>
          <w:szCs w:val="24"/>
        </w:rPr>
        <w:t>Allocation of Resources</w:t>
      </w:r>
      <w:bookmarkEnd w:id="26"/>
      <w:bookmarkEnd w:id="27"/>
    </w:p>
    <w:p w14:paraId="6D34212D" w14:textId="77777777" w:rsidR="00F04ACF" w:rsidRPr="00F04ACF" w:rsidRDefault="00F04ACF" w:rsidP="008052A1">
      <w:pPr>
        <w:spacing w:before="100" w:beforeAutospacing="1" w:after="100" w:afterAutospacing="1" w:line="276" w:lineRule="auto"/>
        <w:rPr>
          <w:rFonts w:ascii="Arial" w:eastAsia="Times New Roman" w:hAnsi="Arial" w:cs="Arial"/>
          <w:kern w:val="0"/>
          <w:lang w:eastAsia="en-GB"/>
          <w14:ligatures w14:val="none"/>
        </w:rPr>
      </w:pPr>
      <w:r w:rsidRPr="00F04ACF">
        <w:rPr>
          <w:rFonts w:ascii="Arial" w:eastAsia="Times New Roman" w:hAnsi="Arial" w:cs="Arial"/>
          <w:kern w:val="0"/>
          <w:lang w:eastAsia="en-GB"/>
          <w14:ligatures w14:val="none"/>
        </w:rPr>
        <w:t>The allocation of resources for the Highway 5 reconstruction project is planned to ensure efficient utilisation of human, physical, and financial resources while supporting timely delivery and compliance with safety, quality, and environmental requirements. Resource allocation is aligned with the Work Breakdown Structure and the Gantt Chart to ensure that critical activities, particularly bridge reconstruction, receive priority.</w:t>
      </w:r>
    </w:p>
    <w:p w14:paraId="03E99E42" w14:textId="30543A89" w:rsidR="00F04ACF" w:rsidRPr="00F04ACF" w:rsidRDefault="00F04ACF" w:rsidP="008052A1">
      <w:pPr>
        <w:spacing w:before="100" w:beforeAutospacing="1" w:after="100" w:afterAutospacing="1" w:line="276" w:lineRule="auto"/>
        <w:outlineLvl w:val="2"/>
        <w:rPr>
          <w:rFonts w:ascii="Arial" w:eastAsia="Times New Roman" w:hAnsi="Arial" w:cs="Arial"/>
          <w:b/>
          <w:bCs/>
          <w:kern w:val="0"/>
          <w:lang w:eastAsia="en-GB"/>
          <w14:ligatures w14:val="none"/>
        </w:rPr>
      </w:pPr>
      <w:bookmarkStart w:id="28" w:name="_Toc216731968"/>
      <w:bookmarkStart w:id="29" w:name="_Toc216732192"/>
      <w:r w:rsidRPr="00F04ACF">
        <w:rPr>
          <w:rFonts w:ascii="Arial" w:eastAsia="Times New Roman" w:hAnsi="Arial" w:cs="Arial"/>
          <w:b/>
          <w:bCs/>
          <w:kern w:val="0"/>
          <w:lang w:eastAsia="en-GB"/>
          <w14:ligatures w14:val="none"/>
        </w:rPr>
        <w:t>Human Resources</w:t>
      </w:r>
      <w:bookmarkEnd w:id="28"/>
      <w:bookmarkEnd w:id="29"/>
    </w:p>
    <w:p w14:paraId="3468F476" w14:textId="4C73C4FD" w:rsidR="00F04ACF" w:rsidRPr="00F04ACF" w:rsidRDefault="00F04ACF" w:rsidP="008052A1">
      <w:pPr>
        <w:spacing w:before="100" w:beforeAutospacing="1" w:after="100" w:afterAutospacing="1" w:line="276" w:lineRule="auto"/>
        <w:rPr>
          <w:rFonts w:ascii="Arial" w:eastAsia="Times New Roman" w:hAnsi="Arial" w:cs="Arial"/>
          <w:kern w:val="0"/>
          <w:lang w:eastAsia="en-GB"/>
          <w14:ligatures w14:val="none"/>
        </w:rPr>
      </w:pPr>
      <w:r w:rsidRPr="00F04ACF">
        <w:rPr>
          <w:rFonts w:ascii="Arial" w:eastAsia="Times New Roman" w:hAnsi="Arial" w:cs="Arial"/>
          <w:kern w:val="0"/>
          <w:lang w:eastAsia="en-GB"/>
          <w14:ligatures w14:val="none"/>
        </w:rPr>
        <w:t xml:space="preserve">Human resources are allocated according to the technical complexity of each project phase. A Project Manager is responsible for overall coordination, reporting, and performance control. Civil and structural engineers are assigned to planning, design, and bridge reconstruction activities, while geotechnical engineers support slope stabilisation and foundation </w:t>
      </w:r>
      <w:r w:rsidR="00F80793" w:rsidRPr="00F04ACF">
        <w:rPr>
          <w:rFonts w:ascii="Arial" w:eastAsia="Times New Roman" w:hAnsi="Arial" w:cs="Arial"/>
          <w:kern w:val="0"/>
          <w:lang w:eastAsia="en-GB"/>
          <w14:ligatures w14:val="none"/>
        </w:rPr>
        <w:t>work</w:t>
      </w:r>
      <w:r w:rsidRPr="00F04ACF">
        <w:rPr>
          <w:rFonts w:ascii="Arial" w:eastAsia="Times New Roman" w:hAnsi="Arial" w:cs="Arial"/>
          <w:kern w:val="0"/>
          <w:lang w:eastAsia="en-GB"/>
          <w14:ligatures w14:val="none"/>
        </w:rPr>
        <w:t>. Environmental specialists are engaged throughout the project to ensure compliance with environmental regulations.</w:t>
      </w:r>
    </w:p>
    <w:p w14:paraId="39772C55" w14:textId="77777777" w:rsidR="00F04ACF" w:rsidRPr="00F04ACF" w:rsidRDefault="00F04ACF" w:rsidP="008052A1">
      <w:pPr>
        <w:spacing w:before="100" w:beforeAutospacing="1" w:after="100" w:afterAutospacing="1" w:line="276" w:lineRule="auto"/>
        <w:rPr>
          <w:rFonts w:ascii="Arial" w:eastAsia="Times New Roman" w:hAnsi="Arial" w:cs="Arial"/>
          <w:kern w:val="0"/>
          <w:lang w:eastAsia="en-GB"/>
          <w14:ligatures w14:val="none"/>
        </w:rPr>
      </w:pPr>
      <w:r w:rsidRPr="00F04ACF">
        <w:rPr>
          <w:rFonts w:ascii="Arial" w:eastAsia="Times New Roman" w:hAnsi="Arial" w:cs="Arial"/>
          <w:kern w:val="0"/>
          <w:lang w:eastAsia="en-GB"/>
          <w14:ligatures w14:val="none"/>
        </w:rPr>
        <w:t xml:space="preserve">Construction labour, including skilled trades and general operatives, is deployed primarily during the bridge, roadway, and drainage construction phases. Health and </w:t>
      </w:r>
      <w:r w:rsidRPr="00F04ACF">
        <w:rPr>
          <w:rFonts w:ascii="Arial" w:eastAsia="Times New Roman" w:hAnsi="Arial" w:cs="Arial"/>
          <w:kern w:val="0"/>
          <w:lang w:eastAsia="en-GB"/>
          <w14:ligatures w14:val="none"/>
        </w:rPr>
        <w:lastRenderedPageBreak/>
        <w:t>safety officers are present on-site during all construction activities to manage occupational health and safety risks.</w:t>
      </w:r>
    </w:p>
    <w:p w14:paraId="2BEC8E13" w14:textId="44654D83" w:rsidR="00F04ACF" w:rsidRPr="00F04ACF" w:rsidRDefault="00F04ACF" w:rsidP="008052A1">
      <w:pPr>
        <w:spacing w:before="100" w:beforeAutospacing="1" w:after="100" w:afterAutospacing="1" w:line="276" w:lineRule="auto"/>
        <w:outlineLvl w:val="2"/>
        <w:rPr>
          <w:rFonts w:ascii="Arial" w:eastAsia="Times New Roman" w:hAnsi="Arial" w:cs="Arial"/>
          <w:b/>
          <w:bCs/>
          <w:kern w:val="0"/>
          <w:lang w:eastAsia="en-GB"/>
          <w14:ligatures w14:val="none"/>
        </w:rPr>
      </w:pPr>
      <w:bookmarkStart w:id="30" w:name="_Toc216731969"/>
      <w:bookmarkStart w:id="31" w:name="_Toc216732193"/>
      <w:r w:rsidRPr="00F04ACF">
        <w:rPr>
          <w:rFonts w:ascii="Arial" w:eastAsia="Times New Roman" w:hAnsi="Arial" w:cs="Arial"/>
          <w:b/>
          <w:bCs/>
          <w:kern w:val="0"/>
          <w:lang w:eastAsia="en-GB"/>
          <w14:ligatures w14:val="none"/>
        </w:rPr>
        <w:t xml:space="preserve"> Physical Resources and Equipment</w:t>
      </w:r>
      <w:bookmarkEnd w:id="30"/>
      <w:bookmarkEnd w:id="31"/>
    </w:p>
    <w:p w14:paraId="2D133689" w14:textId="77777777" w:rsidR="00F04ACF" w:rsidRPr="00F04ACF" w:rsidRDefault="00F04ACF" w:rsidP="008052A1">
      <w:pPr>
        <w:spacing w:before="100" w:beforeAutospacing="1" w:after="100" w:afterAutospacing="1" w:line="276" w:lineRule="auto"/>
        <w:rPr>
          <w:rFonts w:ascii="Arial" w:eastAsia="Times New Roman" w:hAnsi="Arial" w:cs="Arial"/>
          <w:kern w:val="0"/>
          <w:lang w:eastAsia="en-GB"/>
          <w14:ligatures w14:val="none"/>
        </w:rPr>
      </w:pPr>
      <w:r w:rsidRPr="00F04ACF">
        <w:rPr>
          <w:rFonts w:ascii="Arial" w:eastAsia="Times New Roman" w:hAnsi="Arial" w:cs="Arial"/>
          <w:kern w:val="0"/>
          <w:lang w:eastAsia="en-GB"/>
          <w14:ligatures w14:val="none"/>
        </w:rPr>
        <w:t>Physical resources include heavy construction equipment such as excavators, cranes, concrete pumps, piling rigs, graders, and haul trucks. These resources are concentrated during bridge and roadway construction, which form the critical path of the project. Temporary works equipment and traffic management systems are allocated during emergency stabilisation and commissioning phases.</w:t>
      </w:r>
    </w:p>
    <w:p w14:paraId="551FF21F" w14:textId="77777777" w:rsidR="00F04ACF" w:rsidRPr="00F04ACF" w:rsidRDefault="00F04ACF" w:rsidP="008052A1">
      <w:pPr>
        <w:spacing w:before="100" w:beforeAutospacing="1" w:after="100" w:afterAutospacing="1" w:line="276" w:lineRule="auto"/>
        <w:rPr>
          <w:rFonts w:ascii="Arial" w:eastAsia="Times New Roman" w:hAnsi="Arial" w:cs="Arial"/>
          <w:kern w:val="0"/>
          <w:lang w:eastAsia="en-GB"/>
          <w14:ligatures w14:val="none"/>
        </w:rPr>
      </w:pPr>
      <w:r w:rsidRPr="00F04ACF">
        <w:rPr>
          <w:rFonts w:ascii="Arial" w:eastAsia="Times New Roman" w:hAnsi="Arial" w:cs="Arial"/>
          <w:kern w:val="0"/>
          <w:lang w:eastAsia="en-GB"/>
          <w14:ligatures w14:val="none"/>
        </w:rPr>
        <w:t>Construction materials, including steel reinforcement, concrete, asphalt, and drainage components, are procured in advance to minimise supply chain disruption. Equipment availability is closely monitored to avoid delays caused by breakdowns or shortages.</w:t>
      </w:r>
    </w:p>
    <w:p w14:paraId="2B6AB527" w14:textId="61FD6298" w:rsidR="00F04ACF" w:rsidRPr="00F04ACF" w:rsidRDefault="00F04ACF" w:rsidP="008052A1">
      <w:pPr>
        <w:spacing w:before="100" w:beforeAutospacing="1" w:after="100" w:afterAutospacing="1" w:line="276" w:lineRule="auto"/>
        <w:outlineLvl w:val="2"/>
        <w:rPr>
          <w:rFonts w:ascii="Arial" w:eastAsia="Times New Roman" w:hAnsi="Arial" w:cs="Arial"/>
          <w:b/>
          <w:bCs/>
          <w:kern w:val="0"/>
          <w:lang w:eastAsia="en-GB"/>
          <w14:ligatures w14:val="none"/>
        </w:rPr>
      </w:pPr>
      <w:bookmarkStart w:id="32" w:name="_Toc216731970"/>
      <w:bookmarkStart w:id="33" w:name="_Toc216732194"/>
      <w:r w:rsidRPr="00F04ACF">
        <w:rPr>
          <w:rFonts w:ascii="Arial" w:eastAsia="Times New Roman" w:hAnsi="Arial" w:cs="Arial"/>
          <w:b/>
          <w:bCs/>
          <w:kern w:val="0"/>
          <w:lang w:eastAsia="en-GB"/>
          <w14:ligatures w14:val="none"/>
        </w:rPr>
        <w:t>Financial Resources</w:t>
      </w:r>
      <w:r w:rsidR="008D64D8" w:rsidRPr="008052A1">
        <w:rPr>
          <w:rFonts w:ascii="Arial" w:eastAsia="Times New Roman" w:hAnsi="Arial" w:cs="Arial"/>
          <w:b/>
          <w:bCs/>
          <w:kern w:val="0"/>
          <w:lang w:eastAsia="en-GB"/>
          <w14:ligatures w14:val="none"/>
        </w:rPr>
        <w:t xml:space="preserve"> </w:t>
      </w:r>
      <w:r w:rsidRPr="00F04ACF">
        <w:rPr>
          <w:rFonts w:ascii="Arial" w:eastAsia="Times New Roman" w:hAnsi="Arial" w:cs="Arial"/>
          <w:kern w:val="0"/>
          <w:lang w:eastAsia="en-GB"/>
          <w14:ligatures w14:val="none"/>
        </w:rPr>
        <w:t>The project is funded through emergency infrastructure funding provided by the Government of British Columbia. Financial resources are distributed based on the cost intensity of project activities, with the highest allocation assigned to bridge reconstruction and roadway</w:t>
      </w:r>
      <w:bookmarkEnd w:id="32"/>
      <w:bookmarkEnd w:id="33"/>
      <w:r w:rsidRPr="00F04ACF">
        <w:rPr>
          <w:rFonts w:ascii="Arial" w:eastAsia="Times New Roman" w:hAnsi="Arial" w:cs="Arial"/>
          <w:kern w:val="0"/>
          <w:lang w:eastAsia="en-GB"/>
          <w14:ligatures w14:val="none"/>
        </w:rPr>
        <w:t xml:space="preserve"> </w:t>
      </w:r>
    </w:p>
    <w:p w14:paraId="198B29AF" w14:textId="77777777" w:rsidR="0065309E" w:rsidRDefault="00A41E9D" w:rsidP="008052A1">
      <w:pPr>
        <w:pStyle w:val="Heading1"/>
        <w:spacing w:line="276" w:lineRule="auto"/>
        <w:rPr>
          <w:rFonts w:ascii="Arial" w:hAnsi="Arial" w:cs="Arial"/>
          <w:sz w:val="24"/>
          <w:szCs w:val="24"/>
        </w:rPr>
      </w:pPr>
      <w:bookmarkStart w:id="34" w:name="_Toc216732195"/>
      <w:r w:rsidRPr="008052A1">
        <w:rPr>
          <w:rFonts w:ascii="Arial" w:eastAsia="Times New Roman" w:hAnsi="Arial" w:cs="Arial"/>
          <w:sz w:val="24"/>
          <w:szCs w:val="24"/>
          <w:lang w:eastAsia="en-GB"/>
        </w:rPr>
        <w:t>Risk Analysis</w:t>
      </w:r>
      <w:bookmarkEnd w:id="34"/>
      <w:r w:rsidR="00D95DF6" w:rsidRPr="008052A1">
        <w:rPr>
          <w:rFonts w:ascii="Arial" w:eastAsia="Times New Roman" w:hAnsi="Arial" w:cs="Arial"/>
          <w:sz w:val="24"/>
          <w:szCs w:val="24"/>
          <w:lang w:eastAsia="en-GB"/>
        </w:rPr>
        <w:t xml:space="preserve"> </w:t>
      </w:r>
      <w:bookmarkStart w:id="35" w:name="_Toc216731972"/>
      <w:bookmarkStart w:id="36" w:name="_Toc216732196"/>
      <w:r w:rsidR="0065309E">
        <w:rPr>
          <w:rFonts w:ascii="Arial" w:hAnsi="Arial" w:cs="Arial"/>
          <w:sz w:val="24"/>
          <w:szCs w:val="24"/>
        </w:rPr>
        <w:t xml:space="preserve"> </w:t>
      </w:r>
    </w:p>
    <w:p w14:paraId="4954B8A9" w14:textId="5A3AB6FF" w:rsidR="00A41E9D" w:rsidRPr="0065309E" w:rsidRDefault="00D95DF6" w:rsidP="008052A1">
      <w:pPr>
        <w:pStyle w:val="Heading1"/>
        <w:spacing w:line="276" w:lineRule="auto"/>
        <w:rPr>
          <w:rFonts w:ascii="Arial" w:hAnsi="Arial" w:cs="Arial"/>
          <w:sz w:val="24"/>
          <w:szCs w:val="24"/>
        </w:rPr>
      </w:pPr>
      <w:r w:rsidRPr="008052A1">
        <w:rPr>
          <w:rFonts w:ascii="Arial" w:hAnsi="Arial" w:cs="Arial"/>
          <w:color w:val="000000" w:themeColor="text1"/>
          <w:sz w:val="24"/>
          <w:szCs w:val="24"/>
        </w:rPr>
        <w:t xml:space="preserve">Risk </w:t>
      </w:r>
      <w:r w:rsidR="00B7351E" w:rsidRPr="008052A1">
        <w:rPr>
          <w:rFonts w:ascii="Arial" w:hAnsi="Arial" w:cs="Arial"/>
          <w:color w:val="000000" w:themeColor="text1"/>
          <w:sz w:val="24"/>
          <w:szCs w:val="24"/>
        </w:rPr>
        <w:t>analysis is a critical component of project management, particularly in post-disaster infrastructure reconstruction projects where uncertainty is high. Risks associated with environmental conditions, funding, safety, and stakeholder coordination can significantly affect project performance if not properly managed. This section identifies key risks, assesses their likelihood and impact, and proposes appropriate mitigation strategies to minimize adverse effects on project objectives</w:t>
      </w:r>
      <w:bookmarkEnd w:id="35"/>
      <w:bookmarkEnd w:id="36"/>
    </w:p>
    <w:p w14:paraId="6D7C8315" w14:textId="77777777" w:rsidR="0001496C" w:rsidRPr="0001496C" w:rsidRDefault="0001496C" w:rsidP="008052A1">
      <w:pPr>
        <w:numPr>
          <w:ilvl w:val="0"/>
          <w:numId w:val="39"/>
        </w:num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Extreme weather events causing construction delays</w:t>
      </w:r>
    </w:p>
    <w:p w14:paraId="5CBDA394" w14:textId="77777777" w:rsidR="0001496C" w:rsidRPr="0001496C" w:rsidRDefault="0001496C" w:rsidP="008052A1">
      <w:pPr>
        <w:numPr>
          <w:ilvl w:val="0"/>
          <w:numId w:val="39"/>
        </w:num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Landslides and slope instability during and after construction</w:t>
      </w:r>
    </w:p>
    <w:p w14:paraId="723954C8" w14:textId="77777777" w:rsidR="0001496C" w:rsidRPr="0001496C" w:rsidRDefault="0001496C" w:rsidP="008052A1">
      <w:pPr>
        <w:numPr>
          <w:ilvl w:val="0"/>
          <w:numId w:val="39"/>
        </w:num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Supply chain disruptions for construction materials</w:t>
      </w:r>
    </w:p>
    <w:p w14:paraId="1C766BB4" w14:textId="77777777" w:rsidR="0001496C" w:rsidRPr="0001496C" w:rsidRDefault="0001496C" w:rsidP="008052A1">
      <w:pPr>
        <w:numPr>
          <w:ilvl w:val="0"/>
          <w:numId w:val="39"/>
        </w:num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Cost overruns due to unforeseen ground conditions</w:t>
      </w:r>
    </w:p>
    <w:p w14:paraId="060E935D" w14:textId="77777777" w:rsidR="0001496C" w:rsidRPr="0001496C" w:rsidRDefault="0001496C" w:rsidP="008052A1">
      <w:pPr>
        <w:numPr>
          <w:ilvl w:val="0"/>
          <w:numId w:val="39"/>
        </w:num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Environmental non-compliance leading to regulatory stoppages</w:t>
      </w:r>
    </w:p>
    <w:p w14:paraId="78380862" w14:textId="77777777" w:rsidR="0001496C" w:rsidRPr="0001496C" w:rsidRDefault="0001496C" w:rsidP="008052A1">
      <w:pPr>
        <w:numPr>
          <w:ilvl w:val="0"/>
          <w:numId w:val="39"/>
        </w:num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Health and safety incidents involving workers or road users</w:t>
      </w:r>
    </w:p>
    <w:p w14:paraId="18A6A13F" w14:textId="77777777" w:rsidR="0001496C" w:rsidRPr="0001496C" w:rsidRDefault="0001496C" w:rsidP="008052A1">
      <w:pPr>
        <w:numPr>
          <w:ilvl w:val="0"/>
          <w:numId w:val="39"/>
        </w:num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Stakeholder opposition or insufficient consultation with Indigenous communities</w:t>
      </w:r>
    </w:p>
    <w:p w14:paraId="4B84BB4A" w14:textId="77777777" w:rsidR="0001496C" w:rsidRPr="0001496C" w:rsidRDefault="0001496C" w:rsidP="008052A1">
      <w:pPr>
        <w:numPr>
          <w:ilvl w:val="0"/>
          <w:numId w:val="39"/>
        </w:num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Equipment or labour shortages during peak construction periods</w:t>
      </w:r>
    </w:p>
    <w:p w14:paraId="3E11D1B6" w14:textId="7BB37FCA" w:rsidR="0001496C" w:rsidRPr="0001496C" w:rsidRDefault="0001496C" w:rsidP="008052A1">
      <w:pPr>
        <w:spacing w:before="100" w:beforeAutospacing="1" w:after="100" w:afterAutospacing="1" w:line="276" w:lineRule="auto"/>
        <w:outlineLvl w:val="2"/>
        <w:rPr>
          <w:rFonts w:ascii="Arial" w:eastAsia="Times New Roman" w:hAnsi="Arial" w:cs="Arial"/>
          <w:b/>
          <w:bCs/>
          <w:kern w:val="0"/>
          <w:lang w:eastAsia="en-GB"/>
          <w14:ligatures w14:val="none"/>
        </w:rPr>
      </w:pPr>
      <w:bookmarkStart w:id="37" w:name="_Toc216731973"/>
      <w:bookmarkStart w:id="38" w:name="_Toc216732197"/>
      <w:r w:rsidRPr="0001496C">
        <w:rPr>
          <w:rFonts w:ascii="Arial" w:eastAsia="Times New Roman" w:hAnsi="Arial" w:cs="Arial"/>
          <w:b/>
          <w:bCs/>
          <w:kern w:val="0"/>
          <w:lang w:eastAsia="en-GB"/>
          <w14:ligatures w14:val="none"/>
        </w:rPr>
        <w:t>Risk Assessment Methodology</w:t>
      </w:r>
      <w:bookmarkEnd w:id="37"/>
      <w:bookmarkEnd w:id="38"/>
    </w:p>
    <w:p w14:paraId="521211BB" w14:textId="1DA68B43" w:rsidR="0001496C" w:rsidRPr="0001496C" w:rsidRDefault="0001496C" w:rsidP="008052A1">
      <w:pPr>
        <w:spacing w:before="100" w:beforeAutospacing="1" w:after="100" w:afterAutospacing="1" w:line="276" w:lineRule="auto"/>
        <w:rPr>
          <w:rFonts w:ascii="Arial" w:eastAsia="Times New Roman" w:hAnsi="Arial" w:cs="Arial"/>
          <w:kern w:val="0"/>
          <w:lang w:eastAsia="en-GB"/>
          <w14:ligatures w14:val="none"/>
        </w:rPr>
      </w:pPr>
      <w:r w:rsidRPr="0001496C">
        <w:rPr>
          <w:rFonts w:ascii="Arial" w:eastAsia="Times New Roman" w:hAnsi="Arial" w:cs="Arial"/>
          <w:kern w:val="0"/>
          <w:lang w:eastAsia="en-GB"/>
          <w14:ligatures w14:val="none"/>
        </w:rPr>
        <w:t>Risks are assessed using a qualitative probability–impact matrix. Each risk is evaluated based on:</w:t>
      </w:r>
      <w:r w:rsidR="00883386">
        <w:rPr>
          <w:rFonts w:ascii="Arial" w:eastAsia="Times New Roman" w:hAnsi="Arial" w:cs="Arial"/>
          <w:kern w:val="0"/>
          <w:lang w:eastAsia="en-GB"/>
          <w14:ligatures w14:val="none"/>
        </w:rPr>
        <w:t xml:space="preserve"> </w:t>
      </w:r>
      <w:r w:rsidRPr="0001496C">
        <w:rPr>
          <w:rFonts w:ascii="Arial" w:eastAsia="Times New Roman" w:hAnsi="Arial" w:cs="Arial"/>
          <w:kern w:val="0"/>
          <w:lang w:eastAsia="en-GB"/>
          <w14:ligatures w14:val="none"/>
        </w:rPr>
        <w:t xml:space="preserve">The combined risk rating determines the priority level and the </w:t>
      </w:r>
      <w:r w:rsidRPr="0001496C">
        <w:rPr>
          <w:rFonts w:ascii="Arial" w:eastAsia="Times New Roman" w:hAnsi="Arial" w:cs="Arial"/>
          <w:kern w:val="0"/>
          <w:lang w:eastAsia="en-GB"/>
          <w14:ligatures w14:val="none"/>
        </w:rPr>
        <w:lastRenderedPageBreak/>
        <w:t>urgency of mitigation actions. High-probability, high-impact risks receive immediate management attention and contingency planning.</w:t>
      </w:r>
    </w:p>
    <w:p w14:paraId="1781B423" w14:textId="77777777" w:rsidR="00B7351E" w:rsidRPr="008052A1" w:rsidRDefault="00B7351E" w:rsidP="008052A1">
      <w:pPr>
        <w:spacing w:line="276" w:lineRule="auto"/>
        <w:rPr>
          <w:rFonts w:ascii="Arial" w:hAnsi="Arial" w:cs="Arial"/>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0"/>
        <w:gridCol w:w="1141"/>
        <w:gridCol w:w="914"/>
        <w:gridCol w:w="4611"/>
      </w:tblGrid>
      <w:tr w:rsidR="00A41E9D" w:rsidRPr="008052A1" w14:paraId="5482877B" w14:textId="77777777">
        <w:trPr>
          <w:tblHeader/>
          <w:tblCellSpacing w:w="15" w:type="dxa"/>
        </w:trPr>
        <w:tc>
          <w:tcPr>
            <w:tcW w:w="0" w:type="auto"/>
            <w:vAlign w:val="center"/>
            <w:hideMark/>
          </w:tcPr>
          <w:p w14:paraId="5670F6AA" w14:textId="77777777" w:rsidR="0001496C" w:rsidRPr="008052A1" w:rsidRDefault="0001496C" w:rsidP="008052A1">
            <w:pPr>
              <w:spacing w:after="0" w:line="276" w:lineRule="auto"/>
              <w:jc w:val="center"/>
              <w:rPr>
                <w:rFonts w:ascii="Arial" w:eastAsia="Times New Roman" w:hAnsi="Arial" w:cs="Arial"/>
                <w:kern w:val="0"/>
                <w:lang w:eastAsia="en-GB"/>
                <w14:ligatures w14:val="none"/>
              </w:rPr>
            </w:pPr>
          </w:p>
          <w:p w14:paraId="523CF9FE" w14:textId="220C8C59"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Risk</w:t>
            </w:r>
          </w:p>
        </w:tc>
        <w:tc>
          <w:tcPr>
            <w:tcW w:w="0" w:type="auto"/>
            <w:vAlign w:val="center"/>
            <w:hideMark/>
          </w:tcPr>
          <w:p w14:paraId="084F73DF"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Likelihood</w:t>
            </w:r>
          </w:p>
        </w:tc>
        <w:tc>
          <w:tcPr>
            <w:tcW w:w="0" w:type="auto"/>
            <w:vAlign w:val="center"/>
            <w:hideMark/>
          </w:tcPr>
          <w:p w14:paraId="6B1CE962"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Impact</w:t>
            </w:r>
          </w:p>
        </w:tc>
        <w:tc>
          <w:tcPr>
            <w:tcW w:w="0" w:type="auto"/>
            <w:vAlign w:val="center"/>
            <w:hideMark/>
          </w:tcPr>
          <w:p w14:paraId="4F32375B" w14:textId="77777777" w:rsidR="00A41E9D" w:rsidRPr="008052A1" w:rsidRDefault="00A41E9D" w:rsidP="008052A1">
            <w:pPr>
              <w:spacing w:after="0" w:line="276" w:lineRule="auto"/>
              <w:jc w:val="center"/>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Mitigation</w:t>
            </w:r>
          </w:p>
        </w:tc>
      </w:tr>
      <w:tr w:rsidR="00A41E9D" w:rsidRPr="008052A1" w14:paraId="219C397A" w14:textId="77777777">
        <w:trPr>
          <w:tblCellSpacing w:w="15" w:type="dxa"/>
        </w:trPr>
        <w:tc>
          <w:tcPr>
            <w:tcW w:w="0" w:type="auto"/>
            <w:vAlign w:val="center"/>
            <w:hideMark/>
          </w:tcPr>
          <w:p w14:paraId="2E946954"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Weather delays</w:t>
            </w:r>
          </w:p>
        </w:tc>
        <w:tc>
          <w:tcPr>
            <w:tcW w:w="0" w:type="auto"/>
            <w:vAlign w:val="center"/>
            <w:hideMark/>
          </w:tcPr>
          <w:p w14:paraId="0E9987B9"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High</w:t>
            </w:r>
          </w:p>
        </w:tc>
        <w:tc>
          <w:tcPr>
            <w:tcW w:w="0" w:type="auto"/>
            <w:vAlign w:val="center"/>
            <w:hideMark/>
          </w:tcPr>
          <w:p w14:paraId="32F86D45"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High</w:t>
            </w:r>
          </w:p>
        </w:tc>
        <w:tc>
          <w:tcPr>
            <w:tcW w:w="0" w:type="auto"/>
            <w:vAlign w:val="center"/>
            <w:hideMark/>
          </w:tcPr>
          <w:p w14:paraId="7F84B838"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Build schedule buffers, monitor forecasts</w:t>
            </w:r>
          </w:p>
        </w:tc>
      </w:tr>
      <w:tr w:rsidR="00A41E9D" w:rsidRPr="008052A1" w14:paraId="61379666" w14:textId="77777777">
        <w:trPr>
          <w:tblCellSpacing w:w="15" w:type="dxa"/>
        </w:trPr>
        <w:tc>
          <w:tcPr>
            <w:tcW w:w="0" w:type="auto"/>
            <w:vAlign w:val="center"/>
            <w:hideMark/>
          </w:tcPr>
          <w:p w14:paraId="0155BDFD"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Funding shortages</w:t>
            </w:r>
          </w:p>
        </w:tc>
        <w:tc>
          <w:tcPr>
            <w:tcW w:w="0" w:type="auto"/>
            <w:vAlign w:val="center"/>
            <w:hideMark/>
          </w:tcPr>
          <w:p w14:paraId="51663D05"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Medium</w:t>
            </w:r>
          </w:p>
        </w:tc>
        <w:tc>
          <w:tcPr>
            <w:tcW w:w="0" w:type="auto"/>
            <w:vAlign w:val="center"/>
            <w:hideMark/>
          </w:tcPr>
          <w:p w14:paraId="5A3FC5CD"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High</w:t>
            </w:r>
          </w:p>
        </w:tc>
        <w:tc>
          <w:tcPr>
            <w:tcW w:w="0" w:type="auto"/>
            <w:vAlign w:val="center"/>
            <w:hideMark/>
          </w:tcPr>
          <w:p w14:paraId="5B943EBC"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Secure multi-source funding, contingency funds</w:t>
            </w:r>
          </w:p>
        </w:tc>
      </w:tr>
      <w:tr w:rsidR="00A41E9D" w:rsidRPr="008052A1" w14:paraId="0A391377" w14:textId="77777777">
        <w:trPr>
          <w:tblCellSpacing w:w="15" w:type="dxa"/>
        </w:trPr>
        <w:tc>
          <w:tcPr>
            <w:tcW w:w="0" w:type="auto"/>
            <w:vAlign w:val="center"/>
            <w:hideMark/>
          </w:tcPr>
          <w:p w14:paraId="2C91BAAC"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Supply chain disruption</w:t>
            </w:r>
          </w:p>
        </w:tc>
        <w:tc>
          <w:tcPr>
            <w:tcW w:w="0" w:type="auto"/>
            <w:vAlign w:val="center"/>
            <w:hideMark/>
          </w:tcPr>
          <w:p w14:paraId="6DB3165F"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Medium</w:t>
            </w:r>
          </w:p>
        </w:tc>
        <w:tc>
          <w:tcPr>
            <w:tcW w:w="0" w:type="auto"/>
            <w:vAlign w:val="center"/>
            <w:hideMark/>
          </w:tcPr>
          <w:p w14:paraId="0A6E3C11"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Medium</w:t>
            </w:r>
          </w:p>
        </w:tc>
        <w:tc>
          <w:tcPr>
            <w:tcW w:w="0" w:type="auto"/>
            <w:vAlign w:val="center"/>
            <w:hideMark/>
          </w:tcPr>
          <w:p w14:paraId="42030DE6"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Multiple suppliers, pre-order critical materials</w:t>
            </w:r>
          </w:p>
        </w:tc>
      </w:tr>
      <w:tr w:rsidR="00A41E9D" w:rsidRPr="008052A1" w14:paraId="25C86031" w14:textId="77777777">
        <w:trPr>
          <w:tblCellSpacing w:w="15" w:type="dxa"/>
        </w:trPr>
        <w:tc>
          <w:tcPr>
            <w:tcW w:w="0" w:type="auto"/>
            <w:vAlign w:val="center"/>
            <w:hideMark/>
          </w:tcPr>
          <w:p w14:paraId="4AAC66B7"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Safety incidents</w:t>
            </w:r>
          </w:p>
        </w:tc>
        <w:tc>
          <w:tcPr>
            <w:tcW w:w="0" w:type="auto"/>
            <w:vAlign w:val="center"/>
            <w:hideMark/>
          </w:tcPr>
          <w:p w14:paraId="52ED53F2"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Medium</w:t>
            </w:r>
          </w:p>
        </w:tc>
        <w:tc>
          <w:tcPr>
            <w:tcW w:w="0" w:type="auto"/>
            <w:vAlign w:val="center"/>
            <w:hideMark/>
          </w:tcPr>
          <w:p w14:paraId="75BA401B"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High</w:t>
            </w:r>
          </w:p>
        </w:tc>
        <w:tc>
          <w:tcPr>
            <w:tcW w:w="0" w:type="auto"/>
            <w:vAlign w:val="center"/>
            <w:hideMark/>
          </w:tcPr>
          <w:p w14:paraId="053A39CF" w14:textId="77777777" w:rsidR="00A41E9D" w:rsidRPr="008052A1" w:rsidRDefault="00A41E9D" w:rsidP="008052A1">
            <w:pPr>
              <w:spacing w:after="0" w:line="276" w:lineRule="auto"/>
              <w:rPr>
                <w:rFonts w:ascii="Arial" w:eastAsia="Times New Roman" w:hAnsi="Arial" w:cs="Arial"/>
                <w:kern w:val="0"/>
                <w:lang w:eastAsia="en-GB"/>
                <w14:ligatures w14:val="none"/>
              </w:rPr>
            </w:pPr>
            <w:r w:rsidRPr="008052A1">
              <w:rPr>
                <w:rFonts w:ascii="Arial" w:eastAsia="Times New Roman" w:hAnsi="Arial" w:cs="Arial"/>
                <w:kern w:val="0"/>
                <w:lang w:eastAsia="en-GB"/>
                <w14:ligatures w14:val="none"/>
              </w:rPr>
              <w:t>Safety training, strict protocols</w:t>
            </w:r>
          </w:p>
        </w:tc>
      </w:tr>
    </w:tbl>
    <w:p w14:paraId="6A99669E" w14:textId="77777777" w:rsidR="009C6122" w:rsidRPr="008052A1" w:rsidRDefault="009C6122" w:rsidP="008052A1">
      <w:pPr>
        <w:spacing w:line="276" w:lineRule="auto"/>
        <w:rPr>
          <w:rFonts w:ascii="Arial" w:hAnsi="Arial" w:cs="Arial"/>
        </w:rPr>
      </w:pPr>
    </w:p>
    <w:p w14:paraId="29745078" w14:textId="5C5CAE59" w:rsidR="0062429B" w:rsidRPr="008052A1" w:rsidRDefault="0062429B" w:rsidP="008052A1">
      <w:pPr>
        <w:spacing w:line="276" w:lineRule="auto"/>
        <w:rPr>
          <w:rFonts w:ascii="Arial" w:hAnsi="Arial" w:cs="Arial"/>
        </w:rPr>
      </w:pPr>
      <w:r w:rsidRPr="008052A1">
        <w:rPr>
          <w:rFonts w:ascii="Arial" w:hAnsi="Arial" w:cs="Arial"/>
        </w:rPr>
        <w:t>Risk Response Strategies</w:t>
      </w:r>
    </w:p>
    <w:p w14:paraId="6E3FD03A" w14:textId="77777777" w:rsidR="0062429B" w:rsidRPr="008052A1" w:rsidRDefault="0062429B" w:rsidP="008052A1">
      <w:pPr>
        <w:pStyle w:val="NormalWeb"/>
        <w:spacing w:line="276" w:lineRule="auto"/>
        <w:rPr>
          <w:rFonts w:ascii="Arial" w:hAnsi="Arial" w:cs="Arial"/>
        </w:rPr>
      </w:pPr>
      <w:r w:rsidRPr="008052A1">
        <w:rPr>
          <w:rFonts w:ascii="Arial" w:hAnsi="Arial" w:cs="Arial"/>
        </w:rPr>
        <w:t>Risk responses are categorised into four main strategies: avoidance, mitigation, transfer, and acceptance.</w:t>
      </w:r>
    </w:p>
    <w:p w14:paraId="21242999" w14:textId="77777777" w:rsidR="0062429B" w:rsidRPr="008052A1" w:rsidRDefault="0062429B" w:rsidP="008052A1">
      <w:pPr>
        <w:pStyle w:val="NormalWeb"/>
        <w:spacing w:line="276" w:lineRule="auto"/>
        <w:rPr>
          <w:rFonts w:ascii="Arial" w:hAnsi="Arial" w:cs="Arial"/>
        </w:rPr>
      </w:pPr>
      <w:r w:rsidRPr="008052A1">
        <w:rPr>
          <w:rStyle w:val="Strong"/>
          <w:rFonts w:ascii="Arial" w:eastAsiaTheme="majorEastAsia" w:hAnsi="Arial" w:cs="Arial"/>
        </w:rPr>
        <w:t>Environmental and Climate Risks</w:t>
      </w:r>
      <w:r w:rsidRPr="008052A1">
        <w:rPr>
          <w:rFonts w:ascii="Arial" w:hAnsi="Arial" w:cs="Arial"/>
        </w:rPr>
        <w:br/>
        <w:t>Extreme weather represents the most significant risk. While it cannot be avoided, its impact is mitigated through seasonal scheduling, weather forecasting integration, and emergency response planning. Drainage upgrades and slope stabilisation reduce long-term vulnerability.</w:t>
      </w:r>
    </w:p>
    <w:p w14:paraId="035C950C" w14:textId="77777777" w:rsidR="0062429B" w:rsidRPr="008052A1" w:rsidRDefault="0062429B" w:rsidP="008052A1">
      <w:pPr>
        <w:pStyle w:val="NormalWeb"/>
        <w:spacing w:line="276" w:lineRule="auto"/>
        <w:rPr>
          <w:rFonts w:ascii="Arial" w:hAnsi="Arial" w:cs="Arial"/>
        </w:rPr>
      </w:pPr>
      <w:r w:rsidRPr="008052A1">
        <w:rPr>
          <w:rStyle w:val="Strong"/>
          <w:rFonts w:ascii="Arial" w:eastAsiaTheme="majorEastAsia" w:hAnsi="Arial" w:cs="Arial"/>
        </w:rPr>
        <w:t>Technical and Geotechnical Risks</w:t>
      </w:r>
      <w:r w:rsidRPr="008052A1">
        <w:rPr>
          <w:rFonts w:ascii="Arial" w:hAnsi="Arial" w:cs="Arial"/>
        </w:rPr>
        <w:br/>
        <w:t>Unforeseen subsurface conditions are addressed through detailed geotechnical investigations and conservative design assumptions. Design flexibility is incorporated to allow rapid adjustment if conditions differ from initial assessments.</w:t>
      </w:r>
    </w:p>
    <w:p w14:paraId="11CEA542" w14:textId="77777777" w:rsidR="0062429B" w:rsidRPr="008052A1" w:rsidRDefault="0062429B" w:rsidP="008052A1">
      <w:pPr>
        <w:pStyle w:val="NormalWeb"/>
        <w:spacing w:line="276" w:lineRule="auto"/>
        <w:rPr>
          <w:rFonts w:ascii="Arial" w:hAnsi="Arial" w:cs="Arial"/>
        </w:rPr>
      </w:pPr>
      <w:r w:rsidRPr="008052A1">
        <w:rPr>
          <w:rStyle w:val="Strong"/>
          <w:rFonts w:ascii="Arial" w:eastAsiaTheme="majorEastAsia" w:hAnsi="Arial" w:cs="Arial"/>
        </w:rPr>
        <w:t>Financial Risks</w:t>
      </w:r>
      <w:r w:rsidRPr="008052A1">
        <w:rPr>
          <w:rFonts w:ascii="Arial" w:hAnsi="Arial" w:cs="Arial"/>
        </w:rPr>
        <w:br/>
        <w:t>Cost escalation is mitigated through the inclusion of a contingency allowance, value engineering, and regular financial audits. Contractual arrangements allocate specific risks to contractors where appropriate.</w:t>
      </w:r>
    </w:p>
    <w:p w14:paraId="3FA69BC9" w14:textId="77777777" w:rsidR="0062429B" w:rsidRPr="008052A1" w:rsidRDefault="0062429B" w:rsidP="008052A1">
      <w:pPr>
        <w:pStyle w:val="NormalWeb"/>
        <w:spacing w:line="276" w:lineRule="auto"/>
        <w:rPr>
          <w:rFonts w:ascii="Arial" w:hAnsi="Arial" w:cs="Arial"/>
        </w:rPr>
      </w:pPr>
      <w:r w:rsidRPr="008052A1">
        <w:rPr>
          <w:rStyle w:val="Strong"/>
          <w:rFonts w:ascii="Arial" w:eastAsiaTheme="majorEastAsia" w:hAnsi="Arial" w:cs="Arial"/>
        </w:rPr>
        <w:t>Health and Safety Risks</w:t>
      </w:r>
      <w:r w:rsidRPr="008052A1">
        <w:rPr>
          <w:rFonts w:ascii="Arial" w:hAnsi="Arial" w:cs="Arial"/>
        </w:rPr>
        <w:br/>
        <w:t>A comprehensive Health and Safety Management System is implemented. Measures include mandatory inductions, toolbox talks, personal protective equipment enforcement, and continuous monitoring of site conditions.</w:t>
      </w:r>
    </w:p>
    <w:p w14:paraId="492B2628" w14:textId="77777777" w:rsidR="008D64D8" w:rsidRPr="008052A1" w:rsidRDefault="0062429B" w:rsidP="008052A1">
      <w:pPr>
        <w:pStyle w:val="NormalWeb"/>
        <w:spacing w:line="276" w:lineRule="auto"/>
        <w:rPr>
          <w:rFonts w:ascii="Arial" w:hAnsi="Arial" w:cs="Arial"/>
        </w:rPr>
      </w:pPr>
      <w:r w:rsidRPr="008052A1">
        <w:rPr>
          <w:rStyle w:val="Strong"/>
          <w:rFonts w:ascii="Arial" w:eastAsiaTheme="majorEastAsia" w:hAnsi="Arial" w:cs="Arial"/>
        </w:rPr>
        <w:t>Stakeholder and Regulatory Risks</w:t>
      </w:r>
      <w:r w:rsidRPr="008052A1">
        <w:rPr>
          <w:rFonts w:ascii="Arial" w:hAnsi="Arial" w:cs="Arial"/>
        </w:rPr>
        <w:br/>
        <w:t xml:space="preserve">Regulatory delays are mitigated through early engagement with environmental </w:t>
      </w:r>
      <w:r w:rsidRPr="008052A1">
        <w:rPr>
          <w:rFonts w:ascii="Arial" w:hAnsi="Arial" w:cs="Arial"/>
        </w:rPr>
        <w:lastRenderedPageBreak/>
        <w:t>authorities and Indigenous communities. Transparent communication reduces reputational risk and potential opposition.</w:t>
      </w:r>
    </w:p>
    <w:p w14:paraId="77D60BBD" w14:textId="594BB9FE" w:rsidR="0062429B" w:rsidRPr="008052A1" w:rsidRDefault="0062429B" w:rsidP="008052A1">
      <w:pPr>
        <w:pStyle w:val="NormalWeb"/>
        <w:spacing w:line="276" w:lineRule="auto"/>
        <w:rPr>
          <w:rFonts w:ascii="Arial" w:hAnsi="Arial" w:cs="Arial"/>
        </w:rPr>
      </w:pPr>
      <w:r w:rsidRPr="008052A1">
        <w:rPr>
          <w:rFonts w:ascii="Arial" w:hAnsi="Arial" w:cs="Arial"/>
        </w:rPr>
        <w:t xml:space="preserve"> Risk Monitoring and Control</w:t>
      </w:r>
    </w:p>
    <w:p w14:paraId="698D5A41" w14:textId="77777777" w:rsidR="0062429B" w:rsidRPr="008052A1" w:rsidRDefault="0062429B" w:rsidP="008052A1">
      <w:pPr>
        <w:pStyle w:val="NormalWeb"/>
        <w:spacing w:line="276" w:lineRule="auto"/>
        <w:rPr>
          <w:rFonts w:ascii="Arial" w:hAnsi="Arial" w:cs="Arial"/>
        </w:rPr>
      </w:pPr>
      <w:r w:rsidRPr="008052A1">
        <w:rPr>
          <w:rFonts w:ascii="Arial" w:hAnsi="Arial" w:cs="Arial"/>
        </w:rPr>
        <w:t>Risk monitoring is an ongoing process throughout project execution. A dedicated risk owner is assigned to each major risk. Risk reviews are conducted monthly, with updates reported to the project steering committee. Emerging risks are logged, assessed, and addressed promptly to prevent escalation.</w:t>
      </w:r>
    </w:p>
    <w:p w14:paraId="6ECC4E8B" w14:textId="77777777" w:rsidR="0062429B" w:rsidRPr="008052A1" w:rsidRDefault="0062429B" w:rsidP="008052A1">
      <w:pPr>
        <w:pStyle w:val="NormalWeb"/>
        <w:spacing w:line="276" w:lineRule="auto"/>
        <w:rPr>
          <w:rFonts w:ascii="Arial" w:hAnsi="Arial" w:cs="Arial"/>
        </w:rPr>
      </w:pPr>
      <w:r w:rsidRPr="008052A1">
        <w:rPr>
          <w:rFonts w:ascii="Arial" w:hAnsi="Arial" w:cs="Arial"/>
        </w:rPr>
        <w:t>Key performance indicators used for risk control include:</w:t>
      </w:r>
    </w:p>
    <w:p w14:paraId="2EEE3005" w14:textId="77777777" w:rsidR="0062429B" w:rsidRPr="008052A1" w:rsidRDefault="0062429B" w:rsidP="008052A1">
      <w:pPr>
        <w:pStyle w:val="NormalWeb"/>
        <w:numPr>
          <w:ilvl w:val="0"/>
          <w:numId w:val="41"/>
        </w:numPr>
        <w:spacing w:line="276" w:lineRule="auto"/>
        <w:rPr>
          <w:rFonts w:ascii="Arial" w:hAnsi="Arial" w:cs="Arial"/>
        </w:rPr>
      </w:pPr>
      <w:r w:rsidRPr="008052A1">
        <w:rPr>
          <w:rFonts w:ascii="Arial" w:hAnsi="Arial" w:cs="Arial"/>
        </w:rPr>
        <w:t>Schedule variance</w:t>
      </w:r>
    </w:p>
    <w:p w14:paraId="02B4FDAC" w14:textId="77777777" w:rsidR="0062429B" w:rsidRPr="008052A1" w:rsidRDefault="0062429B" w:rsidP="008052A1">
      <w:pPr>
        <w:pStyle w:val="NormalWeb"/>
        <w:numPr>
          <w:ilvl w:val="0"/>
          <w:numId w:val="41"/>
        </w:numPr>
        <w:spacing w:line="276" w:lineRule="auto"/>
        <w:rPr>
          <w:rFonts w:ascii="Arial" w:hAnsi="Arial" w:cs="Arial"/>
        </w:rPr>
      </w:pPr>
      <w:r w:rsidRPr="008052A1">
        <w:rPr>
          <w:rFonts w:ascii="Arial" w:hAnsi="Arial" w:cs="Arial"/>
        </w:rPr>
        <w:t>Cost variance</w:t>
      </w:r>
    </w:p>
    <w:p w14:paraId="74745864" w14:textId="77777777" w:rsidR="0062429B" w:rsidRPr="008052A1" w:rsidRDefault="0062429B" w:rsidP="008052A1">
      <w:pPr>
        <w:pStyle w:val="NormalWeb"/>
        <w:numPr>
          <w:ilvl w:val="0"/>
          <w:numId w:val="41"/>
        </w:numPr>
        <w:spacing w:line="276" w:lineRule="auto"/>
        <w:rPr>
          <w:rFonts w:ascii="Arial" w:hAnsi="Arial" w:cs="Arial"/>
        </w:rPr>
      </w:pPr>
      <w:r w:rsidRPr="008052A1">
        <w:rPr>
          <w:rFonts w:ascii="Arial" w:hAnsi="Arial" w:cs="Arial"/>
        </w:rPr>
        <w:t>Safety incident frequency</w:t>
      </w:r>
    </w:p>
    <w:p w14:paraId="2E6FFB47" w14:textId="77777777" w:rsidR="0062429B" w:rsidRPr="008052A1" w:rsidRDefault="0062429B" w:rsidP="008052A1">
      <w:pPr>
        <w:pStyle w:val="NormalWeb"/>
        <w:numPr>
          <w:ilvl w:val="0"/>
          <w:numId w:val="41"/>
        </w:numPr>
        <w:spacing w:line="276" w:lineRule="auto"/>
        <w:rPr>
          <w:rFonts w:ascii="Arial" w:hAnsi="Arial" w:cs="Arial"/>
        </w:rPr>
      </w:pPr>
      <w:r w:rsidRPr="008052A1">
        <w:rPr>
          <w:rFonts w:ascii="Arial" w:hAnsi="Arial" w:cs="Arial"/>
        </w:rPr>
        <w:t>Environmental compliance metrics</w:t>
      </w:r>
    </w:p>
    <w:p w14:paraId="1907A272" w14:textId="52B6180D" w:rsidR="0062429B" w:rsidRPr="00883386" w:rsidRDefault="0062429B" w:rsidP="008052A1">
      <w:pPr>
        <w:pStyle w:val="Heading3"/>
        <w:spacing w:line="276" w:lineRule="auto"/>
        <w:rPr>
          <w:rFonts w:ascii="Arial" w:hAnsi="Arial" w:cs="Arial"/>
          <w:color w:val="000000" w:themeColor="text1"/>
          <w:sz w:val="24"/>
          <w:szCs w:val="24"/>
        </w:rPr>
      </w:pPr>
      <w:r w:rsidRPr="00883386">
        <w:rPr>
          <w:rFonts w:ascii="Arial" w:hAnsi="Arial" w:cs="Arial"/>
          <w:color w:val="000000" w:themeColor="text1"/>
          <w:sz w:val="24"/>
          <w:szCs w:val="24"/>
        </w:rPr>
        <w:t xml:space="preserve"> </w:t>
      </w:r>
      <w:bookmarkStart w:id="39" w:name="_Toc216731974"/>
      <w:bookmarkStart w:id="40" w:name="_Toc216732198"/>
      <w:r w:rsidRPr="00883386">
        <w:rPr>
          <w:rFonts w:ascii="Arial" w:hAnsi="Arial" w:cs="Arial"/>
          <w:color w:val="000000" w:themeColor="text1"/>
          <w:sz w:val="24"/>
          <w:szCs w:val="24"/>
        </w:rPr>
        <w:t>Residual Risk and Contingency Planning</w:t>
      </w:r>
      <w:bookmarkEnd w:id="39"/>
      <w:bookmarkEnd w:id="40"/>
    </w:p>
    <w:p w14:paraId="54EFA61C" w14:textId="2EC59246" w:rsidR="0062429B" w:rsidRPr="008052A1" w:rsidRDefault="0062429B" w:rsidP="008052A1">
      <w:pPr>
        <w:pStyle w:val="NormalWeb"/>
        <w:spacing w:line="276" w:lineRule="auto"/>
        <w:rPr>
          <w:rFonts w:ascii="Arial" w:hAnsi="Arial" w:cs="Arial"/>
        </w:rPr>
      </w:pPr>
      <w:r w:rsidRPr="008052A1">
        <w:rPr>
          <w:rFonts w:ascii="Arial" w:hAnsi="Arial" w:cs="Arial"/>
        </w:rPr>
        <w:t>Despite mitigation measures, residual risks remain. Contingency plans include emergenc</w:t>
      </w:r>
      <w:r w:rsidRPr="008052A1">
        <w:rPr>
          <w:rFonts w:ascii="Arial" w:hAnsi="Arial" w:cs="Arial"/>
        </w:rPr>
        <w:t>y</w:t>
      </w:r>
    </w:p>
    <w:p w14:paraId="560ABDEA" w14:textId="7A6C31D0" w:rsidR="008D4E2B" w:rsidRPr="008052A1" w:rsidRDefault="00A41E9D" w:rsidP="00883386">
      <w:pPr>
        <w:spacing w:line="276" w:lineRule="auto"/>
        <w:rPr>
          <w:rFonts w:ascii="Arial" w:hAnsi="Arial" w:cs="Arial"/>
        </w:rPr>
      </w:pPr>
      <w:r w:rsidRPr="008052A1">
        <w:rPr>
          <w:rFonts w:ascii="Arial" w:hAnsi="Arial" w:cs="Arial"/>
        </w:rPr>
        <w:br w:type="page"/>
      </w:r>
      <w:bookmarkStart w:id="41" w:name="_Toc216732199"/>
      <w:r w:rsidR="00352EAA" w:rsidRPr="008052A1">
        <w:rPr>
          <w:rFonts w:ascii="Arial" w:hAnsi="Arial" w:cs="Arial"/>
        </w:rPr>
        <w:lastRenderedPageBreak/>
        <w:t>Conclusion</w:t>
      </w:r>
      <w:bookmarkEnd w:id="41"/>
      <w:r w:rsidR="00352EAA" w:rsidRPr="008052A1">
        <w:rPr>
          <w:rFonts w:ascii="Arial" w:hAnsi="Arial" w:cs="Arial"/>
        </w:rPr>
        <w:t xml:space="preserve"> </w:t>
      </w:r>
    </w:p>
    <w:p w14:paraId="0C2C52D3" w14:textId="77777777" w:rsidR="00352EAA" w:rsidRPr="008052A1" w:rsidRDefault="00352EAA" w:rsidP="008052A1">
      <w:pPr>
        <w:pStyle w:val="NormalWeb"/>
        <w:spacing w:line="276" w:lineRule="auto"/>
        <w:rPr>
          <w:rFonts w:ascii="Arial" w:hAnsi="Arial" w:cs="Arial"/>
        </w:rPr>
      </w:pPr>
      <w:r w:rsidRPr="008052A1">
        <w:rPr>
          <w:rFonts w:ascii="Arial" w:hAnsi="Arial" w:cs="Arial"/>
        </w:rPr>
        <w:t>flooding in British Columbia in 2022 exposed the vulnerability of critical transportation infrastructure, particularly the principal corridor connecting the lower mainland to the rest of Canada. The resulting disruption not only affected the movement of goods and people but also had significant socio-economic consequences for businesses, farms, public services, and local communities. This Project Management Plan addresses these challenges through a systematic reconstruction of the principal corridor, ensuring a comprehensive recovery strategy.</w:t>
      </w:r>
    </w:p>
    <w:p w14:paraId="1B72329C" w14:textId="77777777" w:rsidR="00352EAA" w:rsidRPr="008052A1" w:rsidRDefault="00352EAA" w:rsidP="008052A1">
      <w:pPr>
        <w:pStyle w:val="NormalWeb"/>
        <w:spacing w:line="276" w:lineRule="auto"/>
        <w:rPr>
          <w:rFonts w:ascii="Arial" w:hAnsi="Arial" w:cs="Arial"/>
        </w:rPr>
      </w:pPr>
      <w:r w:rsidRPr="008052A1">
        <w:rPr>
          <w:rFonts w:ascii="Arial" w:hAnsi="Arial" w:cs="Arial"/>
        </w:rPr>
        <w:t>The plan employs well-established project management techniques, including the Work Breakdown Structure, Gantt chart scheduling, stakeholder engagement, resource allocation, and risk management. These methodologies ensure that the project is executed efficiently, on time, and within budget while maintaining safety and compliance with environmental regulations. By clearly defining project objectives, deliverables, scope, and responsibilities, the project team can coordinate effectively and respond proactively to any challenges that may arise during reconstruction.</w:t>
      </w:r>
    </w:p>
    <w:p w14:paraId="070C48DE" w14:textId="77777777" w:rsidR="00352EAA" w:rsidRPr="008052A1" w:rsidRDefault="00352EAA" w:rsidP="008052A1">
      <w:pPr>
        <w:pStyle w:val="NormalWeb"/>
        <w:spacing w:line="276" w:lineRule="auto"/>
        <w:rPr>
          <w:rFonts w:ascii="Arial" w:hAnsi="Arial" w:cs="Arial"/>
        </w:rPr>
      </w:pPr>
      <w:r w:rsidRPr="008052A1">
        <w:rPr>
          <w:rFonts w:ascii="Arial" w:hAnsi="Arial" w:cs="Arial"/>
        </w:rPr>
        <w:t>Successful completion of this project will restore a safe, reliable, and resilient transportation corridor. This will enable uninterrupted supply chains, ensure access to emergency services, and support the economic recovery of affected regions. Moreover, the implementation of flood-resilient infrastructure and safety measures will reduce the likelihood of future disruptions, enhancing the region’s preparedness for extreme weather events.</w:t>
      </w:r>
    </w:p>
    <w:p w14:paraId="7D5416FB" w14:textId="77777777" w:rsidR="00352EAA" w:rsidRPr="008052A1" w:rsidRDefault="00352EAA" w:rsidP="008052A1">
      <w:pPr>
        <w:pStyle w:val="NormalWeb"/>
        <w:spacing w:line="276" w:lineRule="auto"/>
        <w:rPr>
          <w:rFonts w:ascii="Arial" w:hAnsi="Arial" w:cs="Arial"/>
        </w:rPr>
      </w:pPr>
      <w:r w:rsidRPr="008052A1">
        <w:rPr>
          <w:rFonts w:ascii="Arial" w:hAnsi="Arial" w:cs="Arial"/>
        </w:rPr>
        <w:t>Beyond immediate recovery, the project has long-term benefits for the community and stakeholders. Restoring connectivity strengthens regional economic activity, fosters social cohesion, and reassures residents and businesses of government commitment to disaster preparedness and infrastructure resilience. Furthermore, lessons learned from this project can inform future disaster recovery planning, serving as a model for responding to extreme weather events in other regions.</w:t>
      </w:r>
    </w:p>
    <w:p w14:paraId="1E028D14" w14:textId="77777777" w:rsidR="00352EAA" w:rsidRPr="008052A1" w:rsidRDefault="00352EAA" w:rsidP="008052A1">
      <w:pPr>
        <w:pStyle w:val="NormalWeb"/>
        <w:spacing w:line="276" w:lineRule="auto"/>
        <w:rPr>
          <w:rFonts w:ascii="Arial" w:hAnsi="Arial" w:cs="Arial"/>
        </w:rPr>
      </w:pPr>
      <w:r w:rsidRPr="008052A1">
        <w:rPr>
          <w:rFonts w:ascii="Arial" w:hAnsi="Arial" w:cs="Arial"/>
        </w:rPr>
        <w:t>In conclusion, this project represents a critical investment in the safety, well-being, and economic stability of British Columbia. It demonstrates a proactive and structured approach to disaster recovery that prioritizes efficiency, sustainability, and resilience. The reconstructed corridor will not only restore connectivity but will also enhance the region’s ability to withstand future natural disasters, ensuring long-term benefits for communities, businesses, and public services.</w:t>
      </w:r>
    </w:p>
    <w:p w14:paraId="21814228" w14:textId="7135FB70" w:rsidR="00352EAA" w:rsidRDefault="00352EAA" w:rsidP="009525A5">
      <w:pPr>
        <w:spacing w:line="276" w:lineRule="auto"/>
        <w:rPr>
          <w:rFonts w:ascii="Arial" w:hAnsi="Arial" w:cs="Arial"/>
        </w:rPr>
      </w:pPr>
    </w:p>
    <w:p w14:paraId="368886BE" w14:textId="7943AD05" w:rsidR="00352EAA" w:rsidRPr="00757897" w:rsidRDefault="00352EAA" w:rsidP="009C6122">
      <w:pPr>
        <w:pStyle w:val="Heading1"/>
        <w:rPr>
          <w:rFonts w:ascii="Arial" w:eastAsiaTheme="minorHAnsi" w:hAnsi="Arial" w:cs="Arial"/>
        </w:rPr>
      </w:pPr>
      <w:r>
        <w:rPr>
          <w:rFonts w:ascii="Arial" w:hAnsi="Arial" w:cs="Arial"/>
        </w:rPr>
        <w:br w:type="page"/>
      </w:r>
      <w:bookmarkStart w:id="42" w:name="_Toc216732200"/>
      <w:r w:rsidRPr="00352EAA">
        <w:rPr>
          <w:rFonts w:eastAsia="Times New Roman"/>
          <w:lang w:eastAsia="en-GB"/>
        </w:rPr>
        <w:lastRenderedPageBreak/>
        <w:t>References</w:t>
      </w:r>
      <w:bookmarkEnd w:id="42"/>
    </w:p>
    <w:p w14:paraId="2EA603B6"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Chapman, C. &amp; Ward, S., 2011. </w:t>
      </w:r>
      <w:r w:rsidRPr="00352EAA">
        <w:rPr>
          <w:rFonts w:ascii="Times New Roman" w:eastAsia="Times New Roman" w:hAnsi="Times New Roman" w:cs="Times New Roman"/>
          <w:i/>
          <w:iCs/>
          <w:kern w:val="0"/>
          <w:lang w:eastAsia="en-GB"/>
          <w14:ligatures w14:val="none"/>
        </w:rPr>
        <w:t>How to Manage Project Opportunity and Risk</w:t>
      </w:r>
      <w:r w:rsidRPr="00352EAA">
        <w:rPr>
          <w:rFonts w:ascii="Times New Roman" w:eastAsia="Times New Roman" w:hAnsi="Times New Roman" w:cs="Times New Roman"/>
          <w:kern w:val="0"/>
          <w:lang w:eastAsia="en-GB"/>
          <w14:ligatures w14:val="none"/>
        </w:rPr>
        <w:t>. 3rd ed. London: Wiley.</w:t>
      </w:r>
    </w:p>
    <w:p w14:paraId="31E92B0B"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Heagney, J., 2016. </w:t>
      </w:r>
      <w:r w:rsidRPr="00352EAA">
        <w:rPr>
          <w:rFonts w:ascii="Times New Roman" w:eastAsia="Times New Roman" w:hAnsi="Times New Roman" w:cs="Times New Roman"/>
          <w:i/>
          <w:iCs/>
          <w:kern w:val="0"/>
          <w:lang w:eastAsia="en-GB"/>
          <w14:ligatures w14:val="none"/>
        </w:rPr>
        <w:t>Fundamentals of Project Management</w:t>
      </w:r>
      <w:r w:rsidRPr="00352EAA">
        <w:rPr>
          <w:rFonts w:ascii="Times New Roman" w:eastAsia="Times New Roman" w:hAnsi="Times New Roman" w:cs="Times New Roman"/>
          <w:kern w:val="0"/>
          <w:lang w:eastAsia="en-GB"/>
          <w14:ligatures w14:val="none"/>
        </w:rPr>
        <w:t>. 5th ed. New York: AMACOM.</w:t>
      </w:r>
    </w:p>
    <w:p w14:paraId="59251B3D"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Hillson, D., 2020. </w:t>
      </w:r>
      <w:r w:rsidRPr="00352EAA">
        <w:rPr>
          <w:rFonts w:ascii="Times New Roman" w:eastAsia="Times New Roman" w:hAnsi="Times New Roman" w:cs="Times New Roman"/>
          <w:i/>
          <w:iCs/>
          <w:kern w:val="0"/>
          <w:lang w:eastAsia="en-GB"/>
          <w14:ligatures w14:val="none"/>
        </w:rPr>
        <w:t>Practical Project Risk Management</w:t>
      </w:r>
      <w:r w:rsidRPr="00352EAA">
        <w:rPr>
          <w:rFonts w:ascii="Times New Roman" w:eastAsia="Times New Roman" w:hAnsi="Times New Roman" w:cs="Times New Roman"/>
          <w:kern w:val="0"/>
          <w:lang w:eastAsia="en-GB"/>
          <w14:ligatures w14:val="none"/>
        </w:rPr>
        <w:t>. 2nd ed. London: Routledge.</w:t>
      </w:r>
    </w:p>
    <w:p w14:paraId="7F92CF9E"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International Federation of Red Cross and Red Crescent Societies, 2022. </w:t>
      </w:r>
      <w:r w:rsidRPr="00352EAA">
        <w:rPr>
          <w:rFonts w:ascii="Times New Roman" w:eastAsia="Times New Roman" w:hAnsi="Times New Roman" w:cs="Times New Roman"/>
          <w:i/>
          <w:iCs/>
          <w:kern w:val="0"/>
          <w:lang w:eastAsia="en-GB"/>
          <w14:ligatures w14:val="none"/>
        </w:rPr>
        <w:t>Disaster Risk Reduction Guidelines</w:t>
      </w:r>
      <w:r w:rsidRPr="00352EAA">
        <w:rPr>
          <w:rFonts w:ascii="Times New Roman" w:eastAsia="Times New Roman" w:hAnsi="Times New Roman" w:cs="Times New Roman"/>
          <w:kern w:val="0"/>
          <w:lang w:eastAsia="en-GB"/>
          <w14:ligatures w14:val="none"/>
        </w:rPr>
        <w:t>. Geneva: IFRC.</w:t>
      </w:r>
    </w:p>
    <w:p w14:paraId="3E33E625"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Kerzner, H., 2022. </w:t>
      </w:r>
      <w:r w:rsidRPr="00352EAA">
        <w:rPr>
          <w:rFonts w:ascii="Times New Roman" w:eastAsia="Times New Roman" w:hAnsi="Times New Roman" w:cs="Times New Roman"/>
          <w:i/>
          <w:iCs/>
          <w:kern w:val="0"/>
          <w:lang w:eastAsia="en-GB"/>
          <w14:ligatures w14:val="none"/>
        </w:rPr>
        <w:t>Project Management: A Systems Approach to Planning, Scheduling, and Controlling</w:t>
      </w:r>
      <w:r w:rsidRPr="00352EAA">
        <w:rPr>
          <w:rFonts w:ascii="Times New Roman" w:eastAsia="Times New Roman" w:hAnsi="Times New Roman" w:cs="Times New Roman"/>
          <w:kern w:val="0"/>
          <w:lang w:eastAsia="en-GB"/>
          <w14:ligatures w14:val="none"/>
        </w:rPr>
        <w:t>. 13th ed. Hoboken: Wiley.</w:t>
      </w:r>
    </w:p>
    <w:p w14:paraId="6810FC1F"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Nicholas, J.M. &amp; Steyn, H., 2021. </w:t>
      </w:r>
      <w:r w:rsidRPr="00352EAA">
        <w:rPr>
          <w:rFonts w:ascii="Times New Roman" w:eastAsia="Times New Roman" w:hAnsi="Times New Roman" w:cs="Times New Roman"/>
          <w:i/>
          <w:iCs/>
          <w:kern w:val="0"/>
          <w:lang w:eastAsia="en-GB"/>
          <w14:ligatures w14:val="none"/>
        </w:rPr>
        <w:t>Project Management for Engineering, Business, and Technology</w:t>
      </w:r>
      <w:r w:rsidRPr="00352EAA">
        <w:rPr>
          <w:rFonts w:ascii="Times New Roman" w:eastAsia="Times New Roman" w:hAnsi="Times New Roman" w:cs="Times New Roman"/>
          <w:kern w:val="0"/>
          <w:lang w:eastAsia="en-GB"/>
          <w14:ligatures w14:val="none"/>
        </w:rPr>
        <w:t>. 6th ed. London: Routledge.</w:t>
      </w:r>
    </w:p>
    <w:p w14:paraId="6EA51391"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Project Management Institute, 2021. </w:t>
      </w:r>
      <w:r w:rsidRPr="00352EAA">
        <w:rPr>
          <w:rFonts w:ascii="Times New Roman" w:eastAsia="Times New Roman" w:hAnsi="Times New Roman" w:cs="Times New Roman"/>
          <w:i/>
          <w:iCs/>
          <w:kern w:val="0"/>
          <w:lang w:eastAsia="en-GB"/>
          <w14:ligatures w14:val="none"/>
        </w:rPr>
        <w:t>A Guide to the Project Management Body of Knowledge (PMBOK® Guide)</w:t>
      </w:r>
      <w:r w:rsidRPr="00352EAA">
        <w:rPr>
          <w:rFonts w:ascii="Times New Roman" w:eastAsia="Times New Roman" w:hAnsi="Times New Roman" w:cs="Times New Roman"/>
          <w:kern w:val="0"/>
          <w:lang w:eastAsia="en-GB"/>
          <w14:ligatures w14:val="none"/>
        </w:rPr>
        <w:t>. 7th ed. Newtown Square: PMI.</w:t>
      </w:r>
    </w:p>
    <w:p w14:paraId="4DEC8781"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Turner, J.R., 2016. </w:t>
      </w:r>
      <w:r w:rsidRPr="00352EAA">
        <w:rPr>
          <w:rFonts w:ascii="Times New Roman" w:eastAsia="Times New Roman" w:hAnsi="Times New Roman" w:cs="Times New Roman"/>
          <w:i/>
          <w:iCs/>
          <w:kern w:val="0"/>
          <w:lang w:eastAsia="en-GB"/>
          <w14:ligatures w14:val="none"/>
        </w:rPr>
        <w:t>Gower Handbook of Project Management</w:t>
      </w:r>
      <w:r w:rsidRPr="00352EAA">
        <w:rPr>
          <w:rFonts w:ascii="Times New Roman" w:eastAsia="Times New Roman" w:hAnsi="Times New Roman" w:cs="Times New Roman"/>
          <w:kern w:val="0"/>
          <w:lang w:eastAsia="en-GB"/>
          <w14:ligatures w14:val="none"/>
        </w:rPr>
        <w:t>. 5th ed. London: Routledge.</w:t>
      </w:r>
    </w:p>
    <w:p w14:paraId="06173403" w14:textId="77777777" w:rsidR="00352EAA" w:rsidRPr="00352EAA" w:rsidRDefault="00352EAA" w:rsidP="00352EA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52EAA">
        <w:rPr>
          <w:rFonts w:ascii="Times New Roman" w:eastAsia="Times New Roman" w:hAnsi="Times New Roman" w:cs="Times New Roman"/>
          <w:kern w:val="0"/>
          <w:lang w:eastAsia="en-GB"/>
          <w14:ligatures w14:val="none"/>
        </w:rPr>
        <w:t xml:space="preserve">Turner, R. &amp; Zolin, R., 2012. </w:t>
      </w:r>
      <w:r w:rsidRPr="00352EAA">
        <w:rPr>
          <w:rFonts w:ascii="Times New Roman" w:eastAsia="Times New Roman" w:hAnsi="Times New Roman" w:cs="Times New Roman"/>
          <w:i/>
          <w:iCs/>
          <w:kern w:val="0"/>
          <w:lang w:eastAsia="en-GB"/>
          <w14:ligatures w14:val="none"/>
        </w:rPr>
        <w:t>Forecasting Success on Large Projects</w:t>
      </w:r>
      <w:r w:rsidRPr="00352EAA">
        <w:rPr>
          <w:rFonts w:ascii="Times New Roman" w:eastAsia="Times New Roman" w:hAnsi="Times New Roman" w:cs="Times New Roman"/>
          <w:kern w:val="0"/>
          <w:lang w:eastAsia="en-GB"/>
          <w14:ligatures w14:val="none"/>
        </w:rPr>
        <w:t>. New York: Springer.</w:t>
      </w:r>
    </w:p>
    <w:p w14:paraId="313FA1FC" w14:textId="77777777" w:rsidR="00352EAA" w:rsidRPr="009525A5" w:rsidRDefault="00352EAA" w:rsidP="009525A5">
      <w:pPr>
        <w:spacing w:line="276" w:lineRule="auto"/>
        <w:rPr>
          <w:rFonts w:ascii="Arial" w:hAnsi="Arial" w:cs="Arial"/>
        </w:rPr>
      </w:pPr>
    </w:p>
    <w:sectPr w:rsidR="00352EAA" w:rsidRPr="009525A5" w:rsidSect="00362E9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0AE62" w14:textId="77777777" w:rsidR="00A36895" w:rsidRDefault="00A36895" w:rsidP="00B83DFA">
      <w:pPr>
        <w:spacing w:after="0" w:line="240" w:lineRule="auto"/>
      </w:pPr>
      <w:r>
        <w:separator/>
      </w:r>
    </w:p>
  </w:endnote>
  <w:endnote w:type="continuationSeparator" w:id="0">
    <w:p w14:paraId="436B3667" w14:textId="77777777" w:rsidR="00A36895" w:rsidRDefault="00A36895" w:rsidP="00B83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598231"/>
      <w:docPartObj>
        <w:docPartGallery w:val="Page Numbers (Bottom of Page)"/>
        <w:docPartUnique/>
      </w:docPartObj>
    </w:sdtPr>
    <w:sdtContent>
      <w:p w14:paraId="3EDA1379" w14:textId="192600FB" w:rsidR="004A75DE" w:rsidRDefault="004A75DE">
        <w:pPr>
          <w:pStyle w:val="Footer"/>
          <w:jc w:val="right"/>
        </w:pPr>
        <w:r>
          <w:fldChar w:fldCharType="begin"/>
        </w:r>
        <w:r>
          <w:instrText>PAGE   \* MERGEFORMAT</w:instrText>
        </w:r>
        <w:r>
          <w:fldChar w:fldCharType="separate"/>
        </w:r>
        <w:r>
          <w:t>2</w:t>
        </w:r>
        <w:r>
          <w:fldChar w:fldCharType="end"/>
        </w:r>
      </w:p>
    </w:sdtContent>
  </w:sdt>
  <w:p w14:paraId="3E161FB1" w14:textId="77777777" w:rsidR="004A75DE" w:rsidRDefault="004A75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99C3B" w14:textId="77777777" w:rsidR="00A36895" w:rsidRDefault="00A36895" w:rsidP="00B83DFA">
      <w:pPr>
        <w:spacing w:after="0" w:line="240" w:lineRule="auto"/>
      </w:pPr>
      <w:r>
        <w:separator/>
      </w:r>
    </w:p>
  </w:footnote>
  <w:footnote w:type="continuationSeparator" w:id="0">
    <w:p w14:paraId="43183F9B" w14:textId="77777777" w:rsidR="00A36895" w:rsidRDefault="00A36895" w:rsidP="00B83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3F15"/>
    <w:multiLevelType w:val="multilevel"/>
    <w:tmpl w:val="9834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07D48"/>
    <w:multiLevelType w:val="multilevel"/>
    <w:tmpl w:val="1EA023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AE54D4"/>
    <w:multiLevelType w:val="multilevel"/>
    <w:tmpl w:val="37E6C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81FA2"/>
    <w:multiLevelType w:val="multilevel"/>
    <w:tmpl w:val="62DC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94516"/>
    <w:multiLevelType w:val="multilevel"/>
    <w:tmpl w:val="3A90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268EC"/>
    <w:multiLevelType w:val="multilevel"/>
    <w:tmpl w:val="07E40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885499"/>
    <w:multiLevelType w:val="multilevel"/>
    <w:tmpl w:val="4C9C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40BB8"/>
    <w:multiLevelType w:val="multilevel"/>
    <w:tmpl w:val="9346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C2C06"/>
    <w:multiLevelType w:val="multilevel"/>
    <w:tmpl w:val="519A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028C2"/>
    <w:multiLevelType w:val="multilevel"/>
    <w:tmpl w:val="B57CE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270853"/>
    <w:multiLevelType w:val="multilevel"/>
    <w:tmpl w:val="077E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5321DD"/>
    <w:multiLevelType w:val="multilevel"/>
    <w:tmpl w:val="AEC4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E5724"/>
    <w:multiLevelType w:val="multilevel"/>
    <w:tmpl w:val="8AD0F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6736EF"/>
    <w:multiLevelType w:val="multilevel"/>
    <w:tmpl w:val="6CE0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E7FF3"/>
    <w:multiLevelType w:val="multilevel"/>
    <w:tmpl w:val="A556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B925B7"/>
    <w:multiLevelType w:val="multilevel"/>
    <w:tmpl w:val="19D8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017CDC"/>
    <w:multiLevelType w:val="multilevel"/>
    <w:tmpl w:val="BB64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743BD2"/>
    <w:multiLevelType w:val="multilevel"/>
    <w:tmpl w:val="33BE7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A173BE"/>
    <w:multiLevelType w:val="multilevel"/>
    <w:tmpl w:val="FFEC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A174E1"/>
    <w:multiLevelType w:val="multilevel"/>
    <w:tmpl w:val="3870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9F2633"/>
    <w:multiLevelType w:val="multilevel"/>
    <w:tmpl w:val="402E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F2A61"/>
    <w:multiLevelType w:val="multilevel"/>
    <w:tmpl w:val="2442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B06F9B"/>
    <w:multiLevelType w:val="multilevel"/>
    <w:tmpl w:val="9404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3069C9"/>
    <w:multiLevelType w:val="multilevel"/>
    <w:tmpl w:val="FECE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E97B04"/>
    <w:multiLevelType w:val="multilevel"/>
    <w:tmpl w:val="48F4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751E5"/>
    <w:multiLevelType w:val="multilevel"/>
    <w:tmpl w:val="2D54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3C5541"/>
    <w:multiLevelType w:val="multilevel"/>
    <w:tmpl w:val="C6FC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5B72AC"/>
    <w:multiLevelType w:val="multilevel"/>
    <w:tmpl w:val="043A7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65363E"/>
    <w:multiLevelType w:val="multilevel"/>
    <w:tmpl w:val="5D08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362143"/>
    <w:multiLevelType w:val="multilevel"/>
    <w:tmpl w:val="92EAC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9170F9"/>
    <w:multiLevelType w:val="multilevel"/>
    <w:tmpl w:val="9BDC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A6CFB"/>
    <w:multiLevelType w:val="multilevel"/>
    <w:tmpl w:val="7620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487A98"/>
    <w:multiLevelType w:val="multilevel"/>
    <w:tmpl w:val="DF2A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AA1C9E"/>
    <w:multiLevelType w:val="multilevel"/>
    <w:tmpl w:val="3058EA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A77EBF"/>
    <w:multiLevelType w:val="multilevel"/>
    <w:tmpl w:val="7DA4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15072B"/>
    <w:multiLevelType w:val="multilevel"/>
    <w:tmpl w:val="4D62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69057F"/>
    <w:multiLevelType w:val="multilevel"/>
    <w:tmpl w:val="F8C2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695BC5"/>
    <w:multiLevelType w:val="multilevel"/>
    <w:tmpl w:val="C7E05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830E13"/>
    <w:multiLevelType w:val="multilevel"/>
    <w:tmpl w:val="650C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2A1C8E"/>
    <w:multiLevelType w:val="multilevel"/>
    <w:tmpl w:val="46D4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7B633C"/>
    <w:multiLevelType w:val="multilevel"/>
    <w:tmpl w:val="6DA6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1B3329"/>
    <w:multiLevelType w:val="multilevel"/>
    <w:tmpl w:val="B10C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858244">
    <w:abstractNumId w:val="34"/>
  </w:num>
  <w:num w:numId="2" w16cid:durableId="79302202">
    <w:abstractNumId w:val="37"/>
  </w:num>
  <w:num w:numId="3" w16cid:durableId="1719165073">
    <w:abstractNumId w:val="4"/>
  </w:num>
  <w:num w:numId="4" w16cid:durableId="2129275447">
    <w:abstractNumId w:val="33"/>
  </w:num>
  <w:num w:numId="5" w16cid:durableId="362554571">
    <w:abstractNumId w:val="19"/>
  </w:num>
  <w:num w:numId="6" w16cid:durableId="1544561472">
    <w:abstractNumId w:val="16"/>
  </w:num>
  <w:num w:numId="7" w16cid:durableId="1869223862">
    <w:abstractNumId w:val="1"/>
  </w:num>
  <w:num w:numId="8" w16cid:durableId="861480762">
    <w:abstractNumId w:val="35"/>
  </w:num>
  <w:num w:numId="9" w16cid:durableId="1570069354">
    <w:abstractNumId w:val="7"/>
  </w:num>
  <w:num w:numId="10" w16cid:durableId="185297040">
    <w:abstractNumId w:val="15"/>
  </w:num>
  <w:num w:numId="11" w16cid:durableId="1849826838">
    <w:abstractNumId w:val="12"/>
  </w:num>
  <w:num w:numId="12" w16cid:durableId="1481851563">
    <w:abstractNumId w:val="40"/>
  </w:num>
  <w:num w:numId="13" w16cid:durableId="196048600">
    <w:abstractNumId w:val="27"/>
  </w:num>
  <w:num w:numId="14" w16cid:durableId="570507429">
    <w:abstractNumId w:val="9"/>
  </w:num>
  <w:num w:numId="15" w16cid:durableId="1161891847">
    <w:abstractNumId w:val="24"/>
  </w:num>
  <w:num w:numId="16" w16cid:durableId="313687173">
    <w:abstractNumId w:val="0"/>
  </w:num>
  <w:num w:numId="17" w16cid:durableId="887111641">
    <w:abstractNumId w:val="29"/>
  </w:num>
  <w:num w:numId="18" w16cid:durableId="663238945">
    <w:abstractNumId w:val="14"/>
  </w:num>
  <w:num w:numId="19" w16cid:durableId="1787698708">
    <w:abstractNumId w:val="3"/>
  </w:num>
  <w:num w:numId="20" w16cid:durableId="2141418317">
    <w:abstractNumId w:val="8"/>
  </w:num>
  <w:num w:numId="21" w16cid:durableId="1529173008">
    <w:abstractNumId w:val="5"/>
  </w:num>
  <w:num w:numId="22" w16cid:durableId="1364601249">
    <w:abstractNumId w:val="22"/>
  </w:num>
  <w:num w:numId="23" w16cid:durableId="1165776553">
    <w:abstractNumId w:val="26"/>
  </w:num>
  <w:num w:numId="24" w16cid:durableId="1115173850">
    <w:abstractNumId w:val="30"/>
  </w:num>
  <w:num w:numId="25" w16cid:durableId="2016836459">
    <w:abstractNumId w:val="36"/>
  </w:num>
  <w:num w:numId="26" w16cid:durableId="1972445132">
    <w:abstractNumId w:val="6"/>
  </w:num>
  <w:num w:numId="27" w16cid:durableId="231548340">
    <w:abstractNumId w:val="17"/>
  </w:num>
  <w:num w:numId="28" w16cid:durableId="259720600">
    <w:abstractNumId w:val="10"/>
  </w:num>
  <w:num w:numId="29" w16cid:durableId="1655138070">
    <w:abstractNumId w:val="20"/>
  </w:num>
  <w:num w:numId="30" w16cid:durableId="2113474654">
    <w:abstractNumId w:val="21"/>
  </w:num>
  <w:num w:numId="31" w16cid:durableId="24138745">
    <w:abstractNumId w:val="11"/>
  </w:num>
  <w:num w:numId="32" w16cid:durableId="1367212868">
    <w:abstractNumId w:val="25"/>
  </w:num>
  <w:num w:numId="33" w16cid:durableId="1494955966">
    <w:abstractNumId w:val="38"/>
  </w:num>
  <w:num w:numId="34" w16cid:durableId="163983181">
    <w:abstractNumId w:val="13"/>
  </w:num>
  <w:num w:numId="35" w16cid:durableId="699404320">
    <w:abstractNumId w:val="28"/>
  </w:num>
  <w:num w:numId="36" w16cid:durableId="1323121977">
    <w:abstractNumId w:val="23"/>
  </w:num>
  <w:num w:numId="37" w16cid:durableId="129784788">
    <w:abstractNumId w:val="39"/>
  </w:num>
  <w:num w:numId="38" w16cid:durableId="1429739926">
    <w:abstractNumId w:val="41"/>
  </w:num>
  <w:num w:numId="39" w16cid:durableId="539172587">
    <w:abstractNumId w:val="2"/>
  </w:num>
  <w:num w:numId="40" w16cid:durableId="2139371764">
    <w:abstractNumId w:val="31"/>
  </w:num>
  <w:num w:numId="41" w16cid:durableId="54472259">
    <w:abstractNumId w:val="32"/>
  </w:num>
  <w:num w:numId="42" w16cid:durableId="3896178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E92"/>
    <w:rsid w:val="00002994"/>
    <w:rsid w:val="0001496C"/>
    <w:rsid w:val="00017535"/>
    <w:rsid w:val="00047B1C"/>
    <w:rsid w:val="00061ABA"/>
    <w:rsid w:val="000704A5"/>
    <w:rsid w:val="000713EF"/>
    <w:rsid w:val="0008334A"/>
    <w:rsid w:val="000C0344"/>
    <w:rsid w:val="00106BA9"/>
    <w:rsid w:val="00170B3F"/>
    <w:rsid w:val="001A14DC"/>
    <w:rsid w:val="001C1794"/>
    <w:rsid w:val="001C3CA4"/>
    <w:rsid w:val="0022601F"/>
    <w:rsid w:val="00234275"/>
    <w:rsid w:val="00245881"/>
    <w:rsid w:val="00256101"/>
    <w:rsid w:val="002576E9"/>
    <w:rsid w:val="00296B35"/>
    <w:rsid w:val="002D643B"/>
    <w:rsid w:val="002E1135"/>
    <w:rsid w:val="00300A99"/>
    <w:rsid w:val="0032413A"/>
    <w:rsid w:val="00352EAA"/>
    <w:rsid w:val="00362E92"/>
    <w:rsid w:val="00366D4B"/>
    <w:rsid w:val="003A3EDB"/>
    <w:rsid w:val="003E7CC5"/>
    <w:rsid w:val="00402D28"/>
    <w:rsid w:val="00426521"/>
    <w:rsid w:val="00427EEA"/>
    <w:rsid w:val="00492DDE"/>
    <w:rsid w:val="004A75DE"/>
    <w:rsid w:val="004A7C8B"/>
    <w:rsid w:val="004F1D8A"/>
    <w:rsid w:val="004F38E7"/>
    <w:rsid w:val="005033FB"/>
    <w:rsid w:val="00516BC8"/>
    <w:rsid w:val="00517CCC"/>
    <w:rsid w:val="0053280B"/>
    <w:rsid w:val="005A5056"/>
    <w:rsid w:val="005B2780"/>
    <w:rsid w:val="00605130"/>
    <w:rsid w:val="00622B59"/>
    <w:rsid w:val="0062429B"/>
    <w:rsid w:val="00630552"/>
    <w:rsid w:val="0065309E"/>
    <w:rsid w:val="00694C64"/>
    <w:rsid w:val="006E3F23"/>
    <w:rsid w:val="00736565"/>
    <w:rsid w:val="0074524F"/>
    <w:rsid w:val="00757897"/>
    <w:rsid w:val="00790D7D"/>
    <w:rsid w:val="007B019B"/>
    <w:rsid w:val="007C4616"/>
    <w:rsid w:val="007D2827"/>
    <w:rsid w:val="007D3D3A"/>
    <w:rsid w:val="007D6916"/>
    <w:rsid w:val="007E633D"/>
    <w:rsid w:val="007E68D3"/>
    <w:rsid w:val="008052A1"/>
    <w:rsid w:val="00842438"/>
    <w:rsid w:val="008628BB"/>
    <w:rsid w:val="00864FD1"/>
    <w:rsid w:val="00877A57"/>
    <w:rsid w:val="00883386"/>
    <w:rsid w:val="008855E9"/>
    <w:rsid w:val="008B0ED0"/>
    <w:rsid w:val="008D4E2B"/>
    <w:rsid w:val="008D64D8"/>
    <w:rsid w:val="009233C1"/>
    <w:rsid w:val="009525A5"/>
    <w:rsid w:val="009A31C9"/>
    <w:rsid w:val="009C6122"/>
    <w:rsid w:val="009D0511"/>
    <w:rsid w:val="009D5471"/>
    <w:rsid w:val="00A36895"/>
    <w:rsid w:val="00A41E9D"/>
    <w:rsid w:val="00B7351E"/>
    <w:rsid w:val="00B83DFA"/>
    <w:rsid w:val="00B84015"/>
    <w:rsid w:val="00BF3AF8"/>
    <w:rsid w:val="00C1063B"/>
    <w:rsid w:val="00C270F7"/>
    <w:rsid w:val="00C7522B"/>
    <w:rsid w:val="00CC64F2"/>
    <w:rsid w:val="00CE302E"/>
    <w:rsid w:val="00D3574F"/>
    <w:rsid w:val="00D95DF6"/>
    <w:rsid w:val="00E14CC5"/>
    <w:rsid w:val="00E26109"/>
    <w:rsid w:val="00E80D26"/>
    <w:rsid w:val="00F04ACF"/>
    <w:rsid w:val="00F80793"/>
    <w:rsid w:val="00FA354D"/>
    <w:rsid w:val="00FB5288"/>
    <w:rsid w:val="00FB5DD8"/>
    <w:rsid w:val="00FB6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34BD"/>
  <w15:chartTrackingRefBased/>
  <w15:docId w15:val="{2DB2D6C2-4E2A-4D09-BAE5-876837924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E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2E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E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E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E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E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E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E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E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E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2E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E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E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E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E92"/>
    <w:rPr>
      <w:rFonts w:eastAsiaTheme="majorEastAsia" w:cstheme="majorBidi"/>
      <w:color w:val="272727" w:themeColor="text1" w:themeTint="D8"/>
    </w:rPr>
  </w:style>
  <w:style w:type="paragraph" w:styleId="Title">
    <w:name w:val="Title"/>
    <w:basedOn w:val="Normal"/>
    <w:next w:val="Normal"/>
    <w:link w:val="TitleChar"/>
    <w:uiPriority w:val="10"/>
    <w:qFormat/>
    <w:rsid w:val="00362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E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E92"/>
    <w:pPr>
      <w:spacing w:before="160"/>
      <w:jc w:val="center"/>
    </w:pPr>
    <w:rPr>
      <w:i/>
      <w:iCs/>
      <w:color w:val="404040" w:themeColor="text1" w:themeTint="BF"/>
    </w:rPr>
  </w:style>
  <w:style w:type="character" w:customStyle="1" w:styleId="QuoteChar">
    <w:name w:val="Quote Char"/>
    <w:basedOn w:val="DefaultParagraphFont"/>
    <w:link w:val="Quote"/>
    <w:uiPriority w:val="29"/>
    <w:rsid w:val="00362E92"/>
    <w:rPr>
      <w:i/>
      <w:iCs/>
      <w:color w:val="404040" w:themeColor="text1" w:themeTint="BF"/>
    </w:rPr>
  </w:style>
  <w:style w:type="paragraph" w:styleId="ListParagraph">
    <w:name w:val="List Paragraph"/>
    <w:basedOn w:val="Normal"/>
    <w:uiPriority w:val="34"/>
    <w:qFormat/>
    <w:rsid w:val="00362E92"/>
    <w:pPr>
      <w:ind w:left="720"/>
      <w:contextualSpacing/>
    </w:pPr>
  </w:style>
  <w:style w:type="character" w:styleId="IntenseEmphasis">
    <w:name w:val="Intense Emphasis"/>
    <w:basedOn w:val="DefaultParagraphFont"/>
    <w:uiPriority w:val="21"/>
    <w:qFormat/>
    <w:rsid w:val="00362E92"/>
    <w:rPr>
      <w:i/>
      <w:iCs/>
      <w:color w:val="0F4761" w:themeColor="accent1" w:themeShade="BF"/>
    </w:rPr>
  </w:style>
  <w:style w:type="paragraph" w:styleId="IntenseQuote">
    <w:name w:val="Intense Quote"/>
    <w:basedOn w:val="Normal"/>
    <w:next w:val="Normal"/>
    <w:link w:val="IntenseQuoteChar"/>
    <w:uiPriority w:val="30"/>
    <w:qFormat/>
    <w:rsid w:val="00362E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E92"/>
    <w:rPr>
      <w:i/>
      <w:iCs/>
      <w:color w:val="0F4761" w:themeColor="accent1" w:themeShade="BF"/>
    </w:rPr>
  </w:style>
  <w:style w:type="character" w:styleId="IntenseReference">
    <w:name w:val="Intense Reference"/>
    <w:basedOn w:val="DefaultParagraphFont"/>
    <w:uiPriority w:val="32"/>
    <w:qFormat/>
    <w:rsid w:val="00362E92"/>
    <w:rPr>
      <w:b/>
      <w:bCs/>
      <w:smallCaps/>
      <w:color w:val="0F4761" w:themeColor="accent1" w:themeShade="BF"/>
      <w:spacing w:val="5"/>
    </w:rPr>
  </w:style>
  <w:style w:type="paragraph" w:styleId="NoSpacing">
    <w:name w:val="No Spacing"/>
    <w:link w:val="NoSpacingChar"/>
    <w:uiPriority w:val="1"/>
    <w:qFormat/>
    <w:rsid w:val="00362E9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62E9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362E92"/>
    <w:pPr>
      <w:spacing w:before="240" w:after="0" w:line="259" w:lineRule="auto"/>
      <w:outlineLvl w:val="9"/>
    </w:pPr>
    <w:rPr>
      <w:kern w:val="0"/>
      <w:sz w:val="32"/>
      <w:szCs w:val="32"/>
      <w:lang w:eastAsia="en-GB"/>
      <w14:ligatures w14:val="none"/>
    </w:rPr>
  </w:style>
  <w:style w:type="paragraph" w:styleId="NormalWeb">
    <w:name w:val="Normal (Web)"/>
    <w:basedOn w:val="Normal"/>
    <w:uiPriority w:val="99"/>
    <w:unhideWhenUsed/>
    <w:rsid w:val="008D4E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83D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DFA"/>
  </w:style>
  <w:style w:type="paragraph" w:styleId="Footer">
    <w:name w:val="footer"/>
    <w:basedOn w:val="Normal"/>
    <w:link w:val="FooterChar"/>
    <w:uiPriority w:val="99"/>
    <w:unhideWhenUsed/>
    <w:rsid w:val="00B83D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DFA"/>
  </w:style>
  <w:style w:type="character" w:styleId="Strong">
    <w:name w:val="Strong"/>
    <w:basedOn w:val="DefaultParagraphFont"/>
    <w:uiPriority w:val="22"/>
    <w:qFormat/>
    <w:rsid w:val="00352EAA"/>
    <w:rPr>
      <w:b/>
      <w:bCs/>
    </w:rPr>
  </w:style>
  <w:style w:type="paragraph" w:styleId="TOC2">
    <w:name w:val="toc 2"/>
    <w:basedOn w:val="Normal"/>
    <w:next w:val="Normal"/>
    <w:autoRedefine/>
    <w:uiPriority w:val="39"/>
    <w:unhideWhenUsed/>
    <w:rsid w:val="00C270F7"/>
    <w:pPr>
      <w:spacing w:after="100"/>
      <w:ind w:left="240"/>
    </w:pPr>
  </w:style>
  <w:style w:type="paragraph" w:styleId="TOC3">
    <w:name w:val="toc 3"/>
    <w:basedOn w:val="Normal"/>
    <w:next w:val="Normal"/>
    <w:autoRedefine/>
    <w:uiPriority w:val="39"/>
    <w:unhideWhenUsed/>
    <w:rsid w:val="008855E9"/>
    <w:pPr>
      <w:tabs>
        <w:tab w:val="right" w:leader="dot" w:pos="9016"/>
      </w:tabs>
      <w:spacing w:after="100"/>
    </w:pPr>
    <w:rPr>
      <w:rFonts w:ascii="Arial" w:eastAsia="Times New Roman" w:hAnsi="Arial" w:cs="Arial"/>
      <w:b/>
      <w:bCs/>
      <w:noProof/>
      <w:kern w:val="0"/>
      <w:lang w:eastAsia="en-GB"/>
      <w14:ligatures w14:val="none"/>
    </w:rPr>
  </w:style>
  <w:style w:type="character" w:styleId="Hyperlink">
    <w:name w:val="Hyperlink"/>
    <w:basedOn w:val="DefaultParagraphFont"/>
    <w:uiPriority w:val="99"/>
    <w:unhideWhenUsed/>
    <w:rsid w:val="00C270F7"/>
    <w:rPr>
      <w:color w:val="467886" w:themeColor="hyperlink"/>
      <w:u w:val="single"/>
    </w:rPr>
  </w:style>
  <w:style w:type="paragraph" w:styleId="TOC1">
    <w:name w:val="toc 1"/>
    <w:basedOn w:val="Normal"/>
    <w:next w:val="Normal"/>
    <w:autoRedefine/>
    <w:uiPriority w:val="39"/>
    <w:unhideWhenUsed/>
    <w:rsid w:val="009D051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sv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Melat Genene Mekbeb 
student Id 2123174 
model code (LCLM5003_LON) 
lecture name Dr Rexon Nting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6B2A42-56BC-4CD0-B12B-A72DCAC6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4645</Words>
  <Characters>26477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Project Management Plan Task Scenario:  Massive Flooding in 2022 led to a destruction of the principal corridor for transportation in British Columbia</dc:subject>
  <dc:creator>melat mekbeb</dc:creator>
  <cp:keywords/>
  <dc:description/>
  <cp:lastModifiedBy>melat mekbeb</cp:lastModifiedBy>
  <cp:revision>3</cp:revision>
  <dcterms:created xsi:type="dcterms:W3CDTF">2025-12-15T23:25:00Z</dcterms:created>
  <dcterms:modified xsi:type="dcterms:W3CDTF">2025-12-15T23:26:00Z</dcterms:modified>
</cp:coreProperties>
</file>