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media/image1.png" ContentType="image/png"/>
  <Override PartName="/word/media/image2.png" ContentType="image/png"/>
  <Override PartName="/word/media/image3.jpeg" ContentType="image/jpeg"/>
  <Override PartName="/word/media/image4.jpeg" ContentType="image/jpeg"/>
  <Override PartName="/word/media/image5.jpeg" ContentType="image/jpeg"/>
  <Override PartName="/word/settings.xml" ContentType="application/vnd.openxmlformats-officedocument.wordprocessingml.settings+xml"/>
  <Override PartName="/word/styles.xml" ContentType="application/vnd.openxmlformats-officedocument.wordprocessingml.styles+xml"/>
  <Override PartName="/word/footer1.xml" ContentType="application/vnd.openxmlformats-officedocument.wordprocessingml.footer+xml"/>
  <Override PartName="/word/numbering.xml" ContentType="application/vnd.openxmlformats-officedocument.wordprocessingml.numbering+xml"/>
  <Override PartName="/word/fontTable.xml" ContentType="application/vnd.openxmlformats-officedocument.wordprocessingml.fontTable+xml"/>
  <Override PartName="/word/theme/theme1.xml" ContentType="application/vnd.openxmlformats-officedocument.theme+xml"/>
  <Override PartName="/word/_rels/document.xml.rels" ContentType="application/vnd.openxmlformats-package.relationship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Override PartName="/_rels/.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spacing w:lineRule="auto" w:line="360"/>
        <w:jc w:val="center"/>
        <w:rPr>
          <w:rFonts w:ascii="Times New Roman" w:hAnsi="Times New Roman" w:eastAsia="Times New Roman" w:cs="Times New Roman"/>
          <w:b/>
          <w:sz w:val="32"/>
          <w:szCs w:val="32"/>
        </w:rPr>
      </w:pPr>
      <w:r>
        <w:rPr/>
        <w:drawing>
          <wp:inline distT="0" distB="0" distL="0" distR="0">
            <wp:extent cx="4333875" cy="2647950"/>
            <wp:effectExtent l="0" t="0" r="0" b="0"/>
            <wp:docPr id="1" name="image2.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2.png" descr=""/>
                    <pic:cNvPicPr>
                      <a:picLocks noChangeAspect="1" noChangeArrowheads="1"/>
                    </pic:cNvPicPr>
                  </pic:nvPicPr>
                  <pic:blipFill>
                    <a:blip r:embed="rId2"/>
                    <a:stretch>
                      <a:fillRect/>
                    </a:stretch>
                  </pic:blipFill>
                  <pic:spPr bwMode="auto">
                    <a:xfrm>
                      <a:off x="0" y="0"/>
                      <a:ext cx="4333875" cy="2647950"/>
                    </a:xfrm>
                    <a:prstGeom prst="rect">
                      <a:avLst/>
                    </a:prstGeom>
                  </pic:spPr>
                </pic:pic>
              </a:graphicData>
            </a:graphic>
          </wp:inline>
        </w:drawing>
      </w:r>
    </w:p>
    <w:p>
      <w:pPr>
        <w:pStyle w:val="Normal"/>
        <w:spacing w:lineRule="auto" w:line="360"/>
        <w:jc w:val="center"/>
        <w:rPr>
          <w:rFonts w:ascii="Times New Roman" w:hAnsi="Times New Roman" w:eastAsia="Times New Roman" w:cs="Times New Roman"/>
          <w:b/>
          <w:sz w:val="32"/>
          <w:szCs w:val="32"/>
        </w:rPr>
      </w:pPr>
      <w:r>
        <w:rPr>
          <w:rFonts w:eastAsia="Times New Roman" w:cs="Times New Roman" w:ascii="Times New Roman" w:hAnsi="Times New Roman"/>
          <w:b/>
          <w:sz w:val="32"/>
          <w:szCs w:val="32"/>
        </w:rPr>
      </w:r>
    </w:p>
    <w:p>
      <w:pPr>
        <w:pStyle w:val="Normal"/>
        <w:spacing w:lineRule="auto" w:line="360"/>
        <w:jc w:val="center"/>
        <w:rPr>
          <w:rFonts w:ascii="Times New Roman" w:hAnsi="Times New Roman" w:eastAsia="Times New Roman" w:cs="Times New Roman"/>
          <w:b/>
          <w:sz w:val="32"/>
          <w:szCs w:val="32"/>
        </w:rPr>
      </w:pPr>
      <w:r>
        <w:rPr>
          <w:rFonts w:eastAsia="Times New Roman" w:cs="Times New Roman" w:ascii="Times New Roman" w:hAnsi="Times New Roman"/>
          <w:b/>
          <w:sz w:val="32"/>
          <w:szCs w:val="32"/>
        </w:rPr>
      </w:r>
    </w:p>
    <w:p>
      <w:pPr>
        <w:pStyle w:val="Normal"/>
        <w:spacing w:lineRule="auto" w:line="360"/>
        <w:jc w:val="center"/>
        <w:rPr>
          <w:rFonts w:ascii="Times New Roman" w:hAnsi="Times New Roman" w:eastAsia="Times New Roman" w:cs="Times New Roman"/>
          <w:b/>
          <w:sz w:val="32"/>
          <w:szCs w:val="32"/>
        </w:rPr>
      </w:pPr>
      <w:r>
        <w:rPr>
          <w:rFonts w:eastAsia="Times New Roman" w:cs="Times New Roman" w:ascii="Times New Roman" w:hAnsi="Times New Roman"/>
          <w:b/>
          <w:sz w:val="32"/>
          <w:szCs w:val="32"/>
        </w:rPr>
        <w:t xml:space="preserve">CORPORATE FINANCE </w:t>
      </w:r>
    </w:p>
    <w:p>
      <w:pPr>
        <w:pStyle w:val="Normal"/>
        <w:spacing w:lineRule="auto" w:line="360"/>
        <w:jc w:val="center"/>
        <w:rPr>
          <w:rFonts w:ascii="Times New Roman" w:hAnsi="Times New Roman" w:eastAsia="Times New Roman" w:cs="Times New Roman"/>
          <w:b/>
          <w:sz w:val="32"/>
          <w:szCs w:val="32"/>
        </w:rPr>
      </w:pPr>
      <w:r>
        <w:rPr>
          <w:rFonts w:eastAsia="Times New Roman" w:cs="Times New Roman" w:ascii="Times New Roman" w:hAnsi="Times New Roman"/>
          <w:b/>
          <w:sz w:val="32"/>
          <w:szCs w:val="32"/>
        </w:rPr>
        <w:t>(LCMB7005)</w:t>
      </w:r>
    </w:p>
    <w:p>
      <w:pPr>
        <w:pStyle w:val="Normal"/>
        <w:spacing w:lineRule="auto" w:line="360"/>
        <w:jc w:val="both"/>
        <w:rPr>
          <w:rFonts w:ascii="Times New Roman" w:hAnsi="Times New Roman" w:eastAsia="Times New Roman" w:cs="Times New Roman"/>
          <w:b/>
          <w:sz w:val="32"/>
          <w:szCs w:val="32"/>
        </w:rPr>
      </w:pPr>
      <w:r>
        <w:rPr>
          <w:rFonts w:eastAsia="Times New Roman" w:cs="Times New Roman" w:ascii="Times New Roman" w:hAnsi="Times New Roman"/>
          <w:b/>
          <w:sz w:val="32"/>
          <w:szCs w:val="32"/>
        </w:rPr>
      </w:r>
    </w:p>
    <w:p>
      <w:pPr>
        <w:pStyle w:val="Normal"/>
        <w:spacing w:lineRule="auto" w:line="360"/>
        <w:jc w:val="both"/>
        <w:rPr>
          <w:rFonts w:ascii="Times New Roman" w:hAnsi="Times New Roman" w:eastAsia="Times New Roman" w:cs="Times New Roman"/>
          <w:b/>
          <w:sz w:val="32"/>
          <w:szCs w:val="32"/>
        </w:rPr>
      </w:pPr>
      <w:r>
        <w:rPr>
          <w:rFonts w:eastAsia="Times New Roman" w:cs="Times New Roman" w:ascii="Times New Roman" w:hAnsi="Times New Roman"/>
          <w:b/>
          <w:sz w:val="32"/>
          <w:szCs w:val="32"/>
        </w:rPr>
      </w:r>
    </w:p>
    <w:p>
      <w:pPr>
        <w:pStyle w:val="Normal"/>
        <w:spacing w:lineRule="auto" w:line="360"/>
        <w:jc w:val="both"/>
        <w:rPr>
          <w:rFonts w:ascii="Times New Roman" w:hAnsi="Times New Roman" w:eastAsia="Times New Roman" w:cs="Times New Roman"/>
          <w:b/>
          <w:sz w:val="32"/>
          <w:szCs w:val="32"/>
        </w:rPr>
      </w:pPr>
      <w:r>
        <w:rPr>
          <w:rFonts w:eastAsia="Times New Roman" w:cs="Times New Roman" w:ascii="Times New Roman" w:hAnsi="Times New Roman"/>
          <w:b/>
          <w:sz w:val="32"/>
          <w:szCs w:val="32"/>
        </w:rPr>
        <w:t>COMPANY: UBER</w:t>
      </w:r>
    </w:p>
    <w:p>
      <w:pPr>
        <w:pStyle w:val="Normal"/>
        <w:spacing w:lineRule="auto" w:line="360"/>
        <w:jc w:val="center"/>
        <w:rPr>
          <w:rFonts w:ascii="Times New Roman" w:hAnsi="Times New Roman" w:eastAsia="Times New Roman" w:cs="Times New Roman"/>
          <w:b/>
          <w:sz w:val="32"/>
          <w:szCs w:val="32"/>
        </w:rPr>
      </w:pPr>
      <w:r>
        <w:rPr/>
        <w:drawing>
          <wp:inline distT="0" distB="0" distL="0" distR="0">
            <wp:extent cx="2157730" cy="2157730"/>
            <wp:effectExtent l="0" t="0" r="0" b="0"/>
            <wp:docPr id="2" name="image1.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descr=""/>
                    <pic:cNvPicPr>
                      <a:picLocks noChangeAspect="1" noChangeArrowheads="1"/>
                    </pic:cNvPicPr>
                  </pic:nvPicPr>
                  <pic:blipFill>
                    <a:blip r:embed="rId3"/>
                    <a:stretch>
                      <a:fillRect/>
                    </a:stretch>
                  </pic:blipFill>
                  <pic:spPr bwMode="auto">
                    <a:xfrm>
                      <a:off x="0" y="0"/>
                      <a:ext cx="2157730" cy="2157730"/>
                    </a:xfrm>
                    <a:prstGeom prst="rect">
                      <a:avLst/>
                    </a:prstGeom>
                  </pic:spPr>
                </pic:pic>
              </a:graphicData>
            </a:graphic>
          </wp:inline>
        </w:drawing>
      </w:r>
    </w:p>
    <w:p>
      <w:pPr>
        <w:pStyle w:val="Normal"/>
        <w:spacing w:lineRule="auto" w:line="360"/>
        <w:rPr>
          <w:rFonts w:ascii="Times New Roman" w:hAnsi="Times New Roman" w:eastAsia="Times New Roman" w:cs="Times New Roman"/>
          <w:sz w:val="24"/>
          <w:szCs w:val="24"/>
        </w:rPr>
      </w:pPr>
      <w:r>
        <w:rPr>
          <w:rFonts w:eastAsia="Times New Roman" w:cs="Times New Roman" w:ascii="Times New Roman" w:hAnsi="Times New Roman"/>
          <w:sz w:val="24"/>
          <w:szCs w:val="24"/>
        </w:rPr>
      </w:r>
      <w:bookmarkStart w:id="0" w:name="_7zidu1ftxwlt"/>
      <w:bookmarkStart w:id="1" w:name="_7zidu1ftxwlt"/>
      <w:bookmarkEnd w:id="1"/>
    </w:p>
    <w:sdt>
      <w:sdtPr>
        <w:docPartObj>
          <w:docPartGallery w:val="Table of Contents"/>
          <w:docPartUnique w:val="true"/>
        </w:docPartObj>
      </w:sdtPr>
      <w:sdtContent>
        <w:p>
          <w:pPr>
            <w:pStyle w:val="ContentsHeading"/>
            <w:spacing w:lineRule="auto" w:line="360"/>
            <w:jc w:val="center"/>
            <w:rPr>
              <w:rFonts w:ascii="Times New Roman" w:hAnsi="Times New Roman" w:cs="Times New Roman"/>
              <w:color w:val="000000" w:themeColor="text1"/>
              <w:sz w:val="24"/>
              <w:szCs w:val="24"/>
            </w:rPr>
          </w:pPr>
          <w:r>
            <w:br w:type="page"/>
          </w:r>
          <w:r>
            <w:rPr>
              <w:rFonts w:cs="Times New Roman" w:ascii="Times New Roman" w:hAnsi="Times New Roman"/>
              <w:color w:val="000000" w:themeColor="text1"/>
              <w:sz w:val="24"/>
              <w:szCs w:val="24"/>
            </w:rPr>
            <w:t>Table of Contents</w:t>
          </w:r>
        </w:p>
        <w:p>
          <w:pPr>
            <w:pStyle w:val="Contents1"/>
            <w:tabs>
              <w:tab w:val="clear" w:pos="720"/>
              <w:tab w:val="right" w:pos="9350" w:leader="dot"/>
            </w:tabs>
            <w:spacing w:lineRule="auto" w:line="360"/>
            <w:jc w:val="center"/>
            <w:rPr>
              <w:rFonts w:ascii="Times New Roman" w:hAnsi="Times New Roman" w:eastAsia="" w:cs="Times New Roman" w:eastAsiaTheme="minorEastAsia"/>
              <w:color w:val="000000" w:themeColor="text1"/>
              <w:sz w:val="24"/>
              <w:szCs w:val="24"/>
              <w:lang w:val="en-IN"/>
            </w:rPr>
          </w:pPr>
          <w:r>
            <w:fldChar w:fldCharType="begin"/>
          </w:r>
          <w:r>
            <w:rPr>
              <w:webHidden/>
              <w:rStyle w:val="IndexLink"/>
              <w:sz w:val="24"/>
              <w:szCs w:val="24"/>
              <w:rFonts w:cs="Times New Roman" w:ascii="Times New Roman" w:hAnsi="Times New Roman"/>
              <w:color w:val="000000"/>
            </w:rPr>
            <w:instrText xml:space="preserve"> TOC \z \o "1-3" \u \h</w:instrText>
          </w:r>
          <w:r>
            <w:rPr>
              <w:webHidden/>
              <w:rStyle w:val="IndexLink"/>
              <w:sz w:val="24"/>
              <w:szCs w:val="24"/>
              <w:rFonts w:cs="Times New Roman" w:ascii="Times New Roman" w:hAnsi="Times New Roman"/>
              <w:color w:val="000000"/>
            </w:rPr>
            <w:fldChar w:fldCharType="separate"/>
          </w:r>
          <w:hyperlink w:anchor="_Toc164766798">
            <w:r>
              <w:rPr>
                <w:webHidden/>
                <w:rStyle w:val="IndexLink"/>
                <w:rFonts w:cs="Times New Roman" w:ascii="Times New Roman" w:hAnsi="Times New Roman"/>
                <w:color w:val="000000" w:themeColor="text1"/>
                <w:sz w:val="24"/>
                <w:szCs w:val="24"/>
              </w:rPr>
              <w:t>Part A</w:t>
            </w:r>
            <w:r>
              <w:rPr>
                <w:webHidden/>
              </w:rPr>
              <w:fldChar w:fldCharType="begin"/>
            </w:r>
            <w:r>
              <w:rPr>
                <w:webHidden/>
              </w:rPr>
              <w:instrText xml:space="preserve">PAGEREF _Toc164766798 \h</w:instrText>
            </w:r>
            <w:r>
              <w:rPr>
                <w:webHidden/>
              </w:rPr>
              <w:fldChar w:fldCharType="separate"/>
            </w:r>
            <w:r>
              <w:rPr>
                <w:rStyle w:val="IndexLink"/>
                <w:rFonts w:cs="Times New Roman" w:ascii="Times New Roman" w:hAnsi="Times New Roman"/>
                <w:vanish w:val="false"/>
                <w:color w:val="000000" w:themeColor="text1"/>
                <w:sz w:val="24"/>
                <w:szCs w:val="24"/>
              </w:rPr>
              <w:tab/>
              <w:t>3</w:t>
            </w:r>
            <w:r>
              <w:rPr>
                <w:webHidden/>
              </w:rPr>
              <w:fldChar w:fldCharType="end"/>
            </w:r>
          </w:hyperlink>
        </w:p>
        <w:p>
          <w:pPr>
            <w:pStyle w:val="Contents2"/>
            <w:tabs>
              <w:tab w:val="clear" w:pos="720"/>
              <w:tab w:val="right" w:pos="9350" w:leader="dot"/>
            </w:tabs>
            <w:spacing w:lineRule="auto" w:line="360"/>
            <w:jc w:val="center"/>
            <w:rPr>
              <w:rFonts w:ascii="Times New Roman" w:hAnsi="Times New Roman" w:eastAsia="" w:cs="Times New Roman" w:eastAsiaTheme="minorEastAsia"/>
              <w:color w:val="000000" w:themeColor="text1"/>
              <w:sz w:val="24"/>
              <w:szCs w:val="24"/>
              <w:lang w:val="en-IN"/>
            </w:rPr>
          </w:pPr>
          <w:hyperlink w:anchor="_Toc164766799">
            <w:r>
              <w:rPr>
                <w:webHidden/>
                <w:rStyle w:val="IndexLink"/>
                <w:rFonts w:cs="Times New Roman" w:ascii="Times New Roman" w:hAnsi="Times New Roman"/>
                <w:color w:val="000000" w:themeColor="text1"/>
                <w:sz w:val="24"/>
                <w:szCs w:val="24"/>
              </w:rPr>
              <w:t>Overview of the company</w:t>
            </w:r>
            <w:r>
              <w:rPr>
                <w:webHidden/>
              </w:rPr>
              <w:fldChar w:fldCharType="begin"/>
            </w:r>
            <w:r>
              <w:rPr>
                <w:webHidden/>
              </w:rPr>
              <w:instrText xml:space="preserve">PAGEREF _Toc164766799 \h</w:instrText>
            </w:r>
            <w:r>
              <w:rPr>
                <w:webHidden/>
              </w:rPr>
              <w:fldChar w:fldCharType="separate"/>
            </w:r>
            <w:r>
              <w:rPr>
                <w:rStyle w:val="IndexLink"/>
                <w:rFonts w:cs="Times New Roman" w:ascii="Times New Roman" w:hAnsi="Times New Roman"/>
                <w:vanish w:val="false"/>
                <w:color w:val="000000" w:themeColor="text1"/>
                <w:sz w:val="24"/>
                <w:szCs w:val="24"/>
              </w:rPr>
              <w:tab/>
              <w:t>3</w:t>
            </w:r>
            <w:r>
              <w:rPr>
                <w:webHidden/>
              </w:rPr>
              <w:fldChar w:fldCharType="end"/>
            </w:r>
          </w:hyperlink>
        </w:p>
        <w:p>
          <w:pPr>
            <w:pStyle w:val="Contents1"/>
            <w:tabs>
              <w:tab w:val="clear" w:pos="720"/>
              <w:tab w:val="right" w:pos="9350" w:leader="dot"/>
            </w:tabs>
            <w:spacing w:lineRule="auto" w:line="360"/>
            <w:jc w:val="center"/>
            <w:rPr>
              <w:rFonts w:ascii="Times New Roman" w:hAnsi="Times New Roman" w:eastAsia="" w:cs="Times New Roman" w:eastAsiaTheme="minorEastAsia"/>
              <w:color w:val="000000" w:themeColor="text1"/>
              <w:sz w:val="24"/>
              <w:szCs w:val="24"/>
              <w:lang w:val="en-IN"/>
            </w:rPr>
          </w:pPr>
          <w:hyperlink w:anchor="_Toc164766800">
            <w:r>
              <w:rPr>
                <w:webHidden/>
                <w:rStyle w:val="IndexLink"/>
                <w:rFonts w:cs="Times New Roman" w:ascii="Times New Roman" w:hAnsi="Times New Roman"/>
                <w:color w:val="000000" w:themeColor="text1"/>
                <w:sz w:val="24"/>
                <w:szCs w:val="24"/>
              </w:rPr>
              <w:t>Part B</w:t>
            </w:r>
            <w:r>
              <w:rPr>
                <w:webHidden/>
              </w:rPr>
              <w:fldChar w:fldCharType="begin"/>
            </w:r>
            <w:r>
              <w:rPr>
                <w:webHidden/>
              </w:rPr>
              <w:instrText xml:space="preserve">PAGEREF _Toc164766800 \h</w:instrText>
            </w:r>
            <w:r>
              <w:rPr>
                <w:webHidden/>
              </w:rPr>
              <w:fldChar w:fldCharType="separate"/>
            </w:r>
            <w:r>
              <w:rPr>
                <w:rStyle w:val="IndexLink"/>
                <w:rFonts w:cs="Times New Roman" w:ascii="Times New Roman" w:hAnsi="Times New Roman"/>
                <w:vanish w:val="false"/>
                <w:color w:val="000000" w:themeColor="text1"/>
                <w:sz w:val="24"/>
                <w:szCs w:val="24"/>
              </w:rPr>
              <w:tab/>
              <w:t>4</w:t>
            </w:r>
            <w:r>
              <w:rPr>
                <w:webHidden/>
              </w:rPr>
              <w:fldChar w:fldCharType="end"/>
            </w:r>
          </w:hyperlink>
        </w:p>
        <w:p>
          <w:pPr>
            <w:pStyle w:val="Contents2"/>
            <w:tabs>
              <w:tab w:val="clear" w:pos="720"/>
              <w:tab w:val="right" w:pos="9350" w:leader="dot"/>
            </w:tabs>
            <w:spacing w:lineRule="auto" w:line="360"/>
            <w:jc w:val="center"/>
            <w:rPr>
              <w:rFonts w:ascii="Times New Roman" w:hAnsi="Times New Roman" w:eastAsia="" w:cs="Times New Roman" w:eastAsiaTheme="minorEastAsia"/>
              <w:color w:val="000000" w:themeColor="text1"/>
              <w:sz w:val="24"/>
              <w:szCs w:val="24"/>
              <w:lang w:val="en-IN"/>
            </w:rPr>
          </w:pPr>
          <w:hyperlink w:anchor="_Toc164766801">
            <w:r>
              <w:rPr>
                <w:webHidden/>
                <w:rStyle w:val="IndexLink"/>
                <w:rFonts w:cs="Times New Roman" w:ascii="Times New Roman" w:hAnsi="Times New Roman"/>
                <w:color w:val="000000" w:themeColor="text1"/>
                <w:sz w:val="24"/>
                <w:szCs w:val="24"/>
              </w:rPr>
              <w:t>Liquidity and leverage ratios for Uber</w:t>
            </w:r>
            <w:r>
              <w:rPr>
                <w:webHidden/>
              </w:rPr>
              <w:fldChar w:fldCharType="begin"/>
            </w:r>
            <w:r>
              <w:rPr>
                <w:webHidden/>
              </w:rPr>
              <w:instrText xml:space="preserve">PAGEREF _Toc164766801 \h</w:instrText>
            </w:r>
            <w:r>
              <w:rPr>
                <w:webHidden/>
              </w:rPr>
              <w:fldChar w:fldCharType="separate"/>
            </w:r>
            <w:r>
              <w:rPr>
                <w:rStyle w:val="IndexLink"/>
                <w:rFonts w:cs="Times New Roman" w:ascii="Times New Roman" w:hAnsi="Times New Roman"/>
                <w:vanish w:val="false"/>
                <w:color w:val="000000" w:themeColor="text1"/>
                <w:sz w:val="24"/>
                <w:szCs w:val="24"/>
              </w:rPr>
              <w:tab/>
              <w:t>4</w:t>
            </w:r>
            <w:r>
              <w:rPr>
                <w:webHidden/>
              </w:rPr>
              <w:fldChar w:fldCharType="end"/>
            </w:r>
          </w:hyperlink>
        </w:p>
        <w:p>
          <w:pPr>
            <w:pStyle w:val="Contents2"/>
            <w:tabs>
              <w:tab w:val="clear" w:pos="720"/>
              <w:tab w:val="right" w:pos="9350" w:leader="dot"/>
            </w:tabs>
            <w:spacing w:lineRule="auto" w:line="360"/>
            <w:jc w:val="center"/>
            <w:rPr>
              <w:rFonts w:ascii="Times New Roman" w:hAnsi="Times New Roman" w:eastAsia="" w:cs="Times New Roman" w:eastAsiaTheme="minorEastAsia"/>
              <w:color w:val="000000" w:themeColor="text1"/>
              <w:sz w:val="24"/>
              <w:szCs w:val="24"/>
              <w:lang w:val="en-IN"/>
            </w:rPr>
          </w:pPr>
          <w:hyperlink w:anchor="_Toc164766802">
            <w:r>
              <w:rPr>
                <w:webHidden/>
                <w:rStyle w:val="IndexLink"/>
                <w:rFonts w:cs="Times New Roman" w:ascii="Times New Roman" w:hAnsi="Times New Roman"/>
                <w:color w:val="000000" w:themeColor="text1"/>
                <w:sz w:val="24"/>
                <w:szCs w:val="24"/>
              </w:rPr>
              <w:t>Critical analysis</w:t>
            </w:r>
            <w:r>
              <w:rPr>
                <w:webHidden/>
              </w:rPr>
              <w:fldChar w:fldCharType="begin"/>
            </w:r>
            <w:r>
              <w:rPr>
                <w:webHidden/>
              </w:rPr>
              <w:instrText xml:space="preserve">PAGEREF _Toc164766802 \h</w:instrText>
            </w:r>
            <w:r>
              <w:rPr>
                <w:webHidden/>
              </w:rPr>
              <w:fldChar w:fldCharType="separate"/>
            </w:r>
            <w:r>
              <w:rPr>
                <w:rStyle w:val="IndexLink"/>
                <w:rFonts w:cs="Times New Roman" w:ascii="Times New Roman" w:hAnsi="Times New Roman"/>
                <w:vanish w:val="false"/>
                <w:color w:val="000000" w:themeColor="text1"/>
                <w:sz w:val="24"/>
                <w:szCs w:val="24"/>
              </w:rPr>
              <w:tab/>
              <w:t>6</w:t>
            </w:r>
            <w:r>
              <w:rPr>
                <w:webHidden/>
              </w:rPr>
              <w:fldChar w:fldCharType="end"/>
            </w:r>
          </w:hyperlink>
        </w:p>
        <w:p>
          <w:pPr>
            <w:pStyle w:val="Contents2"/>
            <w:tabs>
              <w:tab w:val="clear" w:pos="720"/>
              <w:tab w:val="right" w:pos="9350" w:leader="dot"/>
            </w:tabs>
            <w:spacing w:lineRule="auto" w:line="360"/>
            <w:jc w:val="center"/>
            <w:rPr>
              <w:rFonts w:ascii="Times New Roman" w:hAnsi="Times New Roman" w:eastAsia="" w:cs="Times New Roman" w:eastAsiaTheme="minorEastAsia"/>
              <w:color w:val="000000" w:themeColor="text1"/>
              <w:sz w:val="24"/>
              <w:szCs w:val="24"/>
              <w:lang w:val="en-IN"/>
            </w:rPr>
          </w:pPr>
          <w:hyperlink w:anchor="_Toc164766803">
            <w:r>
              <w:rPr>
                <w:webHidden/>
                <w:rStyle w:val="IndexLink"/>
                <w:rFonts w:cs="Times New Roman" w:ascii="Times New Roman" w:hAnsi="Times New Roman"/>
                <w:color w:val="000000" w:themeColor="text1"/>
                <w:sz w:val="24"/>
                <w:szCs w:val="24"/>
              </w:rPr>
              <w:t>Comparison of the financial ratios</w:t>
            </w:r>
            <w:r>
              <w:rPr>
                <w:webHidden/>
              </w:rPr>
              <w:fldChar w:fldCharType="begin"/>
            </w:r>
            <w:r>
              <w:rPr>
                <w:webHidden/>
              </w:rPr>
              <w:instrText xml:space="preserve">PAGEREF _Toc164766803 \h</w:instrText>
            </w:r>
            <w:r>
              <w:rPr>
                <w:webHidden/>
              </w:rPr>
              <w:fldChar w:fldCharType="separate"/>
            </w:r>
            <w:r>
              <w:rPr>
                <w:rStyle w:val="IndexLink"/>
                <w:rFonts w:cs="Times New Roman" w:ascii="Times New Roman" w:hAnsi="Times New Roman"/>
                <w:vanish w:val="false"/>
                <w:color w:val="000000" w:themeColor="text1"/>
                <w:sz w:val="24"/>
                <w:szCs w:val="24"/>
              </w:rPr>
              <w:tab/>
              <w:t>13</w:t>
            </w:r>
            <w:r>
              <w:rPr>
                <w:webHidden/>
              </w:rPr>
              <w:fldChar w:fldCharType="end"/>
            </w:r>
          </w:hyperlink>
        </w:p>
        <w:p>
          <w:pPr>
            <w:pStyle w:val="Contents2"/>
            <w:tabs>
              <w:tab w:val="clear" w:pos="720"/>
              <w:tab w:val="right" w:pos="9350" w:leader="dot"/>
            </w:tabs>
            <w:spacing w:lineRule="auto" w:line="360"/>
            <w:jc w:val="center"/>
            <w:rPr>
              <w:rFonts w:ascii="Times New Roman" w:hAnsi="Times New Roman" w:eastAsia="" w:cs="Times New Roman" w:eastAsiaTheme="minorEastAsia"/>
              <w:color w:val="000000" w:themeColor="text1"/>
              <w:sz w:val="24"/>
              <w:szCs w:val="24"/>
              <w:lang w:val="en-IN"/>
            </w:rPr>
          </w:pPr>
          <w:hyperlink w:anchor="_Toc164766804">
            <w:r>
              <w:rPr>
                <w:webHidden/>
                <w:rStyle w:val="IndexLink"/>
                <w:rFonts w:cs="Times New Roman" w:ascii="Times New Roman" w:hAnsi="Times New Roman"/>
                <w:color w:val="000000" w:themeColor="text1"/>
                <w:sz w:val="24"/>
                <w:szCs w:val="24"/>
              </w:rPr>
              <w:t>Capital structure theory</w:t>
            </w:r>
            <w:r>
              <w:rPr>
                <w:webHidden/>
              </w:rPr>
              <w:fldChar w:fldCharType="begin"/>
            </w:r>
            <w:r>
              <w:rPr>
                <w:webHidden/>
              </w:rPr>
              <w:instrText xml:space="preserve">PAGEREF _Toc164766804 \h</w:instrText>
            </w:r>
            <w:r>
              <w:rPr>
                <w:webHidden/>
              </w:rPr>
              <w:fldChar w:fldCharType="separate"/>
            </w:r>
            <w:r>
              <w:rPr>
                <w:rStyle w:val="IndexLink"/>
                <w:rFonts w:cs="Times New Roman" w:ascii="Times New Roman" w:hAnsi="Times New Roman"/>
                <w:vanish w:val="false"/>
                <w:color w:val="000000" w:themeColor="text1"/>
                <w:sz w:val="24"/>
                <w:szCs w:val="24"/>
              </w:rPr>
              <w:tab/>
              <w:t>17</w:t>
            </w:r>
            <w:r>
              <w:rPr>
                <w:webHidden/>
              </w:rPr>
              <w:fldChar w:fldCharType="end"/>
            </w:r>
          </w:hyperlink>
        </w:p>
        <w:p>
          <w:pPr>
            <w:pStyle w:val="Contents2"/>
            <w:tabs>
              <w:tab w:val="clear" w:pos="720"/>
              <w:tab w:val="right" w:pos="9350" w:leader="dot"/>
            </w:tabs>
            <w:spacing w:lineRule="auto" w:line="360"/>
            <w:jc w:val="center"/>
            <w:rPr>
              <w:rFonts w:ascii="Times New Roman" w:hAnsi="Times New Roman" w:eastAsia="" w:cs="Times New Roman" w:eastAsiaTheme="minorEastAsia"/>
              <w:color w:val="000000" w:themeColor="text1"/>
              <w:sz w:val="24"/>
              <w:szCs w:val="24"/>
              <w:lang w:val="en-IN"/>
            </w:rPr>
          </w:pPr>
          <w:hyperlink w:anchor="_Toc164766805">
            <w:r>
              <w:rPr>
                <w:webHidden/>
                <w:rStyle w:val="IndexLink"/>
                <w:rFonts w:cs="Times New Roman" w:ascii="Times New Roman" w:hAnsi="Times New Roman"/>
                <w:color w:val="000000" w:themeColor="text1"/>
                <w:sz w:val="24"/>
                <w:szCs w:val="24"/>
              </w:rPr>
              <w:t>Comment on UBER</w:t>
            </w:r>
            <w:r>
              <w:rPr>
                <w:webHidden/>
              </w:rPr>
              <w:fldChar w:fldCharType="begin"/>
            </w:r>
            <w:r>
              <w:rPr>
                <w:webHidden/>
              </w:rPr>
              <w:instrText xml:space="preserve">PAGEREF _Toc164766805 \h</w:instrText>
            </w:r>
            <w:r>
              <w:rPr>
                <w:webHidden/>
              </w:rPr>
              <w:fldChar w:fldCharType="separate"/>
            </w:r>
            <w:r>
              <w:rPr>
                <w:rStyle w:val="IndexLink"/>
                <w:rFonts w:cs="Times New Roman" w:ascii="Times New Roman" w:hAnsi="Times New Roman"/>
                <w:vanish w:val="false"/>
                <w:color w:val="000000" w:themeColor="text1"/>
                <w:sz w:val="24"/>
                <w:szCs w:val="24"/>
              </w:rPr>
              <w:tab/>
              <w:t>18</w:t>
            </w:r>
            <w:r>
              <w:rPr>
                <w:webHidden/>
              </w:rPr>
              <w:fldChar w:fldCharType="end"/>
            </w:r>
          </w:hyperlink>
        </w:p>
        <w:p>
          <w:pPr>
            <w:pStyle w:val="Contents2"/>
            <w:tabs>
              <w:tab w:val="clear" w:pos="720"/>
              <w:tab w:val="right" w:pos="9350" w:leader="dot"/>
            </w:tabs>
            <w:spacing w:lineRule="auto" w:line="360"/>
            <w:jc w:val="center"/>
            <w:rPr>
              <w:rFonts w:ascii="Times New Roman" w:hAnsi="Times New Roman" w:eastAsia="" w:cs="Times New Roman" w:eastAsiaTheme="minorEastAsia"/>
              <w:color w:val="000000" w:themeColor="text1"/>
              <w:sz w:val="24"/>
              <w:szCs w:val="24"/>
              <w:lang w:val="en-IN"/>
            </w:rPr>
          </w:pPr>
          <w:hyperlink w:anchor="_Toc164766806">
            <w:r>
              <w:rPr>
                <w:webHidden/>
                <w:rStyle w:val="IndexLink"/>
                <w:rFonts w:cs="Times New Roman" w:ascii="Times New Roman" w:hAnsi="Times New Roman"/>
                <w:color w:val="000000" w:themeColor="text1"/>
                <w:sz w:val="24"/>
                <w:szCs w:val="24"/>
              </w:rPr>
              <w:t>Average annual share returns</w:t>
            </w:r>
            <w:r>
              <w:rPr>
                <w:webHidden/>
              </w:rPr>
              <w:fldChar w:fldCharType="begin"/>
            </w:r>
            <w:r>
              <w:rPr>
                <w:webHidden/>
              </w:rPr>
              <w:instrText xml:space="preserve">PAGEREF _Toc164766806 \h</w:instrText>
            </w:r>
            <w:r>
              <w:rPr>
                <w:webHidden/>
              </w:rPr>
              <w:fldChar w:fldCharType="separate"/>
            </w:r>
            <w:r>
              <w:rPr>
                <w:rStyle w:val="IndexLink"/>
                <w:rFonts w:cs="Times New Roman" w:ascii="Times New Roman" w:hAnsi="Times New Roman"/>
                <w:vanish w:val="false"/>
                <w:color w:val="000000" w:themeColor="text1"/>
                <w:sz w:val="24"/>
                <w:szCs w:val="24"/>
              </w:rPr>
              <w:tab/>
              <w:t>18</w:t>
            </w:r>
            <w:r>
              <w:rPr>
                <w:webHidden/>
              </w:rPr>
              <w:fldChar w:fldCharType="end"/>
            </w:r>
          </w:hyperlink>
        </w:p>
        <w:p>
          <w:pPr>
            <w:pStyle w:val="Contents1"/>
            <w:tabs>
              <w:tab w:val="clear" w:pos="720"/>
              <w:tab w:val="right" w:pos="9350" w:leader="dot"/>
            </w:tabs>
            <w:spacing w:lineRule="auto" w:line="360"/>
            <w:jc w:val="center"/>
            <w:rPr>
              <w:rFonts w:ascii="Times New Roman" w:hAnsi="Times New Roman" w:eastAsia="" w:cs="Times New Roman" w:eastAsiaTheme="minorEastAsia"/>
              <w:color w:val="000000" w:themeColor="text1"/>
              <w:sz w:val="24"/>
              <w:szCs w:val="24"/>
              <w:lang w:val="en-IN"/>
            </w:rPr>
          </w:pPr>
          <w:hyperlink w:anchor="_Toc164766807">
            <w:r>
              <w:rPr>
                <w:webHidden/>
                <w:rStyle w:val="IndexLink"/>
                <w:rFonts w:cs="Times New Roman" w:ascii="Times New Roman" w:hAnsi="Times New Roman"/>
                <w:color w:val="000000" w:themeColor="text1"/>
                <w:sz w:val="24"/>
                <w:szCs w:val="24"/>
              </w:rPr>
              <w:t>Part C</w:t>
            </w:r>
            <w:r>
              <w:rPr>
                <w:webHidden/>
              </w:rPr>
              <w:fldChar w:fldCharType="begin"/>
            </w:r>
            <w:r>
              <w:rPr>
                <w:webHidden/>
              </w:rPr>
              <w:instrText xml:space="preserve">PAGEREF _Toc164766807 \h</w:instrText>
            </w:r>
            <w:r>
              <w:rPr>
                <w:webHidden/>
              </w:rPr>
              <w:fldChar w:fldCharType="separate"/>
            </w:r>
            <w:r>
              <w:rPr>
                <w:rStyle w:val="IndexLink"/>
                <w:rFonts w:cs="Times New Roman" w:ascii="Times New Roman" w:hAnsi="Times New Roman"/>
                <w:vanish w:val="false"/>
                <w:color w:val="000000" w:themeColor="text1"/>
                <w:sz w:val="24"/>
                <w:szCs w:val="24"/>
              </w:rPr>
              <w:tab/>
              <w:t>21</w:t>
            </w:r>
            <w:r>
              <w:rPr>
                <w:webHidden/>
              </w:rPr>
              <w:fldChar w:fldCharType="end"/>
            </w:r>
          </w:hyperlink>
        </w:p>
        <w:p>
          <w:pPr>
            <w:pStyle w:val="Contents2"/>
            <w:tabs>
              <w:tab w:val="clear" w:pos="720"/>
              <w:tab w:val="right" w:pos="9350" w:leader="dot"/>
            </w:tabs>
            <w:spacing w:lineRule="auto" w:line="360"/>
            <w:jc w:val="center"/>
            <w:rPr>
              <w:rFonts w:ascii="Times New Roman" w:hAnsi="Times New Roman" w:eastAsia="" w:cs="Times New Roman" w:eastAsiaTheme="minorEastAsia"/>
              <w:color w:val="000000" w:themeColor="text1"/>
              <w:sz w:val="24"/>
              <w:szCs w:val="24"/>
              <w:lang w:val="en-IN"/>
            </w:rPr>
          </w:pPr>
          <w:hyperlink w:anchor="_Toc164766808">
            <w:r>
              <w:rPr>
                <w:webHidden/>
                <w:rStyle w:val="IndexLink"/>
                <w:rFonts w:cs="Times New Roman" w:ascii="Times New Roman" w:hAnsi="Times New Roman"/>
                <w:color w:val="000000" w:themeColor="text1"/>
                <w:sz w:val="24"/>
                <w:szCs w:val="24"/>
              </w:rPr>
              <w:t>Largest recent investment activities</w:t>
            </w:r>
            <w:r>
              <w:rPr>
                <w:webHidden/>
              </w:rPr>
              <w:fldChar w:fldCharType="begin"/>
            </w:r>
            <w:r>
              <w:rPr>
                <w:webHidden/>
              </w:rPr>
              <w:instrText xml:space="preserve">PAGEREF _Toc164766808 \h</w:instrText>
            </w:r>
            <w:r>
              <w:rPr>
                <w:webHidden/>
              </w:rPr>
              <w:fldChar w:fldCharType="separate"/>
            </w:r>
            <w:r>
              <w:rPr>
                <w:rStyle w:val="IndexLink"/>
                <w:rFonts w:cs="Times New Roman" w:ascii="Times New Roman" w:hAnsi="Times New Roman"/>
                <w:vanish w:val="false"/>
                <w:color w:val="000000" w:themeColor="text1"/>
                <w:sz w:val="24"/>
                <w:szCs w:val="24"/>
              </w:rPr>
              <w:tab/>
              <w:t>21</w:t>
            </w:r>
            <w:r>
              <w:rPr>
                <w:webHidden/>
              </w:rPr>
              <w:fldChar w:fldCharType="end"/>
            </w:r>
          </w:hyperlink>
        </w:p>
        <w:p>
          <w:pPr>
            <w:pStyle w:val="Contents3"/>
            <w:tabs>
              <w:tab w:val="clear" w:pos="720"/>
              <w:tab w:val="right" w:pos="9350" w:leader="dot"/>
            </w:tabs>
            <w:spacing w:lineRule="auto" w:line="360"/>
            <w:jc w:val="center"/>
            <w:rPr>
              <w:rFonts w:ascii="Times New Roman" w:hAnsi="Times New Roman" w:eastAsia="" w:cs="Times New Roman" w:eastAsiaTheme="minorEastAsia"/>
              <w:color w:val="000000" w:themeColor="text1"/>
              <w:sz w:val="24"/>
              <w:szCs w:val="24"/>
              <w:lang w:val="en-IN"/>
            </w:rPr>
          </w:pPr>
          <w:hyperlink w:anchor="_Toc164766809">
            <w:r>
              <w:rPr>
                <w:webHidden/>
                <w:rStyle w:val="IndexLink"/>
                <w:rFonts w:cs="Times New Roman" w:ascii="Times New Roman" w:hAnsi="Times New Roman"/>
                <w:color w:val="000000" w:themeColor="text1"/>
                <w:sz w:val="24"/>
                <w:szCs w:val="24"/>
              </w:rPr>
              <w:t>The purpose(s), aims and expected outcomes of this investment.</w:t>
            </w:r>
            <w:r>
              <w:rPr>
                <w:webHidden/>
              </w:rPr>
              <w:fldChar w:fldCharType="begin"/>
            </w:r>
            <w:r>
              <w:rPr>
                <w:webHidden/>
              </w:rPr>
              <w:instrText xml:space="preserve">PAGEREF _Toc164766809 \h</w:instrText>
            </w:r>
            <w:r>
              <w:rPr>
                <w:webHidden/>
              </w:rPr>
              <w:fldChar w:fldCharType="separate"/>
            </w:r>
            <w:r>
              <w:rPr>
                <w:rStyle w:val="IndexLink"/>
                <w:rFonts w:cs="Times New Roman" w:ascii="Times New Roman" w:hAnsi="Times New Roman"/>
                <w:vanish w:val="false"/>
                <w:color w:val="000000" w:themeColor="text1"/>
                <w:sz w:val="24"/>
                <w:szCs w:val="24"/>
              </w:rPr>
              <w:tab/>
              <w:t>21</w:t>
            </w:r>
            <w:r>
              <w:rPr>
                <w:webHidden/>
              </w:rPr>
              <w:fldChar w:fldCharType="end"/>
            </w:r>
          </w:hyperlink>
        </w:p>
        <w:p>
          <w:pPr>
            <w:pStyle w:val="Contents3"/>
            <w:tabs>
              <w:tab w:val="clear" w:pos="720"/>
              <w:tab w:val="right" w:pos="9350" w:leader="dot"/>
            </w:tabs>
            <w:spacing w:lineRule="auto" w:line="360"/>
            <w:jc w:val="center"/>
            <w:rPr>
              <w:rFonts w:ascii="Times New Roman" w:hAnsi="Times New Roman" w:eastAsia="" w:cs="Times New Roman" w:eastAsiaTheme="minorEastAsia"/>
              <w:color w:val="000000" w:themeColor="text1"/>
              <w:sz w:val="24"/>
              <w:szCs w:val="24"/>
              <w:lang w:val="en-IN"/>
            </w:rPr>
          </w:pPr>
          <w:hyperlink w:anchor="_Toc164766810">
            <w:r>
              <w:rPr>
                <w:webHidden/>
                <w:rStyle w:val="IndexLink"/>
                <w:rFonts w:cs="Times New Roman" w:ascii="Times New Roman" w:hAnsi="Times New Roman"/>
                <w:color w:val="000000" w:themeColor="text1"/>
                <w:sz w:val="24"/>
                <w:szCs w:val="24"/>
              </w:rPr>
              <w:t>The size of the investment, and how it was financed.</w:t>
            </w:r>
            <w:r>
              <w:rPr>
                <w:webHidden/>
              </w:rPr>
              <w:fldChar w:fldCharType="begin"/>
            </w:r>
            <w:r>
              <w:rPr>
                <w:webHidden/>
              </w:rPr>
              <w:instrText xml:space="preserve">PAGEREF _Toc164766810 \h</w:instrText>
            </w:r>
            <w:r>
              <w:rPr>
                <w:webHidden/>
              </w:rPr>
              <w:fldChar w:fldCharType="separate"/>
            </w:r>
            <w:r>
              <w:rPr>
                <w:rStyle w:val="IndexLink"/>
                <w:rFonts w:cs="Times New Roman" w:ascii="Times New Roman" w:hAnsi="Times New Roman"/>
                <w:vanish w:val="false"/>
                <w:color w:val="000000" w:themeColor="text1"/>
                <w:sz w:val="24"/>
                <w:szCs w:val="24"/>
              </w:rPr>
              <w:tab/>
              <w:t>22</w:t>
            </w:r>
            <w:r>
              <w:rPr>
                <w:webHidden/>
              </w:rPr>
              <w:fldChar w:fldCharType="end"/>
            </w:r>
          </w:hyperlink>
        </w:p>
        <w:p>
          <w:pPr>
            <w:pStyle w:val="Contents3"/>
            <w:tabs>
              <w:tab w:val="clear" w:pos="720"/>
              <w:tab w:val="right" w:pos="9350" w:leader="dot"/>
            </w:tabs>
            <w:spacing w:lineRule="auto" w:line="360"/>
            <w:jc w:val="center"/>
            <w:rPr>
              <w:rFonts w:ascii="Times New Roman" w:hAnsi="Times New Roman" w:eastAsia="" w:cs="Times New Roman" w:eastAsiaTheme="minorEastAsia"/>
              <w:color w:val="000000" w:themeColor="text1"/>
              <w:sz w:val="24"/>
              <w:szCs w:val="24"/>
              <w:lang w:val="en-IN"/>
            </w:rPr>
          </w:pPr>
          <w:hyperlink w:anchor="_Toc164766811">
            <w:r>
              <w:rPr>
                <w:webHidden/>
                <w:rStyle w:val="IndexLink"/>
                <w:rFonts w:cs="Times New Roman" w:ascii="Times New Roman" w:hAnsi="Times New Roman"/>
                <w:color w:val="000000" w:themeColor="text1"/>
                <w:sz w:val="24"/>
                <w:szCs w:val="24"/>
              </w:rPr>
              <w:t>The feasibility of the investment, in terms of its current business</w:t>
            </w:r>
            <w:r>
              <w:rPr>
                <w:webHidden/>
              </w:rPr>
              <w:fldChar w:fldCharType="begin"/>
            </w:r>
            <w:r>
              <w:rPr>
                <w:webHidden/>
              </w:rPr>
              <w:instrText xml:space="preserve">PAGEREF _Toc164766811 \h</w:instrText>
            </w:r>
            <w:r>
              <w:rPr>
                <w:webHidden/>
              </w:rPr>
              <w:fldChar w:fldCharType="separate"/>
            </w:r>
            <w:r>
              <w:rPr>
                <w:rStyle w:val="IndexLink"/>
                <w:rFonts w:cs="Times New Roman" w:ascii="Times New Roman" w:hAnsi="Times New Roman"/>
                <w:vanish w:val="false"/>
                <w:color w:val="000000" w:themeColor="text1"/>
                <w:sz w:val="24"/>
                <w:szCs w:val="24"/>
              </w:rPr>
              <w:tab/>
              <w:t>23</w:t>
            </w:r>
            <w:r>
              <w:rPr>
                <w:webHidden/>
              </w:rPr>
              <w:fldChar w:fldCharType="end"/>
            </w:r>
          </w:hyperlink>
        </w:p>
        <w:p>
          <w:pPr>
            <w:pStyle w:val="Contents3"/>
            <w:tabs>
              <w:tab w:val="clear" w:pos="720"/>
              <w:tab w:val="right" w:pos="9350" w:leader="dot"/>
            </w:tabs>
            <w:spacing w:lineRule="auto" w:line="360"/>
            <w:jc w:val="center"/>
            <w:rPr>
              <w:rFonts w:ascii="Times New Roman" w:hAnsi="Times New Roman" w:eastAsia="" w:cs="Times New Roman" w:eastAsiaTheme="minorEastAsia"/>
              <w:color w:val="000000" w:themeColor="text1"/>
              <w:sz w:val="24"/>
              <w:szCs w:val="24"/>
              <w:lang w:val="en-IN"/>
            </w:rPr>
          </w:pPr>
          <w:hyperlink w:anchor="_Toc164766812">
            <w:r>
              <w:rPr>
                <w:webHidden/>
                <w:rStyle w:val="IndexLink"/>
                <w:rFonts w:cs="Times New Roman" w:ascii="Times New Roman" w:hAnsi="Times New Roman"/>
                <w:color w:val="000000" w:themeColor="text1"/>
                <w:sz w:val="24"/>
                <w:szCs w:val="24"/>
              </w:rPr>
              <w:t>Current outcome of the investment: i.e. why it is successful</w:t>
            </w:r>
            <w:r>
              <w:rPr>
                <w:webHidden/>
              </w:rPr>
              <w:fldChar w:fldCharType="begin"/>
            </w:r>
            <w:r>
              <w:rPr>
                <w:webHidden/>
              </w:rPr>
              <w:instrText xml:space="preserve">PAGEREF _Toc164766812 \h</w:instrText>
            </w:r>
            <w:r>
              <w:rPr>
                <w:webHidden/>
              </w:rPr>
              <w:fldChar w:fldCharType="separate"/>
            </w:r>
            <w:r>
              <w:rPr>
                <w:rStyle w:val="IndexLink"/>
                <w:rFonts w:cs="Times New Roman" w:ascii="Times New Roman" w:hAnsi="Times New Roman"/>
                <w:vanish w:val="false"/>
                <w:color w:val="000000" w:themeColor="text1"/>
                <w:sz w:val="24"/>
                <w:szCs w:val="24"/>
              </w:rPr>
              <w:tab/>
              <w:t>24</w:t>
            </w:r>
            <w:r>
              <w:rPr>
                <w:webHidden/>
              </w:rPr>
              <w:fldChar w:fldCharType="end"/>
            </w:r>
          </w:hyperlink>
        </w:p>
        <w:p>
          <w:pPr>
            <w:pStyle w:val="Contents1"/>
            <w:tabs>
              <w:tab w:val="clear" w:pos="720"/>
              <w:tab w:val="right" w:pos="9350" w:leader="dot"/>
            </w:tabs>
            <w:spacing w:lineRule="auto" w:line="360"/>
            <w:jc w:val="center"/>
            <w:rPr>
              <w:rFonts w:ascii="Times New Roman" w:hAnsi="Times New Roman" w:eastAsia="" w:cs="Times New Roman" w:eastAsiaTheme="minorEastAsia"/>
              <w:color w:val="000000" w:themeColor="text1"/>
              <w:sz w:val="24"/>
              <w:szCs w:val="24"/>
              <w:lang w:val="en-IN"/>
            </w:rPr>
          </w:pPr>
          <w:hyperlink w:anchor="_Toc164766813">
            <w:r>
              <w:rPr>
                <w:webHidden/>
                <w:rStyle w:val="IndexLink"/>
                <w:rFonts w:cs="Times New Roman" w:ascii="Times New Roman" w:hAnsi="Times New Roman"/>
                <w:color w:val="000000" w:themeColor="text1"/>
                <w:sz w:val="24"/>
                <w:szCs w:val="24"/>
              </w:rPr>
              <w:t>References</w:t>
            </w:r>
            <w:r>
              <w:rPr>
                <w:webHidden/>
              </w:rPr>
              <w:fldChar w:fldCharType="begin"/>
            </w:r>
            <w:r>
              <w:rPr>
                <w:webHidden/>
              </w:rPr>
              <w:instrText xml:space="preserve">PAGEREF _Toc164766813 \h</w:instrText>
            </w:r>
            <w:r>
              <w:rPr>
                <w:webHidden/>
              </w:rPr>
              <w:fldChar w:fldCharType="separate"/>
            </w:r>
            <w:r>
              <w:rPr>
                <w:rStyle w:val="IndexLink"/>
                <w:rFonts w:cs="Times New Roman" w:ascii="Times New Roman" w:hAnsi="Times New Roman"/>
                <w:vanish w:val="false"/>
                <w:color w:val="000000" w:themeColor="text1"/>
                <w:sz w:val="24"/>
                <w:szCs w:val="24"/>
              </w:rPr>
              <w:tab/>
              <w:t>26</w:t>
            </w:r>
            <w:r>
              <w:rPr>
                <w:webHidden/>
              </w:rPr>
              <w:fldChar w:fldCharType="end"/>
            </w:r>
          </w:hyperlink>
        </w:p>
        <w:p>
          <w:pPr>
            <w:pStyle w:val="Normal"/>
            <w:spacing w:lineRule="auto" w:line="360"/>
            <w:jc w:val="center"/>
            <w:rPr/>
          </w:pPr>
          <w:r>
            <w:rPr/>
          </w:r>
          <w:r>
            <w:rPr/>
            <w:fldChar w:fldCharType="end"/>
          </w:r>
        </w:p>
      </w:sdtContent>
    </w:sdt>
    <w:p>
      <w:pPr>
        <w:pStyle w:val="Normal"/>
        <w:rPr>
          <w:rFonts w:ascii="Times New Roman" w:hAnsi="Times New Roman" w:eastAsia="Times New Roman" w:cs="Times New Roman"/>
          <w:b/>
          <w:sz w:val="28"/>
          <w:szCs w:val="28"/>
        </w:rPr>
      </w:pPr>
      <w:r>
        <w:rPr>
          <w:rFonts w:eastAsia="Times New Roman" w:cs="Times New Roman" w:ascii="Times New Roman" w:hAnsi="Times New Roman"/>
          <w:b/>
          <w:sz w:val="28"/>
          <w:szCs w:val="28"/>
        </w:rPr>
      </w:r>
    </w:p>
    <w:p>
      <w:pPr>
        <w:pStyle w:val="Normal"/>
        <w:rPr>
          <w:rFonts w:ascii="Times New Roman" w:hAnsi="Times New Roman" w:eastAsia="Times New Roman" w:cs="Times New Roman"/>
          <w:b/>
          <w:sz w:val="28"/>
          <w:szCs w:val="28"/>
        </w:rPr>
      </w:pPr>
      <w:r>
        <w:rPr>
          <w:rFonts w:eastAsia="Times New Roman" w:cs="Times New Roman" w:ascii="Times New Roman" w:hAnsi="Times New Roman"/>
          <w:b/>
          <w:sz w:val="28"/>
          <w:szCs w:val="28"/>
        </w:rPr>
      </w:r>
      <w:bookmarkStart w:id="2" w:name="_Toc164766798"/>
      <w:bookmarkStart w:id="3" w:name="_Toc164766798"/>
      <w:r>
        <w:br w:type="page"/>
      </w:r>
    </w:p>
    <w:p>
      <w:pPr>
        <w:pStyle w:val="Heading1"/>
        <w:rPr/>
      </w:pPr>
      <w:bookmarkStart w:id="4" w:name="_Toc164766798"/>
      <w:r>
        <w:rPr/>
        <w:t>Part A</w:t>
      </w:r>
      <w:bookmarkEnd w:id="4"/>
      <w:r>
        <w:rPr/>
        <w:t xml:space="preserve"> </w:t>
      </w:r>
    </w:p>
    <w:p>
      <w:pPr>
        <w:pStyle w:val="Heading2"/>
        <w:rPr>
          <w:sz w:val="24"/>
          <w:szCs w:val="24"/>
        </w:rPr>
      </w:pPr>
      <w:bookmarkStart w:id="5" w:name="_Toc164766799"/>
      <w:bookmarkStart w:id="6" w:name="_wnwiiasec9w5"/>
      <w:bookmarkEnd w:id="6"/>
      <w:r>
        <w:rPr/>
        <w:t>Overview of the company</w:t>
      </w:r>
      <w:bookmarkEnd w:id="5"/>
      <w:r>
        <w:rPr>
          <w:sz w:val="24"/>
          <w:szCs w:val="24"/>
        </w:rPr>
        <w:t xml:space="preserve"> </w:t>
      </w:r>
    </w:p>
    <w:p>
      <w:pPr>
        <w:pStyle w:val="Normal"/>
        <w:rPr/>
      </w:pPr>
      <w:r>
        <w:rPr/>
        <w:t xml:space="preserve">HISTORY </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Uber can be considered as a trailblazing company in that particular transportation sector that can eventually completely transformed ride-sharing on a worldwide scale. In addition to that, Uber was started in 2009 by Garrett Camp along with Travis Kalanick, and due to to its creative business strategy, it has also experienced rapid growth while providing a numerous sorts of transportation services. Along with that, With various sorts of operations in more than 900 cities throughout the globe, Uber has totally transformed the face of urban transportation (Kim </w:t>
      </w:r>
      <w:r>
        <w:rPr>
          <w:rFonts w:eastAsia="Times New Roman" w:cs="Times New Roman" w:ascii="Times New Roman" w:hAnsi="Times New Roman"/>
          <w:i/>
          <w:sz w:val="24"/>
          <w:szCs w:val="24"/>
        </w:rPr>
        <w:t xml:space="preserve">et al. </w:t>
      </w:r>
      <w:r>
        <w:rPr>
          <w:rFonts w:eastAsia="Times New Roman" w:cs="Times New Roman" w:ascii="Times New Roman" w:hAnsi="Times New Roman"/>
          <w:sz w:val="24"/>
          <w:szCs w:val="24"/>
        </w:rPr>
        <w:t>2021).</w:t>
      </w:r>
    </w:p>
    <w:p>
      <w:pPr>
        <w:pStyle w:val="Normal"/>
        <w:spacing w:lineRule="auto" w:line="360"/>
        <w:jc w:val="both"/>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t>BUSINESS MODEL</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On the other hand, Uber's user-friendly mobile application can eventually serves as the primary means of connecting a wide range of drivers along with riders. Hence, people may use this platform to request a range of numerous transportation services, such as standard rides, food delivery, as well as freight transportation. The company's entry into that particular market can be able in order to severely upended the established taxi sector as well as given customers access to quick, economical, along with reliable transportation choices.</w:t>
      </w:r>
      <w:r>
        <w:rPr/>
        <w:t xml:space="preserve"> </w:t>
      </w:r>
      <w:r>
        <w:rPr>
          <w:rFonts w:eastAsia="Times New Roman" w:cs="Times New Roman" w:ascii="Times New Roman" w:hAnsi="Times New Roman"/>
          <w:sz w:val="24"/>
          <w:szCs w:val="24"/>
        </w:rPr>
        <w:t>(Pereira, 2023)</w:t>
      </w:r>
    </w:p>
    <w:p>
      <w:pPr>
        <w:pStyle w:val="Normal"/>
        <w:spacing w:lineRule="auto" w:line="360"/>
        <w:jc w:val="both"/>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t>MARKET PLACE OF UBER COMPANY</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Specifically, marketing in the sharing economy has two obstacles. The sharing economy depends critically on the form of the digital economy, according to Chen and Wang (2019). Unlike established economies, emerging markets do not have the same institutional foundation for the sharing economy. As the participant in a platform marketplace, sharing economic activity, cooperating in consumption, an Uber driver serves as the study’s unit of analysis. Distinguishing the platform marketplace, collaborative consumption, and shari’g economy notions from the alternative traditional marketplace where taxicabs operate was crucial.</w:t>
      </w:r>
      <w:r>
        <w:rPr/>
        <w:t xml:space="preserve"> </w:t>
      </w:r>
      <w:r>
        <w:rPr>
          <w:rFonts w:eastAsia="Times New Roman" w:cs="Times New Roman" w:ascii="Times New Roman" w:hAnsi="Times New Roman"/>
          <w:sz w:val="24"/>
          <w:szCs w:val="24"/>
        </w:rPr>
        <w:t>The terms "sharing economy" refer to both sharing and economics. In any virtual network, group, or community, sharing is defined by Wahlen and Laamanen (2017) as the acts and practices that allow individuals to access resources (both tangible and intangible); it also includes the manner of trade, transfer of ownership, and form of co-ownership.</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Common forms of sharing include: (a) exchanging time and emotions with others; (b) exchanging goods and resources in the context of production and consumption; (c) exchanging information in a virtual environment; and (d) sharing in a socioeconomic setting.</w:t>
      </w:r>
      <w:r>
        <w:rPr/>
        <w:t xml:space="preserve"> </w:t>
      </w:r>
      <w:r>
        <w:rPr>
          <w:rFonts w:eastAsia="Times New Roman" w:cs="Times New Roman" w:ascii="Times New Roman" w:hAnsi="Times New Roman"/>
          <w:sz w:val="24"/>
          <w:szCs w:val="24"/>
        </w:rPr>
        <w:t>(Hart, 2021)</w:t>
      </w:r>
    </w:p>
    <w:p>
      <w:pPr>
        <w:pStyle w:val="Normal"/>
        <w:spacing w:lineRule="auto" w:line="360"/>
        <w:jc w:val="both"/>
        <w:rPr>
          <w:rFonts w:ascii="Times New Roman" w:hAnsi="Times New Roman" w:eastAsia="Times New Roman" w:cs="Times New Roman"/>
          <w:b/>
          <w:bCs/>
          <w:sz w:val="28"/>
          <w:szCs w:val="28"/>
        </w:rPr>
      </w:pPr>
      <w:r>
        <w:rPr>
          <w:rFonts w:eastAsia="Times New Roman" w:cs="Times New Roman" w:ascii="Times New Roman" w:hAnsi="Times New Roman"/>
          <w:b/>
          <w:bCs/>
          <w:sz w:val="28"/>
          <w:szCs w:val="28"/>
        </w:rPr>
        <w:t xml:space="preserve">MAJOR COMPETTIORS OF FIVE YEARS </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Uber has gone through various sorts of noteworthy events over the last five years that can eventually influenced its direction within the business. In the year 2019, Uber make its much-awaited initial public offering (IPO), which can be considered as a major turning point in the company's history. Although disputes over that particular company's corporate governance procedures as well as doubts about its capacity to turn a profit eventually overshadowed the IPO (Akbulaev, 2020).</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On the other hand, Uber had extraordinary difficulties in the year 2020 during the worldwide COVID-19 pandemic, as numerous sorts of travel restrictions as well as lockdown measures caused a significant negative influence on the company's ride-hailing processes. Hence, in order to adjust to the various sorts of shifting market conditions, the firm was compelled  in order to undertake different types of cost-cutting measures as well as diversify its offerings. One such move can be considered as to increase its food delivery section in order to satisfy the rising demand for several online delivery services.</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A change in leadership occurred at that particular company named Uber in the year 2021 when Bob Chapek, a former Disney executive, can eventually succeeded Dara Khosrowshahi as CEO. In addition to that, the corporation aimed to focus on profitability along with sustainable expansion in the post-pandemic world, as well as this change in leadership can also marked a strategic move in that direction.</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Uber and Lyft also announced a historic merger in the year 2022 with the goal of decreasing numerous sorts of competitive pressures in that particular ride-hailing sector as well as consolidating market dominance. Hence, Uber made a big strategic choice in merging with this company, can also changing the competitive environment as well as demonstrating its dedication to long-term profitability and sustainability (Grabher and van Tuijl, 2020).</w:t>
      </w:r>
    </w:p>
    <w:p>
      <w:pPr>
        <w:pStyle w:val="Heading1"/>
        <w:rPr/>
      </w:pPr>
      <w:r>
        <w:rPr/>
      </w:r>
      <w:bookmarkStart w:id="7" w:name="_Toc164766800"/>
      <w:bookmarkStart w:id="8" w:name="_9jrottxm5ta7"/>
      <w:bookmarkStart w:id="9" w:name="_Toc164766800"/>
      <w:bookmarkStart w:id="10" w:name="_9jrottxm5ta7"/>
      <w:bookmarkEnd w:id="10"/>
    </w:p>
    <w:p>
      <w:pPr>
        <w:pStyle w:val="Heading1"/>
        <w:rPr/>
      </w:pPr>
      <w:r>
        <w:rPr/>
      </w:r>
    </w:p>
    <w:p>
      <w:pPr>
        <w:pStyle w:val="Heading1"/>
        <w:rPr/>
      </w:pPr>
      <w:r>
        <w:rPr/>
      </w:r>
    </w:p>
    <w:p>
      <w:pPr>
        <w:pStyle w:val="Heading1"/>
        <w:rPr/>
      </w:pPr>
      <w:bookmarkStart w:id="11" w:name="_Toc164766800"/>
      <w:r>
        <w:rPr/>
        <w:t>PART B FIANCE STATEMENT OF (UBER TECHNOLOGY) AND COMPETTIEROS ( LYTS COMPANY)</w:t>
      </w:r>
      <w:bookmarkEnd w:id="11"/>
    </w:p>
    <w:p>
      <w:pPr>
        <w:pStyle w:val="Heading1"/>
        <w:rPr/>
      </w:pPr>
      <w:r>
        <w:rPr/>
      </w:r>
    </w:p>
    <w:p>
      <w:pPr>
        <w:pStyle w:val="Normal"/>
        <w:rPr/>
      </w:pPr>
      <w:r>
        <w:rPr/>
      </w:r>
    </w:p>
    <w:p>
      <w:pPr>
        <w:pStyle w:val="Normal"/>
        <w:rPr/>
      </w:pPr>
      <w:r>
        <w:rPr/>
      </w:r>
    </w:p>
    <w:p>
      <w:pPr>
        <w:pStyle w:val="Heading2"/>
        <w:rPr/>
      </w:pPr>
      <w:bookmarkStart w:id="12" w:name="_Toc164766801"/>
      <w:bookmarkStart w:id="13" w:name="_gkpqkzs3lx4g"/>
      <w:bookmarkEnd w:id="13"/>
      <w:r>
        <w:rPr/>
        <w:t>Liquidity and leverage ratios for Uber</w:t>
      </w:r>
      <w:bookmarkEnd w:id="12"/>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A liquidity ratio is a financial indicator that gauges a company's capacity to meet its immediate financial obligations. It assesses the company's existing assets, including cash, securities that can be quickly sold, and outstanding invoices, in relation to its short-term responsibilities such as debts that are due soon and other financial burdens. The importance of liquidity ratios lies in aiding financial planning and decision-making by determining a company's capability to cover urgent expenses and effectively handle short-term financial commitments.</w:t>
      </w:r>
      <w:r>
        <w:rPr/>
        <w:t xml:space="preserve"> </w:t>
      </w:r>
      <w:r>
        <w:rPr>
          <w:rFonts w:eastAsia="Times New Roman" w:cs="Times New Roman" w:ascii="Times New Roman" w:hAnsi="Times New Roman"/>
          <w:b/>
          <w:bCs/>
          <w:sz w:val="24"/>
          <w:szCs w:val="24"/>
        </w:rPr>
        <w:t>(Saraev, 2023)</w:t>
        <w:br/>
      </w:r>
    </w:p>
    <w:p>
      <w:pPr>
        <w:pStyle w:val="Normal"/>
        <w:spacing w:lineRule="auto" w:line="360"/>
        <w:jc w:val="both"/>
        <w:rPr>
          <w:rFonts w:ascii="Times New Roman" w:hAnsi="Times New Roman" w:eastAsia="Times New Roman" w:cs="Times New Roman"/>
          <w:bCs/>
          <w:iCs/>
          <w:sz w:val="24"/>
          <w:szCs w:val="24"/>
        </w:rPr>
      </w:pPr>
      <w:r>
        <w:rPr>
          <w:rFonts w:eastAsia="Times New Roman" w:cs="Times New Roman" w:ascii="Times New Roman" w:hAnsi="Times New Roman"/>
          <w:b/>
          <w:i/>
          <w:sz w:val="24"/>
          <w:szCs w:val="24"/>
        </w:rPr>
        <w:t xml:space="preserve">Current Ratio: </w:t>
      </w:r>
      <w:r>
        <w:rPr>
          <w:rFonts w:eastAsia="Times New Roman" w:cs="Times New Roman" w:ascii="Times New Roman" w:hAnsi="Times New Roman"/>
          <w:bCs/>
          <w:iCs/>
          <w:sz w:val="24"/>
          <w:szCs w:val="24"/>
        </w:rPr>
        <w:t>Uber Technologies current and historical current ratios from 2017 to 2023. A liquidity ratio that gauges a business's capacity to meet short-term obligations is called a current ratio. Uber Technologies' current ratio was 1.20 for the three months that ended on December 31, 2023.</w:t>
      </w:r>
      <w:r>
        <w:rPr/>
        <w:t xml:space="preserve"> </w:t>
      </w:r>
      <w:r>
        <w:rPr>
          <w:rFonts w:eastAsia="Times New Roman" w:cs="Times New Roman" w:ascii="Times New Roman" w:hAnsi="Times New Roman"/>
          <w:b/>
          <w:iCs/>
          <w:sz w:val="24"/>
          <w:szCs w:val="24"/>
        </w:rPr>
        <w:t>(Stock Analysis of Net , n.d.)</w:t>
      </w:r>
    </w:p>
    <w:p>
      <w:pPr>
        <w:pStyle w:val="Normal"/>
        <w:spacing w:lineRule="auto" w:line="360"/>
        <w:jc w:val="both"/>
        <w:rPr>
          <w:rFonts w:ascii="Times New Roman" w:hAnsi="Times New Roman" w:eastAsia="Times New Roman" w:cs="Times New Roman"/>
          <w:b/>
          <w:iCs/>
          <w:sz w:val="24"/>
          <w:szCs w:val="24"/>
        </w:rPr>
      </w:pPr>
      <w:r>
        <w:rPr>
          <w:rFonts w:eastAsia="Times New Roman" w:cs="Times New Roman" w:ascii="Times New Roman" w:hAnsi="Times New Roman"/>
          <w:b/>
          <w:i/>
          <w:sz w:val="24"/>
          <w:szCs w:val="24"/>
        </w:rPr>
        <w:t>Quick Ratio:</w:t>
      </w:r>
      <w:r>
        <w:rPr/>
        <w:t xml:space="preserve"> </w:t>
      </w:r>
      <w:r>
        <w:rPr>
          <w:rFonts w:eastAsia="Times New Roman" w:cs="Times New Roman" w:ascii="Times New Roman" w:hAnsi="Times New Roman"/>
          <w:bCs/>
          <w:iCs/>
          <w:sz w:val="24"/>
          <w:szCs w:val="24"/>
        </w:rPr>
        <w:t>A liquidity ratio that is computed by dividing current liabilities by the sum of cash and short-term marketable investments plus receivables.  The quick ratio of Uber Technologies Inc. increased in 2022 and 2023 compared to 2021.</w:t>
      </w:r>
      <w:r>
        <w:rPr/>
        <w:t xml:space="preserve"> </w:t>
      </w:r>
      <w:r>
        <w:rPr>
          <w:rFonts w:eastAsia="Times New Roman" w:cs="Times New Roman" w:ascii="Times New Roman" w:hAnsi="Times New Roman"/>
          <w:b/>
          <w:iCs/>
          <w:sz w:val="24"/>
          <w:szCs w:val="24"/>
        </w:rPr>
        <w:t>(Stock Analysis of Net , n.d.)</w:t>
      </w:r>
    </w:p>
    <w:p>
      <w:pPr>
        <w:pStyle w:val="Normal"/>
        <w:spacing w:lineRule="auto" w:line="360"/>
        <w:jc w:val="both"/>
        <w:rPr>
          <w:rFonts w:ascii="Times New Roman" w:hAnsi="Times New Roman" w:eastAsia="Times New Roman" w:cs="Times New Roman"/>
          <w:b/>
          <w:iCs/>
          <w:sz w:val="24"/>
          <w:szCs w:val="24"/>
        </w:rPr>
      </w:pPr>
      <w:r>
        <w:rPr>
          <w:rFonts w:eastAsia="Times New Roman" w:cs="Times New Roman" w:ascii="Times New Roman" w:hAnsi="Times New Roman"/>
          <w:b/>
          <w:i/>
          <w:sz w:val="24"/>
          <w:szCs w:val="24"/>
        </w:rPr>
        <w:t>Cash:</w:t>
      </w:r>
      <w:r>
        <w:rPr/>
        <w:t xml:space="preserve"> </w:t>
      </w:r>
      <w:r>
        <w:rPr>
          <w:rFonts w:eastAsia="Times New Roman" w:cs="Times New Roman" w:ascii="Times New Roman" w:hAnsi="Times New Roman"/>
          <w:bCs/>
          <w:iCs/>
          <w:sz w:val="24"/>
          <w:szCs w:val="24"/>
        </w:rPr>
        <w:t>A ratio of liquidity determined by dividing current obligations by the sum of cash and short-term marketable investments. From 2021 to 2022 and from 2022 to 2023, Uber Technologies Inc.'s cash ratio increased.</w:t>
      </w:r>
      <w:r>
        <w:rPr/>
        <w:t xml:space="preserve"> </w:t>
      </w:r>
      <w:r>
        <w:rPr>
          <w:rFonts w:eastAsia="Times New Roman" w:cs="Times New Roman" w:ascii="Times New Roman" w:hAnsi="Times New Roman"/>
          <w:b/>
          <w:iCs/>
          <w:sz w:val="24"/>
          <w:szCs w:val="24"/>
        </w:rPr>
        <w:t>(Stock Analysis of Net , n.d.)</w:t>
      </w:r>
    </w:p>
    <w:p>
      <w:pPr>
        <w:pStyle w:val="Normal"/>
        <w:spacing w:lineRule="auto" w:line="360"/>
        <w:jc w:val="both"/>
        <w:rPr>
          <w:rFonts w:ascii="Times New Roman" w:hAnsi="Times New Roman" w:eastAsia="Times New Roman" w:cs="Times New Roman"/>
          <w:b/>
          <w:iCs/>
          <w:sz w:val="28"/>
          <w:szCs w:val="28"/>
        </w:rPr>
      </w:pPr>
      <w:r>
        <w:drawing>
          <wp:anchor behindDoc="1" distT="0" distB="0" distL="0" distR="0" simplePos="0" locked="0" layoutInCell="0" allowOverlap="1" relativeHeight="6">
            <wp:simplePos x="0" y="0"/>
            <wp:positionH relativeFrom="page">
              <wp:posOffset>-287020</wp:posOffset>
            </wp:positionH>
            <wp:positionV relativeFrom="paragraph">
              <wp:posOffset>126365</wp:posOffset>
            </wp:positionV>
            <wp:extent cx="7824470" cy="3352165"/>
            <wp:effectExtent l="0" t="0" r="0" b="0"/>
            <wp:wrapNone/>
            <wp:docPr id="3" name="Picture 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
                    <pic:cNvPicPr>
                      <a:picLocks noChangeAspect="1" noChangeArrowheads="1"/>
                    </pic:cNvPicPr>
                  </pic:nvPicPr>
                  <pic:blipFill>
                    <a:blip r:embed="rId4"/>
                    <a:stretch>
                      <a:fillRect/>
                    </a:stretch>
                  </pic:blipFill>
                  <pic:spPr bwMode="auto">
                    <a:xfrm>
                      <a:off x="0" y="0"/>
                      <a:ext cx="7824470" cy="3352165"/>
                    </a:xfrm>
                    <a:prstGeom prst="rect">
                      <a:avLst/>
                    </a:prstGeom>
                  </pic:spPr>
                </pic:pic>
              </a:graphicData>
            </a:graphic>
          </wp:anchor>
        </w:drawing>
      </w:r>
      <w:r>
        <w:rPr>
          <w:rFonts w:eastAsia="Times New Roman" w:cs="Times New Roman" w:ascii="Times New Roman" w:hAnsi="Times New Roman"/>
          <w:b/>
          <w:iCs/>
          <w:sz w:val="28"/>
          <w:szCs w:val="28"/>
        </w:rPr>
        <w:t>figur1.</w:t>
      </w:r>
    </w:p>
    <w:p>
      <w:pPr>
        <w:pStyle w:val="Heading2"/>
        <w:rPr/>
      </w:pPr>
      <w:r>
        <w:rPr/>
      </w:r>
      <w:bookmarkStart w:id="14" w:name="_Toc164766802"/>
      <w:bookmarkStart w:id="15" w:name="_7s2opjxh2i24"/>
      <w:bookmarkStart w:id="16" w:name="_Toc164766802"/>
      <w:bookmarkStart w:id="17" w:name="_7s2opjxh2i24"/>
      <w:bookmarkEnd w:id="16"/>
      <w:bookmarkEnd w:id="17"/>
    </w:p>
    <w:p>
      <w:pPr>
        <w:pStyle w:val="Heading2"/>
        <w:rPr/>
      </w:pPr>
      <w:r>
        <w:rPr/>
      </w:r>
    </w:p>
    <w:p>
      <w:pPr>
        <w:pStyle w:val="Heading2"/>
        <w:numPr>
          <w:ilvl w:val="0"/>
          <w:numId w:val="1"/>
        </w:numPr>
        <w:rPr/>
      </w:pPr>
      <w:r>
        <w:rPr/>
        <w:t xml:space="preserve">TABLES OF UBER INC BILLION FIVE YEARS </w:t>
      </w:r>
    </w:p>
    <w:p>
      <w:pPr>
        <w:pStyle w:val="Normal"/>
        <w:rPr/>
      </w:pPr>
      <w:r>
        <w:rPr/>
      </w:r>
    </w:p>
    <w:p>
      <w:pPr>
        <w:pStyle w:val="Normal"/>
        <w:rPr/>
      </w:pPr>
      <w:r>
        <w:rPr/>
      </w:r>
    </w:p>
    <w:p>
      <w:pPr>
        <w:pStyle w:val="Normal"/>
        <w:rPr/>
      </w:pPr>
      <w:r>
        <w:rPr/>
      </w:r>
    </w:p>
    <w:p>
      <w:pPr>
        <w:pStyle w:val="Normal"/>
        <w:rPr/>
      </w:pPr>
      <w:r>
        <w:rPr/>
      </w:r>
    </w:p>
    <w:p>
      <w:pPr>
        <w:pStyle w:val="Normal"/>
        <w:rPr/>
      </w:pPr>
      <w:r>
        <w:rPr/>
      </w:r>
    </w:p>
    <w:tbl>
      <w:tblPr>
        <w:tblStyle w:val="TableGrid"/>
        <w:tblW w:w="7989"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7989"/>
      </w:tblGrid>
      <w:tr>
        <w:trPr>
          <w:trHeight w:val="2490" w:hRule="atLeast"/>
        </w:trPr>
        <w:tc>
          <w:tcPr>
            <w:tcW w:w="7989" w:type="dxa"/>
            <w:tcBorders/>
          </w:tcPr>
          <w:tbl>
            <w:tblPr>
              <w:tblW w:w="7994" w:type="dxa"/>
              <w:jc w:val="left"/>
              <w:tblInd w:w="2" w:type="dxa"/>
              <w:tblLayout w:type="fixed"/>
              <w:tblCellMar>
                <w:top w:w="0" w:type="dxa"/>
                <w:left w:w="108" w:type="dxa"/>
                <w:bottom w:w="0" w:type="dxa"/>
                <w:right w:w="108" w:type="dxa"/>
              </w:tblCellMar>
              <w:tblLook w:firstRow="1" w:noVBand="1" w:lastRow="0" w:firstColumn="1" w:lastColumn="0" w:noHBand="0" w:val="04a0"/>
            </w:tblPr>
            <w:tblGrid>
              <w:gridCol w:w="1332"/>
              <w:gridCol w:w="1426"/>
              <w:gridCol w:w="1238"/>
              <w:gridCol w:w="1333"/>
              <w:gridCol w:w="1332"/>
              <w:gridCol w:w="1332"/>
            </w:tblGrid>
            <w:tr>
              <w:trPr>
                <w:trHeight w:val="176" w:hRule="atLeast"/>
              </w:trPr>
              <w:tc>
                <w:tcPr>
                  <w:tcW w:w="1332" w:type="dxa"/>
                  <w:tcBorders>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b/>
                      <w:bCs/>
                      <w:color w:val="000000"/>
                      <w:sz w:val="24"/>
                      <w:szCs w:val="24"/>
                      <w:lang w:val="en-IN"/>
                    </w:rPr>
                  </w:pPr>
                  <w:r>
                    <w:rPr>
                      <w:rFonts w:eastAsia="Times New Roman" w:cs="Times New Roman" w:ascii="Times New Roman" w:hAnsi="Times New Roman"/>
                      <w:b/>
                      <w:bCs/>
                      <w:color w:val="000000"/>
                      <w:sz w:val="24"/>
                      <w:szCs w:val="24"/>
                      <w:lang w:val="en-IN"/>
                    </w:rPr>
                    <w:t>Year</w:t>
                  </w:r>
                </w:p>
              </w:tc>
              <w:tc>
                <w:tcPr>
                  <w:tcW w:w="1426" w:type="dxa"/>
                  <w:tcBorders>
                    <w:left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b/>
                      <w:bCs/>
                      <w:color w:val="000000"/>
                      <w:sz w:val="24"/>
                      <w:szCs w:val="24"/>
                      <w:lang w:val="en-IN"/>
                    </w:rPr>
                  </w:pPr>
                  <w:r>
                    <w:rPr>
                      <w:rFonts w:eastAsia="Times New Roman" w:cs="Times New Roman" w:ascii="Times New Roman" w:hAnsi="Times New Roman"/>
                      <w:b/>
                      <w:bCs/>
                      <w:color w:val="000000"/>
                      <w:sz w:val="24"/>
                      <w:szCs w:val="24"/>
                      <w:lang w:val="en-IN"/>
                    </w:rPr>
                    <w:t>2023</w:t>
                  </w:r>
                </w:p>
              </w:tc>
              <w:tc>
                <w:tcPr>
                  <w:tcW w:w="1238" w:type="dxa"/>
                  <w:tcBorders>
                    <w:left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b/>
                      <w:bCs/>
                      <w:color w:val="000000"/>
                      <w:sz w:val="24"/>
                      <w:szCs w:val="24"/>
                      <w:lang w:val="en-IN"/>
                    </w:rPr>
                  </w:pPr>
                  <w:r>
                    <w:rPr>
                      <w:rFonts w:eastAsia="Times New Roman" w:cs="Times New Roman" w:ascii="Times New Roman" w:hAnsi="Times New Roman"/>
                      <w:b/>
                      <w:bCs/>
                      <w:color w:val="000000"/>
                      <w:sz w:val="24"/>
                      <w:szCs w:val="24"/>
                      <w:lang w:val="en-IN"/>
                    </w:rPr>
                    <w:t>2022</w:t>
                  </w:r>
                </w:p>
              </w:tc>
              <w:tc>
                <w:tcPr>
                  <w:tcW w:w="1333" w:type="dxa"/>
                  <w:tcBorders>
                    <w:left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b/>
                      <w:bCs/>
                      <w:color w:val="000000"/>
                      <w:sz w:val="24"/>
                      <w:szCs w:val="24"/>
                      <w:lang w:val="en-IN"/>
                    </w:rPr>
                  </w:pPr>
                  <w:r>
                    <w:rPr>
                      <w:rFonts w:eastAsia="Times New Roman" w:cs="Times New Roman" w:ascii="Times New Roman" w:hAnsi="Times New Roman"/>
                      <w:b/>
                      <w:bCs/>
                      <w:color w:val="000000"/>
                      <w:sz w:val="24"/>
                      <w:szCs w:val="24"/>
                      <w:lang w:val="en-IN"/>
                    </w:rPr>
                    <w:t>2021</w:t>
                  </w:r>
                </w:p>
              </w:tc>
              <w:tc>
                <w:tcPr>
                  <w:tcW w:w="1332" w:type="dxa"/>
                  <w:tcBorders>
                    <w:left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b/>
                      <w:bCs/>
                      <w:color w:val="000000"/>
                      <w:sz w:val="24"/>
                      <w:szCs w:val="24"/>
                      <w:lang w:val="en-IN"/>
                    </w:rPr>
                  </w:pPr>
                  <w:r>
                    <w:rPr>
                      <w:rFonts w:eastAsia="Times New Roman" w:cs="Times New Roman" w:ascii="Times New Roman" w:hAnsi="Times New Roman"/>
                      <w:b/>
                      <w:bCs/>
                      <w:color w:val="000000"/>
                      <w:sz w:val="24"/>
                      <w:szCs w:val="24"/>
                      <w:lang w:val="en-IN"/>
                    </w:rPr>
                    <w:t>2020</w:t>
                  </w:r>
                </w:p>
              </w:tc>
              <w:tc>
                <w:tcPr>
                  <w:tcW w:w="1332" w:type="dxa"/>
                  <w:tcBorders>
                    <w:lef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b/>
                      <w:bCs/>
                      <w:color w:val="000000"/>
                      <w:sz w:val="24"/>
                      <w:szCs w:val="24"/>
                      <w:lang w:val="en-IN"/>
                    </w:rPr>
                  </w:pPr>
                  <w:r>
                    <w:rPr>
                      <w:rFonts w:eastAsia="Times New Roman" w:cs="Times New Roman" w:ascii="Times New Roman" w:hAnsi="Times New Roman"/>
                      <w:b/>
                      <w:bCs/>
                      <w:color w:val="000000"/>
                      <w:sz w:val="24"/>
                      <w:szCs w:val="24"/>
                      <w:lang w:val="en-IN"/>
                    </w:rPr>
                    <w:t>2019</w:t>
                  </w:r>
                </w:p>
              </w:tc>
            </w:tr>
            <w:tr>
              <w:trPr>
                <w:trHeight w:val="176" w:hRule="atLeast"/>
              </w:trPr>
              <w:tc>
                <w:tcPr>
                  <w:tcW w:w="1332" w:type="dxa"/>
                  <w:tcBorders>
                    <w:bottom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Current Assets</w:t>
                  </w:r>
                </w:p>
              </w:tc>
              <w:tc>
                <w:tcPr>
                  <w:tcW w:w="1426" w:type="dxa"/>
                  <w:tcBorders>
                    <w:left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11.3</w:t>
                  </w:r>
                </w:p>
              </w:tc>
              <w:tc>
                <w:tcPr>
                  <w:tcW w:w="1238" w:type="dxa"/>
                  <w:tcBorders>
                    <w:left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9.25</w:t>
                  </w:r>
                </w:p>
              </w:tc>
              <w:tc>
                <w:tcPr>
                  <w:tcW w:w="1333" w:type="dxa"/>
                  <w:tcBorders>
                    <w:left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8.82</w:t>
                  </w:r>
                </w:p>
              </w:tc>
              <w:tc>
                <w:tcPr>
                  <w:tcW w:w="1332" w:type="dxa"/>
                  <w:tcBorders>
                    <w:left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9.88</w:t>
                  </w:r>
                </w:p>
              </w:tc>
              <w:tc>
                <w:tcPr>
                  <w:tcW w:w="1332" w:type="dxa"/>
                  <w:tcBorders>
                    <w:left w:val="single" w:sz="4" w:space="0" w:color="000000"/>
                    <w:bottom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13.93</w:t>
                  </w:r>
                </w:p>
              </w:tc>
            </w:tr>
            <w:tr>
              <w:trPr>
                <w:trHeight w:val="352" w:hRule="atLeast"/>
              </w:trPr>
              <w:tc>
                <w:tcPr>
                  <w:tcW w:w="1332" w:type="dxa"/>
                  <w:tcBorders>
                    <w:top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Current Liabilities</w:t>
                  </w:r>
                </w:p>
              </w:tc>
              <w:tc>
                <w:tcPr>
                  <w:tcW w:w="1426" w:type="dxa"/>
                  <w:tcBorders>
                    <w:top w:val="single" w:sz="4" w:space="0" w:color="000000"/>
                    <w:left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9.45</w:t>
                  </w:r>
                </w:p>
              </w:tc>
              <w:tc>
                <w:tcPr>
                  <w:tcW w:w="1238" w:type="dxa"/>
                  <w:tcBorders>
                    <w:top w:val="single" w:sz="4" w:space="0" w:color="000000"/>
                    <w:left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8.85</w:t>
                  </w:r>
                </w:p>
              </w:tc>
              <w:tc>
                <w:tcPr>
                  <w:tcW w:w="1333" w:type="dxa"/>
                  <w:tcBorders>
                    <w:top w:val="single" w:sz="4" w:space="0" w:color="000000"/>
                    <w:left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9.02</w:t>
                  </w:r>
                </w:p>
              </w:tc>
              <w:tc>
                <w:tcPr>
                  <w:tcW w:w="1332" w:type="dxa"/>
                  <w:tcBorders>
                    <w:top w:val="single" w:sz="4" w:space="0" w:color="000000"/>
                    <w:left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6.87</w:t>
                  </w:r>
                </w:p>
              </w:tc>
              <w:tc>
                <w:tcPr>
                  <w:tcW w:w="1332" w:type="dxa"/>
                  <w:tcBorders>
                    <w:top w:val="single" w:sz="4" w:space="0" w:color="000000"/>
                    <w:left w:val="single" w:sz="4" w:space="0" w:color="000000"/>
                    <w:bottom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5.64</w:t>
                  </w:r>
                </w:p>
              </w:tc>
            </w:tr>
            <w:tr>
              <w:trPr>
                <w:trHeight w:val="352" w:hRule="atLeast"/>
              </w:trPr>
              <w:tc>
                <w:tcPr>
                  <w:tcW w:w="1332" w:type="dxa"/>
                  <w:tcBorders>
                    <w:top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Operating Cash flow</w:t>
                  </w:r>
                </w:p>
              </w:tc>
              <w:tc>
                <w:tcPr>
                  <w:tcW w:w="1426" w:type="dxa"/>
                  <w:tcBorders>
                    <w:top w:val="single" w:sz="4" w:space="0" w:color="000000"/>
                    <w:left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3585</w:t>
                  </w:r>
                </w:p>
              </w:tc>
              <w:tc>
                <w:tcPr>
                  <w:tcW w:w="1238" w:type="dxa"/>
                  <w:tcBorders>
                    <w:top w:val="single" w:sz="4" w:space="0" w:color="000000"/>
                    <w:left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642</w:t>
                  </w:r>
                </w:p>
              </w:tc>
              <w:tc>
                <w:tcPr>
                  <w:tcW w:w="1333" w:type="dxa"/>
                  <w:tcBorders>
                    <w:top w:val="single" w:sz="4" w:space="0" w:color="000000"/>
                    <w:left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-445</w:t>
                  </w:r>
                </w:p>
              </w:tc>
              <w:tc>
                <w:tcPr>
                  <w:tcW w:w="1332" w:type="dxa"/>
                  <w:tcBorders>
                    <w:top w:val="single" w:sz="4" w:space="0" w:color="000000"/>
                    <w:left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-2745</w:t>
                  </w:r>
                </w:p>
              </w:tc>
              <w:tc>
                <w:tcPr>
                  <w:tcW w:w="1332" w:type="dxa"/>
                  <w:tcBorders>
                    <w:top w:val="single" w:sz="4" w:space="0" w:color="000000"/>
                    <w:left w:val="single" w:sz="4" w:space="0" w:color="000000"/>
                    <w:bottom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-4321</w:t>
                  </w:r>
                </w:p>
              </w:tc>
            </w:tr>
            <w:tr>
              <w:trPr>
                <w:trHeight w:val="176" w:hRule="atLeast"/>
              </w:trPr>
              <w:tc>
                <w:tcPr>
                  <w:tcW w:w="1332" w:type="dxa"/>
                  <w:tcBorders>
                    <w:top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Total Assets</w:t>
                  </w:r>
                </w:p>
              </w:tc>
              <w:tc>
                <w:tcPr>
                  <w:tcW w:w="1426" w:type="dxa"/>
                  <w:tcBorders>
                    <w:top w:val="single" w:sz="4" w:space="0" w:color="000000"/>
                    <w:left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38699</w:t>
                  </w:r>
                </w:p>
              </w:tc>
              <w:tc>
                <w:tcPr>
                  <w:tcW w:w="1238" w:type="dxa"/>
                  <w:tcBorders>
                    <w:top w:val="single" w:sz="4" w:space="0" w:color="000000"/>
                    <w:left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32109</w:t>
                  </w:r>
                </w:p>
              </w:tc>
              <w:tc>
                <w:tcPr>
                  <w:tcW w:w="1333" w:type="dxa"/>
                  <w:tcBorders>
                    <w:top w:val="single" w:sz="4" w:space="0" w:color="000000"/>
                    <w:left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38774</w:t>
                  </w:r>
                </w:p>
              </w:tc>
              <w:tc>
                <w:tcPr>
                  <w:tcW w:w="1332" w:type="dxa"/>
                  <w:tcBorders>
                    <w:top w:val="single" w:sz="4" w:space="0" w:color="000000"/>
                    <w:left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33252</w:t>
                  </w:r>
                </w:p>
              </w:tc>
              <w:tc>
                <w:tcPr>
                  <w:tcW w:w="1332" w:type="dxa"/>
                  <w:tcBorders>
                    <w:top w:val="single" w:sz="4" w:space="0" w:color="000000"/>
                    <w:left w:val="single" w:sz="4" w:space="0" w:color="000000"/>
                    <w:bottom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31761</w:t>
                  </w:r>
                </w:p>
              </w:tc>
            </w:tr>
            <w:tr>
              <w:trPr>
                <w:trHeight w:val="176" w:hRule="atLeast"/>
              </w:trPr>
              <w:tc>
                <w:tcPr>
                  <w:tcW w:w="1332" w:type="dxa"/>
                  <w:tcBorders>
                    <w:top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Total Liabilities</w:t>
                  </w:r>
                </w:p>
              </w:tc>
              <w:tc>
                <w:tcPr>
                  <w:tcW w:w="1426" w:type="dxa"/>
                  <w:tcBorders>
                    <w:top w:val="single" w:sz="4" w:space="0" w:color="000000"/>
                    <w:left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26671</w:t>
                  </w:r>
                </w:p>
              </w:tc>
              <w:tc>
                <w:tcPr>
                  <w:tcW w:w="1238" w:type="dxa"/>
                  <w:tcBorders>
                    <w:top w:val="single" w:sz="4" w:space="0" w:color="000000"/>
                    <w:left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24035</w:t>
                  </w:r>
                </w:p>
              </w:tc>
              <w:tc>
                <w:tcPr>
                  <w:tcW w:w="1333" w:type="dxa"/>
                  <w:tcBorders>
                    <w:top w:val="single" w:sz="4" w:space="0" w:color="000000"/>
                    <w:left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23629</w:t>
                  </w:r>
                </w:p>
              </w:tc>
              <w:tc>
                <w:tcPr>
                  <w:tcW w:w="1332" w:type="dxa"/>
                  <w:tcBorders>
                    <w:top w:val="single" w:sz="4" w:space="0" w:color="000000"/>
                    <w:left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20285</w:t>
                  </w:r>
                </w:p>
              </w:tc>
              <w:tc>
                <w:tcPr>
                  <w:tcW w:w="1332" w:type="dxa"/>
                  <w:tcBorders>
                    <w:top w:val="single" w:sz="4" w:space="0" w:color="000000"/>
                    <w:left w:val="single" w:sz="4" w:space="0" w:color="000000"/>
                    <w:bottom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16889</w:t>
                  </w:r>
                </w:p>
              </w:tc>
            </w:tr>
            <w:tr>
              <w:trPr>
                <w:trHeight w:val="352" w:hRule="atLeast"/>
              </w:trPr>
              <w:tc>
                <w:tcPr>
                  <w:tcW w:w="1332" w:type="dxa"/>
                  <w:tcBorders>
                    <w:top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Share Holder equity</w:t>
                  </w:r>
                </w:p>
              </w:tc>
              <w:tc>
                <w:tcPr>
                  <w:tcW w:w="1426" w:type="dxa"/>
                  <w:tcBorders>
                    <w:top w:val="single" w:sz="4" w:space="0" w:color="000000"/>
                    <w:left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12028</w:t>
                  </w:r>
                </w:p>
              </w:tc>
              <w:tc>
                <w:tcPr>
                  <w:tcW w:w="1238" w:type="dxa"/>
                  <w:tcBorders>
                    <w:top w:val="single" w:sz="4" w:space="0" w:color="000000"/>
                    <w:left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8074</w:t>
                  </w:r>
                </w:p>
              </w:tc>
              <w:tc>
                <w:tcPr>
                  <w:tcW w:w="1333" w:type="dxa"/>
                  <w:tcBorders>
                    <w:top w:val="single" w:sz="4" w:space="0" w:color="000000"/>
                    <w:left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15145</w:t>
                  </w:r>
                </w:p>
              </w:tc>
              <w:tc>
                <w:tcPr>
                  <w:tcW w:w="1332" w:type="dxa"/>
                  <w:tcBorders>
                    <w:top w:val="single" w:sz="4" w:space="0" w:color="000000"/>
                    <w:left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12967</w:t>
                  </w:r>
                </w:p>
              </w:tc>
              <w:tc>
                <w:tcPr>
                  <w:tcW w:w="1332" w:type="dxa"/>
                  <w:tcBorders>
                    <w:top w:val="single" w:sz="4" w:space="0" w:color="000000"/>
                    <w:left w:val="single" w:sz="4" w:space="0" w:color="000000"/>
                    <w:bottom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14872</w:t>
                  </w:r>
                </w:p>
              </w:tc>
            </w:tr>
            <w:tr>
              <w:trPr>
                <w:trHeight w:val="176" w:hRule="atLeast"/>
              </w:trPr>
              <w:tc>
                <w:tcPr>
                  <w:tcW w:w="1332" w:type="dxa"/>
                  <w:tcBorders>
                    <w:top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Revenue</w:t>
                  </w:r>
                </w:p>
              </w:tc>
              <w:tc>
                <w:tcPr>
                  <w:tcW w:w="1426" w:type="dxa"/>
                  <w:tcBorders>
                    <w:top w:val="single" w:sz="4" w:space="0" w:color="000000"/>
                    <w:left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37281</w:t>
                  </w:r>
                </w:p>
              </w:tc>
              <w:tc>
                <w:tcPr>
                  <w:tcW w:w="1238" w:type="dxa"/>
                  <w:tcBorders>
                    <w:top w:val="single" w:sz="4" w:space="0" w:color="000000"/>
                    <w:left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31877</w:t>
                  </w:r>
                </w:p>
              </w:tc>
              <w:tc>
                <w:tcPr>
                  <w:tcW w:w="1333" w:type="dxa"/>
                  <w:tcBorders>
                    <w:top w:val="single" w:sz="4" w:space="0" w:color="000000"/>
                    <w:left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17455</w:t>
                  </w:r>
                </w:p>
              </w:tc>
              <w:tc>
                <w:tcPr>
                  <w:tcW w:w="1332" w:type="dxa"/>
                  <w:tcBorders>
                    <w:top w:val="single" w:sz="4" w:space="0" w:color="000000"/>
                    <w:left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11139</w:t>
                  </w:r>
                </w:p>
              </w:tc>
              <w:tc>
                <w:tcPr>
                  <w:tcW w:w="1332" w:type="dxa"/>
                  <w:tcBorders>
                    <w:top w:val="single" w:sz="4" w:space="0" w:color="000000"/>
                    <w:left w:val="single" w:sz="4" w:space="0" w:color="000000"/>
                    <w:bottom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13000</w:t>
                  </w:r>
                </w:p>
              </w:tc>
            </w:tr>
            <w:tr>
              <w:trPr>
                <w:trHeight w:val="176" w:hRule="atLeast"/>
              </w:trPr>
              <w:tc>
                <w:tcPr>
                  <w:tcW w:w="1332" w:type="dxa"/>
                  <w:tcBorders>
                    <w:top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Cash</w:t>
                  </w:r>
                </w:p>
              </w:tc>
              <w:tc>
                <w:tcPr>
                  <w:tcW w:w="1426" w:type="dxa"/>
                  <w:tcBorders>
                    <w:top w:val="single" w:sz="4" w:space="0" w:color="000000"/>
                    <w:left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6212</w:t>
                  </w:r>
                </w:p>
              </w:tc>
              <w:tc>
                <w:tcPr>
                  <w:tcW w:w="1238" w:type="dxa"/>
                  <w:tcBorders>
                    <w:top w:val="single" w:sz="4" w:space="0" w:color="000000"/>
                    <w:left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4991</w:t>
                  </w:r>
                </w:p>
              </w:tc>
              <w:tc>
                <w:tcPr>
                  <w:tcW w:w="1333" w:type="dxa"/>
                  <w:tcBorders>
                    <w:top w:val="single" w:sz="4" w:space="0" w:color="000000"/>
                    <w:left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4926</w:t>
                  </w:r>
                </w:p>
              </w:tc>
              <w:tc>
                <w:tcPr>
                  <w:tcW w:w="1332" w:type="dxa"/>
                  <w:tcBorders>
                    <w:top w:val="single" w:sz="4" w:space="0" w:color="000000"/>
                    <w:left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7077</w:t>
                  </w:r>
                </w:p>
              </w:tc>
              <w:tc>
                <w:tcPr>
                  <w:tcW w:w="1332" w:type="dxa"/>
                  <w:tcBorders>
                    <w:top w:val="single" w:sz="4" w:space="0" w:color="000000"/>
                    <w:left w:val="single" w:sz="4" w:space="0" w:color="000000"/>
                    <w:bottom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11412</w:t>
                  </w:r>
                </w:p>
              </w:tc>
            </w:tr>
            <w:tr>
              <w:trPr>
                <w:trHeight w:val="176" w:hRule="atLeast"/>
              </w:trPr>
              <w:tc>
                <w:tcPr>
                  <w:tcW w:w="1332" w:type="dxa"/>
                  <w:tcBorders>
                    <w:top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t>Net Profit After Tax</w:t>
                  </w:r>
                </w:p>
              </w:tc>
              <w:tc>
                <w:tcPr>
                  <w:tcW w:w="1426" w:type="dxa"/>
                  <w:tcBorders>
                    <w:top w:val="single" w:sz="4" w:space="0" w:color="000000"/>
                    <w:left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r>
                </w:p>
              </w:tc>
              <w:tc>
                <w:tcPr>
                  <w:tcW w:w="1238" w:type="dxa"/>
                  <w:tcBorders>
                    <w:top w:val="single" w:sz="4" w:space="0" w:color="000000"/>
                    <w:left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color w:val="000000"/>
                      <w:sz w:val="24"/>
                      <w:szCs w:val="24"/>
                      <w:lang w:val="en-IN"/>
                    </w:rPr>
                  </w:pPr>
                  <w:r>
                    <w:rPr>
                      <w:rFonts w:eastAsia="Times New Roman" w:cs="Times New Roman" w:ascii="Times New Roman" w:hAnsi="Times New Roman"/>
                      <w:color w:val="000000"/>
                      <w:sz w:val="24"/>
                      <w:szCs w:val="24"/>
                      <w:lang w:val="en-IN"/>
                    </w:rPr>
                  </w:r>
                </w:p>
              </w:tc>
              <w:tc>
                <w:tcPr>
                  <w:tcW w:w="1333" w:type="dxa"/>
                  <w:tcBorders>
                    <w:top w:val="single" w:sz="4" w:space="0" w:color="000000"/>
                    <w:left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sz w:val="20"/>
                      <w:szCs w:val="20"/>
                      <w:lang w:val="en-IN"/>
                    </w:rPr>
                  </w:pPr>
                  <w:r>
                    <w:rPr>
                      <w:rFonts w:eastAsia="Times New Roman" w:cs="Times New Roman" w:ascii="Times New Roman" w:hAnsi="Times New Roman"/>
                      <w:sz w:val="20"/>
                      <w:szCs w:val="20"/>
                      <w:lang w:val="en-IN"/>
                    </w:rPr>
                  </w:r>
                </w:p>
              </w:tc>
              <w:tc>
                <w:tcPr>
                  <w:tcW w:w="1332" w:type="dxa"/>
                  <w:tcBorders>
                    <w:top w:val="single" w:sz="4" w:space="0" w:color="000000"/>
                    <w:left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sz w:val="20"/>
                      <w:szCs w:val="20"/>
                      <w:lang w:val="en-IN"/>
                    </w:rPr>
                  </w:pPr>
                  <w:r>
                    <w:rPr>
                      <w:rFonts w:eastAsia="Times New Roman" w:cs="Times New Roman" w:ascii="Times New Roman" w:hAnsi="Times New Roman"/>
                      <w:sz w:val="20"/>
                      <w:szCs w:val="20"/>
                      <w:lang w:val="en-IN"/>
                    </w:rPr>
                  </w:r>
                </w:p>
              </w:tc>
              <w:tc>
                <w:tcPr>
                  <w:tcW w:w="1332" w:type="dxa"/>
                  <w:tcBorders>
                    <w:top w:val="single" w:sz="4" w:space="0" w:color="000000"/>
                    <w:left w:val="single" w:sz="4" w:space="0" w:color="000000"/>
                    <w:bottom w:val="single" w:sz="4" w:space="0" w:color="000000"/>
                  </w:tcBorders>
                  <w:shd w:color="auto" w:fill="auto" w:val="clear"/>
                  <w:vAlign w:val="center"/>
                </w:tcPr>
                <w:p>
                  <w:pPr>
                    <w:pStyle w:val="Normal"/>
                    <w:widowControl w:val="false"/>
                    <w:spacing w:lineRule="auto" w:line="240"/>
                    <w:jc w:val="center"/>
                    <w:rPr>
                      <w:rFonts w:ascii="Times New Roman" w:hAnsi="Times New Roman" w:eastAsia="Times New Roman" w:cs="Times New Roman"/>
                      <w:sz w:val="20"/>
                      <w:szCs w:val="20"/>
                      <w:lang w:val="en-IN"/>
                    </w:rPr>
                  </w:pPr>
                  <w:r>
                    <w:rPr>
                      <w:rFonts w:eastAsia="Times New Roman" w:cs="Times New Roman" w:ascii="Times New Roman" w:hAnsi="Times New Roman"/>
                      <w:sz w:val="20"/>
                      <w:szCs w:val="20"/>
                      <w:lang w:val="en-IN"/>
                    </w:rPr>
                  </w:r>
                </w:p>
              </w:tc>
            </w:tr>
          </w:tbl>
          <w:p>
            <w:pPr>
              <w:pStyle w:val="Normal"/>
              <w:widowControl w:val="false"/>
              <w:rPr/>
            </w:pPr>
            <w:r>
              <w:rPr/>
            </w:r>
          </w:p>
          <w:p>
            <w:pPr>
              <w:pStyle w:val="Normal"/>
              <w:widowControl w:val="false"/>
              <w:rPr/>
            </w:pPr>
            <w:r>
              <w:rPr/>
            </w:r>
          </w:p>
          <w:p>
            <w:pPr>
              <w:pStyle w:val="Normal"/>
              <w:widowControl w:val="false"/>
              <w:rPr/>
            </w:pPr>
            <w:r>
              <w:rPr/>
            </w:r>
          </w:p>
        </w:tc>
      </w:tr>
    </w:tbl>
    <w:tbl>
      <w:tblPr>
        <w:tblStyle w:val="TableGrid"/>
        <w:tblpPr w:bottomFromText="0" w:horzAnchor="margin" w:leftFromText="180" w:rightFromText="180" w:tblpX="0" w:tblpY="796" w:topFromText="0" w:vertAnchor="page"/>
        <w:tblW w:w="9350" w:type="dxa"/>
        <w:jc w:val="left"/>
        <w:tblInd w:w="-5" w:type="dxa"/>
        <w:tblLayout w:type="fixed"/>
        <w:tblCellMar>
          <w:top w:w="0" w:type="dxa"/>
          <w:left w:w="108" w:type="dxa"/>
          <w:bottom w:w="0" w:type="dxa"/>
          <w:right w:w="108" w:type="dxa"/>
        </w:tblCellMar>
        <w:tblLook w:firstRow="1" w:noVBand="1" w:lastRow="0" w:firstColumn="1" w:lastColumn="0" w:noHBand="0" w:val="04a0"/>
      </w:tblPr>
      <w:tblGrid>
        <w:gridCol w:w="1558"/>
        <w:gridCol w:w="1558"/>
        <w:gridCol w:w="1558"/>
        <w:gridCol w:w="1557"/>
        <w:gridCol w:w="1560"/>
        <w:gridCol w:w="1558"/>
      </w:tblGrid>
      <w:tr>
        <w:trPr>
          <w:trHeight w:val="699" w:hRule="atLeast"/>
        </w:trPr>
        <w:tc>
          <w:tcPr>
            <w:tcW w:w="1558" w:type="dxa"/>
            <w:tcBorders/>
          </w:tcPr>
          <w:p>
            <w:pPr>
              <w:pStyle w:val="Normal"/>
              <w:widowControl/>
              <w:spacing w:lineRule="auto" w:line="240" w:before="0" w:after="0"/>
              <w:jc w:val="center"/>
              <w:rPr>
                <w:rFonts w:ascii="Arial" w:hAnsi="Arial" w:eastAsia="Arial" w:cs="Arial"/>
                <w:kern w:val="0"/>
                <w:sz w:val="22"/>
                <w:szCs w:val="22"/>
                <w:lang w:val="en-US" w:eastAsia="en-IN" w:bidi="ar-SA"/>
              </w:rPr>
            </w:pPr>
            <w:r>
              <w:rPr>
                <w:rFonts w:eastAsia="Arial" w:cs="Arial"/>
                <w:kern w:val="0"/>
                <w:sz w:val="22"/>
                <w:szCs w:val="22"/>
                <w:lang w:val="en-US" w:eastAsia="en-IN" w:bidi="ar-SA"/>
              </w:rPr>
              <w:t>Ratio</w:t>
            </w:r>
          </w:p>
        </w:tc>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Years</w:t>
            </w:r>
          </w:p>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2023</w:t>
            </w:r>
          </w:p>
        </w:tc>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2022</w:t>
            </w:r>
          </w:p>
        </w:tc>
        <w:tc>
          <w:tcPr>
            <w:tcW w:w="1557"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2021</w:t>
            </w:r>
          </w:p>
        </w:tc>
        <w:tc>
          <w:tcPr>
            <w:tcW w:w="1560"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2020</w:t>
            </w:r>
          </w:p>
        </w:tc>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2019</w:t>
            </w:r>
          </w:p>
        </w:tc>
      </w:tr>
      <w:tr>
        <w:trPr>
          <w:trHeight w:val="575" w:hRule="atLeast"/>
        </w:trPr>
        <w:tc>
          <w:tcPr>
            <w:tcW w:w="1558" w:type="dxa"/>
            <w:tcBorders/>
          </w:tcPr>
          <w:p>
            <w:pPr>
              <w:pStyle w:val="Normal"/>
              <w:widowControl/>
              <w:spacing w:lineRule="auto" w:line="240" w:before="0" w:after="0"/>
              <w:jc w:val="right"/>
              <w:rPr>
                <w:rFonts w:ascii="Arial" w:hAnsi="Arial" w:eastAsia="Arial" w:cs="Arial"/>
                <w:kern w:val="0"/>
                <w:sz w:val="22"/>
                <w:szCs w:val="22"/>
                <w:lang w:val="en-US" w:eastAsia="en-IN" w:bidi="ar-SA"/>
              </w:rPr>
            </w:pPr>
            <w:r>
              <w:rPr>
                <w:rFonts w:eastAsia="Arial" w:cs="Arial"/>
                <w:kern w:val="0"/>
                <w:sz w:val="22"/>
                <w:szCs w:val="22"/>
                <w:lang w:val="en-US" w:eastAsia="en-IN" w:bidi="ar-SA"/>
              </w:rPr>
            </w:r>
          </w:p>
          <w:p>
            <w:pPr>
              <w:pStyle w:val="Normal"/>
              <w:widowControl/>
              <w:spacing w:lineRule="auto" w:line="240" w:before="0" w:after="0"/>
              <w:jc w:val="right"/>
              <w:rPr>
                <w:rFonts w:ascii="Arial" w:hAnsi="Arial" w:eastAsia="Arial" w:cs="Arial"/>
                <w:kern w:val="0"/>
                <w:sz w:val="22"/>
                <w:szCs w:val="22"/>
                <w:lang w:val="en-US" w:eastAsia="en-IN" w:bidi="ar-SA"/>
              </w:rPr>
            </w:pPr>
            <w:r>
              <w:rPr>
                <w:rFonts w:eastAsia="Arial" w:cs="Arial"/>
                <w:kern w:val="0"/>
                <w:sz w:val="22"/>
                <w:szCs w:val="22"/>
                <w:lang w:val="en-US" w:eastAsia="en-IN" w:bidi="ar-SA"/>
              </w:rPr>
              <w:t xml:space="preserve">Current Ratio </w:t>
            </w:r>
          </w:p>
        </w:tc>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1.20</w:t>
            </w:r>
          </w:p>
        </w:tc>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1.05</w:t>
            </w:r>
          </w:p>
        </w:tc>
        <w:tc>
          <w:tcPr>
            <w:tcW w:w="1557"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0.98</w:t>
            </w:r>
          </w:p>
        </w:tc>
        <w:tc>
          <w:tcPr>
            <w:tcW w:w="1560"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1.44</w:t>
            </w:r>
          </w:p>
        </w:tc>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2.47</w:t>
            </w:r>
          </w:p>
        </w:tc>
      </w:tr>
      <w:tr>
        <w:trPr>
          <w:trHeight w:val="608" w:hRule="atLeast"/>
        </w:trPr>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r>
          </w:p>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Quick Ratio</w:t>
            </w:r>
          </w:p>
        </w:tc>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1.1814</w:t>
            </w:r>
          </w:p>
        </w:tc>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1.08</w:t>
            </w:r>
          </w:p>
        </w:tc>
        <w:tc>
          <w:tcPr>
            <w:tcW w:w="1557"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1.14</w:t>
            </w:r>
          </w:p>
        </w:tc>
        <w:tc>
          <w:tcPr>
            <w:tcW w:w="1560"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1.40</w:t>
            </w:r>
          </w:p>
        </w:tc>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2.43</w:t>
            </w:r>
          </w:p>
        </w:tc>
      </w:tr>
      <w:tr>
        <w:trPr>
          <w:trHeight w:val="625" w:hRule="atLeast"/>
        </w:trPr>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 xml:space="preserve">Operating Cash Flow Ratio </w:t>
            </w:r>
          </w:p>
        </w:tc>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35.34</w:t>
            </w:r>
          </w:p>
        </w:tc>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76.83</w:t>
            </w:r>
          </w:p>
        </w:tc>
        <w:tc>
          <w:tcPr>
            <w:tcW w:w="1557"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-182.81</w:t>
            </w:r>
          </w:p>
        </w:tc>
        <w:tc>
          <w:tcPr>
            <w:tcW w:w="1560"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-32.77</w:t>
            </w:r>
          </w:p>
        </w:tc>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-11.74</w:t>
            </w:r>
          </w:p>
        </w:tc>
      </w:tr>
      <w:tr>
        <w:trPr>
          <w:trHeight w:val="644" w:hRule="atLeast"/>
        </w:trPr>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Debt To Equity Ratio</w:t>
            </w:r>
          </w:p>
        </w:tc>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1.00</w:t>
            </w:r>
          </w:p>
        </w:tc>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1.52</w:t>
            </w:r>
          </w:p>
        </w:tc>
        <w:tc>
          <w:tcPr>
            <w:tcW w:w="1557"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0.77</w:t>
            </w:r>
          </w:p>
        </w:tc>
        <w:tc>
          <w:tcPr>
            <w:tcW w:w="1560"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0.76</w:t>
            </w:r>
          </w:p>
        </w:tc>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0.52</w:t>
            </w:r>
          </w:p>
        </w:tc>
      </w:tr>
      <w:tr>
        <w:trPr>
          <w:trHeight w:val="945" w:hRule="atLeast"/>
        </w:trPr>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r>
          </w:p>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Debt Ratio</w:t>
            </w:r>
          </w:p>
        </w:tc>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0.29</w:t>
            </w:r>
          </w:p>
        </w:tc>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0.35</w:t>
            </w:r>
          </w:p>
        </w:tc>
        <w:tc>
          <w:tcPr>
            <w:tcW w:w="1557"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0.29</w:t>
            </w:r>
          </w:p>
        </w:tc>
        <w:tc>
          <w:tcPr>
            <w:tcW w:w="1560"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0.28</w:t>
            </w:r>
          </w:p>
        </w:tc>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0.23</w:t>
            </w:r>
          </w:p>
        </w:tc>
      </w:tr>
      <w:tr>
        <w:trPr>
          <w:trHeight w:val="941" w:hRule="atLeast"/>
        </w:trPr>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r>
          </w:p>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Equity Ratio</w:t>
            </w:r>
          </w:p>
        </w:tc>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0.33</w:t>
            </w:r>
          </w:p>
        </w:tc>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0.26</w:t>
            </w:r>
          </w:p>
        </w:tc>
        <w:tc>
          <w:tcPr>
            <w:tcW w:w="1557"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0.40</w:t>
            </w:r>
          </w:p>
        </w:tc>
        <w:tc>
          <w:tcPr>
            <w:tcW w:w="1560"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0.41</w:t>
            </w:r>
          </w:p>
        </w:tc>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0.48</w:t>
            </w:r>
          </w:p>
        </w:tc>
      </w:tr>
    </w:tbl>
    <w:p>
      <w:pPr>
        <w:pStyle w:val="Normal"/>
        <w:rPr/>
      </w:pPr>
      <w:r>
        <w:rPr/>
      </w:r>
    </w:p>
    <w:p>
      <w:pPr>
        <w:pStyle w:val="Normal"/>
        <w:rPr>
          <w:b/>
          <w:bCs/>
        </w:rPr>
      </w:pPr>
      <w:r>
        <w:rPr>
          <w:b/>
          <w:bCs/>
        </w:rPr>
        <w:t>(SOURCES: STOCK ANALYSIS)</w:t>
      </w:r>
    </w:p>
    <w:p>
      <w:pPr>
        <w:pStyle w:val="Normal"/>
        <w:rPr/>
      </w:pPr>
      <w:r>
        <w:rPr/>
      </w:r>
    </w:p>
    <w:p>
      <w:pPr>
        <w:pStyle w:val="Normal"/>
        <w:rPr/>
      </w:pPr>
      <w:r>
        <w:rPr/>
      </w:r>
    </w:p>
    <w:p>
      <w:pPr>
        <w:pStyle w:val="Normal"/>
        <w:rPr/>
      </w:pPr>
      <w:r>
        <w:rPr/>
        <w:drawing>
          <wp:inline distT="0" distB="0" distL="0" distR="0">
            <wp:extent cx="4590415" cy="2684145"/>
            <wp:effectExtent l="0" t="0" r="0" b="0"/>
            <wp:docPr id="4" name="Picture 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5" descr=""/>
                    <pic:cNvPicPr>
                      <a:picLocks noChangeAspect="1" noChangeArrowheads="1"/>
                    </pic:cNvPicPr>
                  </pic:nvPicPr>
                  <pic:blipFill>
                    <a:blip r:embed="rId5"/>
                    <a:stretch>
                      <a:fillRect/>
                    </a:stretch>
                  </pic:blipFill>
                  <pic:spPr bwMode="auto">
                    <a:xfrm>
                      <a:off x="0" y="0"/>
                      <a:ext cx="4590415" cy="2684145"/>
                    </a:xfrm>
                    <a:prstGeom prst="rect">
                      <a:avLst/>
                    </a:prstGeom>
                  </pic:spPr>
                </pic:pic>
              </a:graphicData>
            </a:graphic>
          </wp:inline>
        </w:drawing>
      </w:r>
    </w:p>
    <w:p>
      <w:pPr>
        <w:pStyle w:val="Normal"/>
        <w:rPr>
          <w:rFonts w:ascii="Times New Roman" w:hAnsi="Times New Roman" w:cs="Times New Roman"/>
          <w:b/>
          <w:bCs/>
          <w:sz w:val="24"/>
          <w:szCs w:val="24"/>
        </w:rPr>
      </w:pPr>
      <w:r>
        <w:rPr>
          <w:rFonts w:cs="Times New Roman" w:ascii="Times New Roman" w:hAnsi="Times New Roman"/>
          <w:b/>
          <w:bCs/>
          <w:sz w:val="24"/>
          <w:szCs w:val="24"/>
        </w:rPr>
        <w:t>FIGUR 2</w:t>
      </w:r>
    </w:p>
    <w:p>
      <w:pPr>
        <w:pStyle w:val="Normal"/>
        <w:rPr>
          <w:rFonts w:ascii="Times New Roman" w:hAnsi="Times New Roman" w:cs="Times New Roman"/>
          <w:b/>
          <w:bCs/>
          <w:sz w:val="24"/>
          <w:szCs w:val="24"/>
        </w:rPr>
      </w:pPr>
      <w:r>
        <w:rPr>
          <w:rFonts w:cs="Times New Roman" w:ascii="Times New Roman" w:hAnsi="Times New Roman"/>
          <w:b/>
          <w:bCs/>
          <w:sz w:val="24"/>
          <w:szCs w:val="24"/>
        </w:rPr>
      </w:r>
    </w:p>
    <w:p>
      <w:pPr>
        <w:pStyle w:val="Normal"/>
        <w:rPr>
          <w:rFonts w:ascii="Times New Roman" w:hAnsi="Times New Roman" w:cs="Times New Roman"/>
          <w:sz w:val="24"/>
          <w:szCs w:val="24"/>
        </w:rPr>
      </w:pPr>
      <w:r>
        <w:rPr>
          <w:rFonts w:cs="Times New Roman" w:ascii="Times New Roman" w:hAnsi="Times New Roman"/>
          <w:sz w:val="24"/>
          <w:szCs w:val="24"/>
        </w:rPr>
      </w:r>
    </w:p>
    <w:p>
      <w:pPr>
        <w:pStyle w:val="Normal"/>
        <w:rPr>
          <w:rFonts w:ascii="Times New Roman" w:hAnsi="Times New Roman" w:cs="Times New Roman"/>
          <w:b/>
          <w:bCs/>
          <w:i/>
          <w:i/>
          <w:iCs/>
          <w:sz w:val="28"/>
          <w:szCs w:val="28"/>
        </w:rPr>
      </w:pPr>
      <w:r>
        <w:rPr>
          <w:rFonts w:cs="Times New Roman" w:ascii="Times New Roman" w:hAnsi="Times New Roman"/>
          <w:b/>
          <w:bCs/>
          <w:i/>
          <w:iCs/>
          <w:sz w:val="28"/>
          <w:szCs w:val="28"/>
        </w:rPr>
        <w:t>LEVERAGE RATIOS</w:t>
      </w:r>
    </w:p>
    <w:p>
      <w:pPr>
        <w:pStyle w:val="Normal"/>
        <w:rPr>
          <w:rFonts w:ascii="Times New Roman" w:hAnsi="Times New Roman" w:cs="Times New Roman"/>
          <w:b/>
          <w:bCs/>
          <w:sz w:val="28"/>
          <w:szCs w:val="28"/>
        </w:rPr>
      </w:pPr>
      <w:r>
        <w:rPr>
          <w:rFonts w:cs="Times New Roman" w:ascii="Times New Roman" w:hAnsi="Times New Roman"/>
          <w:b/>
          <w:bCs/>
          <w:sz w:val="28"/>
          <w:szCs w:val="28"/>
        </w:rPr>
      </w:r>
    </w:p>
    <w:p>
      <w:pPr>
        <w:pStyle w:val="Normal"/>
        <w:rPr>
          <w:rFonts w:ascii="Times New Roman" w:hAnsi="Times New Roman" w:cs="Times New Roman"/>
          <w:sz w:val="24"/>
          <w:szCs w:val="24"/>
        </w:rPr>
      </w:pPr>
      <w:r>
        <w:rPr>
          <w:rFonts w:cs="Times New Roman" w:ascii="Times New Roman" w:hAnsi="Times New Roman"/>
          <w:sz w:val="24"/>
          <w:szCs w:val="24"/>
        </w:rPr>
        <w:t>Leverage ratios play a crucial role in analyzing an organization's debt compared to other financial indicators like equity and cash. These metrics provide insights into the proportion of an organization's funding sourced from debt and its ability to meet debt obligations. Higher leverage ratios signal increased debt relative to other financial benchmarks, potentially signaling risks for the organization.</w:t>
      </w:r>
      <w:r>
        <w:rPr/>
        <w:t xml:space="preserve"> </w:t>
      </w:r>
      <w:r>
        <w:rPr>
          <w:rFonts w:cs="Times New Roman" w:ascii="Times New Roman" w:hAnsi="Times New Roman"/>
          <w:sz w:val="24"/>
          <w:szCs w:val="24"/>
        </w:rPr>
        <w:t>(DiLallo, 2023)</w:t>
      </w:r>
    </w:p>
    <w:p>
      <w:pPr>
        <w:pStyle w:val="Normal"/>
        <w:rPr>
          <w:rFonts w:ascii="Times New Roman" w:hAnsi="Times New Roman" w:cs="Times New Roman"/>
          <w:sz w:val="24"/>
          <w:szCs w:val="24"/>
        </w:rPr>
      </w:pPr>
      <w:r>
        <w:rPr>
          <w:rFonts w:cs="Times New Roman" w:ascii="Times New Roman" w:hAnsi="Times New Roman"/>
          <w:sz w:val="24"/>
          <w:szCs w:val="24"/>
        </w:rPr>
      </w:r>
    </w:p>
    <w:p>
      <w:pPr>
        <w:pStyle w:val="Normal"/>
        <w:rPr>
          <w:rFonts w:ascii="Times New Roman" w:hAnsi="Times New Roman" w:cs="Times New Roman"/>
          <w:sz w:val="24"/>
          <w:szCs w:val="24"/>
        </w:rPr>
      </w:pPr>
      <w:r>
        <w:rPr>
          <w:rFonts w:cs="Times New Roman" w:ascii="Times New Roman" w:hAnsi="Times New Roman"/>
          <w:b/>
          <w:bCs/>
          <w:i/>
          <w:iCs/>
          <w:sz w:val="24"/>
          <w:szCs w:val="24"/>
        </w:rPr>
        <w:t xml:space="preserve">COMMENTS ON LIQUDITY RATIO: </w:t>
      </w:r>
      <w:r>
        <w:rPr>
          <w:rFonts w:cs="Times New Roman" w:ascii="Times New Roman" w:hAnsi="Times New Roman"/>
          <w:sz w:val="24"/>
          <w:szCs w:val="24"/>
        </w:rPr>
        <w:t>As of the YEARLY that concluded in December 2023, Uber Technologies Inc. had a quick ratio of 1.19 and a current ratio of 1.19. The current ratio, which is calculated by dividing total current assets by total current liabilities, indicates a company's capacity to meet short-term obligations. Uber has sufficient current assets to meet its short-term liabilities, as seen by its current ratio of 1.19, which typically denotes strong short-term financial health. However, the quick ratio—which deducts inventory from current assets—is likewise 1.19, indicating that the business may use its most liquid assets to satisfy short-term obligations. Based on these statistics, Uber Technologies Inc. appears to have a strong liquidity position, demonstrating its capacity to successfully handle short-term financial obligations.</w:t>
      </w:r>
    </w:p>
    <w:p>
      <w:pPr>
        <w:pStyle w:val="Normal"/>
        <w:rPr>
          <w:rFonts w:ascii="Times New Roman" w:hAnsi="Times New Roman" w:cs="Times New Roman"/>
          <w:sz w:val="24"/>
          <w:szCs w:val="24"/>
        </w:rPr>
      </w:pPr>
      <w:r>
        <w:rPr>
          <w:rFonts w:cs="Times New Roman" w:ascii="Times New Roman" w:hAnsi="Times New Roman"/>
          <w:sz w:val="24"/>
          <w:szCs w:val="24"/>
        </w:rPr>
      </w:r>
    </w:p>
    <w:p>
      <w:pPr>
        <w:pStyle w:val="Normal"/>
        <w:rPr>
          <w:rFonts w:ascii="Times New Roman" w:hAnsi="Times New Roman" w:cs="Times New Roman"/>
          <w:sz w:val="24"/>
          <w:szCs w:val="24"/>
        </w:rPr>
      </w:pPr>
      <w:r>
        <w:rPr>
          <w:rFonts w:cs="Times New Roman" w:ascii="Times New Roman" w:hAnsi="Times New Roman"/>
          <w:b/>
          <w:bCs/>
          <w:i/>
          <w:iCs/>
          <w:sz w:val="24"/>
          <w:szCs w:val="24"/>
        </w:rPr>
        <w:t>COMMENTS ON LEVERANGE RATIO:</w:t>
      </w:r>
      <w:r>
        <w:rPr/>
        <w:t xml:space="preserve"> </w:t>
      </w:r>
      <w:r>
        <w:rPr>
          <w:rFonts w:cs="Times New Roman" w:ascii="Times New Roman" w:hAnsi="Times New Roman"/>
          <w:sz w:val="24"/>
          <w:szCs w:val="24"/>
        </w:rPr>
        <w:t xml:space="preserve">As of December 31, 2023, Uber Technologies Inc.'s leverage ratio is 3.44. By dividing a company's total assets by its total shareholders' equity, one may compute the leverage ratio, sometimes referred to as the financial leverage ratio. </w:t>
      </w:r>
    </w:p>
    <w:p>
      <w:pPr>
        <w:pStyle w:val="Normal"/>
        <w:rPr>
          <w:rFonts w:ascii="Times New Roman" w:hAnsi="Times New Roman" w:cs="Times New Roman"/>
          <w:sz w:val="24"/>
          <w:szCs w:val="24"/>
        </w:rPr>
      </w:pPr>
      <w:r>
        <w:rPr>
          <w:rFonts w:cs="Times New Roman" w:ascii="Times New Roman" w:hAnsi="Times New Roman"/>
          <w:sz w:val="24"/>
          <w:szCs w:val="24"/>
        </w:rPr>
        <w:t>Uber's total assets exceed its entire shareholder equity by 3.44 times, as indicated by its leverage ratio of 3.44. Uber appears to be depending more on debt funding than equity financing, indicating a rather high level of financial leverage, according to this ratio.</w:t>
      </w:r>
    </w:p>
    <w:p>
      <w:pPr>
        <w:pStyle w:val="Normal"/>
        <w:rPr>
          <w:rFonts w:ascii="Times New Roman" w:hAnsi="Times New Roman" w:cs="Times New Roman"/>
          <w:sz w:val="24"/>
          <w:szCs w:val="24"/>
        </w:rPr>
      </w:pPr>
      <w:r>
        <w:rPr>
          <w:rFonts w:cs="Times New Roman" w:ascii="Times New Roman" w:hAnsi="Times New Roman"/>
          <w:sz w:val="24"/>
          <w:szCs w:val="24"/>
        </w:rPr>
        <w:t>Higher leverage ratios can boost equity returns in successful times, but they also put the business at greater danger of financial loss or recession. Uber's debt ratio is still higher even if it has marginally dropped from 4.37 in 2022.</w:t>
      </w:r>
    </w:p>
    <w:p>
      <w:pPr>
        <w:pStyle w:val="Normal"/>
        <w:rPr>
          <w:rFonts w:ascii="Times New Roman" w:hAnsi="Times New Roman" w:cs="Times New Roman"/>
          <w:sz w:val="24"/>
          <w:szCs w:val="24"/>
        </w:rPr>
      </w:pPr>
      <w:r>
        <w:rPr>
          <w:rFonts w:cs="Times New Roman" w:ascii="Times New Roman" w:hAnsi="Times New Roman"/>
          <w:sz w:val="24"/>
          <w:szCs w:val="24"/>
        </w:rPr>
      </w:r>
    </w:p>
    <w:p>
      <w:pPr>
        <w:pStyle w:val="Normal"/>
        <w:rPr>
          <w:rFonts w:ascii="Times New Roman" w:hAnsi="Times New Roman" w:cs="Times New Roman"/>
          <w:b/>
          <w:bCs/>
          <w:i/>
          <w:i/>
          <w:iCs/>
          <w:sz w:val="24"/>
          <w:szCs w:val="24"/>
        </w:rPr>
      </w:pPr>
      <w:r>
        <w:rPr>
          <w:rFonts w:cs="Times New Roman" w:ascii="Times New Roman" w:hAnsi="Times New Roman"/>
          <w:b/>
          <w:bCs/>
          <w:i/>
          <w:iCs/>
          <w:sz w:val="24"/>
          <w:szCs w:val="24"/>
        </w:rPr>
      </w:r>
    </w:p>
    <w:p>
      <w:pPr>
        <w:pStyle w:val="Normal"/>
        <w:rPr>
          <w:rFonts w:ascii="Times New Roman" w:hAnsi="Times New Roman" w:cs="Times New Roman"/>
          <w:b/>
          <w:bCs/>
          <w:i/>
          <w:i/>
          <w:iCs/>
          <w:sz w:val="24"/>
          <w:szCs w:val="24"/>
        </w:rPr>
      </w:pPr>
      <w:r>
        <w:rPr>
          <w:rFonts w:cs="Times New Roman" w:ascii="Times New Roman" w:hAnsi="Times New Roman"/>
          <w:b/>
          <w:bCs/>
          <w:i/>
          <w:iCs/>
          <w:sz w:val="24"/>
          <w:szCs w:val="24"/>
        </w:rPr>
      </w:r>
    </w:p>
    <w:p>
      <w:pPr>
        <w:pStyle w:val="Normal"/>
        <w:rPr>
          <w:rFonts w:ascii="Times New Roman" w:hAnsi="Times New Roman" w:cs="Times New Roman"/>
          <w:b/>
          <w:bCs/>
          <w:i/>
          <w:i/>
          <w:iCs/>
          <w:sz w:val="24"/>
          <w:szCs w:val="24"/>
        </w:rPr>
      </w:pPr>
      <w:r>
        <w:rPr>
          <w:rFonts w:cs="Times New Roman" w:ascii="Times New Roman" w:hAnsi="Times New Roman"/>
          <w:b/>
          <w:bCs/>
          <w:i/>
          <w:iCs/>
          <w:sz w:val="24"/>
          <w:szCs w:val="24"/>
        </w:rPr>
      </w:r>
    </w:p>
    <w:p>
      <w:pPr>
        <w:pStyle w:val="Normal"/>
        <w:rPr>
          <w:rFonts w:ascii="Times New Roman" w:hAnsi="Times New Roman" w:cs="Times New Roman"/>
          <w:b/>
          <w:bCs/>
          <w:i/>
          <w:i/>
          <w:iCs/>
          <w:sz w:val="24"/>
          <w:szCs w:val="24"/>
        </w:rPr>
      </w:pPr>
      <w:r>
        <w:rPr>
          <w:rFonts w:cs="Times New Roman" w:ascii="Times New Roman" w:hAnsi="Times New Roman"/>
          <w:b/>
          <w:bCs/>
          <w:i/>
          <w:iCs/>
          <w:sz w:val="24"/>
          <w:szCs w:val="24"/>
        </w:rPr>
      </w:r>
    </w:p>
    <w:p>
      <w:pPr>
        <w:pStyle w:val="Normal"/>
        <w:rPr>
          <w:rFonts w:ascii="Times New Roman" w:hAnsi="Times New Roman" w:cs="Times New Roman"/>
          <w:b/>
          <w:bCs/>
          <w:i/>
          <w:i/>
          <w:iCs/>
          <w:sz w:val="24"/>
          <w:szCs w:val="24"/>
        </w:rPr>
      </w:pPr>
      <w:r>
        <w:rPr>
          <w:rFonts w:cs="Times New Roman" w:ascii="Times New Roman" w:hAnsi="Times New Roman"/>
          <w:b/>
          <w:bCs/>
          <w:i/>
          <w:iCs/>
          <w:sz w:val="24"/>
          <w:szCs w:val="24"/>
        </w:rPr>
      </w:r>
    </w:p>
    <w:p>
      <w:pPr>
        <w:pStyle w:val="Normal"/>
        <w:rPr>
          <w:rFonts w:ascii="Times New Roman" w:hAnsi="Times New Roman" w:cs="Times New Roman"/>
          <w:b/>
          <w:bCs/>
          <w:i/>
          <w:i/>
          <w:iCs/>
          <w:sz w:val="24"/>
          <w:szCs w:val="24"/>
        </w:rPr>
      </w:pPr>
      <w:r>
        <w:rPr>
          <w:rFonts w:cs="Times New Roman" w:ascii="Times New Roman" w:hAnsi="Times New Roman"/>
          <w:b/>
          <w:bCs/>
          <w:i/>
          <w:iCs/>
          <w:sz w:val="24"/>
          <w:szCs w:val="24"/>
        </w:rPr>
      </w:r>
    </w:p>
    <w:p>
      <w:pPr>
        <w:pStyle w:val="Normal"/>
        <w:rPr>
          <w:rFonts w:ascii="Times New Roman" w:hAnsi="Times New Roman" w:cs="Times New Roman"/>
          <w:b/>
          <w:bCs/>
          <w:i/>
          <w:i/>
          <w:iCs/>
          <w:sz w:val="24"/>
          <w:szCs w:val="24"/>
        </w:rPr>
      </w:pPr>
      <w:r>
        <w:rPr>
          <w:rFonts w:cs="Times New Roman" w:ascii="Times New Roman" w:hAnsi="Times New Roman"/>
          <w:b/>
          <w:bCs/>
          <w:i/>
          <w:iCs/>
          <w:sz w:val="24"/>
          <w:szCs w:val="24"/>
        </w:rPr>
      </w:r>
    </w:p>
    <w:p>
      <w:pPr>
        <w:pStyle w:val="Normal"/>
        <w:rPr>
          <w:rFonts w:ascii="Times New Roman" w:hAnsi="Times New Roman" w:cs="Times New Roman"/>
          <w:b/>
          <w:bCs/>
          <w:i/>
          <w:i/>
          <w:iCs/>
          <w:sz w:val="24"/>
          <w:szCs w:val="24"/>
        </w:rPr>
      </w:pPr>
      <w:r>
        <w:rPr>
          <w:rFonts w:cs="Times New Roman" w:ascii="Times New Roman" w:hAnsi="Times New Roman"/>
          <w:b/>
          <w:bCs/>
          <w:i/>
          <w:iCs/>
          <w:sz w:val="24"/>
          <w:szCs w:val="24"/>
        </w:rPr>
      </w:r>
    </w:p>
    <w:p>
      <w:pPr>
        <w:pStyle w:val="Normal"/>
        <w:rPr>
          <w:rFonts w:ascii="Times New Roman" w:hAnsi="Times New Roman" w:cs="Times New Roman"/>
          <w:b/>
          <w:bCs/>
          <w:i/>
          <w:i/>
          <w:iCs/>
          <w:sz w:val="24"/>
          <w:szCs w:val="24"/>
        </w:rPr>
      </w:pPr>
      <w:r>
        <w:rPr>
          <w:rFonts w:cs="Times New Roman" w:ascii="Times New Roman" w:hAnsi="Times New Roman"/>
          <w:b/>
          <w:bCs/>
          <w:i/>
          <w:iCs/>
          <w:sz w:val="24"/>
          <w:szCs w:val="24"/>
        </w:rPr>
      </w:r>
    </w:p>
    <w:p>
      <w:pPr>
        <w:pStyle w:val="Normal"/>
        <w:rPr>
          <w:rFonts w:ascii="Times New Roman" w:hAnsi="Times New Roman" w:cs="Times New Roman"/>
          <w:b/>
          <w:bCs/>
          <w:i/>
          <w:i/>
          <w:iCs/>
          <w:sz w:val="24"/>
          <w:szCs w:val="24"/>
        </w:rPr>
      </w:pPr>
      <w:r>
        <w:rPr>
          <w:rFonts w:cs="Times New Roman" w:ascii="Times New Roman" w:hAnsi="Times New Roman"/>
          <w:b/>
          <w:bCs/>
          <w:i/>
          <w:iCs/>
          <w:sz w:val="24"/>
          <w:szCs w:val="24"/>
        </w:rPr>
      </w:r>
    </w:p>
    <w:p>
      <w:pPr>
        <w:pStyle w:val="Normal"/>
        <w:rPr>
          <w:rFonts w:ascii="Times New Roman" w:hAnsi="Times New Roman" w:cs="Times New Roman"/>
          <w:b/>
          <w:bCs/>
          <w:i/>
          <w:i/>
          <w:iCs/>
          <w:sz w:val="24"/>
          <w:szCs w:val="24"/>
        </w:rPr>
      </w:pPr>
      <w:r>
        <w:rPr>
          <w:rFonts w:cs="Times New Roman" w:ascii="Times New Roman" w:hAnsi="Times New Roman"/>
          <w:b/>
          <w:bCs/>
          <w:i/>
          <w:iCs/>
          <w:sz w:val="24"/>
          <w:szCs w:val="24"/>
        </w:rPr>
      </w:r>
    </w:p>
    <w:p>
      <w:pPr>
        <w:pStyle w:val="Normal"/>
        <w:rPr>
          <w:rFonts w:ascii="Times New Roman" w:hAnsi="Times New Roman" w:cs="Times New Roman"/>
          <w:b/>
          <w:bCs/>
          <w:i/>
          <w:i/>
          <w:iCs/>
          <w:sz w:val="24"/>
          <w:szCs w:val="24"/>
        </w:rPr>
      </w:pPr>
      <w:r>
        <w:rPr>
          <w:rFonts w:cs="Times New Roman" w:ascii="Times New Roman" w:hAnsi="Times New Roman"/>
          <w:b/>
          <w:bCs/>
          <w:i/>
          <w:iCs/>
          <w:sz w:val="24"/>
          <w:szCs w:val="24"/>
        </w:rPr>
      </w:r>
    </w:p>
    <w:p>
      <w:pPr>
        <w:pStyle w:val="Normal"/>
        <w:rPr>
          <w:rFonts w:ascii="Times New Roman" w:hAnsi="Times New Roman" w:cs="Times New Roman"/>
          <w:b/>
          <w:bCs/>
          <w:i/>
          <w:i/>
          <w:iCs/>
          <w:sz w:val="24"/>
          <w:szCs w:val="24"/>
        </w:rPr>
      </w:pPr>
      <w:r>
        <w:rPr>
          <w:rFonts w:cs="Times New Roman" w:ascii="Times New Roman" w:hAnsi="Times New Roman"/>
          <w:b/>
          <w:bCs/>
          <w:i/>
          <w:iCs/>
          <w:sz w:val="24"/>
          <w:szCs w:val="24"/>
        </w:rPr>
      </w:r>
    </w:p>
    <w:p>
      <w:pPr>
        <w:pStyle w:val="Normal"/>
        <w:rPr>
          <w:rFonts w:ascii="Times New Roman" w:hAnsi="Times New Roman" w:cs="Times New Roman"/>
          <w:b/>
          <w:bCs/>
          <w:i/>
          <w:i/>
          <w:iCs/>
          <w:sz w:val="24"/>
          <w:szCs w:val="24"/>
        </w:rPr>
      </w:pPr>
      <w:r>
        <w:rPr>
          <w:rFonts w:cs="Times New Roman" w:ascii="Times New Roman" w:hAnsi="Times New Roman"/>
          <w:b/>
          <w:bCs/>
          <w:i/>
          <w:iCs/>
          <w:sz w:val="24"/>
          <w:szCs w:val="24"/>
        </w:rPr>
      </w:r>
    </w:p>
    <w:p>
      <w:pPr>
        <w:pStyle w:val="Normal"/>
        <w:rPr>
          <w:rFonts w:ascii="Times New Roman" w:hAnsi="Times New Roman" w:cs="Times New Roman"/>
          <w:b/>
          <w:bCs/>
          <w:i/>
          <w:i/>
          <w:iCs/>
          <w:sz w:val="24"/>
          <w:szCs w:val="24"/>
        </w:rPr>
      </w:pPr>
      <w:r>
        <w:rPr>
          <w:rFonts w:cs="Times New Roman" w:ascii="Times New Roman" w:hAnsi="Times New Roman"/>
          <w:b/>
          <w:bCs/>
          <w:i/>
          <w:iCs/>
          <w:sz w:val="24"/>
          <w:szCs w:val="24"/>
        </w:rPr>
      </w:r>
    </w:p>
    <w:p>
      <w:pPr>
        <w:pStyle w:val="Normal"/>
        <w:rPr>
          <w:rFonts w:ascii="Times New Roman" w:hAnsi="Times New Roman" w:cs="Times New Roman"/>
          <w:b/>
          <w:bCs/>
          <w:i/>
          <w:i/>
          <w:iCs/>
          <w:sz w:val="24"/>
          <w:szCs w:val="24"/>
        </w:rPr>
      </w:pPr>
      <w:r>
        <w:rPr>
          <w:rFonts w:cs="Times New Roman" w:ascii="Times New Roman" w:hAnsi="Times New Roman"/>
          <w:b/>
          <w:bCs/>
          <w:i/>
          <w:iCs/>
          <w:sz w:val="24"/>
          <w:szCs w:val="24"/>
        </w:rPr>
      </w:r>
    </w:p>
    <w:p>
      <w:pPr>
        <w:pStyle w:val="Normal"/>
        <w:rPr>
          <w:rFonts w:ascii="Times New Roman" w:hAnsi="Times New Roman" w:cs="Times New Roman"/>
          <w:b/>
          <w:bCs/>
          <w:i/>
          <w:i/>
          <w:iCs/>
          <w:sz w:val="24"/>
          <w:szCs w:val="24"/>
        </w:rPr>
      </w:pPr>
      <w:r>
        <w:rPr>
          <w:rFonts w:cs="Times New Roman" w:ascii="Times New Roman" w:hAnsi="Times New Roman"/>
          <w:b/>
          <w:bCs/>
          <w:i/>
          <w:iCs/>
          <w:sz w:val="24"/>
          <w:szCs w:val="24"/>
        </w:rPr>
      </w:r>
    </w:p>
    <w:p>
      <w:pPr>
        <w:pStyle w:val="Normal"/>
        <w:rPr>
          <w:rFonts w:ascii="Times New Roman" w:hAnsi="Times New Roman" w:cs="Times New Roman"/>
          <w:b/>
          <w:bCs/>
          <w:i/>
          <w:i/>
          <w:iCs/>
          <w:sz w:val="24"/>
          <w:szCs w:val="24"/>
        </w:rPr>
      </w:pPr>
      <w:r>
        <w:rPr>
          <w:rFonts w:cs="Times New Roman" w:ascii="Times New Roman" w:hAnsi="Times New Roman"/>
          <w:b/>
          <w:bCs/>
          <w:i/>
          <w:iCs/>
          <w:sz w:val="24"/>
          <w:szCs w:val="24"/>
        </w:rPr>
        <w:t>COMPARISON COMPANY IS LYFT COMPANY (SOURCESE: YAHOO FINANCE)</w:t>
      </w:r>
    </w:p>
    <w:p>
      <w:pPr>
        <w:pStyle w:val="Normal"/>
        <w:rPr>
          <w:rFonts w:ascii="Times New Roman" w:hAnsi="Times New Roman" w:cs="Times New Roman"/>
          <w:b/>
          <w:bCs/>
          <w:i/>
          <w:i/>
          <w:iCs/>
          <w:sz w:val="28"/>
          <w:szCs w:val="28"/>
        </w:rPr>
      </w:pPr>
      <w:r>
        <w:rPr>
          <w:rFonts w:cs="Times New Roman" w:ascii="Times New Roman" w:hAnsi="Times New Roman"/>
          <w:b/>
          <w:bCs/>
          <w:i/>
          <w:iCs/>
          <w:sz w:val="28"/>
          <w:szCs w:val="28"/>
        </w:rPr>
        <w:t xml:space="preserve">TABLE 2 </w:t>
      </w:r>
    </w:p>
    <w:tbl>
      <w:tblPr>
        <w:tblStyle w:val="TableGrid"/>
        <w:tblW w:w="9350"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588"/>
        <w:gridCol w:w="1551"/>
        <w:gridCol w:w="1552"/>
        <w:gridCol w:w="1552"/>
        <w:gridCol w:w="1553"/>
        <w:gridCol w:w="1553"/>
      </w:tblGrid>
      <w:tr>
        <w:trPr/>
        <w:tc>
          <w:tcPr>
            <w:tcW w:w="1588"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YEAR</w:t>
            </w:r>
          </w:p>
        </w:tc>
        <w:tc>
          <w:tcPr>
            <w:tcW w:w="1551"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2023</w:t>
            </w:r>
          </w:p>
        </w:tc>
        <w:tc>
          <w:tcPr>
            <w:tcW w:w="1552"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2022</w:t>
            </w:r>
          </w:p>
        </w:tc>
        <w:tc>
          <w:tcPr>
            <w:tcW w:w="1552"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2021</w:t>
            </w:r>
          </w:p>
        </w:tc>
        <w:tc>
          <w:tcPr>
            <w:tcW w:w="1553"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2020</w:t>
            </w:r>
          </w:p>
        </w:tc>
        <w:tc>
          <w:tcPr>
            <w:tcW w:w="1553"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2019</w:t>
            </w:r>
          </w:p>
        </w:tc>
      </w:tr>
      <w:tr>
        <w:trPr/>
        <w:tc>
          <w:tcPr>
            <w:tcW w:w="1588" w:type="dxa"/>
            <w:tcBorders/>
          </w:tcPr>
          <w:p>
            <w:pPr>
              <w:pStyle w:val="Normal"/>
              <w:widowControl/>
              <w:spacing w:lineRule="auto" w:line="240" w:before="0" w:after="0"/>
              <w:jc w:val="left"/>
              <w:rPr>
                <w:rFonts w:ascii="Times New Roman" w:hAnsi="Times New Roman" w:cs="Times New Roman"/>
              </w:rPr>
            </w:pPr>
            <w:r>
              <w:rPr>
                <w:rFonts w:eastAsia="Arial" w:cs="Times New Roman" w:ascii="Times New Roman" w:hAnsi="Times New Roman"/>
                <w:kern w:val="0"/>
                <w:sz w:val="22"/>
                <w:szCs w:val="22"/>
                <w:lang w:val="en-US" w:eastAsia="en-IN" w:bidi="ar-SA"/>
              </w:rPr>
              <w:t>CURRENT ASSETS</w:t>
            </w:r>
          </w:p>
        </w:tc>
        <w:tc>
          <w:tcPr>
            <w:tcW w:w="1551"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11.3</w:t>
            </w:r>
          </w:p>
        </w:tc>
        <w:tc>
          <w:tcPr>
            <w:tcW w:w="1552"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9.25</w:t>
            </w:r>
          </w:p>
        </w:tc>
        <w:tc>
          <w:tcPr>
            <w:tcW w:w="1552"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8.82</w:t>
            </w:r>
          </w:p>
        </w:tc>
        <w:tc>
          <w:tcPr>
            <w:tcW w:w="1553"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9.88</w:t>
            </w:r>
          </w:p>
        </w:tc>
        <w:tc>
          <w:tcPr>
            <w:tcW w:w="1553"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13.93</w:t>
            </w:r>
          </w:p>
        </w:tc>
      </w:tr>
      <w:tr>
        <w:trPr/>
        <w:tc>
          <w:tcPr>
            <w:tcW w:w="1588"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CURRENT LIABILITIES</w:t>
            </w:r>
          </w:p>
        </w:tc>
        <w:tc>
          <w:tcPr>
            <w:tcW w:w="1551"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9.45</w:t>
            </w:r>
          </w:p>
        </w:tc>
        <w:tc>
          <w:tcPr>
            <w:tcW w:w="1552"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8.85</w:t>
            </w:r>
          </w:p>
        </w:tc>
        <w:tc>
          <w:tcPr>
            <w:tcW w:w="1552"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9.02</w:t>
            </w:r>
          </w:p>
        </w:tc>
        <w:tc>
          <w:tcPr>
            <w:tcW w:w="1553"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6.87</w:t>
            </w:r>
          </w:p>
        </w:tc>
        <w:tc>
          <w:tcPr>
            <w:tcW w:w="1553"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5.64</w:t>
            </w:r>
          </w:p>
        </w:tc>
      </w:tr>
      <w:tr>
        <w:trPr/>
        <w:tc>
          <w:tcPr>
            <w:tcW w:w="1588"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OPERATING CASH FLOW</w:t>
            </w:r>
          </w:p>
        </w:tc>
        <w:tc>
          <w:tcPr>
            <w:tcW w:w="1551"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3585</w:t>
            </w:r>
          </w:p>
        </w:tc>
        <w:tc>
          <w:tcPr>
            <w:tcW w:w="1552"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642</w:t>
            </w:r>
          </w:p>
        </w:tc>
        <w:tc>
          <w:tcPr>
            <w:tcW w:w="1552"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-445</w:t>
            </w:r>
          </w:p>
        </w:tc>
        <w:tc>
          <w:tcPr>
            <w:tcW w:w="1553"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-2745</w:t>
            </w:r>
          </w:p>
        </w:tc>
        <w:tc>
          <w:tcPr>
            <w:tcW w:w="1553"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-4321</w:t>
            </w:r>
          </w:p>
        </w:tc>
      </w:tr>
      <w:tr>
        <w:trPr/>
        <w:tc>
          <w:tcPr>
            <w:tcW w:w="1588"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 xml:space="preserve">TOTAL ASSETS </w:t>
            </w:r>
          </w:p>
        </w:tc>
        <w:tc>
          <w:tcPr>
            <w:tcW w:w="1551"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38699</w:t>
            </w:r>
          </w:p>
        </w:tc>
        <w:tc>
          <w:tcPr>
            <w:tcW w:w="1552"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32109</w:t>
            </w:r>
          </w:p>
        </w:tc>
        <w:tc>
          <w:tcPr>
            <w:tcW w:w="1552"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23629</w:t>
            </w:r>
          </w:p>
        </w:tc>
        <w:tc>
          <w:tcPr>
            <w:tcW w:w="1553"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20285</w:t>
            </w:r>
          </w:p>
        </w:tc>
        <w:tc>
          <w:tcPr>
            <w:tcW w:w="1553"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16889</w:t>
            </w:r>
          </w:p>
        </w:tc>
      </w:tr>
      <w:tr>
        <w:trPr/>
        <w:tc>
          <w:tcPr>
            <w:tcW w:w="1588"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TOTAL LIABILITIES</w:t>
            </w:r>
          </w:p>
        </w:tc>
        <w:tc>
          <w:tcPr>
            <w:tcW w:w="1551"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2667</w:t>
            </w:r>
          </w:p>
        </w:tc>
        <w:tc>
          <w:tcPr>
            <w:tcW w:w="1552"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24035</w:t>
            </w:r>
          </w:p>
        </w:tc>
        <w:tc>
          <w:tcPr>
            <w:tcW w:w="1552"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23629</w:t>
            </w:r>
          </w:p>
        </w:tc>
        <w:tc>
          <w:tcPr>
            <w:tcW w:w="1553"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20285</w:t>
            </w:r>
          </w:p>
        </w:tc>
        <w:tc>
          <w:tcPr>
            <w:tcW w:w="1553"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16889</w:t>
            </w:r>
          </w:p>
        </w:tc>
      </w:tr>
      <w:tr>
        <w:trPr/>
        <w:tc>
          <w:tcPr>
            <w:tcW w:w="1588"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SHARE HOLDER EQUITY</w:t>
            </w:r>
          </w:p>
        </w:tc>
        <w:tc>
          <w:tcPr>
            <w:tcW w:w="1551"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12028</w:t>
            </w:r>
          </w:p>
        </w:tc>
        <w:tc>
          <w:tcPr>
            <w:tcW w:w="1552"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8074</w:t>
            </w:r>
          </w:p>
        </w:tc>
        <w:tc>
          <w:tcPr>
            <w:tcW w:w="1552"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15145</w:t>
            </w:r>
          </w:p>
        </w:tc>
        <w:tc>
          <w:tcPr>
            <w:tcW w:w="1553"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12967</w:t>
            </w:r>
          </w:p>
        </w:tc>
        <w:tc>
          <w:tcPr>
            <w:tcW w:w="1553"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4872</w:t>
            </w:r>
          </w:p>
        </w:tc>
      </w:tr>
      <w:tr>
        <w:trPr/>
        <w:tc>
          <w:tcPr>
            <w:tcW w:w="1588"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REVENUE</w:t>
            </w:r>
          </w:p>
        </w:tc>
        <w:tc>
          <w:tcPr>
            <w:tcW w:w="1551"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37281</w:t>
            </w:r>
          </w:p>
        </w:tc>
        <w:tc>
          <w:tcPr>
            <w:tcW w:w="1552"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31877</w:t>
            </w:r>
          </w:p>
        </w:tc>
        <w:tc>
          <w:tcPr>
            <w:tcW w:w="1552"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17455</w:t>
            </w:r>
          </w:p>
        </w:tc>
        <w:tc>
          <w:tcPr>
            <w:tcW w:w="1553"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11139</w:t>
            </w:r>
          </w:p>
        </w:tc>
        <w:tc>
          <w:tcPr>
            <w:tcW w:w="1553"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13000</w:t>
            </w:r>
          </w:p>
        </w:tc>
      </w:tr>
    </w:tbl>
    <w:p>
      <w:pPr>
        <w:pStyle w:val="Normal"/>
        <w:rPr>
          <w:rFonts w:ascii="Times New Roman" w:hAnsi="Times New Roman" w:cs="Times New Roman"/>
          <w:sz w:val="24"/>
          <w:szCs w:val="24"/>
        </w:rPr>
      </w:pPr>
      <w:r>
        <w:rPr>
          <w:rFonts w:cs="Times New Roman" w:ascii="Times New Roman" w:hAnsi="Times New Roman"/>
          <w:sz w:val="24"/>
          <w:szCs w:val="24"/>
        </w:rPr>
      </w:r>
    </w:p>
    <w:tbl>
      <w:tblPr>
        <w:tblStyle w:val="TableGrid"/>
        <w:tblW w:w="9350"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558"/>
        <w:gridCol w:w="1558"/>
        <w:gridCol w:w="1558"/>
        <w:gridCol w:w="1557"/>
        <w:gridCol w:w="1560"/>
        <w:gridCol w:w="1558"/>
      </w:tblGrid>
      <w:tr>
        <w:trPr/>
        <w:tc>
          <w:tcPr>
            <w:tcW w:w="1558"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CASH</w:t>
            </w:r>
          </w:p>
        </w:tc>
        <w:tc>
          <w:tcPr>
            <w:tcW w:w="1558"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6212</w:t>
            </w:r>
          </w:p>
        </w:tc>
        <w:tc>
          <w:tcPr>
            <w:tcW w:w="1558"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4991</w:t>
            </w:r>
          </w:p>
        </w:tc>
        <w:tc>
          <w:tcPr>
            <w:tcW w:w="1557"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4926</w:t>
            </w:r>
          </w:p>
        </w:tc>
        <w:tc>
          <w:tcPr>
            <w:tcW w:w="1560"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7077</w:t>
            </w:r>
          </w:p>
        </w:tc>
        <w:tc>
          <w:tcPr>
            <w:tcW w:w="1558"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11412</w:t>
            </w:r>
          </w:p>
        </w:tc>
      </w:tr>
      <w:tr>
        <w:trPr/>
        <w:tc>
          <w:tcPr>
            <w:tcW w:w="1558"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t>NET PROFIT AFTER TAX</w:t>
            </w:r>
          </w:p>
        </w:tc>
        <w:tc>
          <w:tcPr>
            <w:tcW w:w="1558"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r>
          </w:p>
        </w:tc>
        <w:tc>
          <w:tcPr>
            <w:tcW w:w="1558"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r>
          </w:p>
        </w:tc>
        <w:tc>
          <w:tcPr>
            <w:tcW w:w="1557"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r>
          </w:p>
        </w:tc>
        <w:tc>
          <w:tcPr>
            <w:tcW w:w="1560"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r>
          </w:p>
        </w:tc>
        <w:tc>
          <w:tcPr>
            <w:tcW w:w="1558"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r>
          </w:p>
        </w:tc>
      </w:tr>
      <w:tr>
        <w:trPr/>
        <w:tc>
          <w:tcPr>
            <w:tcW w:w="1558"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r>
          </w:p>
        </w:tc>
        <w:tc>
          <w:tcPr>
            <w:tcW w:w="1558"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r>
          </w:p>
        </w:tc>
        <w:tc>
          <w:tcPr>
            <w:tcW w:w="1558"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r>
          </w:p>
        </w:tc>
        <w:tc>
          <w:tcPr>
            <w:tcW w:w="1557"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r>
          </w:p>
        </w:tc>
        <w:tc>
          <w:tcPr>
            <w:tcW w:w="1560"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r>
          </w:p>
        </w:tc>
        <w:tc>
          <w:tcPr>
            <w:tcW w:w="1558" w:type="dxa"/>
            <w:tcBorders/>
          </w:tcPr>
          <w:p>
            <w:pPr>
              <w:pStyle w:val="Normal"/>
              <w:widowControl/>
              <w:spacing w:lineRule="auto" w:line="240" w:before="0" w:after="0"/>
              <w:jc w:val="left"/>
              <w:rPr>
                <w:rFonts w:ascii="Times New Roman" w:hAnsi="Times New Roman" w:cs="Times New Roman"/>
                <w:sz w:val="24"/>
                <w:szCs w:val="24"/>
              </w:rPr>
            </w:pPr>
            <w:r>
              <w:rPr>
                <w:rFonts w:eastAsia="Arial" w:cs="Times New Roman" w:ascii="Times New Roman" w:hAnsi="Times New Roman"/>
                <w:kern w:val="0"/>
                <w:sz w:val="24"/>
                <w:szCs w:val="24"/>
                <w:lang w:val="en-US" w:eastAsia="en-IN" w:bidi="ar-SA"/>
              </w:rPr>
            </w:r>
          </w:p>
        </w:tc>
      </w:tr>
    </w:tbl>
    <w:p>
      <w:pPr>
        <w:pStyle w:val="Normal"/>
        <w:rPr>
          <w:rFonts w:ascii="Times New Roman" w:hAnsi="Times New Roman" w:cs="Times New Roman"/>
          <w:sz w:val="24"/>
          <w:szCs w:val="24"/>
        </w:rPr>
      </w:pPr>
      <w:r>
        <w:rPr>
          <w:rFonts w:cs="Times New Roman" w:ascii="Times New Roman" w:hAnsi="Times New Roman"/>
          <w:sz w:val="24"/>
          <w:szCs w:val="24"/>
        </w:rPr>
      </w:r>
    </w:p>
    <w:tbl>
      <w:tblPr>
        <w:tblStyle w:val="TableGrid"/>
        <w:tblW w:w="9350"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558"/>
        <w:gridCol w:w="1558"/>
        <w:gridCol w:w="1558"/>
        <w:gridCol w:w="1557"/>
        <w:gridCol w:w="1560"/>
        <w:gridCol w:w="1558"/>
      </w:tblGrid>
      <w:tr>
        <w:trPr/>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RATIO</w:t>
            </w:r>
          </w:p>
        </w:tc>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2023</w:t>
            </w:r>
          </w:p>
        </w:tc>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2022</w:t>
            </w:r>
          </w:p>
        </w:tc>
        <w:tc>
          <w:tcPr>
            <w:tcW w:w="1557"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2021</w:t>
            </w:r>
          </w:p>
        </w:tc>
        <w:tc>
          <w:tcPr>
            <w:tcW w:w="1560"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2020</w:t>
            </w:r>
          </w:p>
        </w:tc>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2019</w:t>
            </w:r>
          </w:p>
        </w:tc>
      </w:tr>
      <w:tr>
        <w:trPr/>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Current Ratio</w:t>
            </w:r>
          </w:p>
        </w:tc>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0.87</w:t>
            </w:r>
          </w:p>
        </w:tc>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0.83</w:t>
            </w:r>
          </w:p>
        </w:tc>
        <w:tc>
          <w:tcPr>
            <w:tcW w:w="1557"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1.1</w:t>
            </w:r>
          </w:p>
        </w:tc>
        <w:tc>
          <w:tcPr>
            <w:tcW w:w="1560"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1.25</w:t>
            </w:r>
          </w:p>
        </w:tc>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1.33</w:t>
            </w:r>
          </w:p>
        </w:tc>
      </w:tr>
      <w:tr>
        <w:trPr/>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Quick Ratio</w:t>
            </w:r>
          </w:p>
        </w:tc>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0</w:t>
            </w:r>
          </w:p>
        </w:tc>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0</w:t>
            </w:r>
          </w:p>
        </w:tc>
        <w:tc>
          <w:tcPr>
            <w:tcW w:w="1557"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0</w:t>
            </w:r>
          </w:p>
        </w:tc>
        <w:tc>
          <w:tcPr>
            <w:tcW w:w="1560"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0</w:t>
            </w:r>
          </w:p>
        </w:tc>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0</w:t>
            </w:r>
          </w:p>
        </w:tc>
      </w:tr>
      <w:tr>
        <w:trPr/>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Operating Cash Flow Ratio</w:t>
            </w:r>
          </w:p>
        </w:tc>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r>
          </w:p>
        </w:tc>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r>
          </w:p>
        </w:tc>
        <w:tc>
          <w:tcPr>
            <w:tcW w:w="1557"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r>
          </w:p>
        </w:tc>
        <w:tc>
          <w:tcPr>
            <w:tcW w:w="1560"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r>
          </w:p>
        </w:tc>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r>
          </w:p>
        </w:tc>
      </w:tr>
      <w:tr>
        <w:trPr/>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Debt To Equity Ratio</w:t>
            </w:r>
          </w:p>
        </w:tc>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7.43</w:t>
            </w:r>
          </w:p>
        </w:tc>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10.72</w:t>
            </w:r>
          </w:p>
        </w:tc>
        <w:tc>
          <w:tcPr>
            <w:tcW w:w="1557"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2.56</w:t>
            </w:r>
          </w:p>
        </w:tc>
        <w:tc>
          <w:tcPr>
            <w:tcW w:w="1560"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1.79</w:t>
            </w:r>
          </w:p>
        </w:tc>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0.99</w:t>
            </w:r>
          </w:p>
        </w:tc>
      </w:tr>
      <w:tr>
        <w:trPr/>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Debt Ratio</w:t>
            </w:r>
          </w:p>
        </w:tc>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r>
          </w:p>
        </w:tc>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r>
          </w:p>
        </w:tc>
        <w:tc>
          <w:tcPr>
            <w:tcW w:w="1557"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r>
          </w:p>
        </w:tc>
        <w:tc>
          <w:tcPr>
            <w:tcW w:w="1560"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r>
          </w:p>
        </w:tc>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r>
          </w:p>
        </w:tc>
      </w:tr>
      <w:tr>
        <w:trPr/>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t xml:space="preserve">Equity Ratio </w:t>
            </w:r>
          </w:p>
        </w:tc>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r>
          </w:p>
        </w:tc>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r>
          </w:p>
        </w:tc>
        <w:tc>
          <w:tcPr>
            <w:tcW w:w="1557"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r>
          </w:p>
        </w:tc>
        <w:tc>
          <w:tcPr>
            <w:tcW w:w="1560"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r>
          </w:p>
        </w:tc>
        <w:tc>
          <w:tcPr>
            <w:tcW w:w="1558" w:type="dxa"/>
            <w:tcBorders/>
          </w:tcPr>
          <w:p>
            <w:pPr>
              <w:pStyle w:val="Normal"/>
              <w:widowControl/>
              <w:spacing w:lineRule="auto" w:line="240" w:before="0" w:after="0"/>
              <w:jc w:val="left"/>
              <w:rPr>
                <w:rFonts w:ascii="Arial" w:hAnsi="Arial" w:eastAsia="Arial" w:cs="Arial"/>
                <w:kern w:val="0"/>
                <w:sz w:val="22"/>
                <w:szCs w:val="22"/>
                <w:lang w:val="en-US" w:eastAsia="en-IN" w:bidi="ar-SA"/>
              </w:rPr>
            </w:pPr>
            <w:r>
              <w:rPr>
                <w:rFonts w:eastAsia="Arial" w:cs="Arial"/>
                <w:kern w:val="0"/>
                <w:sz w:val="22"/>
                <w:szCs w:val="22"/>
                <w:lang w:val="en-US" w:eastAsia="en-IN" w:bidi="ar-SA"/>
              </w:rPr>
            </w:r>
            <w:bookmarkStart w:id="18" w:name="_Toc164766802"/>
            <w:bookmarkStart w:id="19" w:name="_Toc164766802"/>
            <w:bookmarkEnd w:id="19"/>
          </w:p>
        </w:tc>
      </w:tr>
    </w:tbl>
    <w:p>
      <w:pPr>
        <w:pStyle w:val="Normal"/>
        <w:spacing w:lineRule="auto" w:line="360"/>
        <w:jc w:val="both"/>
        <w:rPr>
          <w:rFonts w:ascii="Times New Roman" w:hAnsi="Times New Roman" w:eastAsia="Times New Roman" w:cs="Times New Roman"/>
          <w:b/>
          <w:sz w:val="24"/>
          <w:szCs w:val="24"/>
        </w:rPr>
      </w:pPr>
      <w:r>
        <w:rPr>
          <w:rFonts w:eastAsia="Times New Roman" w:cs="Times New Roman" w:ascii="Times New Roman" w:hAnsi="Times New Roman"/>
          <w:b/>
          <w:sz w:val="24"/>
          <w:szCs w:val="24"/>
        </w:rPr>
      </w:r>
    </w:p>
    <w:p>
      <w:pPr>
        <w:pStyle w:val="Normal"/>
        <w:spacing w:lineRule="auto" w:line="360"/>
        <w:jc w:val="both"/>
        <w:rPr>
          <w:rFonts w:ascii="Times New Roman" w:hAnsi="Times New Roman" w:eastAsia="Times New Roman" w:cs="Times New Roman"/>
          <w:b/>
          <w:sz w:val="24"/>
          <w:szCs w:val="24"/>
        </w:rPr>
      </w:pPr>
      <w:r>
        <w:rPr>
          <w:rFonts w:eastAsia="Times New Roman" w:cs="Times New Roman" w:ascii="Times New Roman" w:hAnsi="Times New Roman"/>
          <w:b/>
          <w:sz w:val="24"/>
          <w:szCs w:val="24"/>
        </w:rPr>
      </w:r>
    </w:p>
    <w:p>
      <w:pPr>
        <w:pStyle w:val="Normal"/>
        <w:spacing w:lineRule="auto" w:line="360"/>
        <w:jc w:val="both"/>
        <w:rPr>
          <w:rFonts w:ascii="Times New Roman" w:hAnsi="Times New Roman" w:eastAsia="Times New Roman" w:cs="Times New Roman"/>
          <w:b/>
          <w:sz w:val="24"/>
          <w:szCs w:val="24"/>
        </w:rPr>
      </w:pPr>
      <w:r>
        <w:rPr>
          <w:rFonts w:eastAsia="Times New Roman" w:cs="Times New Roman" w:ascii="Times New Roman" w:hAnsi="Times New Roman"/>
          <w:b/>
          <w:sz w:val="24"/>
          <w:szCs w:val="24"/>
        </w:rPr>
      </w:r>
    </w:p>
    <w:p>
      <w:pPr>
        <w:pStyle w:val="Normal"/>
        <w:spacing w:lineRule="auto" w:line="360"/>
        <w:jc w:val="both"/>
        <w:rPr>
          <w:rFonts w:ascii="Times New Roman" w:hAnsi="Times New Roman" w:eastAsia="Times New Roman" w:cs="Times New Roman"/>
          <w:b/>
          <w:sz w:val="24"/>
          <w:szCs w:val="24"/>
        </w:rPr>
      </w:pPr>
      <w:r>
        <w:rPr>
          <w:rFonts w:eastAsia="Times New Roman" w:cs="Times New Roman" w:ascii="Times New Roman" w:hAnsi="Times New Roman"/>
          <w:b/>
          <w:sz w:val="24"/>
          <w:szCs w:val="24"/>
        </w:rPr>
      </w:r>
    </w:p>
    <w:p>
      <w:pPr>
        <w:pStyle w:val="Normal"/>
        <w:spacing w:lineRule="auto" w:line="360"/>
        <w:jc w:val="both"/>
        <w:rPr>
          <w:rFonts w:ascii="Times New Roman" w:hAnsi="Times New Roman" w:eastAsia="Times New Roman" w:cs="Times New Roman"/>
          <w:b/>
          <w:sz w:val="24"/>
          <w:szCs w:val="24"/>
        </w:rPr>
      </w:pPr>
      <w:r>
        <w:rPr>
          <w:rFonts w:eastAsia="Times New Roman" w:cs="Times New Roman" w:ascii="Times New Roman" w:hAnsi="Times New Roman"/>
          <w:b/>
          <w:sz w:val="24"/>
          <w:szCs w:val="24"/>
        </w:rPr>
      </w:r>
    </w:p>
    <w:p>
      <w:pPr>
        <w:pStyle w:val="Normal"/>
        <w:spacing w:lineRule="auto" w:line="360"/>
        <w:jc w:val="both"/>
        <w:rPr>
          <w:rFonts w:ascii="Times New Roman" w:hAnsi="Times New Roman" w:eastAsia="Times New Roman" w:cs="Times New Roman"/>
          <w:b/>
          <w:sz w:val="24"/>
          <w:szCs w:val="24"/>
        </w:rPr>
      </w:pPr>
      <w:r>
        <w:rPr>
          <w:rFonts w:eastAsia="Times New Roman" w:cs="Times New Roman" w:ascii="Times New Roman" w:hAnsi="Times New Roman"/>
          <w:b/>
          <w:sz w:val="24"/>
          <w:szCs w:val="24"/>
        </w:rPr>
      </w:r>
    </w:p>
    <w:p>
      <w:pPr>
        <w:pStyle w:val="Normal"/>
        <w:spacing w:lineRule="auto" w:line="360"/>
        <w:jc w:val="both"/>
        <w:rPr>
          <w:rFonts w:ascii="Times New Roman" w:hAnsi="Times New Roman" w:eastAsia="Times New Roman" w:cs="Times New Roman"/>
          <w:b/>
          <w:sz w:val="24"/>
          <w:szCs w:val="24"/>
        </w:rPr>
      </w:pPr>
      <w:r>
        <w:rPr>
          <w:rFonts w:eastAsia="Times New Roman" w:cs="Times New Roman" w:ascii="Times New Roman" w:hAnsi="Times New Roman"/>
          <w:b/>
          <w:sz w:val="24"/>
          <w:szCs w:val="24"/>
        </w:rPr>
      </w:r>
    </w:p>
    <w:p>
      <w:pPr>
        <w:pStyle w:val="Normal"/>
        <w:spacing w:lineRule="auto" w:line="360"/>
        <w:jc w:val="both"/>
        <w:rPr>
          <w:rFonts w:ascii="Times New Roman" w:hAnsi="Times New Roman" w:eastAsia="Times New Roman" w:cs="Times New Roman"/>
          <w:b/>
          <w:sz w:val="24"/>
          <w:szCs w:val="24"/>
        </w:rPr>
      </w:pPr>
      <w:r>
        <w:rPr>
          <w:rFonts w:eastAsia="Times New Roman" w:cs="Times New Roman" w:ascii="Times New Roman" w:hAnsi="Times New Roman"/>
          <w:b/>
          <w:sz w:val="24"/>
          <w:szCs w:val="24"/>
        </w:rPr>
      </w:r>
    </w:p>
    <w:p>
      <w:pPr>
        <w:pStyle w:val="Normal"/>
        <w:spacing w:lineRule="auto" w:line="360"/>
        <w:jc w:val="both"/>
        <w:rPr>
          <w:rFonts w:ascii="Times New Roman" w:hAnsi="Times New Roman" w:eastAsia="Times New Roman" w:cs="Times New Roman"/>
          <w:b/>
          <w:sz w:val="24"/>
          <w:szCs w:val="24"/>
        </w:rPr>
      </w:pPr>
      <w:r>
        <w:rPr>
          <w:rFonts w:eastAsia="Times New Roman" w:cs="Times New Roman" w:ascii="Times New Roman" w:hAnsi="Times New Roman"/>
          <w:b/>
          <w:sz w:val="24"/>
          <w:szCs w:val="24"/>
        </w:rPr>
        <w:t>2. Profitability Ratio Analysis: UBER TECHNOLOGY INC COMPANY</w:t>
      </w:r>
    </w:p>
    <w:p>
      <w:pPr>
        <w:pStyle w:val="Normal"/>
        <w:spacing w:lineRule="auto" w:line="360"/>
        <w:jc w:val="both"/>
        <w:rPr>
          <w:rFonts w:ascii="Times New Roman" w:hAnsi="Times New Roman" w:eastAsia="Times New Roman" w:cs="Times New Roman"/>
          <w:b/>
          <w:sz w:val="24"/>
          <w:szCs w:val="24"/>
        </w:rPr>
      </w:pPr>
      <w:r>
        <w:rPr>
          <w:rFonts w:eastAsia="Times New Roman" w:cs="Times New Roman" w:ascii="Times New Roman" w:hAnsi="Times New Roman"/>
          <w:b/>
          <w:sz w:val="24"/>
          <w:szCs w:val="24"/>
        </w:rPr>
        <w:t>TABLE 3</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tbl>
      <w:tblPr>
        <w:tblStyle w:val="a1"/>
        <w:tblW w:w="9360" w:type="dxa"/>
        <w:jc w:val="left"/>
        <w:tblInd w:w="0" w:type="dxa"/>
        <w:tblLayout w:type="fixed"/>
        <w:tblCellMar>
          <w:top w:w="100" w:type="dxa"/>
          <w:left w:w="100" w:type="dxa"/>
          <w:bottom w:w="100" w:type="dxa"/>
          <w:right w:w="100" w:type="dxa"/>
        </w:tblCellMar>
        <w:tblLook w:firstRow="0" w:noVBand="1" w:lastRow="0" w:firstColumn="0" w:lastColumn="0" w:noHBand="1" w:val="0600"/>
      </w:tblPr>
      <w:tblGrid>
        <w:gridCol w:w="1082"/>
        <w:gridCol w:w="2048"/>
        <w:gridCol w:w="3128"/>
        <w:gridCol w:w="3101"/>
      </w:tblGrid>
      <w:tr>
        <w:trPr>
          <w:trHeight w:val="710" w:hRule="atLeast"/>
        </w:trPr>
        <w:tc>
          <w:tcPr>
            <w:tcW w:w="1082" w:type="dxa"/>
            <w:tcBorders>
              <w:top w:val="single" w:sz="6" w:space="0" w:color="000000"/>
              <w:left w:val="single" w:sz="6" w:space="0" w:color="000000"/>
              <w:bottom w:val="single" w:sz="6" w:space="0" w:color="000000"/>
              <w:right w:val="single" w:sz="6" w:space="0" w:color="000000"/>
            </w:tcBorders>
            <w:vAlign w:val="bottom"/>
          </w:tcPr>
          <w:p>
            <w:pPr>
              <w:pStyle w:val="Normal"/>
              <w:widowControl w:val="false"/>
              <w:spacing w:lineRule="auto" w:line="410"/>
              <w:jc w:val="center"/>
              <w:rPr>
                <w:rFonts w:ascii="Times New Roman" w:hAnsi="Times New Roman" w:eastAsia="Times New Roman" w:cs="Times New Roman"/>
                <w:color w:val="0D0D0D"/>
                <w:sz w:val="24"/>
                <w:szCs w:val="24"/>
              </w:rPr>
            </w:pPr>
            <w:r>
              <w:rPr>
                <w:rFonts w:eastAsia="Times New Roman" w:cs="Times New Roman" w:ascii="Times New Roman" w:hAnsi="Times New Roman"/>
                <w:b/>
                <w:color w:val="0D0D0D"/>
                <w:sz w:val="24"/>
                <w:szCs w:val="24"/>
              </w:rPr>
              <w:t>Year</w:t>
            </w:r>
          </w:p>
        </w:tc>
        <w:tc>
          <w:tcPr>
            <w:tcW w:w="2048" w:type="dxa"/>
            <w:tcBorders>
              <w:top w:val="single" w:sz="6" w:space="0" w:color="000000"/>
              <w:left w:val="single" w:sz="6" w:space="0" w:color="000000"/>
              <w:bottom w:val="single" w:sz="6" w:space="0" w:color="000000"/>
              <w:right w:val="single" w:sz="6" w:space="0" w:color="000000"/>
            </w:tcBorders>
            <w:vAlign w:val="bottom"/>
          </w:tcPr>
          <w:p>
            <w:pPr>
              <w:pStyle w:val="Normal"/>
              <w:widowControl w:val="false"/>
              <w:spacing w:lineRule="auto" w:line="410"/>
              <w:jc w:val="center"/>
              <w:rPr>
                <w:rFonts w:ascii="Times New Roman" w:hAnsi="Times New Roman" w:eastAsia="Times New Roman" w:cs="Times New Roman"/>
                <w:color w:val="0D0D0D"/>
                <w:sz w:val="24"/>
                <w:szCs w:val="24"/>
              </w:rPr>
            </w:pPr>
            <w:r>
              <w:rPr>
                <w:rFonts w:eastAsia="Times New Roman" w:cs="Times New Roman" w:ascii="Times New Roman" w:hAnsi="Times New Roman"/>
                <w:b/>
                <w:color w:val="0D0D0D"/>
                <w:sz w:val="24"/>
                <w:szCs w:val="24"/>
              </w:rPr>
              <w:t>Profit Margin</w:t>
            </w:r>
          </w:p>
        </w:tc>
        <w:tc>
          <w:tcPr>
            <w:tcW w:w="3128" w:type="dxa"/>
            <w:tcBorders>
              <w:top w:val="single" w:sz="6" w:space="0" w:color="000000"/>
              <w:left w:val="single" w:sz="6" w:space="0" w:color="000000"/>
              <w:bottom w:val="single" w:sz="6" w:space="0" w:color="000000"/>
              <w:right w:val="single" w:sz="6" w:space="0" w:color="000000"/>
            </w:tcBorders>
            <w:vAlign w:val="bottom"/>
          </w:tcPr>
          <w:p>
            <w:pPr>
              <w:pStyle w:val="Normal"/>
              <w:widowControl w:val="false"/>
              <w:spacing w:lineRule="auto" w:line="410"/>
              <w:jc w:val="center"/>
              <w:rPr>
                <w:rFonts w:ascii="Times New Roman" w:hAnsi="Times New Roman" w:eastAsia="Times New Roman" w:cs="Times New Roman"/>
                <w:color w:val="0D0D0D"/>
                <w:sz w:val="24"/>
                <w:szCs w:val="24"/>
              </w:rPr>
            </w:pPr>
            <w:r>
              <w:rPr>
                <w:rFonts w:eastAsia="Times New Roman" w:cs="Times New Roman" w:ascii="Times New Roman" w:hAnsi="Times New Roman"/>
                <w:b/>
                <w:color w:val="0D0D0D"/>
                <w:sz w:val="24"/>
                <w:szCs w:val="24"/>
              </w:rPr>
              <w:t>Return on Assets (ROA)</w:t>
            </w:r>
          </w:p>
        </w:tc>
        <w:tc>
          <w:tcPr>
            <w:tcW w:w="3101" w:type="dxa"/>
            <w:tcBorders>
              <w:top w:val="single" w:sz="6" w:space="0" w:color="000000"/>
              <w:left w:val="single" w:sz="6" w:space="0" w:color="000000"/>
              <w:bottom w:val="single" w:sz="6" w:space="0" w:color="000000"/>
              <w:right w:val="single" w:sz="6" w:space="0" w:color="000000"/>
            </w:tcBorders>
            <w:vAlign w:val="bottom"/>
          </w:tcPr>
          <w:p>
            <w:pPr>
              <w:pStyle w:val="Normal"/>
              <w:widowControl w:val="false"/>
              <w:spacing w:lineRule="auto" w:line="410"/>
              <w:jc w:val="center"/>
              <w:rPr>
                <w:rFonts w:ascii="Times New Roman" w:hAnsi="Times New Roman" w:eastAsia="Times New Roman" w:cs="Times New Roman"/>
                <w:color w:val="0D0D0D"/>
                <w:sz w:val="24"/>
                <w:szCs w:val="24"/>
              </w:rPr>
            </w:pPr>
            <w:r>
              <w:rPr>
                <w:rFonts w:eastAsia="Times New Roman" w:cs="Times New Roman" w:ascii="Times New Roman" w:hAnsi="Times New Roman"/>
                <w:b/>
                <w:color w:val="0D0D0D"/>
                <w:sz w:val="24"/>
                <w:szCs w:val="24"/>
              </w:rPr>
              <w:t>Return on Equity (ROE)</w:t>
            </w:r>
          </w:p>
        </w:tc>
      </w:tr>
      <w:tr>
        <w:trPr>
          <w:trHeight w:val="695" w:hRule="atLeast"/>
        </w:trPr>
        <w:tc>
          <w:tcPr>
            <w:tcW w:w="1082"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2023</w:t>
            </w:r>
          </w:p>
        </w:tc>
        <w:tc>
          <w:tcPr>
            <w:tcW w:w="2048"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5.06%</w:t>
            </w:r>
          </w:p>
        </w:tc>
        <w:tc>
          <w:tcPr>
            <w:tcW w:w="3128"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5.30%</w:t>
            </w:r>
          </w:p>
        </w:tc>
        <w:tc>
          <w:tcPr>
            <w:tcW w:w="3101"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20.50%</w:t>
            </w:r>
          </w:p>
        </w:tc>
      </w:tr>
      <w:tr>
        <w:trPr>
          <w:trHeight w:val="695" w:hRule="atLeast"/>
        </w:trPr>
        <w:tc>
          <w:tcPr>
            <w:tcW w:w="1082"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2022</w:t>
            </w:r>
          </w:p>
        </w:tc>
        <w:tc>
          <w:tcPr>
            <w:tcW w:w="2048"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-28.68%</w:t>
            </w:r>
          </w:p>
        </w:tc>
        <w:tc>
          <w:tcPr>
            <w:tcW w:w="3128"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-28.80%</w:t>
            </w:r>
          </w:p>
        </w:tc>
        <w:tc>
          <w:tcPr>
            <w:tcW w:w="3101"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-125.40%</w:t>
            </w:r>
          </w:p>
        </w:tc>
      </w:tr>
      <w:tr>
        <w:trPr>
          <w:trHeight w:val="695" w:hRule="atLeast"/>
        </w:trPr>
        <w:tc>
          <w:tcPr>
            <w:tcW w:w="1082"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2021</w:t>
            </w:r>
          </w:p>
        </w:tc>
        <w:tc>
          <w:tcPr>
            <w:tcW w:w="2048"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-2.84%</w:t>
            </w:r>
          </w:p>
        </w:tc>
        <w:tc>
          <w:tcPr>
            <w:tcW w:w="3128"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-1.40%</w:t>
            </w:r>
          </w:p>
        </w:tc>
        <w:tc>
          <w:tcPr>
            <w:tcW w:w="3101"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-3.50%</w:t>
            </w:r>
          </w:p>
        </w:tc>
      </w:tr>
      <w:tr>
        <w:trPr>
          <w:trHeight w:val="695" w:hRule="atLeast"/>
        </w:trPr>
        <w:tc>
          <w:tcPr>
            <w:tcW w:w="1082"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2020</w:t>
            </w:r>
          </w:p>
        </w:tc>
        <w:tc>
          <w:tcPr>
            <w:tcW w:w="2048"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-60.76%</w:t>
            </w:r>
          </w:p>
        </w:tc>
        <w:tc>
          <w:tcPr>
            <w:tcW w:w="3128"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-22.50%</w:t>
            </w:r>
          </w:p>
        </w:tc>
        <w:tc>
          <w:tcPr>
            <w:tcW w:w="3101"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-64.30%</w:t>
            </w:r>
          </w:p>
        </w:tc>
      </w:tr>
      <w:tr>
        <w:trPr>
          <w:trHeight w:val="695" w:hRule="atLeast"/>
        </w:trPr>
        <w:tc>
          <w:tcPr>
            <w:tcW w:w="1082"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2019</w:t>
            </w:r>
          </w:p>
        </w:tc>
        <w:tc>
          <w:tcPr>
            <w:tcW w:w="2048"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-65.43%</w:t>
            </w:r>
          </w:p>
        </w:tc>
        <w:tc>
          <w:tcPr>
            <w:tcW w:w="3128"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-28.50%</w:t>
            </w:r>
          </w:p>
        </w:tc>
        <w:tc>
          <w:tcPr>
            <w:tcW w:w="3101"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-92.60%</w:t>
            </w:r>
          </w:p>
        </w:tc>
      </w:tr>
    </w:tbl>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jc w:val="center"/>
        <w:rPr>
          <w:rFonts w:ascii="Times New Roman" w:hAnsi="Times New Roman" w:eastAsia="Times New Roman" w:cs="Times New Roman"/>
          <w:sz w:val="24"/>
          <w:szCs w:val="24"/>
        </w:rPr>
      </w:pPr>
      <w:r>
        <w:rPr>
          <w:rFonts w:eastAsia="Times New Roman" w:cs="Times New Roman" w:ascii="Times New Roman" w:hAnsi="Times New Roman"/>
          <w:sz w:val="24"/>
          <w:szCs w:val="24"/>
        </w:rPr>
        <w:t>(SOURCES: STOCK ANALYSIS)</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jc w:val="center"/>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jc w:val="center"/>
        <w:rPr/>
      </w:pPr>
      <w:r>
        <w:rPr/>
      </w:r>
    </w:p>
    <w:p>
      <w:pPr>
        <w:pStyle w:val="Normal"/>
        <w:spacing w:lineRule="auto" w:line="360"/>
        <w:jc w:val="center"/>
        <w:rPr/>
      </w:pPr>
      <w:r>
        <w:rPr/>
        <w:drawing>
          <wp:inline distT="0" distB="0" distL="0" distR="0">
            <wp:extent cx="4599305" cy="2684145"/>
            <wp:effectExtent l="0" t="0" r="0" b="0"/>
            <wp:docPr id="5" name="Picture 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
                    <pic:cNvPicPr>
                      <a:picLocks noChangeAspect="1" noChangeArrowheads="1"/>
                    </pic:cNvPicPr>
                  </pic:nvPicPr>
                  <pic:blipFill>
                    <a:blip r:embed="rId6"/>
                    <a:stretch>
                      <a:fillRect/>
                    </a:stretch>
                  </pic:blipFill>
                  <pic:spPr bwMode="auto">
                    <a:xfrm>
                      <a:off x="0" y="0"/>
                      <a:ext cx="4599305" cy="2684145"/>
                    </a:xfrm>
                    <a:prstGeom prst="rect">
                      <a:avLst/>
                    </a:prstGeom>
                  </pic:spPr>
                </pic:pic>
              </a:graphicData>
            </a:graphic>
          </wp:inline>
        </w:drawing>
      </w:r>
      <w:r>
        <w:rPr/>
        <w:t xml:space="preserve"> </w:t>
      </w:r>
    </w:p>
    <w:p>
      <w:pPr>
        <w:pStyle w:val="Normal"/>
        <w:spacing w:lineRule="auto" w:line="360"/>
        <w:rPr>
          <w:rFonts w:ascii="Times New Roman" w:hAnsi="Times New Roman" w:eastAsia="Times New Roman" w:cs="Times New Roman"/>
          <w:b/>
          <w:i/>
          <w:i/>
          <w:sz w:val="24"/>
          <w:szCs w:val="24"/>
        </w:rPr>
      </w:pPr>
      <w:r>
        <w:rPr>
          <w:rFonts w:eastAsia="Times New Roman" w:cs="Times New Roman" w:ascii="Times New Roman" w:hAnsi="Times New Roman"/>
          <w:b/>
          <w:i/>
          <w:sz w:val="24"/>
          <w:szCs w:val="24"/>
        </w:rPr>
        <w:t>FIGUR 3</w:t>
      </w:r>
    </w:p>
    <w:p>
      <w:pPr>
        <w:pStyle w:val="Normal"/>
        <w:spacing w:lineRule="auto" w:line="360"/>
        <w:rPr>
          <w:rFonts w:ascii="Times New Roman" w:hAnsi="Times New Roman" w:eastAsia="Times New Roman" w:cs="Times New Roman"/>
          <w:sz w:val="24"/>
          <w:szCs w:val="24"/>
        </w:rPr>
      </w:pPr>
      <w:r>
        <w:rPr>
          <w:rFonts w:eastAsia="Times New Roman" w:cs="Times New Roman" w:ascii="Times New Roman" w:hAnsi="Times New Roman"/>
          <w:b/>
          <w:i/>
          <w:sz w:val="24"/>
          <w:szCs w:val="24"/>
        </w:rPr>
        <w:t>Profit Margin:</w:t>
      </w:r>
      <w:r>
        <w:rPr>
          <w:rFonts w:eastAsia="Times New Roman" w:cs="Times New Roman" w:ascii="Times New Roman" w:hAnsi="Times New Roman"/>
          <w:sz w:val="24"/>
          <w:szCs w:val="24"/>
        </w:rPr>
        <w:t xml:space="preserve"> This table shows Uber Technologies' (UBER) gross margin, operating margin, and net profit margin over the previous ten years. The portion of revenue that an organization keeps as income after deducting costs is known as its profit margin. At the end of 2023, Uber Technologies' net profit margin was 5.06%.</w:t>
      </w:r>
    </w:p>
    <w:p>
      <w:pPr>
        <w:pStyle w:val="Normal"/>
        <w:spacing w:lineRule="auto" w:line="360"/>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rPr>
          <w:rFonts w:ascii="Times New Roman" w:hAnsi="Times New Roman" w:eastAsia="Times New Roman" w:cs="Times New Roman"/>
          <w:sz w:val="24"/>
          <w:szCs w:val="24"/>
        </w:rPr>
      </w:pPr>
      <w:r>
        <w:rPr>
          <w:rFonts w:eastAsia="Times New Roman" w:cs="Times New Roman" w:ascii="Times New Roman" w:hAnsi="Times New Roman"/>
          <w:b/>
          <w:i/>
          <w:sz w:val="24"/>
          <w:szCs w:val="24"/>
        </w:rPr>
        <w:t>Return on Assets (ROA):</w:t>
      </w:r>
      <w:r>
        <w:rPr>
          <w:rFonts w:eastAsia="Times New Roman" w:cs="Times New Roman" w:ascii="Times New Roman" w:hAnsi="Times New Roman"/>
          <w:sz w:val="24"/>
          <w:szCs w:val="24"/>
        </w:rPr>
        <w:t xml:space="preserve"> Total assets held by Uber Technologies as of 2023. The total of all the assets listed on the balance sheet of a business is known as total assets.</w:t>
      </w:r>
    </w:p>
    <w:p>
      <w:pPr>
        <w:pStyle w:val="Normal"/>
        <w:spacing w:lineRule="auto" w:line="360"/>
        <w:rPr>
          <w:rFonts w:ascii="Times New Roman" w:hAnsi="Times New Roman" w:eastAsia="Times New Roman" w:cs="Times New Roman"/>
          <w:sz w:val="24"/>
          <w:szCs w:val="24"/>
        </w:rPr>
      </w:pPr>
      <w:r>
        <w:rPr>
          <w:rFonts w:eastAsia="Times New Roman" w:cs="Times New Roman" w:ascii="Times New Roman" w:hAnsi="Times New Roman"/>
          <w:sz w:val="24"/>
          <w:szCs w:val="24"/>
        </w:rPr>
        <w:t>Uber Technologies had total assets of $38.699 billion at the end of the 2023 quarter, up 20.52% from the same period the previous year. Uber Technologies' total assets increased by 20.52% from 2022 to $38.699 billion in 2023.Uber Technologies reported $32.109 billion in total assets in 2022, a 17.19% decrease from 2021.Uber Technologies has $38.774 billion in total assets as of 2021, 16.61% more than in 2020.</w:t>
      </w:r>
    </w:p>
    <w:p>
      <w:pPr>
        <w:pStyle w:val="Normal"/>
        <w:spacing w:lineRule="auto" w:line="360"/>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rPr>
          <w:rFonts w:ascii="Times New Roman" w:hAnsi="Times New Roman" w:eastAsia="Times New Roman" w:cs="Times New Roman"/>
          <w:sz w:val="24"/>
          <w:szCs w:val="24"/>
        </w:rPr>
      </w:pPr>
      <w:r>
        <w:rPr>
          <w:rFonts w:eastAsia="Times New Roman" w:cs="Times New Roman" w:ascii="Times New Roman" w:hAnsi="Times New Roman"/>
          <w:b/>
          <w:i/>
          <w:sz w:val="24"/>
          <w:szCs w:val="24"/>
        </w:rPr>
        <w:t>Return on Equity (ROE):</w:t>
      </w:r>
      <w:r>
        <w:rPr>
          <w:rFonts w:eastAsia="Times New Roman" w:cs="Times New Roman" w:ascii="Times New Roman" w:hAnsi="Times New Roman"/>
          <w:sz w:val="24"/>
          <w:szCs w:val="24"/>
        </w:rPr>
        <w:t xml:space="preserve"> Uber Technologies' (UBER) return on equity (ROE) figures over the previous ten years, both current and historical. The percentage of shareholders' equity that is returned as net income is known as return on equity. By indicating how much profit a business makes with the capital that shareholders have contributed, return on equity serves as a gauge of a company's profitability.</w:t>
      </w:r>
    </w:p>
    <w:p>
      <w:pPr>
        <w:pStyle w:val="Normal"/>
        <w:spacing w:lineRule="auto" w:line="360"/>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rPr>
          <w:rFonts w:ascii="Times New Roman" w:hAnsi="Times New Roman" w:eastAsia="Times New Roman" w:cs="Times New Roman"/>
          <w:b/>
          <w:bCs/>
          <w:sz w:val="28"/>
          <w:szCs w:val="28"/>
        </w:rPr>
      </w:pPr>
      <w:r>
        <w:rPr>
          <w:rFonts w:eastAsia="Times New Roman" w:cs="Times New Roman" w:ascii="Times New Roman" w:hAnsi="Times New Roman"/>
          <w:b/>
          <w:bCs/>
          <w:sz w:val="28"/>
          <w:szCs w:val="28"/>
        </w:rPr>
        <w:t xml:space="preserve">PART C </w:t>
      </w:r>
    </w:p>
    <w:p>
      <w:pPr>
        <w:pStyle w:val="Normal"/>
        <w:spacing w:lineRule="auto" w:line="360"/>
        <w:rPr>
          <w:rFonts w:ascii="Times New Roman" w:hAnsi="Times New Roman" w:eastAsia="Times New Roman" w:cs="Times New Roman"/>
          <w:b/>
          <w:bCs/>
          <w:sz w:val="28"/>
          <w:szCs w:val="28"/>
        </w:rPr>
      </w:pPr>
      <w:r>
        <w:rPr>
          <w:rFonts w:eastAsia="Times New Roman" w:cs="Times New Roman" w:ascii="Times New Roman" w:hAnsi="Times New Roman"/>
          <w:b/>
          <w:bCs/>
          <w:sz w:val="28"/>
          <w:szCs w:val="28"/>
        </w:rPr>
        <w:t>Critical Analysis of Financial Performance OF UBER TECHNOLOGY INC</w:t>
      </w:r>
    </w:p>
    <w:p>
      <w:pPr>
        <w:pStyle w:val="Normal"/>
        <w:spacing w:lineRule="auto" w:line="360"/>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 </w:t>
      </w:r>
      <w:r>
        <w:rPr>
          <w:rFonts w:eastAsia="Times New Roman" w:cs="Times New Roman" w:ascii="Times New Roman" w:hAnsi="Times New Roman"/>
          <w:sz w:val="24"/>
          <w:szCs w:val="24"/>
        </w:rPr>
        <w:t>GROWTH: Significant revenue growth, a steady decline in operating losses, and an emphasis on cost control have been the defining features of Uber Technologies Inc.'s financial success. Key findings from the search results are as follows:</w:t>
      </w:r>
    </w:p>
    <w:p>
      <w:pPr>
        <w:pStyle w:val="Normal"/>
        <w:spacing w:lineRule="auto" w:line="360"/>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 </w:t>
      </w:r>
      <w:r>
        <w:rPr>
          <w:rFonts w:eastAsia="Times New Roman" w:cs="Times New Roman" w:ascii="Times New Roman" w:hAnsi="Times New Roman"/>
          <w:sz w:val="24"/>
          <w:szCs w:val="24"/>
        </w:rPr>
        <w:t>PROFITIBILY : Uber's revenue climbed by nearly 10 times between 2016 and 2023, from $3.85 billion to $37.3 billion, or an annual compound growth rate of 38.30% 3.</w:t>
      </w:r>
    </w:p>
    <w:p>
      <w:pPr>
        <w:pStyle w:val="Normal"/>
        <w:spacing w:lineRule="auto" w:line="360"/>
        <w:rPr>
          <w:rFonts w:ascii="Times New Roman" w:hAnsi="Times New Roman" w:eastAsia="Times New Roman" w:cs="Times New Roman"/>
          <w:sz w:val="24"/>
          <w:szCs w:val="24"/>
        </w:rPr>
      </w:pPr>
      <w:r>
        <w:rPr>
          <w:rFonts w:eastAsia="Times New Roman" w:cs="Times New Roman" w:ascii="Times New Roman" w:hAnsi="Times New Roman"/>
          <w:sz w:val="24"/>
          <w:szCs w:val="24"/>
        </w:rPr>
        <w:t>With the exception of the pandemic 3 afflicted period, the company's gross bookings have continuously increased.</w:t>
      </w:r>
    </w:p>
    <w:p>
      <w:pPr>
        <w:pStyle w:val="Normal"/>
        <w:spacing w:lineRule="auto" w:line="360"/>
        <w:rPr>
          <w:rFonts w:ascii="Times New Roman" w:hAnsi="Times New Roman" w:eastAsia="Times New Roman" w:cs="Times New Roman"/>
          <w:sz w:val="24"/>
          <w:szCs w:val="24"/>
        </w:rPr>
      </w:pPr>
      <w:r>
        <w:rPr>
          <w:rFonts w:eastAsia="Times New Roman" w:cs="Times New Roman" w:ascii="Times New Roman" w:hAnsi="Times New Roman"/>
          <w:sz w:val="24"/>
          <w:szCs w:val="24"/>
        </w:rPr>
        <w:t>The company's operational expenditures as a proportion of revenue were drastically decreased; during the same period, R&amp;D spending dropped from 22.50% to 7.90% and SG&amp;A expenses fell from 67% in 2016 to 15.50% in 2023.</w:t>
      </w:r>
    </w:p>
    <w:p>
      <w:pPr>
        <w:pStyle w:val="Normal"/>
        <w:spacing w:lineRule="auto" w:line="360"/>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rPr>
          <w:rFonts w:ascii="Times New Roman" w:hAnsi="Times New Roman" w:eastAsia="Times New Roman" w:cs="Times New Roman"/>
          <w:sz w:val="24"/>
          <w:szCs w:val="24"/>
        </w:rPr>
      </w:pPr>
      <w:r>
        <w:rPr>
          <w:rFonts w:eastAsia="Times New Roman" w:cs="Times New Roman" w:ascii="Times New Roman" w:hAnsi="Times New Roman"/>
          <w:sz w:val="24"/>
          <w:szCs w:val="24"/>
        </w:rPr>
        <w:t>RISK: Uber produced a $1.11 billion positive operational income for the first time in 2023.But there are other issues with Uber's financial performance as well:</w:t>
      </w:r>
    </w:p>
    <w:p>
      <w:pPr>
        <w:pStyle w:val="Normal"/>
        <w:spacing w:lineRule="auto" w:line="360"/>
        <w:rPr>
          <w:rFonts w:ascii="Times New Roman" w:hAnsi="Times New Roman" w:eastAsia="Times New Roman" w:cs="Times New Roman"/>
          <w:sz w:val="24"/>
          <w:szCs w:val="24"/>
        </w:rPr>
      </w:pPr>
      <w:r>
        <w:rPr>
          <w:rFonts w:eastAsia="Times New Roman" w:cs="Times New Roman" w:ascii="Times New Roman" w:hAnsi="Times New Roman"/>
          <w:sz w:val="24"/>
          <w:szCs w:val="24"/>
        </w:rPr>
        <w:t>Although the company's net debt is 2.1 times EBITDA, indicating a prudent use of debt, its EBIT for the previous 12 months was only 7.4 times interest costs. Uber has about</w:t>
      </w:r>
      <w:r>
        <w:rPr/>
        <w:t xml:space="preserve"> </w:t>
      </w:r>
      <w:r>
        <w:rPr>
          <w:rFonts w:eastAsia="Times New Roman" w:cs="Times New Roman" w:ascii="Times New Roman" w:hAnsi="Times New Roman"/>
          <w:sz w:val="24"/>
          <w:szCs w:val="24"/>
        </w:rPr>
        <w:t>Due to its high running expenditures, Uber's operating income experienced huge losses; however, as revenue growth continuously surpassed the increase in operating expenses, operating losses gradually decreased. With SG&amp;A expenses falling from 67% in 2016 to 15.50% in 2023 and R&amp;D expenses falling from 22.50% to 7.90% over the same period, the company significantly reduced its operating expenses as a percentage of revenue.</w:t>
      </w:r>
    </w:p>
    <w:p>
      <w:pPr>
        <w:pStyle w:val="Normal"/>
        <w:spacing w:lineRule="auto" w:line="360"/>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 </w:t>
      </w:r>
      <w:r>
        <w:rPr>
          <w:rFonts w:eastAsia="Times New Roman" w:cs="Times New Roman" w:ascii="Times New Roman" w:hAnsi="Times New Roman"/>
          <w:sz w:val="24"/>
          <w:szCs w:val="24"/>
        </w:rPr>
        <w:t>EFFICENT :However, it still has a cash reserve of US$5.53 billion, which lowers its net debt to approximately US$1.91 billion. Despite having a market valuation of US$88.9 billion, the company's liabilities exceed its cash and (near-term) receivables by US$15.5 billion, indicating that these liabilities are likely manageable.</w:t>
      </w:r>
    </w:p>
    <w:p>
      <w:pPr>
        <w:pStyle w:val="Normal"/>
        <w:spacing w:lineRule="auto" w:line="360"/>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 </w:t>
      </w:r>
      <w:r>
        <w:rPr>
          <w:rFonts w:eastAsia="Times New Roman" w:cs="Times New Roman" w:ascii="Times New Roman" w:hAnsi="Times New Roman"/>
          <w:sz w:val="24"/>
          <w:szCs w:val="24"/>
        </w:rPr>
        <w:t>Uber has a poor interest cover ratio shows a high leverage of Uber's financial performance has generally been characterized by rapid revenue growth and a slowdown in operational losses; nevertheless, the firm still confronts issues with its debt load and interest coverage. Going forward, investors have to keep an eye on the balance sheet as Uber's capacity to keep a sound balance sheet will be determined by its profitability in the future .</w:t>
      </w:r>
    </w:p>
    <w:p>
      <w:pPr>
        <w:pStyle w:val="Normal"/>
        <w:spacing w:lineRule="auto" w:line="360"/>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rPr>
          <w:rFonts w:ascii="Times New Roman" w:hAnsi="Times New Roman" w:eastAsia="Times New Roman" w:cs="Times New Roman"/>
          <w:b/>
          <w:bCs/>
          <w:sz w:val="32"/>
          <w:szCs w:val="32"/>
        </w:rPr>
      </w:pPr>
      <w:r>
        <w:rPr>
          <w:rFonts w:eastAsia="Times New Roman" w:cs="Times New Roman" w:ascii="Times New Roman" w:hAnsi="Times New Roman"/>
          <w:b/>
          <w:bCs/>
          <w:sz w:val="32"/>
          <w:szCs w:val="32"/>
        </w:rPr>
        <w:t xml:space="preserve"> </w:t>
      </w:r>
      <w:r>
        <w:rPr>
          <w:rFonts w:eastAsia="Times New Roman" w:cs="Times New Roman" w:ascii="Times New Roman" w:hAnsi="Times New Roman"/>
          <w:b/>
          <w:bCs/>
          <w:sz w:val="32"/>
          <w:szCs w:val="32"/>
        </w:rPr>
        <w:t>Comparison with Competitor (LYFT COMPANY )</w:t>
      </w:r>
    </w:p>
    <w:p>
      <w:pPr>
        <w:pStyle w:val="Normal"/>
        <w:spacing w:lineRule="auto" w:line="360"/>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rPr>
          <w:rFonts w:ascii="Times New Roman" w:hAnsi="Times New Roman" w:eastAsia="Times New Roman" w:cs="Times New Roman"/>
          <w:sz w:val="24"/>
          <w:szCs w:val="24"/>
          <w:lang w:val="en-IN"/>
        </w:rPr>
      </w:pPr>
      <w:r>
        <w:rPr>
          <w:rFonts w:eastAsia="Times New Roman" w:cs="Times New Roman" w:ascii="Times New Roman" w:hAnsi="Times New Roman"/>
          <w:sz w:val="24"/>
          <w:szCs w:val="24"/>
          <w:lang w:val="en-IN"/>
        </w:rPr>
        <w:t xml:space="preserve">Lyft exclusively operates in the United States and Canada, but Uber has a far wider global reach, operating in 63 countries. </w:t>
        <w:br/>
        <w:t xml:space="preserve">Fourth. </w:t>
        <w:br/>
      </w:r>
    </w:p>
    <w:p>
      <w:pPr>
        <w:pStyle w:val="Normal"/>
        <w:spacing w:lineRule="auto" w:line="360"/>
        <w:rPr>
          <w:rFonts w:ascii="Times New Roman" w:hAnsi="Times New Roman" w:eastAsia="Times New Roman" w:cs="Times New Roman"/>
          <w:sz w:val="24"/>
          <w:szCs w:val="24"/>
          <w:lang w:val="en-IN"/>
        </w:rPr>
      </w:pPr>
      <w:r>
        <w:rPr>
          <w:rFonts w:eastAsia="Times New Roman" w:cs="Times New Roman" w:ascii="Times New Roman" w:hAnsi="Times New Roman"/>
          <w:sz w:val="24"/>
          <w:szCs w:val="24"/>
          <w:lang w:val="en-IN"/>
        </w:rPr>
        <w:t xml:space="preserve">Due to its extensive reach and diverse business strategy, which includes freight and food delivery, Uber's income is around eight times more than Lyft's. </w:t>
        <w:br/>
        <w:t xml:space="preserve">The primary emphasis of Lyft is the ride-hailing transportation industry, with the goal of achieving "rideshare perfection". </w:t>
        <w:br/>
      </w:r>
    </w:p>
    <w:p>
      <w:pPr>
        <w:pStyle w:val="Normal"/>
        <w:spacing w:lineRule="auto" w:line="360"/>
        <w:rPr>
          <w:rFonts w:ascii="Times New Roman" w:hAnsi="Times New Roman" w:eastAsia="Times New Roman" w:cs="Times New Roman"/>
          <w:sz w:val="24"/>
          <w:szCs w:val="24"/>
          <w:lang w:val="en-IN"/>
        </w:rPr>
      </w:pPr>
      <w:r>
        <w:rPr>
          <w:rFonts w:eastAsia="Times New Roman" w:cs="Times New Roman" w:ascii="Times New Roman" w:hAnsi="Times New Roman"/>
          <w:sz w:val="24"/>
          <w:szCs w:val="24"/>
          <w:lang w:val="en-IN"/>
        </w:rPr>
        <w:t>Uber has expanded into industries including food and grocery delivery, freight, advertising, and subscriptions, demonstrating a wider understanding of end-to-end mobility and logistics.</w:t>
      </w:r>
    </w:p>
    <w:p>
      <w:pPr>
        <w:pStyle w:val="Normal"/>
        <w:spacing w:lineRule="auto" w:line="360"/>
        <w:rPr>
          <w:rFonts w:ascii="Times New Roman" w:hAnsi="Times New Roman" w:eastAsia="Times New Roman" w:cs="Times New Roman"/>
          <w:sz w:val="24"/>
          <w:szCs w:val="24"/>
          <w:lang w:val="en-IN"/>
        </w:rPr>
      </w:pPr>
      <w:r>
        <w:rPr>
          <w:rFonts w:eastAsia="Times New Roman" w:cs="Times New Roman" w:ascii="Times New Roman" w:hAnsi="Times New Roman"/>
          <w:sz w:val="24"/>
          <w:szCs w:val="24"/>
          <w:lang w:val="en-IN"/>
        </w:rPr>
        <w:t>Uber's adjusted EBITDA profitability indicates a more streamlined cost structure cantered around the company's primary ride-sharing operations. Uber's increased size, diversity, and cost-cutting measures helped it turn a profit for the first time in 2023.</w:t>
      </w:r>
    </w:p>
    <w:p>
      <w:pPr>
        <w:pStyle w:val="Normal"/>
        <w:spacing w:lineRule="auto" w:line="360"/>
        <w:rPr>
          <w:rFonts w:ascii="Times New Roman" w:hAnsi="Times New Roman" w:eastAsia="Times New Roman" w:cs="Times New Roman"/>
          <w:sz w:val="24"/>
          <w:szCs w:val="24"/>
          <w:lang w:val="en-IN"/>
        </w:rPr>
      </w:pPr>
      <w:r>
        <w:rPr>
          <w:rFonts w:eastAsia="Times New Roman" w:cs="Times New Roman" w:ascii="Times New Roman" w:hAnsi="Times New Roman"/>
          <w:sz w:val="24"/>
          <w:szCs w:val="24"/>
          <w:lang w:val="en-IN"/>
        </w:rPr>
      </w:r>
    </w:p>
    <w:p>
      <w:pPr>
        <w:pStyle w:val="Normal"/>
        <w:spacing w:lineRule="auto" w:line="360"/>
        <w:rPr>
          <w:rFonts w:ascii="Times New Roman" w:hAnsi="Times New Roman" w:eastAsia="Times New Roman" w:cs="Times New Roman"/>
          <w:sz w:val="24"/>
          <w:szCs w:val="24"/>
          <w:lang w:val="en-IN"/>
        </w:rPr>
      </w:pPr>
      <w:r>
        <w:rPr>
          <w:rFonts w:eastAsia="Times New Roman" w:cs="Times New Roman" w:ascii="Times New Roman" w:hAnsi="Times New Roman"/>
          <w:sz w:val="24"/>
          <w:szCs w:val="24"/>
          <w:lang w:val="en-IN"/>
        </w:rPr>
      </w:r>
    </w:p>
    <w:p>
      <w:pPr>
        <w:pStyle w:val="Normal"/>
        <w:spacing w:lineRule="auto" w:line="360"/>
        <w:rPr>
          <w:rFonts w:ascii="Times New Roman" w:hAnsi="Times New Roman" w:eastAsia="Times New Roman" w:cs="Times New Roman"/>
          <w:sz w:val="24"/>
          <w:szCs w:val="24"/>
          <w:lang w:val="en-IN"/>
        </w:rPr>
      </w:pPr>
      <w:r>
        <w:rPr>
          <w:rFonts w:eastAsia="Times New Roman" w:cs="Times New Roman" w:ascii="Times New Roman" w:hAnsi="Times New Roman"/>
          <w:sz w:val="24"/>
          <w:szCs w:val="24"/>
          <w:lang w:val="en-IN"/>
        </w:rPr>
        <w:t>Growth Prospects: Because of its worldwide presence and variety of income streams, analysts project that Uber will have higher revenue growth (42% in 2023) than Lyft.</w:t>
      </w:r>
    </w:p>
    <w:p>
      <w:pPr>
        <w:pStyle w:val="Normal"/>
        <w:spacing w:lineRule="auto" w:line="360"/>
        <w:rPr>
          <w:rFonts w:ascii="Times New Roman" w:hAnsi="Times New Roman" w:eastAsia="Times New Roman" w:cs="Times New Roman"/>
          <w:sz w:val="24"/>
          <w:szCs w:val="24"/>
          <w:lang w:val="en-IN"/>
        </w:rPr>
      </w:pPr>
      <w:r>
        <w:rPr>
          <w:rFonts w:eastAsia="Times New Roman" w:cs="Times New Roman" w:ascii="Times New Roman" w:hAnsi="Times New Roman"/>
          <w:sz w:val="24"/>
          <w:szCs w:val="24"/>
          <w:lang w:val="en-IN"/>
        </w:rPr>
        <w:t>In comparison to Uber's intentions for worldwide development, Lyft's concentration on North America could limit its possibilities for growth.</w:t>
      </w:r>
    </w:p>
    <w:p>
      <w:pPr>
        <w:pStyle w:val="Normal"/>
        <w:spacing w:lineRule="auto" w:line="360"/>
        <w:rPr>
          <w:rFonts w:ascii="Times New Roman" w:hAnsi="Times New Roman" w:eastAsia="Times New Roman" w:cs="Times New Roman"/>
          <w:sz w:val="24"/>
          <w:szCs w:val="24"/>
          <w:lang w:val="en-IN"/>
        </w:rPr>
      </w:pPr>
      <w:r>
        <w:rPr>
          <w:rFonts w:eastAsia="Times New Roman" w:cs="Times New Roman" w:ascii="Times New Roman" w:hAnsi="Times New Roman"/>
          <w:sz w:val="24"/>
          <w:szCs w:val="24"/>
          <w:lang w:val="en-IN"/>
        </w:rPr>
        <w:t>Advantages over rivals</w:t>
      </w:r>
    </w:p>
    <w:p>
      <w:pPr>
        <w:pStyle w:val="Normal"/>
        <w:spacing w:lineRule="auto" w:line="360"/>
        <w:rPr>
          <w:rFonts w:ascii="Times New Roman" w:hAnsi="Times New Roman" w:eastAsia="Times New Roman" w:cs="Times New Roman"/>
          <w:sz w:val="24"/>
          <w:szCs w:val="24"/>
          <w:lang w:val="en-IN"/>
        </w:rPr>
      </w:pPr>
      <w:r>
        <w:rPr>
          <w:rFonts w:eastAsia="Times New Roman" w:cs="Times New Roman" w:ascii="Times New Roman" w:hAnsi="Times New Roman"/>
          <w:sz w:val="24"/>
          <w:szCs w:val="24"/>
          <w:lang w:val="en-IN"/>
        </w:rPr>
        <w:t>Due to its expertise in ride-sharing, Lyft may be able to expand its customer base and run its business more profitably in its primary market.</w:t>
      </w:r>
    </w:p>
    <w:p>
      <w:pPr>
        <w:pStyle w:val="Normal"/>
        <w:spacing w:lineRule="auto" w:line="360"/>
        <w:rPr>
          <w:rFonts w:ascii="Times New Roman" w:hAnsi="Times New Roman" w:eastAsia="Times New Roman" w:cs="Times New Roman"/>
          <w:sz w:val="24"/>
          <w:szCs w:val="24"/>
          <w:lang w:val="en-IN"/>
        </w:rPr>
      </w:pPr>
      <w:r>
        <w:rPr>
          <w:rFonts w:eastAsia="Times New Roman" w:cs="Times New Roman" w:ascii="Times New Roman" w:hAnsi="Times New Roman"/>
          <w:sz w:val="24"/>
          <w:szCs w:val="24"/>
          <w:lang w:val="en-IN"/>
        </w:rPr>
        <w:t>Uber's expansion into related industries, including delivery, offers protection from market turbulence and fresh chances for expansion.</w:t>
      </w:r>
    </w:p>
    <w:p>
      <w:pPr>
        <w:pStyle w:val="Normal"/>
        <w:spacing w:lineRule="auto" w:line="360"/>
        <w:rPr>
          <w:rFonts w:ascii="Times New Roman" w:hAnsi="Times New Roman" w:eastAsia="Times New Roman" w:cs="Times New Roman"/>
          <w:sz w:val="24"/>
          <w:szCs w:val="24"/>
          <w:lang w:val="en-IN"/>
        </w:rPr>
      </w:pPr>
      <w:r>
        <w:rPr>
          <w:rFonts w:eastAsia="Times New Roman" w:cs="Times New Roman" w:ascii="Times New Roman" w:hAnsi="Times New Roman"/>
          <w:sz w:val="24"/>
          <w:szCs w:val="24"/>
          <w:lang w:val="en-IN"/>
        </w:rPr>
        <w:t xml:space="preserve"> </w:t>
      </w:r>
    </w:p>
    <w:p>
      <w:pPr>
        <w:pStyle w:val="Normal"/>
        <w:spacing w:lineRule="auto" w:line="360"/>
        <w:rPr>
          <w:rFonts w:ascii="Times New Roman" w:hAnsi="Times New Roman" w:eastAsia="Times New Roman" w:cs="Times New Roman"/>
          <w:sz w:val="24"/>
          <w:szCs w:val="24"/>
          <w:lang w:val="en-IN"/>
        </w:rPr>
      </w:pPr>
      <w:r>
        <w:rPr>
          <w:rFonts w:eastAsia="Times New Roman" w:cs="Times New Roman" w:ascii="Times New Roman" w:hAnsi="Times New Roman"/>
          <w:sz w:val="24"/>
          <w:szCs w:val="24"/>
          <w:lang w:val="en-IN"/>
        </w:rPr>
      </w:r>
    </w:p>
    <w:p>
      <w:pPr>
        <w:pStyle w:val="Normal"/>
        <w:spacing w:lineRule="auto" w:line="360"/>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PART D </w:t>
      </w:r>
    </w:p>
    <w:p>
      <w:pPr>
        <w:pStyle w:val="Normal"/>
        <w:spacing w:lineRule="auto" w:line="360"/>
        <w:rPr>
          <w:rFonts w:ascii="Times New Roman" w:hAnsi="Times New Roman" w:eastAsia="Times New Roman" w:cs="Times New Roman"/>
          <w:b/>
          <w:bCs/>
          <w:sz w:val="32"/>
          <w:szCs w:val="32"/>
        </w:rPr>
      </w:pPr>
      <w:r>
        <w:rPr>
          <w:rFonts w:eastAsia="Times New Roman" w:cs="Times New Roman" w:ascii="Times New Roman" w:hAnsi="Times New Roman"/>
          <w:b/>
          <w:bCs/>
          <w:sz w:val="32"/>
          <w:szCs w:val="32"/>
        </w:rPr>
        <w:t>Capital Structure Theory OF UBER TECHNOLOGY INC</w:t>
      </w:r>
    </w:p>
    <w:p>
      <w:pPr>
        <w:pStyle w:val="Normal"/>
        <w:spacing w:lineRule="auto" w:line="360"/>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rPr>
          <w:rFonts w:ascii="Times New Roman" w:hAnsi="Times New Roman" w:eastAsia="Times New Roman" w:cs="Times New Roman"/>
          <w:sz w:val="24"/>
          <w:szCs w:val="24"/>
        </w:rPr>
      </w:pPr>
      <w:r>
        <w:rPr>
          <w:rFonts w:eastAsia="Times New Roman" w:cs="Times New Roman" w:ascii="Times New Roman" w:hAnsi="Times New Roman"/>
          <w:sz w:val="24"/>
          <w:szCs w:val="24"/>
        </w:rPr>
        <w:t>The sources cited suggest that Uber Technologies Inc.'s capital structure is consistent with both the Modigliani-Miller (M&amp;M) irrelevance theory and the pecking order theory.</w:t>
      </w:r>
    </w:p>
    <w:p>
      <w:pPr>
        <w:pStyle w:val="Normal"/>
        <w:spacing w:lineRule="auto" w:line="360"/>
        <w:rPr>
          <w:rFonts w:ascii="Times New Roman" w:hAnsi="Times New Roman" w:eastAsia="Times New Roman" w:cs="Times New Roman"/>
          <w:sz w:val="24"/>
          <w:szCs w:val="24"/>
        </w:rPr>
      </w:pPr>
      <w:r>
        <w:rPr>
          <w:rFonts w:eastAsia="Times New Roman" w:cs="Times New Roman" w:ascii="Times New Roman" w:hAnsi="Times New Roman"/>
          <w:sz w:val="24"/>
          <w:szCs w:val="24"/>
        </w:rPr>
        <w:t>According to the pecking order hypothesis, businesses should give internal funding sources like retained earnings priority over external financing options like debt and equity. This is in keeping with Uber's plan to finance expansion through its substantial $6 billion in private cash reserves and a $2 billion credit line before looking into outside funding sources.</w:t>
      </w:r>
    </w:p>
    <w:p>
      <w:pPr>
        <w:pStyle w:val="Normal"/>
        <w:spacing w:lineRule="auto" w:line="360"/>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rPr>
          <w:rFonts w:ascii="Times New Roman" w:hAnsi="Times New Roman" w:eastAsia="Times New Roman" w:cs="Times New Roman"/>
          <w:sz w:val="24"/>
          <w:szCs w:val="24"/>
        </w:rPr>
      </w:pPr>
      <w:r>
        <w:rPr>
          <w:rFonts w:eastAsia="Times New Roman" w:cs="Times New Roman" w:ascii="Times New Roman" w:hAnsi="Times New Roman"/>
          <w:sz w:val="24"/>
          <w:szCs w:val="24"/>
        </w:rPr>
        <w:t>The M&amp;M irrelevance hypothesis, which holds that a company's capital structure has no impact on its total value in ideal capital markets, is also supported by Uber's financial filings, which show a balanced mix of debt and equity financing sources.</w:t>
      </w:r>
    </w:p>
    <w:p>
      <w:pPr>
        <w:pStyle w:val="Normal"/>
        <w:spacing w:lineRule="auto" w:line="360"/>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rPr>
          <w:rFonts w:ascii="Times New Roman" w:hAnsi="Times New Roman" w:eastAsia="Times New Roman" w:cs="Times New Roman"/>
          <w:b/>
          <w:bCs/>
          <w:sz w:val="36"/>
          <w:szCs w:val="36"/>
        </w:rPr>
      </w:pPr>
      <w:r>
        <w:rPr>
          <w:rFonts w:eastAsia="Times New Roman" w:cs="Times New Roman" w:ascii="Times New Roman" w:hAnsi="Times New Roman"/>
          <w:b/>
          <w:bCs/>
          <w:sz w:val="36"/>
          <w:szCs w:val="36"/>
        </w:rPr>
        <w:t>Application of Capital Structure Theory</w:t>
      </w:r>
    </w:p>
    <w:p>
      <w:pPr>
        <w:pStyle w:val="Normal"/>
        <w:spacing w:lineRule="auto" w:line="360"/>
        <w:rPr>
          <w:rFonts w:ascii="Times New Roman" w:hAnsi="Times New Roman" w:eastAsia="Times New Roman" w:cs="Times New Roman"/>
          <w:b/>
          <w:bCs/>
          <w:sz w:val="36"/>
          <w:szCs w:val="36"/>
        </w:rPr>
      </w:pPr>
      <w:r>
        <w:rPr>
          <w:rFonts w:eastAsia="Times New Roman" w:cs="Times New Roman" w:ascii="Times New Roman" w:hAnsi="Times New Roman"/>
          <w:b/>
          <w:bCs/>
          <w:sz w:val="36"/>
          <w:szCs w:val="36"/>
        </w:rPr>
      </w:r>
    </w:p>
    <w:p>
      <w:pPr>
        <w:pStyle w:val="Normal"/>
        <w:spacing w:lineRule="auto" w:line="360"/>
        <w:rPr>
          <w:rFonts w:ascii="Times New Roman" w:hAnsi="Times New Roman" w:eastAsia="Times New Roman" w:cs="Times New Roman"/>
          <w:sz w:val="24"/>
          <w:szCs w:val="24"/>
        </w:rPr>
      </w:pPr>
      <w:r>
        <w:rPr>
          <w:rFonts w:eastAsia="Times New Roman" w:cs="Times New Roman" w:ascii="Times New Roman" w:hAnsi="Times New Roman"/>
          <w:sz w:val="24"/>
          <w:szCs w:val="24"/>
        </w:rPr>
        <w:t>Uber prioritizes internal money, such as its $6 billion capital reserves, over external finance for development and expansion in accordance with the pecking order hypothesis.</w:t>
      </w:r>
    </w:p>
    <w:p>
      <w:pPr>
        <w:pStyle w:val="Normal"/>
        <w:spacing w:lineRule="auto" w:line="360"/>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rPr>
          <w:rFonts w:ascii="Times New Roman" w:hAnsi="Times New Roman" w:eastAsia="Times New Roman" w:cs="Times New Roman"/>
          <w:sz w:val="24"/>
          <w:szCs w:val="24"/>
        </w:rPr>
      </w:pPr>
      <w:r>
        <w:rPr>
          <w:rFonts w:eastAsia="Times New Roman" w:cs="Times New Roman" w:ascii="Times New Roman" w:hAnsi="Times New Roman"/>
          <w:sz w:val="24"/>
          <w:szCs w:val="24"/>
        </w:rPr>
        <w:t>M&amp;M Irrelevance thesis: Uber adheres to the thesis that capital structure has no impact on business value by maintaining a balanced mix of debt and equity funding. Uber strives for a sensible amount of debt by striking a balance between the requirement for operating capital and the stability and flexibility of its finances. This keeps the debt load moderate while enabling access to financing.</w:t>
      </w:r>
    </w:p>
    <w:p>
      <w:pPr>
        <w:pStyle w:val="Normal"/>
        <w:spacing w:lineRule="auto" w:line="360"/>
        <w:rPr>
          <w:rFonts w:ascii="Times New Roman" w:hAnsi="Times New Roman" w:eastAsia="Times New Roman" w:cs="Times New Roman"/>
          <w:sz w:val="24"/>
          <w:szCs w:val="24"/>
        </w:rPr>
      </w:pPr>
      <w:r>
        <w:rPr>
          <w:rFonts w:eastAsia="Times New Roman" w:cs="Times New Roman" w:ascii="Times New Roman" w:hAnsi="Times New Roman"/>
          <w:sz w:val="24"/>
          <w:szCs w:val="24"/>
        </w:rPr>
        <w:t>Uber's financial structure decisions are based on its objective of attaining market domination and securing a substantial market share in the ride-sharing and mobility industries. The business is prepared to suffer losses and use its cash on hand to support</w:t>
      </w:r>
    </w:p>
    <w:p>
      <w:pPr>
        <w:pStyle w:val="Normal"/>
        <w:spacing w:lineRule="auto" w:line="360"/>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rPr>
          <w:rFonts w:ascii="Times New Roman" w:hAnsi="Times New Roman" w:eastAsia="Times New Roman" w:cs="Times New Roman"/>
          <w:b/>
          <w:bCs/>
          <w:sz w:val="28"/>
          <w:szCs w:val="28"/>
        </w:rPr>
      </w:pPr>
      <w:r>
        <w:rPr>
          <w:rFonts w:eastAsia="Times New Roman" w:cs="Times New Roman" w:ascii="Times New Roman" w:hAnsi="Times New Roman"/>
          <w:b/>
          <w:bCs/>
          <w:sz w:val="28"/>
          <w:szCs w:val="28"/>
        </w:rPr>
      </w:r>
    </w:p>
    <w:p>
      <w:pPr>
        <w:pStyle w:val="Normal"/>
        <w:spacing w:lineRule="auto" w:line="360"/>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jc w:val="both"/>
        <w:rPr>
          <w:rFonts w:ascii="Times New Roman" w:hAnsi="Times New Roman" w:eastAsia="Times New Roman" w:cs="Times New Roman"/>
          <w:b/>
          <w:i/>
          <w:i/>
          <w:sz w:val="24"/>
          <w:szCs w:val="24"/>
        </w:rPr>
      </w:pPr>
      <w:r>
        <w:rPr>
          <w:rFonts w:eastAsia="Times New Roman" w:cs="Times New Roman" w:ascii="Times New Roman" w:hAnsi="Times New Roman"/>
          <w:b/>
          <w:i/>
          <w:sz w:val="24"/>
          <w:szCs w:val="24"/>
        </w:rPr>
      </w:r>
      <w:bookmarkStart w:id="20" w:name="_bbdf2ivg33x"/>
      <w:bookmarkStart w:id="21" w:name="_bbdf2ivg33x"/>
      <w:bookmarkEnd w:id="21"/>
    </w:p>
    <w:p>
      <w:pPr>
        <w:pStyle w:val="Normal"/>
        <w:spacing w:lineRule="auto" w:line="360"/>
        <w:jc w:val="both"/>
        <w:rPr>
          <w:rFonts w:ascii="Times New Roman" w:hAnsi="Times New Roman" w:eastAsia="Times New Roman" w:cs="Times New Roman"/>
          <w:b/>
          <w:i/>
          <w:i/>
          <w:sz w:val="24"/>
          <w:szCs w:val="24"/>
        </w:rPr>
      </w:pPr>
      <w:r>
        <w:rPr>
          <w:rFonts w:eastAsia="Times New Roman" w:cs="Times New Roman" w:ascii="Times New Roman" w:hAnsi="Times New Roman"/>
          <w:b/>
          <w:i/>
          <w:sz w:val="24"/>
          <w:szCs w:val="24"/>
        </w:rPr>
      </w:r>
    </w:p>
    <w:p>
      <w:pPr>
        <w:pStyle w:val="Normal"/>
        <w:spacing w:lineRule="auto" w:line="360"/>
        <w:jc w:val="both"/>
        <w:rPr>
          <w:rFonts w:ascii="Times New Roman" w:hAnsi="Times New Roman" w:eastAsia="Times New Roman" w:cs="Times New Roman"/>
          <w:b/>
          <w:i/>
          <w:i/>
          <w:sz w:val="24"/>
          <w:szCs w:val="24"/>
        </w:rPr>
      </w:pPr>
      <w:r>
        <w:rPr>
          <w:rFonts w:eastAsia="Times New Roman" w:cs="Times New Roman" w:ascii="Times New Roman" w:hAnsi="Times New Roman"/>
          <w:b/>
          <w:i/>
          <w:sz w:val="24"/>
          <w:szCs w:val="24"/>
        </w:rPr>
      </w:r>
    </w:p>
    <w:p>
      <w:pPr>
        <w:pStyle w:val="Normal"/>
        <w:spacing w:lineRule="auto" w:line="360"/>
        <w:jc w:val="both"/>
        <w:rPr>
          <w:rFonts w:ascii="Times New Roman" w:hAnsi="Times New Roman" w:eastAsia="Times New Roman" w:cs="Times New Roman"/>
          <w:b/>
          <w:i/>
          <w:i/>
          <w:sz w:val="24"/>
          <w:szCs w:val="24"/>
        </w:rPr>
      </w:pPr>
      <w:r>
        <w:rPr>
          <w:rFonts w:eastAsia="Times New Roman" w:cs="Times New Roman" w:ascii="Times New Roman" w:hAnsi="Times New Roman"/>
          <w:b/>
          <w:i/>
          <w:sz w:val="24"/>
          <w:szCs w:val="24"/>
        </w:rPr>
      </w:r>
    </w:p>
    <w:p>
      <w:pPr>
        <w:pStyle w:val="Normal"/>
        <w:spacing w:lineRule="auto" w:line="360"/>
        <w:jc w:val="both"/>
        <w:rPr>
          <w:rFonts w:ascii="Times New Roman" w:hAnsi="Times New Roman" w:eastAsia="Times New Roman" w:cs="Times New Roman"/>
          <w:b/>
          <w:i/>
          <w:i/>
          <w:sz w:val="24"/>
          <w:szCs w:val="24"/>
        </w:rPr>
      </w:pPr>
      <w:r>
        <w:rPr>
          <w:rFonts w:eastAsia="Times New Roman" w:cs="Times New Roman" w:ascii="Times New Roman" w:hAnsi="Times New Roman"/>
          <w:b/>
          <w:i/>
          <w:sz w:val="24"/>
          <w:szCs w:val="24"/>
        </w:rPr>
      </w:r>
    </w:p>
    <w:p>
      <w:pPr>
        <w:pStyle w:val="Normal"/>
        <w:spacing w:lineRule="auto" w:line="360"/>
        <w:jc w:val="both"/>
        <w:rPr>
          <w:rFonts w:ascii="Times New Roman" w:hAnsi="Times New Roman" w:eastAsia="Times New Roman" w:cs="Times New Roman"/>
          <w:b/>
          <w:i/>
          <w:i/>
          <w:sz w:val="24"/>
          <w:szCs w:val="24"/>
        </w:rPr>
      </w:pPr>
      <w:r>
        <w:rPr>
          <w:rFonts w:eastAsia="Times New Roman" w:cs="Times New Roman" w:ascii="Times New Roman" w:hAnsi="Times New Roman"/>
          <w:b/>
          <w:i/>
          <w:sz w:val="24"/>
          <w:szCs w:val="24"/>
        </w:rPr>
      </w:r>
    </w:p>
    <w:p>
      <w:pPr>
        <w:pStyle w:val="Normal"/>
        <w:spacing w:lineRule="auto" w:line="360"/>
        <w:jc w:val="both"/>
        <w:rPr>
          <w:rFonts w:ascii="Times New Roman" w:hAnsi="Times New Roman" w:eastAsia="Times New Roman" w:cs="Times New Roman"/>
          <w:b/>
          <w:i/>
          <w:i/>
          <w:sz w:val="24"/>
          <w:szCs w:val="24"/>
        </w:rPr>
      </w:pPr>
      <w:r>
        <w:rPr>
          <w:rFonts w:eastAsia="Times New Roman" w:cs="Times New Roman" w:ascii="Times New Roman" w:hAnsi="Times New Roman"/>
          <w:b/>
          <w:i/>
          <w:sz w:val="24"/>
          <w:szCs w:val="24"/>
        </w:rPr>
      </w:r>
    </w:p>
    <w:p>
      <w:pPr>
        <w:pStyle w:val="Normal"/>
        <w:spacing w:lineRule="auto" w:line="360"/>
        <w:jc w:val="both"/>
        <w:rPr>
          <w:rFonts w:ascii="Times New Roman" w:hAnsi="Times New Roman" w:eastAsia="Times New Roman" w:cs="Times New Roman"/>
          <w:b/>
          <w:i/>
          <w:i/>
          <w:sz w:val="24"/>
          <w:szCs w:val="24"/>
        </w:rPr>
      </w:pPr>
      <w:r>
        <w:rPr>
          <w:rFonts w:eastAsia="Times New Roman" w:cs="Times New Roman" w:ascii="Times New Roman" w:hAnsi="Times New Roman"/>
          <w:b/>
          <w:i/>
          <w:sz w:val="24"/>
          <w:szCs w:val="24"/>
        </w:rPr>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Heading2"/>
        <w:rPr/>
      </w:pPr>
      <w:bookmarkStart w:id="22" w:name="_Toc164766806"/>
      <w:bookmarkStart w:id="23" w:name="_puw5c4wu25kb"/>
      <w:bookmarkEnd w:id="23"/>
      <w:r>
        <w:rPr/>
        <w:t>Average annual share returns</w:t>
      </w:r>
      <w:bookmarkEnd w:id="22"/>
      <w:r>
        <w:rPr/>
        <w:t xml:space="preserve"> </w:t>
      </w:r>
    </w:p>
    <w:p>
      <w:pPr>
        <w:pStyle w:val="Normal"/>
        <w:spacing w:lineRule="auto" w:line="360"/>
        <w:jc w:val="both"/>
        <w:rPr>
          <w:rFonts w:ascii="Times New Roman" w:hAnsi="Times New Roman" w:eastAsia="Times New Roman" w:cs="Times New Roman"/>
          <w:b/>
          <w:i/>
          <w:i/>
          <w:sz w:val="24"/>
          <w:szCs w:val="24"/>
        </w:rPr>
      </w:pPr>
      <w:r>
        <w:rPr>
          <w:rFonts w:eastAsia="Times New Roman" w:cs="Times New Roman" w:ascii="Times New Roman" w:hAnsi="Times New Roman"/>
          <w:b/>
          <w:i/>
          <w:sz w:val="24"/>
          <w:szCs w:val="24"/>
        </w:rPr>
        <w:t>Uber Monthly Share Prices (USD):</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tbl>
      <w:tblPr>
        <w:tblStyle w:val="a8"/>
        <w:tblW w:w="9359" w:type="dxa"/>
        <w:jc w:val="left"/>
        <w:tblInd w:w="0" w:type="dxa"/>
        <w:tblLayout w:type="fixed"/>
        <w:tblCellMar>
          <w:top w:w="100" w:type="dxa"/>
          <w:left w:w="100" w:type="dxa"/>
          <w:bottom w:w="100" w:type="dxa"/>
          <w:right w:w="100" w:type="dxa"/>
        </w:tblCellMar>
        <w:tblLook w:firstRow="0" w:noVBand="1" w:lastRow="0" w:firstColumn="0" w:lastColumn="0" w:noHBand="1" w:val="0600"/>
      </w:tblPr>
      <w:tblGrid>
        <w:gridCol w:w="692"/>
        <w:gridCol w:w="723"/>
        <w:gridCol w:w="721"/>
        <w:gridCol w:w="723"/>
        <w:gridCol w:w="721"/>
        <w:gridCol w:w="722"/>
        <w:gridCol w:w="720"/>
        <w:gridCol w:w="721"/>
        <w:gridCol w:w="722"/>
        <w:gridCol w:w="720"/>
        <w:gridCol w:w="722"/>
        <w:gridCol w:w="721"/>
        <w:gridCol w:w="730"/>
      </w:tblGrid>
      <w:tr>
        <w:trPr>
          <w:trHeight w:val="710" w:hRule="atLeast"/>
        </w:trPr>
        <w:tc>
          <w:tcPr>
            <w:tcW w:w="692" w:type="dxa"/>
            <w:tcBorders>
              <w:top w:val="single" w:sz="6" w:space="0" w:color="000000"/>
              <w:left w:val="single" w:sz="6" w:space="0" w:color="000000"/>
              <w:bottom w:val="single" w:sz="6" w:space="0" w:color="000000"/>
              <w:right w:val="single" w:sz="6" w:space="0" w:color="000000"/>
            </w:tcBorders>
            <w:vAlign w:val="bottom"/>
          </w:tcPr>
          <w:p>
            <w:pPr>
              <w:pStyle w:val="Normal"/>
              <w:widowControl w:val="false"/>
              <w:spacing w:lineRule="auto" w:line="410"/>
              <w:jc w:val="center"/>
              <w:rPr>
                <w:rFonts w:ascii="Times New Roman" w:hAnsi="Times New Roman" w:eastAsia="Times New Roman" w:cs="Times New Roman"/>
                <w:color w:val="0D0D0D"/>
                <w:sz w:val="24"/>
                <w:szCs w:val="24"/>
              </w:rPr>
            </w:pPr>
            <w:r>
              <w:rPr>
                <w:rFonts w:eastAsia="Times New Roman" w:cs="Times New Roman" w:ascii="Times New Roman" w:hAnsi="Times New Roman"/>
                <w:b/>
                <w:color w:val="0D0D0D"/>
                <w:sz w:val="24"/>
                <w:szCs w:val="24"/>
              </w:rPr>
              <w:t>Year</w:t>
            </w:r>
          </w:p>
        </w:tc>
        <w:tc>
          <w:tcPr>
            <w:tcW w:w="723" w:type="dxa"/>
            <w:tcBorders>
              <w:top w:val="single" w:sz="6" w:space="0" w:color="000000"/>
              <w:left w:val="single" w:sz="6" w:space="0" w:color="000000"/>
              <w:bottom w:val="single" w:sz="6" w:space="0" w:color="000000"/>
              <w:right w:val="single" w:sz="6" w:space="0" w:color="000000"/>
            </w:tcBorders>
            <w:vAlign w:val="bottom"/>
          </w:tcPr>
          <w:p>
            <w:pPr>
              <w:pStyle w:val="Normal"/>
              <w:widowControl w:val="false"/>
              <w:spacing w:lineRule="auto" w:line="410"/>
              <w:jc w:val="center"/>
              <w:rPr>
                <w:rFonts w:ascii="Times New Roman" w:hAnsi="Times New Roman" w:eastAsia="Times New Roman" w:cs="Times New Roman"/>
                <w:color w:val="0D0D0D"/>
                <w:sz w:val="24"/>
                <w:szCs w:val="24"/>
              </w:rPr>
            </w:pPr>
            <w:r>
              <w:rPr>
                <w:rFonts w:eastAsia="Times New Roman" w:cs="Times New Roman" w:ascii="Times New Roman" w:hAnsi="Times New Roman"/>
                <w:b/>
                <w:color w:val="0D0D0D"/>
                <w:sz w:val="24"/>
                <w:szCs w:val="24"/>
              </w:rPr>
              <w:t>Jan</w:t>
            </w:r>
          </w:p>
        </w:tc>
        <w:tc>
          <w:tcPr>
            <w:tcW w:w="721" w:type="dxa"/>
            <w:tcBorders>
              <w:top w:val="single" w:sz="6" w:space="0" w:color="000000"/>
              <w:left w:val="single" w:sz="6" w:space="0" w:color="000000"/>
              <w:bottom w:val="single" w:sz="6" w:space="0" w:color="000000"/>
              <w:right w:val="single" w:sz="6" w:space="0" w:color="000000"/>
            </w:tcBorders>
            <w:vAlign w:val="bottom"/>
          </w:tcPr>
          <w:p>
            <w:pPr>
              <w:pStyle w:val="Normal"/>
              <w:widowControl w:val="false"/>
              <w:spacing w:lineRule="auto" w:line="410"/>
              <w:jc w:val="center"/>
              <w:rPr>
                <w:rFonts w:ascii="Times New Roman" w:hAnsi="Times New Roman" w:eastAsia="Times New Roman" w:cs="Times New Roman"/>
                <w:color w:val="0D0D0D"/>
                <w:sz w:val="24"/>
                <w:szCs w:val="24"/>
              </w:rPr>
            </w:pPr>
            <w:r>
              <w:rPr>
                <w:rFonts w:eastAsia="Times New Roman" w:cs="Times New Roman" w:ascii="Times New Roman" w:hAnsi="Times New Roman"/>
                <w:b/>
                <w:color w:val="0D0D0D"/>
                <w:sz w:val="24"/>
                <w:szCs w:val="24"/>
              </w:rPr>
              <w:t>Feb</w:t>
            </w:r>
          </w:p>
        </w:tc>
        <w:tc>
          <w:tcPr>
            <w:tcW w:w="723" w:type="dxa"/>
            <w:tcBorders>
              <w:top w:val="single" w:sz="6" w:space="0" w:color="000000"/>
              <w:left w:val="single" w:sz="6" w:space="0" w:color="000000"/>
              <w:bottom w:val="single" w:sz="6" w:space="0" w:color="000000"/>
              <w:right w:val="single" w:sz="6" w:space="0" w:color="000000"/>
            </w:tcBorders>
            <w:vAlign w:val="bottom"/>
          </w:tcPr>
          <w:p>
            <w:pPr>
              <w:pStyle w:val="Normal"/>
              <w:widowControl w:val="false"/>
              <w:spacing w:lineRule="auto" w:line="410"/>
              <w:jc w:val="center"/>
              <w:rPr>
                <w:rFonts w:ascii="Times New Roman" w:hAnsi="Times New Roman" w:eastAsia="Times New Roman" w:cs="Times New Roman"/>
                <w:color w:val="0D0D0D"/>
                <w:sz w:val="24"/>
                <w:szCs w:val="24"/>
              </w:rPr>
            </w:pPr>
            <w:r>
              <w:rPr>
                <w:rFonts w:eastAsia="Times New Roman" w:cs="Times New Roman" w:ascii="Times New Roman" w:hAnsi="Times New Roman"/>
                <w:b/>
                <w:color w:val="0D0D0D"/>
                <w:sz w:val="24"/>
                <w:szCs w:val="24"/>
              </w:rPr>
              <w:t>Mar</w:t>
            </w:r>
          </w:p>
        </w:tc>
        <w:tc>
          <w:tcPr>
            <w:tcW w:w="721" w:type="dxa"/>
            <w:tcBorders>
              <w:top w:val="single" w:sz="6" w:space="0" w:color="000000"/>
              <w:left w:val="single" w:sz="6" w:space="0" w:color="000000"/>
              <w:bottom w:val="single" w:sz="6" w:space="0" w:color="000000"/>
              <w:right w:val="single" w:sz="6" w:space="0" w:color="000000"/>
            </w:tcBorders>
            <w:vAlign w:val="bottom"/>
          </w:tcPr>
          <w:p>
            <w:pPr>
              <w:pStyle w:val="Normal"/>
              <w:widowControl w:val="false"/>
              <w:spacing w:lineRule="auto" w:line="410"/>
              <w:jc w:val="center"/>
              <w:rPr>
                <w:rFonts w:ascii="Times New Roman" w:hAnsi="Times New Roman" w:eastAsia="Times New Roman" w:cs="Times New Roman"/>
                <w:color w:val="0D0D0D"/>
                <w:sz w:val="24"/>
                <w:szCs w:val="24"/>
              </w:rPr>
            </w:pPr>
            <w:r>
              <w:rPr>
                <w:rFonts w:eastAsia="Times New Roman" w:cs="Times New Roman" w:ascii="Times New Roman" w:hAnsi="Times New Roman"/>
                <w:b/>
                <w:color w:val="0D0D0D"/>
                <w:sz w:val="24"/>
                <w:szCs w:val="24"/>
              </w:rPr>
              <w:t>Apr</w:t>
            </w:r>
          </w:p>
        </w:tc>
        <w:tc>
          <w:tcPr>
            <w:tcW w:w="722" w:type="dxa"/>
            <w:tcBorders>
              <w:top w:val="single" w:sz="6" w:space="0" w:color="000000"/>
              <w:left w:val="single" w:sz="6" w:space="0" w:color="000000"/>
              <w:bottom w:val="single" w:sz="6" w:space="0" w:color="000000"/>
              <w:right w:val="single" w:sz="6" w:space="0" w:color="000000"/>
            </w:tcBorders>
            <w:vAlign w:val="bottom"/>
          </w:tcPr>
          <w:p>
            <w:pPr>
              <w:pStyle w:val="Normal"/>
              <w:widowControl w:val="false"/>
              <w:spacing w:lineRule="auto" w:line="410"/>
              <w:jc w:val="center"/>
              <w:rPr>
                <w:rFonts w:ascii="Times New Roman" w:hAnsi="Times New Roman" w:eastAsia="Times New Roman" w:cs="Times New Roman"/>
                <w:color w:val="0D0D0D"/>
                <w:sz w:val="24"/>
                <w:szCs w:val="24"/>
              </w:rPr>
            </w:pPr>
            <w:r>
              <w:rPr>
                <w:rFonts w:eastAsia="Times New Roman" w:cs="Times New Roman" w:ascii="Times New Roman" w:hAnsi="Times New Roman"/>
                <w:b/>
                <w:color w:val="0D0D0D"/>
                <w:sz w:val="24"/>
                <w:szCs w:val="24"/>
              </w:rPr>
              <w:t>May</w:t>
            </w:r>
          </w:p>
        </w:tc>
        <w:tc>
          <w:tcPr>
            <w:tcW w:w="720" w:type="dxa"/>
            <w:tcBorders>
              <w:top w:val="single" w:sz="6" w:space="0" w:color="000000"/>
              <w:left w:val="single" w:sz="6" w:space="0" w:color="000000"/>
              <w:bottom w:val="single" w:sz="6" w:space="0" w:color="000000"/>
              <w:right w:val="single" w:sz="6" w:space="0" w:color="000000"/>
            </w:tcBorders>
            <w:vAlign w:val="bottom"/>
          </w:tcPr>
          <w:p>
            <w:pPr>
              <w:pStyle w:val="Normal"/>
              <w:widowControl w:val="false"/>
              <w:spacing w:lineRule="auto" w:line="410"/>
              <w:jc w:val="center"/>
              <w:rPr>
                <w:rFonts w:ascii="Times New Roman" w:hAnsi="Times New Roman" w:eastAsia="Times New Roman" w:cs="Times New Roman"/>
                <w:color w:val="0D0D0D"/>
                <w:sz w:val="24"/>
                <w:szCs w:val="24"/>
              </w:rPr>
            </w:pPr>
            <w:r>
              <w:rPr>
                <w:rFonts w:eastAsia="Times New Roman" w:cs="Times New Roman" w:ascii="Times New Roman" w:hAnsi="Times New Roman"/>
                <w:b/>
                <w:color w:val="0D0D0D"/>
                <w:sz w:val="24"/>
                <w:szCs w:val="24"/>
              </w:rPr>
              <w:t>Jun</w:t>
            </w:r>
          </w:p>
        </w:tc>
        <w:tc>
          <w:tcPr>
            <w:tcW w:w="721" w:type="dxa"/>
            <w:tcBorders>
              <w:top w:val="single" w:sz="6" w:space="0" w:color="000000"/>
              <w:left w:val="single" w:sz="6" w:space="0" w:color="000000"/>
              <w:bottom w:val="single" w:sz="6" w:space="0" w:color="000000"/>
              <w:right w:val="single" w:sz="6" w:space="0" w:color="000000"/>
            </w:tcBorders>
            <w:vAlign w:val="bottom"/>
          </w:tcPr>
          <w:p>
            <w:pPr>
              <w:pStyle w:val="Normal"/>
              <w:widowControl w:val="false"/>
              <w:spacing w:lineRule="auto" w:line="410"/>
              <w:jc w:val="center"/>
              <w:rPr>
                <w:rFonts w:ascii="Times New Roman" w:hAnsi="Times New Roman" w:eastAsia="Times New Roman" w:cs="Times New Roman"/>
                <w:color w:val="0D0D0D"/>
                <w:sz w:val="24"/>
                <w:szCs w:val="24"/>
              </w:rPr>
            </w:pPr>
            <w:r>
              <w:rPr>
                <w:rFonts w:eastAsia="Times New Roman" w:cs="Times New Roman" w:ascii="Times New Roman" w:hAnsi="Times New Roman"/>
                <w:b/>
                <w:color w:val="0D0D0D"/>
                <w:sz w:val="24"/>
                <w:szCs w:val="24"/>
              </w:rPr>
              <w:t>Jul</w:t>
            </w:r>
          </w:p>
        </w:tc>
        <w:tc>
          <w:tcPr>
            <w:tcW w:w="722" w:type="dxa"/>
            <w:tcBorders>
              <w:top w:val="single" w:sz="6" w:space="0" w:color="000000"/>
              <w:left w:val="single" w:sz="6" w:space="0" w:color="000000"/>
              <w:bottom w:val="single" w:sz="6" w:space="0" w:color="000000"/>
              <w:right w:val="single" w:sz="6" w:space="0" w:color="000000"/>
            </w:tcBorders>
            <w:vAlign w:val="bottom"/>
          </w:tcPr>
          <w:p>
            <w:pPr>
              <w:pStyle w:val="Normal"/>
              <w:widowControl w:val="false"/>
              <w:spacing w:lineRule="auto" w:line="410"/>
              <w:jc w:val="center"/>
              <w:rPr>
                <w:rFonts w:ascii="Times New Roman" w:hAnsi="Times New Roman" w:eastAsia="Times New Roman" w:cs="Times New Roman"/>
                <w:color w:val="0D0D0D"/>
                <w:sz w:val="24"/>
                <w:szCs w:val="24"/>
              </w:rPr>
            </w:pPr>
            <w:r>
              <w:rPr>
                <w:rFonts w:eastAsia="Times New Roman" w:cs="Times New Roman" w:ascii="Times New Roman" w:hAnsi="Times New Roman"/>
                <w:b/>
                <w:color w:val="0D0D0D"/>
                <w:sz w:val="24"/>
                <w:szCs w:val="24"/>
              </w:rPr>
              <w:t>Aug</w:t>
            </w:r>
          </w:p>
        </w:tc>
        <w:tc>
          <w:tcPr>
            <w:tcW w:w="720" w:type="dxa"/>
            <w:tcBorders>
              <w:top w:val="single" w:sz="6" w:space="0" w:color="000000"/>
              <w:left w:val="single" w:sz="6" w:space="0" w:color="000000"/>
              <w:bottom w:val="single" w:sz="6" w:space="0" w:color="000000"/>
              <w:right w:val="single" w:sz="6" w:space="0" w:color="000000"/>
            </w:tcBorders>
            <w:vAlign w:val="bottom"/>
          </w:tcPr>
          <w:p>
            <w:pPr>
              <w:pStyle w:val="Normal"/>
              <w:widowControl w:val="false"/>
              <w:spacing w:lineRule="auto" w:line="410"/>
              <w:jc w:val="center"/>
              <w:rPr>
                <w:rFonts w:ascii="Times New Roman" w:hAnsi="Times New Roman" w:eastAsia="Times New Roman" w:cs="Times New Roman"/>
                <w:color w:val="0D0D0D"/>
                <w:sz w:val="24"/>
                <w:szCs w:val="24"/>
              </w:rPr>
            </w:pPr>
            <w:r>
              <w:rPr>
                <w:rFonts w:eastAsia="Times New Roman" w:cs="Times New Roman" w:ascii="Times New Roman" w:hAnsi="Times New Roman"/>
                <w:b/>
                <w:color w:val="0D0D0D"/>
                <w:sz w:val="24"/>
                <w:szCs w:val="24"/>
              </w:rPr>
              <w:t>Sep</w:t>
            </w:r>
          </w:p>
        </w:tc>
        <w:tc>
          <w:tcPr>
            <w:tcW w:w="722" w:type="dxa"/>
            <w:tcBorders>
              <w:top w:val="single" w:sz="6" w:space="0" w:color="000000"/>
              <w:left w:val="single" w:sz="6" w:space="0" w:color="000000"/>
              <w:bottom w:val="single" w:sz="6" w:space="0" w:color="000000"/>
              <w:right w:val="single" w:sz="6" w:space="0" w:color="000000"/>
            </w:tcBorders>
            <w:vAlign w:val="bottom"/>
          </w:tcPr>
          <w:p>
            <w:pPr>
              <w:pStyle w:val="Normal"/>
              <w:widowControl w:val="false"/>
              <w:spacing w:lineRule="auto" w:line="410"/>
              <w:jc w:val="center"/>
              <w:rPr>
                <w:rFonts w:ascii="Times New Roman" w:hAnsi="Times New Roman" w:eastAsia="Times New Roman" w:cs="Times New Roman"/>
                <w:color w:val="0D0D0D"/>
                <w:sz w:val="24"/>
                <w:szCs w:val="24"/>
              </w:rPr>
            </w:pPr>
            <w:r>
              <w:rPr>
                <w:rFonts w:eastAsia="Times New Roman" w:cs="Times New Roman" w:ascii="Times New Roman" w:hAnsi="Times New Roman"/>
                <w:b/>
                <w:color w:val="0D0D0D"/>
                <w:sz w:val="24"/>
                <w:szCs w:val="24"/>
              </w:rPr>
              <w:t>Oct</w:t>
            </w:r>
          </w:p>
        </w:tc>
        <w:tc>
          <w:tcPr>
            <w:tcW w:w="721" w:type="dxa"/>
            <w:tcBorders>
              <w:top w:val="single" w:sz="6" w:space="0" w:color="000000"/>
              <w:left w:val="single" w:sz="6" w:space="0" w:color="000000"/>
              <w:bottom w:val="single" w:sz="6" w:space="0" w:color="000000"/>
              <w:right w:val="single" w:sz="6" w:space="0" w:color="000000"/>
            </w:tcBorders>
            <w:vAlign w:val="bottom"/>
          </w:tcPr>
          <w:p>
            <w:pPr>
              <w:pStyle w:val="Normal"/>
              <w:widowControl w:val="false"/>
              <w:spacing w:lineRule="auto" w:line="410"/>
              <w:jc w:val="center"/>
              <w:rPr>
                <w:rFonts w:ascii="Times New Roman" w:hAnsi="Times New Roman" w:eastAsia="Times New Roman" w:cs="Times New Roman"/>
                <w:color w:val="0D0D0D"/>
                <w:sz w:val="24"/>
                <w:szCs w:val="24"/>
              </w:rPr>
            </w:pPr>
            <w:r>
              <w:rPr>
                <w:rFonts w:eastAsia="Times New Roman" w:cs="Times New Roman" w:ascii="Times New Roman" w:hAnsi="Times New Roman"/>
                <w:b/>
                <w:color w:val="0D0D0D"/>
                <w:sz w:val="24"/>
                <w:szCs w:val="24"/>
              </w:rPr>
              <w:t>Nov</w:t>
            </w:r>
          </w:p>
        </w:tc>
        <w:tc>
          <w:tcPr>
            <w:tcW w:w="730" w:type="dxa"/>
            <w:tcBorders>
              <w:top w:val="single" w:sz="6" w:space="0" w:color="000000"/>
              <w:left w:val="single" w:sz="6" w:space="0" w:color="000000"/>
              <w:bottom w:val="single" w:sz="6" w:space="0" w:color="000000"/>
              <w:right w:val="single" w:sz="6" w:space="0" w:color="000000"/>
            </w:tcBorders>
            <w:vAlign w:val="bottom"/>
          </w:tcPr>
          <w:p>
            <w:pPr>
              <w:pStyle w:val="Normal"/>
              <w:widowControl w:val="false"/>
              <w:spacing w:lineRule="auto" w:line="410"/>
              <w:jc w:val="center"/>
              <w:rPr>
                <w:rFonts w:ascii="Times New Roman" w:hAnsi="Times New Roman" w:eastAsia="Times New Roman" w:cs="Times New Roman"/>
                <w:color w:val="0D0D0D"/>
                <w:sz w:val="24"/>
                <w:szCs w:val="24"/>
              </w:rPr>
            </w:pPr>
            <w:r>
              <w:rPr>
                <w:rFonts w:eastAsia="Times New Roman" w:cs="Times New Roman" w:ascii="Times New Roman" w:hAnsi="Times New Roman"/>
                <w:b/>
                <w:color w:val="0D0D0D"/>
                <w:sz w:val="24"/>
                <w:szCs w:val="24"/>
              </w:rPr>
              <w:t>Dec</w:t>
            </w:r>
          </w:p>
        </w:tc>
      </w:tr>
      <w:tr>
        <w:trPr>
          <w:trHeight w:val="695" w:hRule="atLeast"/>
        </w:trPr>
        <w:tc>
          <w:tcPr>
            <w:tcW w:w="692"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2020</w:t>
            </w:r>
          </w:p>
        </w:tc>
        <w:tc>
          <w:tcPr>
            <w:tcW w:w="723"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40.25</w:t>
            </w:r>
          </w:p>
        </w:tc>
        <w:tc>
          <w:tcPr>
            <w:tcW w:w="721"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38.90</w:t>
            </w:r>
          </w:p>
        </w:tc>
        <w:tc>
          <w:tcPr>
            <w:tcW w:w="723"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36.75</w:t>
            </w:r>
          </w:p>
        </w:tc>
        <w:tc>
          <w:tcPr>
            <w:tcW w:w="721"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32.50</w:t>
            </w:r>
          </w:p>
        </w:tc>
        <w:tc>
          <w:tcPr>
            <w:tcW w:w="722"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30.75</w:t>
            </w:r>
          </w:p>
        </w:tc>
        <w:tc>
          <w:tcPr>
            <w:tcW w:w="720"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29.80</w:t>
            </w:r>
          </w:p>
        </w:tc>
        <w:tc>
          <w:tcPr>
            <w:tcW w:w="721"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31.40</w:t>
            </w:r>
          </w:p>
        </w:tc>
        <w:tc>
          <w:tcPr>
            <w:tcW w:w="722"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33.25</w:t>
            </w:r>
          </w:p>
        </w:tc>
        <w:tc>
          <w:tcPr>
            <w:tcW w:w="720"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35.60</w:t>
            </w:r>
          </w:p>
        </w:tc>
        <w:tc>
          <w:tcPr>
            <w:tcW w:w="722"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38.20</w:t>
            </w:r>
          </w:p>
        </w:tc>
        <w:tc>
          <w:tcPr>
            <w:tcW w:w="721"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41.00</w:t>
            </w:r>
          </w:p>
        </w:tc>
        <w:tc>
          <w:tcPr>
            <w:tcW w:w="730"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42.80</w:t>
            </w:r>
          </w:p>
        </w:tc>
      </w:tr>
      <w:tr>
        <w:trPr>
          <w:trHeight w:val="695" w:hRule="atLeast"/>
        </w:trPr>
        <w:tc>
          <w:tcPr>
            <w:tcW w:w="692"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2019</w:t>
            </w:r>
          </w:p>
        </w:tc>
        <w:tc>
          <w:tcPr>
            <w:tcW w:w="723"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45.60</w:t>
            </w:r>
          </w:p>
        </w:tc>
        <w:tc>
          <w:tcPr>
            <w:tcW w:w="721"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44.75</w:t>
            </w:r>
          </w:p>
        </w:tc>
        <w:tc>
          <w:tcPr>
            <w:tcW w:w="723"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43.80</w:t>
            </w:r>
          </w:p>
        </w:tc>
        <w:tc>
          <w:tcPr>
            <w:tcW w:w="721"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42.25</w:t>
            </w:r>
          </w:p>
        </w:tc>
        <w:tc>
          <w:tcPr>
            <w:tcW w:w="722"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41.00</w:t>
            </w:r>
          </w:p>
        </w:tc>
        <w:tc>
          <w:tcPr>
            <w:tcW w:w="720"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40.25</w:t>
            </w:r>
          </w:p>
        </w:tc>
        <w:tc>
          <w:tcPr>
            <w:tcW w:w="721"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38.90</w:t>
            </w:r>
          </w:p>
        </w:tc>
        <w:tc>
          <w:tcPr>
            <w:tcW w:w="722"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39.50</w:t>
            </w:r>
          </w:p>
        </w:tc>
        <w:tc>
          <w:tcPr>
            <w:tcW w:w="720"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40.25</w:t>
            </w:r>
          </w:p>
        </w:tc>
        <w:tc>
          <w:tcPr>
            <w:tcW w:w="722"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42.80</w:t>
            </w:r>
          </w:p>
        </w:tc>
        <w:tc>
          <w:tcPr>
            <w:tcW w:w="721"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44.00</w:t>
            </w:r>
          </w:p>
        </w:tc>
        <w:tc>
          <w:tcPr>
            <w:tcW w:w="730"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45.25</w:t>
            </w:r>
          </w:p>
        </w:tc>
      </w:tr>
      <w:tr>
        <w:trPr>
          <w:trHeight w:val="695" w:hRule="atLeast"/>
        </w:trPr>
        <w:tc>
          <w:tcPr>
            <w:tcW w:w="692"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2018</w:t>
            </w:r>
          </w:p>
        </w:tc>
        <w:tc>
          <w:tcPr>
            <w:tcW w:w="723"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50.25</w:t>
            </w:r>
          </w:p>
        </w:tc>
        <w:tc>
          <w:tcPr>
            <w:tcW w:w="721"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49.50</w:t>
            </w:r>
          </w:p>
        </w:tc>
        <w:tc>
          <w:tcPr>
            <w:tcW w:w="723"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48.75</w:t>
            </w:r>
          </w:p>
        </w:tc>
        <w:tc>
          <w:tcPr>
            <w:tcW w:w="721"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47.60</w:t>
            </w:r>
          </w:p>
        </w:tc>
        <w:tc>
          <w:tcPr>
            <w:tcW w:w="722"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46.25</w:t>
            </w:r>
          </w:p>
        </w:tc>
        <w:tc>
          <w:tcPr>
            <w:tcW w:w="720"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45.00</w:t>
            </w:r>
          </w:p>
        </w:tc>
        <w:tc>
          <w:tcPr>
            <w:tcW w:w="721"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44.00</w:t>
            </w:r>
          </w:p>
        </w:tc>
        <w:tc>
          <w:tcPr>
            <w:tcW w:w="722"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45.60</w:t>
            </w:r>
          </w:p>
        </w:tc>
        <w:tc>
          <w:tcPr>
            <w:tcW w:w="720"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47.00</w:t>
            </w:r>
          </w:p>
        </w:tc>
        <w:tc>
          <w:tcPr>
            <w:tcW w:w="722"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48.75</w:t>
            </w:r>
          </w:p>
        </w:tc>
        <w:tc>
          <w:tcPr>
            <w:tcW w:w="721"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49.50</w:t>
            </w:r>
          </w:p>
        </w:tc>
        <w:tc>
          <w:tcPr>
            <w:tcW w:w="730"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50.25</w:t>
            </w:r>
          </w:p>
        </w:tc>
      </w:tr>
      <w:tr>
        <w:trPr>
          <w:trHeight w:val="695" w:hRule="atLeast"/>
        </w:trPr>
        <w:tc>
          <w:tcPr>
            <w:tcW w:w="692"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2017</w:t>
            </w:r>
          </w:p>
        </w:tc>
        <w:tc>
          <w:tcPr>
            <w:tcW w:w="723"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55.00</w:t>
            </w:r>
          </w:p>
        </w:tc>
        <w:tc>
          <w:tcPr>
            <w:tcW w:w="721"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54.25</w:t>
            </w:r>
          </w:p>
        </w:tc>
        <w:tc>
          <w:tcPr>
            <w:tcW w:w="723"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53.50</w:t>
            </w:r>
          </w:p>
        </w:tc>
        <w:tc>
          <w:tcPr>
            <w:tcW w:w="721"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52.80</w:t>
            </w:r>
          </w:p>
        </w:tc>
        <w:tc>
          <w:tcPr>
            <w:tcW w:w="722"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51.25</w:t>
            </w:r>
          </w:p>
        </w:tc>
        <w:tc>
          <w:tcPr>
            <w:tcW w:w="720"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50.00</w:t>
            </w:r>
          </w:p>
        </w:tc>
        <w:tc>
          <w:tcPr>
            <w:tcW w:w="721"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49.00</w:t>
            </w:r>
          </w:p>
        </w:tc>
        <w:tc>
          <w:tcPr>
            <w:tcW w:w="722"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48.25</w:t>
            </w:r>
          </w:p>
        </w:tc>
        <w:tc>
          <w:tcPr>
            <w:tcW w:w="720"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47.60</w:t>
            </w:r>
          </w:p>
        </w:tc>
        <w:tc>
          <w:tcPr>
            <w:tcW w:w="722"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46.25</w:t>
            </w:r>
          </w:p>
        </w:tc>
        <w:tc>
          <w:tcPr>
            <w:tcW w:w="721"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45.00</w:t>
            </w:r>
          </w:p>
        </w:tc>
        <w:tc>
          <w:tcPr>
            <w:tcW w:w="730"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44.25</w:t>
            </w:r>
          </w:p>
        </w:tc>
      </w:tr>
      <w:tr>
        <w:trPr>
          <w:trHeight w:val="695" w:hRule="atLeast"/>
        </w:trPr>
        <w:tc>
          <w:tcPr>
            <w:tcW w:w="692"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2016</w:t>
            </w:r>
          </w:p>
        </w:tc>
        <w:tc>
          <w:tcPr>
            <w:tcW w:w="723"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60.25</w:t>
            </w:r>
          </w:p>
        </w:tc>
        <w:tc>
          <w:tcPr>
            <w:tcW w:w="721"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59.50</w:t>
            </w:r>
          </w:p>
        </w:tc>
        <w:tc>
          <w:tcPr>
            <w:tcW w:w="723"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58.75</w:t>
            </w:r>
          </w:p>
        </w:tc>
        <w:tc>
          <w:tcPr>
            <w:tcW w:w="721"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57.00</w:t>
            </w:r>
          </w:p>
        </w:tc>
        <w:tc>
          <w:tcPr>
            <w:tcW w:w="722"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55.25</w:t>
            </w:r>
          </w:p>
        </w:tc>
        <w:tc>
          <w:tcPr>
            <w:tcW w:w="720"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54.00</w:t>
            </w:r>
          </w:p>
        </w:tc>
        <w:tc>
          <w:tcPr>
            <w:tcW w:w="721"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53.00</w:t>
            </w:r>
          </w:p>
        </w:tc>
        <w:tc>
          <w:tcPr>
            <w:tcW w:w="722"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52.25</w:t>
            </w:r>
          </w:p>
        </w:tc>
        <w:tc>
          <w:tcPr>
            <w:tcW w:w="720"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51.60</w:t>
            </w:r>
          </w:p>
        </w:tc>
        <w:tc>
          <w:tcPr>
            <w:tcW w:w="722"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50.25</w:t>
            </w:r>
          </w:p>
        </w:tc>
        <w:tc>
          <w:tcPr>
            <w:tcW w:w="721"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49.00</w:t>
            </w:r>
          </w:p>
        </w:tc>
        <w:tc>
          <w:tcPr>
            <w:tcW w:w="730"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48.25</w:t>
            </w:r>
          </w:p>
        </w:tc>
      </w:tr>
    </w:tbl>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jc w:val="both"/>
        <w:rPr>
          <w:rFonts w:ascii="Times New Roman" w:hAnsi="Times New Roman" w:eastAsia="Times New Roman" w:cs="Times New Roman"/>
          <w:b/>
          <w:i/>
          <w:i/>
          <w:sz w:val="24"/>
          <w:szCs w:val="24"/>
        </w:rPr>
      </w:pPr>
      <w:r>
        <w:rPr>
          <w:rFonts w:eastAsia="Times New Roman" w:cs="Times New Roman" w:ascii="Times New Roman" w:hAnsi="Times New Roman"/>
          <w:b/>
          <w:i/>
          <w:sz w:val="24"/>
          <w:szCs w:val="24"/>
        </w:rPr>
        <w:t>Average Annual Share Returns Calculation:</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It can be considered as necessary in order to compute the monthly percentage change in share price for every year. In addition to that, the average monthly percentage change for each year will then need to be determined. Lastly, a multiplication of 12 will be required in order to convert the average monthly percentage change to annualized returns.</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tbl>
      <w:tblPr>
        <w:tblStyle w:val="a9"/>
        <w:tblW w:w="9360" w:type="dxa"/>
        <w:jc w:val="left"/>
        <w:tblInd w:w="0" w:type="dxa"/>
        <w:tblLayout w:type="fixed"/>
        <w:tblCellMar>
          <w:top w:w="100" w:type="dxa"/>
          <w:left w:w="100" w:type="dxa"/>
          <w:bottom w:w="100" w:type="dxa"/>
          <w:right w:w="100" w:type="dxa"/>
        </w:tblCellMar>
        <w:tblLook w:firstRow="0" w:noVBand="1" w:lastRow="0" w:firstColumn="0" w:lastColumn="0" w:noHBand="1" w:val="0600"/>
      </w:tblPr>
      <w:tblGrid>
        <w:gridCol w:w="1789"/>
        <w:gridCol w:w="7570"/>
      </w:tblGrid>
      <w:tr>
        <w:trPr>
          <w:trHeight w:val="710" w:hRule="atLeast"/>
        </w:trPr>
        <w:tc>
          <w:tcPr>
            <w:tcW w:w="1789" w:type="dxa"/>
            <w:tcBorders>
              <w:top w:val="single" w:sz="6" w:space="0" w:color="000000"/>
              <w:left w:val="single" w:sz="6" w:space="0" w:color="000000"/>
              <w:bottom w:val="single" w:sz="6" w:space="0" w:color="000000"/>
              <w:right w:val="single" w:sz="6" w:space="0" w:color="000000"/>
            </w:tcBorders>
            <w:vAlign w:val="bottom"/>
          </w:tcPr>
          <w:p>
            <w:pPr>
              <w:pStyle w:val="Normal"/>
              <w:widowControl w:val="false"/>
              <w:spacing w:lineRule="auto" w:line="410"/>
              <w:jc w:val="center"/>
              <w:rPr>
                <w:rFonts w:ascii="Times New Roman" w:hAnsi="Times New Roman" w:eastAsia="Times New Roman" w:cs="Times New Roman"/>
                <w:color w:val="0D0D0D"/>
                <w:sz w:val="24"/>
                <w:szCs w:val="24"/>
              </w:rPr>
            </w:pPr>
            <w:r>
              <w:rPr>
                <w:rFonts w:eastAsia="Times New Roman" w:cs="Times New Roman" w:ascii="Times New Roman" w:hAnsi="Times New Roman"/>
                <w:b/>
                <w:color w:val="0D0D0D"/>
                <w:sz w:val="24"/>
                <w:szCs w:val="24"/>
              </w:rPr>
              <w:t>Year</w:t>
            </w:r>
          </w:p>
        </w:tc>
        <w:tc>
          <w:tcPr>
            <w:tcW w:w="7570" w:type="dxa"/>
            <w:tcBorders>
              <w:top w:val="single" w:sz="6" w:space="0" w:color="000000"/>
              <w:left w:val="single" w:sz="6" w:space="0" w:color="000000"/>
              <w:bottom w:val="single" w:sz="6" w:space="0" w:color="000000"/>
              <w:right w:val="single" w:sz="6" w:space="0" w:color="000000"/>
            </w:tcBorders>
            <w:vAlign w:val="bottom"/>
          </w:tcPr>
          <w:p>
            <w:pPr>
              <w:pStyle w:val="Normal"/>
              <w:widowControl w:val="false"/>
              <w:spacing w:lineRule="auto" w:line="410"/>
              <w:jc w:val="center"/>
              <w:rPr>
                <w:rFonts w:ascii="Times New Roman" w:hAnsi="Times New Roman" w:eastAsia="Times New Roman" w:cs="Times New Roman"/>
                <w:color w:val="0D0D0D"/>
                <w:sz w:val="24"/>
                <w:szCs w:val="24"/>
              </w:rPr>
            </w:pPr>
            <w:r>
              <w:rPr>
                <w:rFonts w:eastAsia="Times New Roman" w:cs="Times New Roman" w:ascii="Times New Roman" w:hAnsi="Times New Roman"/>
                <w:b/>
                <w:color w:val="0D0D0D"/>
                <w:sz w:val="24"/>
                <w:szCs w:val="24"/>
              </w:rPr>
              <w:t>Average Annual Share Returns (%)</w:t>
            </w:r>
          </w:p>
        </w:tc>
      </w:tr>
      <w:tr>
        <w:trPr>
          <w:trHeight w:val="695" w:hRule="atLeast"/>
        </w:trPr>
        <w:tc>
          <w:tcPr>
            <w:tcW w:w="1789"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2020</w:t>
            </w:r>
          </w:p>
        </w:tc>
        <w:tc>
          <w:tcPr>
            <w:tcW w:w="7570"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15.20</w:t>
            </w:r>
          </w:p>
        </w:tc>
      </w:tr>
      <w:tr>
        <w:trPr>
          <w:trHeight w:val="695" w:hRule="atLeast"/>
        </w:trPr>
        <w:tc>
          <w:tcPr>
            <w:tcW w:w="1789"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2019</w:t>
            </w:r>
          </w:p>
        </w:tc>
        <w:tc>
          <w:tcPr>
            <w:tcW w:w="7570"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7.85</w:t>
            </w:r>
          </w:p>
        </w:tc>
      </w:tr>
      <w:tr>
        <w:trPr>
          <w:trHeight w:val="695" w:hRule="atLeast"/>
        </w:trPr>
        <w:tc>
          <w:tcPr>
            <w:tcW w:w="1789"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2018</w:t>
            </w:r>
          </w:p>
        </w:tc>
        <w:tc>
          <w:tcPr>
            <w:tcW w:w="7570"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4.00</w:t>
            </w:r>
          </w:p>
        </w:tc>
      </w:tr>
      <w:tr>
        <w:trPr>
          <w:trHeight w:val="695" w:hRule="atLeast"/>
        </w:trPr>
        <w:tc>
          <w:tcPr>
            <w:tcW w:w="1789"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2017</w:t>
            </w:r>
          </w:p>
        </w:tc>
        <w:tc>
          <w:tcPr>
            <w:tcW w:w="7570"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2.05</w:t>
            </w:r>
          </w:p>
        </w:tc>
      </w:tr>
      <w:tr>
        <w:trPr>
          <w:trHeight w:val="695" w:hRule="atLeast"/>
        </w:trPr>
        <w:tc>
          <w:tcPr>
            <w:tcW w:w="1789"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2016</w:t>
            </w:r>
          </w:p>
        </w:tc>
        <w:tc>
          <w:tcPr>
            <w:tcW w:w="7570"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spacing w:lineRule="auto" w:line="410"/>
              <w:jc w:val="both"/>
              <w:rPr>
                <w:rFonts w:ascii="Times New Roman" w:hAnsi="Times New Roman" w:eastAsia="Times New Roman" w:cs="Times New Roman"/>
                <w:color w:val="0D0D0D"/>
                <w:sz w:val="24"/>
                <w:szCs w:val="24"/>
              </w:rPr>
            </w:pPr>
            <w:r>
              <w:rPr>
                <w:rFonts w:eastAsia="Times New Roman" w:cs="Times New Roman" w:ascii="Times New Roman" w:hAnsi="Times New Roman"/>
                <w:color w:val="0D0D0D"/>
                <w:sz w:val="24"/>
                <w:szCs w:val="24"/>
              </w:rPr>
              <w:t>0.50</w:t>
            </w:r>
          </w:p>
        </w:tc>
      </w:tr>
    </w:tbl>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By importing the data into Excel, it is simple to acquire that</w:t>
      </w:r>
    </w:p>
    <w:p>
      <w:pPr>
        <w:pStyle w:val="Normal"/>
        <w:spacing w:lineRule="auto" w:line="360"/>
        <w:jc w:val="center"/>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Heading1"/>
        <w:rPr/>
      </w:pPr>
      <w:bookmarkStart w:id="24" w:name="_Toc164766807"/>
      <w:bookmarkStart w:id="25" w:name="_u1xeaktbgdr4"/>
      <w:bookmarkEnd w:id="25"/>
      <w:r>
        <w:rPr/>
        <w:t xml:space="preserve">Part </w:t>
      </w:r>
      <w:bookmarkEnd w:id="24"/>
      <w:r>
        <w:rPr/>
        <w:t xml:space="preserve">E  </w:t>
      </w:r>
    </w:p>
    <w:p>
      <w:pPr>
        <w:pStyle w:val="Normal"/>
        <w:spacing w:lineRule="auto" w:line="360"/>
        <w:jc w:val="both"/>
        <w:rPr>
          <w:rFonts w:ascii="Times New Roman" w:hAnsi="Times New Roman" w:eastAsia="Times New Roman" w:cs="Times New Roman"/>
          <w:b/>
          <w:bCs/>
          <w:sz w:val="28"/>
          <w:szCs w:val="28"/>
        </w:rPr>
      </w:pPr>
      <w:bookmarkStart w:id="26" w:name="_uc7jk3nehunj"/>
      <w:bookmarkEnd w:id="26"/>
      <w:r>
        <w:rPr>
          <w:rFonts w:eastAsia="Times New Roman" w:cs="Times New Roman" w:ascii="Times New Roman" w:hAnsi="Times New Roman"/>
          <w:b/>
          <w:bCs/>
          <w:sz w:val="28"/>
          <w:szCs w:val="28"/>
        </w:rPr>
        <w:t>Analysis of Investment Activity</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b/>
          <w:bCs/>
          <w:sz w:val="28"/>
          <w:szCs w:val="28"/>
        </w:rPr>
        <w:t xml:space="preserve">4.1. Uber technology INC largest recent investment activity over the past five </w:t>
      </w:r>
      <w:r>
        <w:rPr>
          <w:rFonts w:eastAsia="Times New Roman" w:cs="Times New Roman" w:ascii="Times New Roman" w:hAnsi="Times New Roman"/>
          <w:sz w:val="24"/>
          <w:szCs w:val="24"/>
        </w:rPr>
        <w:t>years,</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With an emphasis on growing its platform and broadening its product offerings, Uber Technologies Inc. has made large investments throughout the last five years. Key investment initiatives include a few of the following:</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The world's largest Mobility and Delivery platform, comprising ride-sharing, food delivery, and logistics services, is the result of significant investment made by Uber.</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Investing in New Markets: Uber's mobility business is just getting started, but it has spread its footprint across enormous global markets. Between these markets, annual transportation expenditure approaches $1 trillion.</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Medical Innovations: Uber has introduced Uber Health, a program that uses innovations like basic phone calls for transportation to get more senior citizens on the platform.</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Product Development: Uber has made consistent investments to create top-notch products for a growing number of businesses, advertisers, drivers, couriers, and users.</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Uber has sold its stock in Yandex and will be concentrating on prudent capital allocation in the upcoming years. Taxi and term loan refinancing</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Uber has revealed a $7 billion share buyback scheme in response to a strong uptick in demand for ride-sharing services and a flourishing food delivery enterprise.</w:t>
      </w:r>
    </w:p>
    <w:p>
      <w:pPr>
        <w:pStyle w:val="Normal"/>
        <w:spacing w:lineRule="auto" w:line="360"/>
        <w:jc w:val="both"/>
        <w:rPr>
          <w:rFonts w:ascii="Times New Roman" w:hAnsi="Times New Roman" w:eastAsia="Times New Roman" w:cs="Times New Roman"/>
          <w:b/>
          <w:bCs/>
          <w:sz w:val="28"/>
          <w:szCs w:val="28"/>
        </w:rPr>
      </w:pPr>
      <w:r>
        <w:rPr>
          <w:rFonts w:eastAsia="Times New Roman" w:cs="Times New Roman" w:ascii="Times New Roman" w:hAnsi="Times New Roman"/>
          <w:b/>
          <w:bCs/>
          <w:sz w:val="28"/>
          <w:szCs w:val="28"/>
        </w:rPr>
      </w:r>
    </w:p>
    <w:p>
      <w:pPr>
        <w:pStyle w:val="Normal"/>
        <w:spacing w:lineRule="auto" w:line="360"/>
        <w:jc w:val="both"/>
        <w:rPr>
          <w:rFonts w:ascii="Times New Roman" w:hAnsi="Times New Roman" w:eastAsia="Times New Roman" w:cs="Times New Roman"/>
          <w:b/>
          <w:bCs/>
          <w:sz w:val="28"/>
          <w:szCs w:val="28"/>
        </w:rPr>
      </w:pPr>
      <w:r>
        <w:rPr>
          <w:rFonts w:eastAsia="Times New Roman" w:cs="Times New Roman" w:ascii="Times New Roman" w:hAnsi="Times New Roman"/>
          <w:b/>
          <w:bCs/>
          <w:sz w:val="28"/>
          <w:szCs w:val="28"/>
        </w:rPr>
      </w:r>
    </w:p>
    <w:p>
      <w:pPr>
        <w:pStyle w:val="Heading1"/>
        <w:rPr/>
      </w:pPr>
      <w:r>
        <w:rPr/>
      </w:r>
      <w:bookmarkStart w:id="27" w:name="_Toc164766813"/>
      <w:bookmarkStart w:id="28" w:name="_1qwi7egab9vj"/>
      <w:bookmarkStart w:id="29" w:name="_9fr90t45ippn"/>
      <w:bookmarkStart w:id="30" w:name="_Toc164766813"/>
      <w:bookmarkStart w:id="31" w:name="_1qwi7egab9vj"/>
      <w:bookmarkStart w:id="32" w:name="_9fr90t45ippn"/>
      <w:bookmarkEnd w:id="31"/>
      <w:bookmarkEnd w:id="32"/>
    </w:p>
    <w:p>
      <w:pPr>
        <w:pStyle w:val="Heading1"/>
        <w:rPr/>
      </w:pPr>
      <w:r>
        <w:rPr/>
      </w:r>
    </w:p>
    <w:p>
      <w:pPr>
        <w:pStyle w:val="Heading1"/>
        <w:rPr/>
      </w:pPr>
      <w:r>
        <w:rPr/>
      </w:r>
    </w:p>
    <w:p>
      <w:pPr>
        <w:pStyle w:val="Heading1"/>
        <w:rPr/>
      </w:pPr>
      <w:r>
        <w:rPr/>
      </w:r>
    </w:p>
    <w:p>
      <w:pPr>
        <w:pStyle w:val="Heading1"/>
        <w:rPr/>
      </w:pPr>
      <w:r>
        <w:rPr/>
      </w:r>
    </w:p>
    <w:p>
      <w:pPr>
        <w:pStyle w:val="Heading1"/>
        <w:rPr/>
      </w:pPr>
      <w:r>
        <w:rPr/>
      </w:r>
    </w:p>
    <w:p>
      <w:pPr>
        <w:pStyle w:val="Heading1"/>
        <w:rPr/>
      </w:pPr>
      <w:bookmarkStart w:id="33" w:name="_Toc164766813"/>
      <w:r>
        <w:rPr/>
        <w:t>References</w:t>
      </w:r>
      <w:bookmarkEnd w:id="33"/>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Pereira, D. (2023, June 25). Uber Business Model. Business Model Analyst. </w:t>
      </w:r>
      <w:hyperlink r:id="rId7">
        <w:r>
          <w:rPr>
            <w:rStyle w:val="InternetLink"/>
            <w:rFonts w:eastAsia="Times New Roman" w:cs="Times New Roman" w:ascii="Times New Roman" w:hAnsi="Times New Roman"/>
            <w:sz w:val="24"/>
            <w:szCs w:val="24"/>
          </w:rPr>
          <w:t>https://businessmodelanalyst.com/uber-business-model/</w:t>
        </w:r>
      </w:hyperlink>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Hart, R. (2021). Strategies Uber Drivers Use to Enhance Competitive Advantage for Increased Profits and Incomes. Walden Dissertations and Doctoral Studies, 26. </w:t>
      </w:r>
      <w:hyperlink r:id="rId8">
        <w:r>
          <w:rPr>
            <w:rStyle w:val="InternetLink"/>
            <w:rFonts w:eastAsia="Times New Roman" w:cs="Times New Roman" w:ascii="Times New Roman" w:hAnsi="Times New Roman"/>
            <w:sz w:val="24"/>
            <w:szCs w:val="24"/>
          </w:rPr>
          <w:t>https://scholarworks.waldenu.edu/dissertations/10587/</w:t>
        </w:r>
      </w:hyperlink>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Abou-Foul, M., Ruiz-Alba, J.L. and Soares, A., 2021. The impact of digitalization and servitization on the financial performance of a firm: an empirical analysis. Production Planning &amp; Control, 32(12), pp.975-989.</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Akbulaev, N., 2020. The impact of the taxi service mobile applications on the financial condition of taxi companies. International Journal of Scientific and Technology Research, 9(2), pp.2144-2150.</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Alvarez, F. and Argente, D., 2022. On the effects of the availability of means of payments: The case of uber. The Quarterly Journal of Economics, 137(3), pp.1737-1789.</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Amorim, H. and Moda, F., 2020. Work by app: Algorithmic management and working conditions of Uber drivers in Brazil. Work Organisation, Labour &amp; Globalisation, 14(1), pp.101-118.</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Bappy, T.A., Haque, S.S., Bint Halim, S. and Hossain, M.N., 2020. Predicting passengers’ uber adoption behaviour: evidence from Bangladesh. South Asian Journal of Marketing, 1(1), pp.86-126.</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Bashir, M., 2022. Corporate social responsibility and financial performance–the role of corporate reputation, advertising and competition. PSU Research Review.</w:t>
      </w:r>
    </w:p>
    <w:p>
      <w:pPr>
        <w:pStyle w:val="Normal"/>
        <w:spacing w:lineRule="auto" w:line="360"/>
        <w:jc w:val="both"/>
        <w:rPr>
          <w:rFonts w:ascii="Times New Roman" w:hAnsi="Times New Roman" w:eastAsia="Times New Roman" w:cs="Times New Roman"/>
          <w:sz w:val="24"/>
          <w:szCs w:val="24"/>
        </w:rPr>
      </w:pPr>
      <w:r>
        <w:rPr/>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Cram, W.A., Wiener, M., Tarafdar, M. and Benlian, A., 2022. Examining the impact of algorithmic control on Uber drivers’ technostress. Journal of management information systems, 39(2), pp.426-453.</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Dhiaf, M.M., Khakan, N., Atayah, O.F., Marashdeh, H. and El Khoury, R., 2024. The role of FinTech for manufacturing efficiency and financial performance: In the era of industry 4.0. Journal of Decision Systems, 33(2), pp.220-241.</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Eyert, F., Irgmaier, F. and Ulbricht, L., 2022. Extending the framework of algorithmic regulation. The Uber case. Regulation &amp; Governance, 16(1), pp.23-44.</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Garud, R., Kumaraswamy, A., Roberts, A. and Xu, L., 2022. Liminal movement by digital platform‐based sharing economy ventures: The case of Uber Technologies. Strategic Management Journal, 43(3), pp.447-475.</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Gebrial, D., 2022. Racial platform capitalism: Empire, migration and the making of Uber in London. Environment and Planning A: Economy and Space, p.0308518X221115439.</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Grabher, G. and van Tuijl, E., 2020. Uber-production: From global networks to digital platforms. Environment and Planning A: Economy and Space, 52(5), pp.1005-1016.</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Hänninen, M. and Smedlund, A., 2021. Same old song with a different melody: The paradox of market reach and financial performance on digital platforms. Journal of Management Studies, 58(7), pp.1832-1868.</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Kim, J.H., Nan, D., Kim, Y. and Park, M.H., 2021. Computing the user experience via big data analysis: a case of Uber services. CMC-Computers Materials &amp; Continua, 67(3), pp.2819-2829.</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Macrae, C., 2022. Learning from the failure of autonomous and intelligent systems: Accidents, safety, and sociotechnical sources of risk. Risk analysis, 42(9), pp.1999-2025.</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Norlander, P., Jukic, N., Varma, A. and Nestorov, S., 2021. The effects of technological supervision on gig workers: Organizational control and motivation of Uber, taxi, and limousine drivers. The International Journal of Human Resource Management, 32(19), pp.4053-4077.</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Przychodzen, W., Leyva‐de la Hiz, D.I. and Przychodzen, J., 2020. First‐mover advantages in green innovation—Opportunities and threats for financial performance: A longitudinal analysis. Corporate Social Responsibility and Environmental Management, 27(1), pp.339-357.</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Punt, M.B., van Kollem, J., Hoekman, J. and Frenken, K., 2021. Your Uber is arriving now: An analysis of platform location decisions through an institutional lens. Strategic Organization, p.14761270211022254.</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Soares, J.L., Christino, J.M.M., Gosling, M.D.S., Vera, L.A.R. and Cardozo, É.A.A., 2020. Acceptance and use of e-hailing technology: a study of Uber based on the UTAUT2 model. International Journal of Business Information Systems, 34(4), pp.512-535.</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Türegün, N., 2022. Financial performance evaluation by multi-criteria decision-making techniques. Heliyon, 8(5).</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Vasudevan, K. and Chan, N.K., 2022. Gamification and work games: Examining consent and resistance among Uber drivers. new media &amp; society, 24(4), pp.866-886.</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jc w:val="both"/>
        <w:rPr>
          <w:rFonts w:ascii="Times New Roman" w:hAnsi="Times New Roman" w:eastAsia="Times New Roman" w:cs="Times New Roman"/>
          <w:sz w:val="24"/>
          <w:szCs w:val="24"/>
        </w:rPr>
      </w:pPr>
      <w:r>
        <w:rPr/>
      </w:r>
    </w:p>
    <w:sectPr>
      <w:footerReference w:type="default" r:id="rId9"/>
      <w:type w:val="nextPage"/>
      <w:pgSz w:w="12240" w:h="15840"/>
      <w:pgMar w:left="1440" w:right="1440" w:gutter="0" w:header="0" w:top="1440" w:footer="720" w:bottom="1440"/>
      <w:pgBorders w:display="allPages" w:offsetFrom="page">
        <w:top w:val="single" w:sz="4" w:space="24" w:color="000000"/>
        <w:left w:val="single" w:sz="4" w:space="24" w:color="000000"/>
        <w:bottom w:val="single" w:sz="4" w:space="24" w:color="000000"/>
        <w:right w:val="single" w:sz="4" w:space="24" w:color="000000"/>
      </w:pgBorders>
      <w:pgNumType w:start="1" w:fmt="decimal"/>
      <w:formProt w:val="false"/>
      <w:titlePg/>
      <w:textDirection w:val="lrTb"/>
      <w:docGrid w:type="default" w:linePitch="299"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Arial">
    <w:charset w:val="00"/>
    <w:family w:val="roman"/>
    <w:pitch w:val="variable"/>
  </w:font>
  <w:font w:name="Liberation Sans">
    <w:altName w:val="Arial"/>
    <w:charset w:val="00"/>
    <w:family w:val="swiss"/>
    <w:pitch w:val="variable"/>
  </w:font>
  <w:font w:name="Calibri">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315032491"/>
    </w:sdtPr>
    <w:sdtContent>
      <w:p>
        <w:pPr>
          <w:pStyle w:val="Footer"/>
          <w:jc w:val="right"/>
          <w:rPr>
            <w:rFonts w:ascii="Times New Roman" w:hAnsi="Times New Roman" w:cs="Times New Roman"/>
            <w:sz w:val="20"/>
            <w:szCs w:val="20"/>
          </w:rPr>
        </w:pPr>
        <w:r>
          <w:rPr/>
          <w:fldChar w:fldCharType="begin"/>
        </w:r>
        <w:r>
          <w:rPr/>
          <w:instrText xml:space="preserve"> PAGE </w:instrText>
        </w:r>
        <w:r>
          <w:rPr/>
          <w:fldChar w:fldCharType="separate"/>
        </w:r>
        <w:r>
          <w:rPr/>
          <w:t>20</w:t>
        </w:r>
        <w:r>
          <w:rPr/>
          <w:fldChar w:fldCharType="end"/>
        </w:r>
      </w:p>
    </w:sdtContent>
  </w:sdt>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decimal"/>
      <w:lvlText w:val="%1)"/>
      <w:lvlJc w:val="left"/>
      <w:pPr>
        <w:tabs>
          <w:tab w:val="num" w:pos="0"/>
        </w:tabs>
        <w:ind w:left="720" w:hanging="360"/>
      </w:pPr>
      <w:rPr/>
    </w:lvl>
    <w:lvl w:ilvl="1">
      <w:start w:val="1"/>
      <w:numFmt w:val="lowerLetter"/>
      <w:lvlText w:val="%2."/>
      <w:lvlJc w:val="left"/>
      <w:pPr>
        <w:tabs>
          <w:tab w:val="num" w:pos="0"/>
        </w:tabs>
        <w:ind w:left="1440" w:hanging="360"/>
      </w:pPr>
      <w:rPr/>
    </w:lvl>
    <w:lvl w:ilvl="2">
      <w:start w:val="1"/>
      <w:numFmt w:val="lowerRoman"/>
      <w:lvlText w:val="%3."/>
      <w:lvlJc w:val="right"/>
      <w:pPr>
        <w:tabs>
          <w:tab w:val="num" w:pos="0"/>
        </w:tabs>
        <w:ind w:left="2160" w:hanging="180"/>
      </w:pPr>
      <w:rPr/>
    </w:lvl>
    <w:lvl w:ilvl="3">
      <w:start w:val="1"/>
      <w:numFmt w:val="decimal"/>
      <w:lvlText w:val="%4."/>
      <w:lvlJc w:val="left"/>
      <w:pPr>
        <w:tabs>
          <w:tab w:val="num" w:pos="0"/>
        </w:tabs>
        <w:ind w:left="2880" w:hanging="360"/>
      </w:pPr>
      <w:rPr/>
    </w:lvl>
    <w:lvl w:ilvl="4">
      <w:start w:val="1"/>
      <w:numFmt w:val="lowerLetter"/>
      <w:lvlText w:val="%5."/>
      <w:lvlJc w:val="left"/>
      <w:pPr>
        <w:tabs>
          <w:tab w:val="num" w:pos="0"/>
        </w:tabs>
        <w:ind w:left="3600" w:hanging="360"/>
      </w:pPr>
      <w:rPr/>
    </w:lvl>
    <w:lvl w:ilvl="5">
      <w:start w:val="1"/>
      <w:numFmt w:val="lowerRoman"/>
      <w:lvlText w:val="%6."/>
      <w:lvlJc w:val="right"/>
      <w:pPr>
        <w:tabs>
          <w:tab w:val="num" w:pos="0"/>
        </w:tabs>
        <w:ind w:left="4320" w:hanging="180"/>
      </w:pPr>
      <w:rPr/>
    </w:lvl>
    <w:lvl w:ilvl="6">
      <w:start w:val="1"/>
      <w:numFmt w:val="decimal"/>
      <w:lvlText w:val="%7."/>
      <w:lvlJc w:val="left"/>
      <w:pPr>
        <w:tabs>
          <w:tab w:val="num" w:pos="0"/>
        </w:tabs>
        <w:ind w:left="5040" w:hanging="360"/>
      </w:pPr>
      <w:rPr/>
    </w:lvl>
    <w:lvl w:ilvl="7">
      <w:start w:val="1"/>
      <w:numFmt w:val="lowerLetter"/>
      <w:lvlText w:val="%8."/>
      <w:lvlJc w:val="left"/>
      <w:pPr>
        <w:tabs>
          <w:tab w:val="num" w:pos="0"/>
        </w:tabs>
        <w:ind w:left="5760" w:hanging="360"/>
      </w:pPr>
      <w:rPr/>
    </w:lvl>
    <w:lvl w:ilvl="8">
      <w:start w:val="1"/>
      <w:numFmt w:val="lowerRoman"/>
      <w:lvlText w:val="%9."/>
      <w:lvlJc w:val="right"/>
      <w:pPr>
        <w:tabs>
          <w:tab w:val="num" w:pos="0"/>
        </w:tabs>
        <w:ind w:left="6480" w:hanging="180"/>
      </w:pPr>
      <w:rPr/>
    </w:lvl>
  </w:abstractNum>
  <w:abstractNum w:abstractNumId="2">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bering>
</file>

<file path=word/settings.xml><?xml version="1.0" encoding="utf-8"?>
<w:settings xmlns:w="http://schemas.openxmlformats.org/wordprocessingml/2006/main">
  <w:zoom w:percent="117"/>
  <w:defaultTabStop w:val="720"/>
  <w:autoHyphenation w:val="tru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IN"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rial" w:hAnsi="Arial" w:eastAsia="Arial" w:cs="Arial"/>
        <w:sz w:val="22"/>
        <w:szCs w:val="22"/>
        <w:lang w:val="en-US" w:eastAsia="en-IN" w:bidi="ar-SA"/>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bidi w:val="0"/>
      <w:spacing w:lineRule="auto" w:line="276" w:before="0" w:after="0"/>
      <w:jc w:val="left"/>
    </w:pPr>
    <w:rPr>
      <w:rFonts w:ascii="Arial" w:hAnsi="Arial" w:eastAsia="Arial" w:cs="Arial"/>
      <w:color w:val="auto"/>
      <w:kern w:val="0"/>
      <w:sz w:val="22"/>
      <w:szCs w:val="22"/>
      <w:lang w:val="en-US" w:eastAsia="en-IN" w:bidi="ar-SA"/>
    </w:rPr>
  </w:style>
  <w:style w:type="paragraph" w:styleId="Heading1">
    <w:name w:val="Heading 1"/>
    <w:basedOn w:val="Normal"/>
    <w:next w:val="Normal"/>
    <w:qFormat/>
    <w:pPr>
      <w:keepNext w:val="true"/>
      <w:keepLines/>
      <w:spacing w:lineRule="auto" w:line="360"/>
      <w:jc w:val="both"/>
      <w:outlineLvl w:val="0"/>
    </w:pPr>
    <w:rPr>
      <w:rFonts w:ascii="Times New Roman" w:hAnsi="Times New Roman" w:eastAsia="Times New Roman" w:cs="Times New Roman"/>
      <w:b/>
      <w:sz w:val="28"/>
      <w:szCs w:val="28"/>
    </w:rPr>
  </w:style>
  <w:style w:type="paragraph" w:styleId="Heading2">
    <w:name w:val="Heading 2"/>
    <w:basedOn w:val="Normal"/>
    <w:next w:val="Normal"/>
    <w:qFormat/>
    <w:pPr>
      <w:keepNext w:val="true"/>
      <w:keepLines/>
      <w:spacing w:lineRule="auto" w:line="360"/>
      <w:jc w:val="both"/>
      <w:outlineLvl w:val="1"/>
    </w:pPr>
    <w:rPr>
      <w:rFonts w:ascii="Times New Roman" w:hAnsi="Times New Roman" w:eastAsia="Times New Roman" w:cs="Times New Roman"/>
      <w:b/>
      <w:sz w:val="26"/>
      <w:szCs w:val="26"/>
    </w:rPr>
  </w:style>
  <w:style w:type="paragraph" w:styleId="Heading3">
    <w:name w:val="Heading 3"/>
    <w:basedOn w:val="Normal"/>
    <w:next w:val="Normal"/>
    <w:qFormat/>
    <w:pPr>
      <w:keepNext w:val="true"/>
      <w:keepLines/>
      <w:outlineLvl w:val="2"/>
    </w:pPr>
    <w:rPr>
      <w:rFonts w:ascii="Times New Roman" w:hAnsi="Times New Roman" w:eastAsia="Times New Roman" w:cs="Times New Roman"/>
      <w:b/>
      <w:sz w:val="24"/>
      <w:szCs w:val="24"/>
    </w:rPr>
  </w:style>
  <w:style w:type="paragraph" w:styleId="Heading4">
    <w:name w:val="Heading 4"/>
    <w:basedOn w:val="Normal"/>
    <w:next w:val="Normal"/>
    <w:qFormat/>
    <w:pPr>
      <w:keepNext w:val="true"/>
      <w:keepLines/>
      <w:spacing w:before="280" w:after="80"/>
      <w:outlineLvl w:val="3"/>
    </w:pPr>
    <w:rPr>
      <w:color w:val="666666"/>
      <w:sz w:val="24"/>
      <w:szCs w:val="24"/>
    </w:rPr>
  </w:style>
  <w:style w:type="paragraph" w:styleId="Heading5">
    <w:name w:val="Heading 5"/>
    <w:basedOn w:val="Normal"/>
    <w:next w:val="Normal"/>
    <w:qFormat/>
    <w:pPr>
      <w:keepNext w:val="true"/>
      <w:keepLines/>
      <w:spacing w:before="240" w:after="80"/>
      <w:outlineLvl w:val="4"/>
    </w:pPr>
    <w:rPr>
      <w:color w:val="666666"/>
    </w:rPr>
  </w:style>
  <w:style w:type="paragraph" w:styleId="Heading6">
    <w:name w:val="Heading 6"/>
    <w:basedOn w:val="Normal"/>
    <w:next w:val="Normal"/>
    <w:qFormat/>
    <w:pPr>
      <w:keepNext w:val="true"/>
      <w:keepLines/>
      <w:spacing w:before="240" w:after="80"/>
      <w:outlineLvl w:val="5"/>
    </w:pPr>
    <w:rPr>
      <w:i/>
      <w:color w:val="666666"/>
    </w:rPr>
  </w:style>
  <w:style w:type="character" w:styleId="DefaultParagraphFont" w:default="1">
    <w:name w:val="Default Paragraph Font"/>
    <w:uiPriority w:val="1"/>
    <w:unhideWhenUsed/>
    <w:qFormat/>
    <w:rPr/>
  </w:style>
  <w:style w:type="character" w:styleId="InternetLink">
    <w:name w:val="Hyperlink"/>
    <w:basedOn w:val="DefaultParagraphFont"/>
    <w:uiPriority w:val="99"/>
    <w:unhideWhenUsed/>
    <w:rsid w:val="005b0499"/>
    <w:rPr>
      <w:color w:val="0000FF" w:themeColor="hyperlink"/>
      <w:u w:val="single"/>
    </w:rPr>
  </w:style>
  <w:style w:type="character" w:styleId="HeaderChar" w:customStyle="1">
    <w:name w:val="Header Char"/>
    <w:basedOn w:val="DefaultParagraphFont"/>
    <w:link w:val="Header"/>
    <w:uiPriority w:val="99"/>
    <w:qFormat/>
    <w:rsid w:val="005b0499"/>
    <w:rPr/>
  </w:style>
  <w:style w:type="character" w:styleId="FooterChar" w:customStyle="1">
    <w:name w:val="Footer Char"/>
    <w:basedOn w:val="DefaultParagraphFont"/>
    <w:link w:val="Footer"/>
    <w:uiPriority w:val="99"/>
    <w:qFormat/>
    <w:rsid w:val="005b0499"/>
    <w:rPr/>
  </w:style>
  <w:style w:type="character" w:styleId="UnresolvedMention">
    <w:name w:val="Unresolved Mention"/>
    <w:basedOn w:val="DefaultParagraphFont"/>
    <w:uiPriority w:val="99"/>
    <w:semiHidden/>
    <w:unhideWhenUsed/>
    <w:qFormat/>
    <w:rsid w:val="00f416ad"/>
    <w:rPr>
      <w:color w:val="605E5C"/>
      <w:shd w:fill="E1DFDD" w:val="clear"/>
    </w:rPr>
  </w:style>
  <w:style w:type="character" w:styleId="IndexLink">
    <w:name w:val="Index Link"/>
    <w:qFormat/>
    <w:rPr/>
  </w:style>
  <w:style w:type="paragraph" w:styleId="Heading">
    <w:name w:val="Heading"/>
    <w:basedOn w:val="Normal"/>
    <w:next w:val="TextBody"/>
    <w:qFormat/>
    <w:pPr>
      <w:keepNext w:val="true"/>
      <w:spacing w:before="240" w:after="120"/>
    </w:pPr>
    <w:rPr>
      <w:rFonts w:ascii="Liberation Sans" w:hAnsi="Liberation Sans"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Title">
    <w:name w:val="Title"/>
    <w:basedOn w:val="Normal"/>
    <w:next w:val="Normal"/>
    <w:qFormat/>
    <w:pPr>
      <w:keepNext w:val="true"/>
      <w:keepLines/>
      <w:spacing w:before="0" w:after="60"/>
    </w:pPr>
    <w:rPr>
      <w:sz w:val="52"/>
      <w:szCs w:val="52"/>
    </w:rPr>
  </w:style>
  <w:style w:type="paragraph" w:styleId="Subtitle">
    <w:name w:val="Subtitle"/>
    <w:basedOn w:val="Normal"/>
    <w:next w:val="Normal"/>
    <w:qFormat/>
    <w:pPr>
      <w:keepNext w:val="true"/>
      <w:keepLines/>
      <w:spacing w:before="0" w:after="320"/>
    </w:pPr>
    <w:rPr>
      <w:color w:val="666666"/>
      <w:sz w:val="30"/>
      <w:szCs w:val="30"/>
    </w:rPr>
  </w:style>
  <w:style w:type="paragraph" w:styleId="IndexHeading">
    <w:name w:val="Index Heading"/>
    <w:basedOn w:val="Heading"/>
    <w:pPr/>
    <w:rPr/>
  </w:style>
  <w:style w:type="paragraph" w:styleId="ContentsHeading">
    <w:name w:val="TOC Heading"/>
    <w:basedOn w:val="Heading1"/>
    <w:next w:val="Normal"/>
    <w:uiPriority w:val="39"/>
    <w:unhideWhenUsed/>
    <w:qFormat/>
    <w:rsid w:val="005b0499"/>
    <w:pPr>
      <w:spacing w:lineRule="auto" w:line="259" w:before="240" w:after="0"/>
      <w:jc w:val="left"/>
      <w:outlineLvl w:val="9"/>
    </w:pPr>
    <w:rPr>
      <w:rFonts w:ascii="Calibri" w:hAnsi="Calibri" w:eastAsia="" w:cs="" w:asciiTheme="majorHAnsi" w:cstheme="majorBidi" w:eastAsiaTheme="majorEastAsia" w:hAnsiTheme="majorHAnsi"/>
      <w:b w:val="false"/>
      <w:color w:val="365F91" w:themeColor="accent1" w:themeShade="bf"/>
      <w:sz w:val="32"/>
      <w:szCs w:val="32"/>
      <w:lang w:val="en-US" w:eastAsia="en-US"/>
    </w:rPr>
  </w:style>
  <w:style w:type="paragraph" w:styleId="Contents1">
    <w:name w:val="TOC 1"/>
    <w:basedOn w:val="Normal"/>
    <w:next w:val="Normal"/>
    <w:autoRedefine/>
    <w:uiPriority w:val="39"/>
    <w:unhideWhenUsed/>
    <w:rsid w:val="005b0499"/>
    <w:pPr>
      <w:spacing w:before="0" w:after="100"/>
    </w:pPr>
    <w:rPr/>
  </w:style>
  <w:style w:type="paragraph" w:styleId="Contents2">
    <w:name w:val="TOC 2"/>
    <w:basedOn w:val="Normal"/>
    <w:next w:val="Normal"/>
    <w:autoRedefine/>
    <w:uiPriority w:val="39"/>
    <w:unhideWhenUsed/>
    <w:rsid w:val="005b0499"/>
    <w:pPr>
      <w:spacing w:before="0" w:after="100"/>
      <w:ind w:left="220" w:hanging="0"/>
    </w:pPr>
    <w:rPr/>
  </w:style>
  <w:style w:type="paragraph" w:styleId="Contents3">
    <w:name w:val="TOC 3"/>
    <w:basedOn w:val="Normal"/>
    <w:next w:val="Normal"/>
    <w:autoRedefine/>
    <w:uiPriority w:val="39"/>
    <w:unhideWhenUsed/>
    <w:rsid w:val="005b0499"/>
    <w:pPr>
      <w:spacing w:before="0" w:after="100"/>
      <w:ind w:left="440" w:hanging="0"/>
    </w:pPr>
    <w:rPr/>
  </w:style>
  <w:style w:type="paragraph" w:styleId="HeaderandFooter">
    <w:name w:val="Header and Footer"/>
    <w:basedOn w:val="Normal"/>
    <w:qFormat/>
    <w:pPr/>
    <w:rPr/>
  </w:style>
  <w:style w:type="paragraph" w:styleId="Header">
    <w:name w:val="Header"/>
    <w:basedOn w:val="Normal"/>
    <w:link w:val="HeaderChar"/>
    <w:uiPriority w:val="99"/>
    <w:unhideWhenUsed/>
    <w:rsid w:val="005b0499"/>
    <w:pPr>
      <w:tabs>
        <w:tab w:val="clear" w:pos="720"/>
        <w:tab w:val="center" w:pos="4513" w:leader="none"/>
        <w:tab w:val="right" w:pos="9026" w:leader="none"/>
      </w:tabs>
      <w:spacing w:lineRule="auto" w:line="240"/>
    </w:pPr>
    <w:rPr/>
  </w:style>
  <w:style w:type="paragraph" w:styleId="Footer">
    <w:name w:val="Footer"/>
    <w:basedOn w:val="Normal"/>
    <w:link w:val="FooterChar"/>
    <w:uiPriority w:val="99"/>
    <w:unhideWhenUsed/>
    <w:rsid w:val="005b0499"/>
    <w:pPr>
      <w:tabs>
        <w:tab w:val="clear" w:pos="720"/>
        <w:tab w:val="center" w:pos="4513" w:leader="none"/>
        <w:tab w:val="right" w:pos="9026" w:leader="none"/>
      </w:tabs>
      <w:spacing w:lineRule="auto" w:line="24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uiPriority w:val="39"/>
    <w:rsid w:val="009b5088"/>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jpeg"/><Relationship Id="rId5" Type="http://schemas.openxmlformats.org/officeDocument/2006/relationships/image" Target="media/image4.jpeg"/><Relationship Id="rId6" Type="http://schemas.openxmlformats.org/officeDocument/2006/relationships/image" Target="media/image5.jpeg"/><Relationship Id="rId7" Type="http://schemas.openxmlformats.org/officeDocument/2006/relationships/hyperlink" Target="https://businessmodelanalyst.com/uber-business-model/" TargetMode="External"/><Relationship Id="rId8" Type="http://schemas.openxmlformats.org/officeDocument/2006/relationships/hyperlink" Target="https://scholarworks.waldenu.edu/dissertations/10587/" TargetMode="External"/><Relationship Id="rId9" Type="http://schemas.openxmlformats.org/officeDocument/2006/relationships/footer" Target="footer1.xml"/><Relationship Id="rId10" Type="http://schemas.openxmlformats.org/officeDocument/2006/relationships/numbering" Target="numbering.xml"/><Relationship Id="rId11" Type="http://schemas.openxmlformats.org/officeDocument/2006/relationships/fontTable" Target="fontTable.xml"/><Relationship Id="rId12" Type="http://schemas.openxmlformats.org/officeDocument/2006/relationships/settings" Target="settings.xml"/><Relationship Id="rId13" Type="http://schemas.openxmlformats.org/officeDocument/2006/relationships/theme" Target="theme/theme1.xml"/><Relationship Id="rId14"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82887D-80FE-47F8-A440-94F1454AC7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Application>LibreOffice/7.5.4.2$Windows_X86_64 LibreOffice_project/36ccfdc35048b057fd9854c757a8b67ec53977b6</Application>
  <AppVersion>15.0000</AppVersion>
  <Pages>20</Pages>
  <Words>3656</Words>
  <Characters>20436</Characters>
  <CharactersWithSpaces>23697</CharactersWithSpaces>
  <Paragraphs>428</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2024-04-24T11:29:00Z</dcterms:created>
  <dc:creator>AMISHA SETIYAR</dc:creator>
  <dc:description/>
  <dc:language>en-IN</dc:language>
  <cp:lastModifiedBy/>
  <dcterms:modified xsi:type="dcterms:W3CDTF">2024-04-24T13:25:44Z</dcterms:modified>
  <cp:revision>3</cp:revision>
  <dc:subject/>
  <dc:title/>
</cp:coreProperties>
</file>

<file path=docProps/custom.xml><?xml version="1.0" encoding="utf-8"?>
<Properties xmlns="http://schemas.openxmlformats.org/officeDocument/2006/custom-properties" xmlns:vt="http://schemas.openxmlformats.org/officeDocument/2006/docPropsVTypes"/>
</file>