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5CD89F7" w14:paraId="60158556" wp14:textId="09CF05FB">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 Legal Proces</w:t>
      </w:r>
    </w:p>
    <w:p xmlns:wp14="http://schemas.microsoft.com/office/word/2010/wordml" w:rsidP="25CD89F7" w14:paraId="41B99D06" wp14:textId="28D6DB51">
      <w:pPr>
        <w:pStyle w:val="Normal"/>
        <w:jc w:val="both"/>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pPr>
    </w:p>
    <w:p xmlns:wp14="http://schemas.microsoft.com/office/word/2010/wordml" w:rsidP="25CD89F7" w14:paraId="6AA5FA43" wp14:textId="559A9B65">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Gezim Rrapi </w:t>
      </w:r>
    </w:p>
    <w:p xmlns:wp14="http://schemas.microsoft.com/office/word/2010/wordml" w:rsidP="25CD89F7" w14:paraId="22C4E7B4" wp14:textId="78767A58">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Student number 1712729</w:t>
      </w:r>
    </w:p>
    <w:p xmlns:wp14="http://schemas.microsoft.com/office/word/2010/wordml" w:rsidP="25CD89F7" w14:paraId="10DBABD3" wp14:textId="1B4EFF13">
      <w:pPr>
        <w:pStyle w:val="Normal"/>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25CD89F7" w14:paraId="1B17F1CD" wp14:textId="149DD742">
      <w:pPr>
        <w:pStyle w:val="Normal"/>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25CD89F7" w14:paraId="41EB6237" wp14:textId="7A790D5A">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Introduction</w:t>
      </w:r>
    </w:p>
    <w:p xmlns:wp14="http://schemas.microsoft.com/office/word/2010/wordml" w:rsidP="25CD89F7" w14:paraId="03A5F342" wp14:textId="22397E5D">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Parliament, which is the legislature, enacts statutory laws while case laws/common laws are made by the courts.  The Judiciary interprets the legislation made by Parliament in the UK following certain rules and principles below. The task of interpretation is subjective and may vary in difficulty. Certain factors have been identified by F.A.R Bennion (Statute Law, 1990) as causing doubts in interpretation:</w:t>
      </w:r>
    </w:p>
    <w:p xmlns:wp14="http://schemas.microsoft.com/office/word/2010/wordml" w:rsidP="25CD89F7" w14:paraId="5812E659" wp14:textId="6F613A7B">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draftsman may assume implied meaning will be understood, but this is often not the case as it is difficult to ascertain the intention of the draftsman</w:t>
      </w:r>
    </w:p>
    <w:p xmlns:wp14="http://schemas.microsoft.com/office/word/2010/wordml" w:rsidP="25CD89F7" w14:paraId="08165626" wp14:textId="03F41E83">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Using a word with multiple meaning (“a word or phrase of wide meaning”) and leave it to the user to determine what situations fall within it.</w:t>
      </w:r>
    </w:p>
    <w:p xmlns:wp14="http://schemas.microsoft.com/office/word/2010/wordml" w:rsidP="25CD89F7" w14:paraId="15C00B0C" wp14:textId="6FB02B10">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Ambiguous words </w:t>
      </w:r>
    </w:p>
    <w:p xmlns:wp14="http://schemas.microsoft.com/office/word/2010/wordml" w:rsidP="25CD89F7" w14:paraId="7D663897" wp14:textId="59300AA2">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There may occur unforeseeable developments.</w:t>
      </w:r>
    </w:p>
    <w:p xmlns:wp14="http://schemas.microsoft.com/office/word/2010/wordml" w:rsidP="25CD89F7" w14:paraId="70883E32" wp14:textId="3588D83B">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 are many ways in which mistakes can be made and the wording may be inadequate. </w:t>
      </w:r>
    </w:p>
    <w:p xmlns:wp14="http://schemas.microsoft.com/office/word/2010/wordml" w:rsidP="25CD89F7" w14:paraId="2AC09807" wp14:textId="2144831C">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Modern statutes incorporate sections for interpretation to ensure the statutes are comprehensive for use. There is an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Interpretation Act 1978</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(generally used for aiding with drafting), but it should be noted that the rules and methods of statutory interpretation are not regulated by Parliament but have been developed by/for the Judges.</w:t>
      </w:r>
    </w:p>
    <w:p xmlns:wp14="http://schemas.microsoft.com/office/word/2010/wordml" w:rsidP="25CD89F7" w14:paraId="107934FF" wp14:textId="12DED9A6">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Rules of Statutory Interpretation</w:t>
      </w:r>
    </w:p>
    <w:p xmlns:wp14="http://schemas.microsoft.com/office/word/2010/wordml" w:rsidP="25CD89F7" w14:paraId="4B5F59C4" wp14:textId="5B550BAC">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1. The Mischief rule</w:t>
      </w:r>
    </w:p>
    <w:p xmlns:wp14="http://schemas.microsoft.com/office/word/2010/wordml" w:rsidP="25CD89F7" w14:paraId="2E81ECD6" wp14:textId="10DB4B5E">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mischief rule is from the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Heydon’s Case</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(1584) 3 Co Rep 7, where it was stated that for the true interpretation of all statutes four conditions must be considered:</w:t>
      </w:r>
    </w:p>
    <w:p xmlns:wp14="http://schemas.microsoft.com/office/word/2010/wordml" w:rsidP="25CD89F7" w14:paraId="08D011E6" wp14:textId="1ED8F1C8">
      <w:pPr>
        <w:pStyle w:val="ListParagraph"/>
        <w:numPr>
          <w:ilvl w:val="0"/>
          <w:numId w:val="2"/>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What was the common law before the making of the Act.</w:t>
      </w:r>
    </w:p>
    <w:p xmlns:wp14="http://schemas.microsoft.com/office/word/2010/wordml" w:rsidP="25CD89F7" w14:paraId="422F6AA4" wp14:textId="15A94496">
      <w:pPr>
        <w:pStyle w:val="ListParagraph"/>
        <w:numPr>
          <w:ilvl w:val="0"/>
          <w:numId w:val="2"/>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What was the mischief and defect for which the common law did not provide.</w:t>
      </w:r>
    </w:p>
    <w:p xmlns:wp14="http://schemas.microsoft.com/office/word/2010/wordml" w:rsidP="25CD89F7" w14:paraId="03ED58E5" wp14:textId="5AE26C9C">
      <w:pPr>
        <w:pStyle w:val="ListParagraph"/>
        <w:numPr>
          <w:ilvl w:val="0"/>
          <w:numId w:val="2"/>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What remedy Parliament resolved and appointed to cure the disease.</w:t>
      </w:r>
    </w:p>
    <w:p xmlns:wp14="http://schemas.microsoft.com/office/word/2010/wordml" w:rsidP="25CD89F7" w14:paraId="54B7D5E7" wp14:textId="59BEDFE1">
      <w:pPr>
        <w:pStyle w:val="ListParagraph"/>
        <w:numPr>
          <w:ilvl w:val="0"/>
          <w:numId w:val="2"/>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intention of the remedy; </w:t>
      </w:r>
    </w:p>
    <w:p xmlns:wp14="http://schemas.microsoft.com/office/word/2010/wordml" w14:paraId="74D92E83" wp14:textId="059484DC">
      <w:r>
        <w:br/>
      </w:r>
    </w:p>
    <w:p xmlns:wp14="http://schemas.microsoft.com/office/word/2010/wordml" w:rsidP="25CD89F7" w14:paraId="240FDDCF" wp14:textId="1581A3FC">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is the duty of the Judge to interprete the statute accordingly, supressing all mischief as judging to the intention of the statute.  The mischief rule was generally regarded by the Law Commission, which reported on statutory interpretation in 1969, as a “rather more satisfactory approach” than the other two established rules.</w:t>
      </w:r>
    </w:p>
    <w:p xmlns:wp14="http://schemas.microsoft.com/office/word/2010/wordml" w:rsidP="25CD89F7" w14:paraId="49CB867F" wp14:textId="285C5F81">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2 The Literal Rule</w:t>
      </w:r>
    </w:p>
    <w:p xmlns:wp14="http://schemas.microsoft.com/office/word/2010/wordml" w:rsidP="25CD89F7" w14:paraId="379EB4E5" wp14:textId="2FD6D4D2">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 was a trend towards a more literal approach in the nineteenth century. Courts often took a literal strict view of the words of a statute without giving room for any alteration of the statutory language. One of the leading statements of the literal rule was made by Tindal CJ in the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Sussex Peerage Case</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(1844) 11 Cl&amp;Fin 85:“… the only rule for the construction of Acts of Parliament is, that they should be construed according to the intent of the Parliament which passed the Act.” Words should not be reconstructed to give a different or implied meaning than as drafted.</w:t>
      </w:r>
    </w:p>
    <w:p xmlns:wp14="http://schemas.microsoft.com/office/word/2010/wordml" w:rsidP="25CD89F7" w14:paraId="522B5FC2" wp14:textId="18CF4DAF">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This rule encouraged encouraged precision in drafting. Any alternative attempt to alter the statutory language would have been seen as an attempt to ursurp the sovereignty of Parliament and their legislative function. </w:t>
      </w:r>
    </w:p>
    <w:p xmlns:wp14="http://schemas.microsoft.com/office/word/2010/wordml" w:rsidP="25CD89F7" w14:paraId="7C0FD4FF" wp14:textId="12A05291">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disadvantage of this according to the Law Commission (1969) was the fact that Judges did not give room to consider wider contexts in the application of meanings. This meant it was assumed the Draftsmanship was to perfection at all times and there was no limitation to language.</w:t>
      </w:r>
    </w:p>
    <w:p xmlns:wp14="http://schemas.microsoft.com/office/word/2010/wordml" w:rsidP="25CD89F7" w14:paraId="374EED9E" wp14:textId="01E97C2B">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3. The Golden Rule</w:t>
      </w:r>
    </w:p>
    <w:p xmlns:wp14="http://schemas.microsoft.com/office/word/2010/wordml" w:rsidP="25CD89F7" w14:paraId="18A74069" wp14:textId="6D55A513">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Judicial precedent suggests that interpretation should consider other contexts when the original words will lead to absurdity. In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Grey v Pearson</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(1857) 6 HL Cas 61, Lord Wensleydale said: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grammatical and ordinary sense of the words is to be adhered to, unless that would lead to some absurdity, or some repugnance or inconsistency with the rest of the instrument, in which case the grammatical and ordinary sense of the words may be modified, so as to avoid that absurdity and inconsistency, but no farther</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This became widely known as “Lord Wensleydale’s golden rule”. It only applies where the words are ambiguous. </w:t>
      </w:r>
      <w:r w:rsidRPr="25CD89F7" w:rsidR="25CD89F7">
        <w:rPr>
          <w:rFonts w:ascii="Times New Roman" w:hAnsi="Times New Roman" w:eastAsia="Times New Roman" w:cs="Times New Roman"/>
          <w:b w:val="0"/>
          <w:bCs w:val="0"/>
          <w:i w:val="0"/>
          <w:iCs w:val="0"/>
          <w:strike w:val="0"/>
          <w:dstrike w:val="0"/>
          <w:noProof w:val="0"/>
          <w:color w:val="0000FF"/>
          <w:sz w:val="24"/>
          <w:szCs w:val="24"/>
          <w:u w:val="none"/>
          <w:lang w:val="en-GB"/>
        </w:rPr>
        <w:t xml:space="preserve"> </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 v Allen (1872).</w:t>
      </w:r>
    </w:p>
    <w:p xmlns:wp14="http://schemas.microsoft.com/office/word/2010/wordml" w:rsidP="25CD89F7" w14:paraId="15BE38CF" wp14:textId="181C7DDD">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General Approaches to Statutory Interpretation</w:t>
      </w:r>
    </w:p>
    <w:p xmlns:wp14="http://schemas.microsoft.com/office/word/2010/wordml" w:rsidP="25CD89F7" w14:paraId="03734085" wp14:textId="7F9A5DB9">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Professor John Willis (1938) suggested:  There is no structure as to what rule the courts prefer, rather the decisions for interpretation are made based on the facts of the case before the court. The sole aim of the Judges being to give the closest interpretation possible to reflect the intention of the Statute when drafted.</w:t>
      </w:r>
    </w:p>
    <w:p xmlns:wp14="http://schemas.microsoft.com/office/word/2010/wordml" w:rsidP="25CD89F7" w14:paraId="3231C74A" wp14:textId="5FA1B84C">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2. Sir Rupert Cross,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Statutory Interpretation</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(3rd ed, 1995), suggested that the English approach involves not so much a choice between alternative rules as a progressive analysis in which the judge first often considers the literal/ordinary meaning of the words in the general context of the statute, a broad view being taken of what constitutes the “context”, and then moves to consider other likely possibilities where the ordinary meaning may lead to an absurd result. This unified “contextual” approach is supported by dicta in Judicial decisions where general principles of statutory interpretation have been discussed.</w:t>
      </w:r>
    </w:p>
    <w:p xmlns:wp14="http://schemas.microsoft.com/office/word/2010/wordml" w:rsidP="25CD89F7" w14:paraId="70D391FD" wp14:textId="08923C89">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3. Reference is now frequently made by judges to the concept of “purposive” statutory construction, ie one that will “promote the general legislative purpose underlying the provisions” (per Lord Denning MR in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Notham v London Borough of Barnet</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[1978]). In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Pepper (Inspector of Taxes) v Hart </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[1993], Lord Browne-Wilkinson referred to “the purposive approach to construction is now adopted by the courts in order to give effect to the true intentions of the legislature”. Lord Griffiths stated:“…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courts now adopt a purposive approach which seeks to give effect to the true purpose of legislation and are prepared to look at much extraneous material that bears upon the background against which the legislation was enacted</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xmlns:wp14="http://schemas.microsoft.com/office/word/2010/wordml" w:rsidP="25CD89F7" w14:paraId="2F05DCB1" wp14:textId="36DCEB2F">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However, a purposive interpretation may only be adopted if judges “can find in the statute read as a whole or in material to which they are permitted by law to refer as aids to interpretation an expression of Parliament’s purpose or policy” (per Lord Scarman in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R v Barnet LBC</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[1983]).</w:t>
      </w:r>
    </w:p>
    <w:p xmlns:wp14="http://schemas.microsoft.com/office/word/2010/wordml" w:rsidP="25CD89F7" w14:paraId="5D81B642" wp14:textId="502AC7B1">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(B) RULES OF LANGUAGE</w:t>
      </w:r>
    </w:p>
    <w:p xmlns:wp14="http://schemas.microsoft.com/office/word/2010/wordml" w:rsidP="25CD89F7" w14:paraId="70A6D494" wp14:textId="62C041BD">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 are a number of so-called “rules of language” which “simply refer to the way in which people speak in certain contexts” (Rupert Cross,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Statutory Interpretation</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xmlns:wp14="http://schemas.microsoft.com/office/word/2010/wordml" w:rsidP="25CD89F7" w14:paraId="6F6A88D4" wp14:textId="2CED0234">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Ejusdem Generis (of same class or genre – Powell v. Kempton Park Racecourse (1899)) </w:t>
      </w:r>
    </w:p>
    <w:p xmlns:wp14="http://schemas.microsoft.com/office/word/2010/wordml" w:rsidP="25CD89F7" w14:paraId="38C73E94" wp14:textId="6B844D87">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Noscitur A Sociis (words derive meaning from other words around them Per Stamp J. in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Bourne v Norwich Crematorium</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[1967]).</w:t>
      </w:r>
    </w:p>
    <w:p xmlns:wp14="http://schemas.microsoft.com/office/word/2010/wordml" w:rsidP="25CD89F7" w14:paraId="366CDACD" wp14:textId="3F0A948D">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Expressio Unius Est Exclusio Alterius (Specific mention from a class implies exclusion of all others in that class – (Maxwell, Interpretation of Statutes))</w:t>
      </w:r>
    </w:p>
    <w:p xmlns:wp14="http://schemas.microsoft.com/office/word/2010/wordml" w:rsidP="25CD89F7" w14:paraId="0D6FC57A" wp14:textId="26356EF8">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 INTERNAL AIDS TO INTERPRETATION</w:t>
      </w:r>
    </w:p>
    <w:p xmlns:wp14="http://schemas.microsoft.com/office/word/2010/wordml" w:rsidP="25CD89F7" w14:paraId="1F894FAC" wp14:textId="24080A09">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These include</w:t>
      </w:r>
    </w:p>
    <w:p xmlns:wp14="http://schemas.microsoft.com/office/word/2010/wordml" w:rsidP="25CD89F7" w14:paraId="0603A719" wp14:textId="2FAB25D9">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Other enacting words</w:t>
      </w:r>
    </w:p>
    <w:p xmlns:wp14="http://schemas.microsoft.com/office/word/2010/wordml" w:rsidP="25CD89F7" w14:paraId="73295AEA" wp14:textId="71E6FECE">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Long title</w:t>
      </w:r>
    </w:p>
    <w:p xmlns:wp14="http://schemas.microsoft.com/office/word/2010/wordml" w:rsidP="25CD89F7" w14:paraId="08BE1416" wp14:textId="659A1655">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Short Title</w:t>
      </w:r>
    </w:p>
    <w:p xmlns:wp14="http://schemas.microsoft.com/office/word/2010/wordml" w:rsidP="25CD89F7" w14:paraId="6CCAF2D2" wp14:textId="3CC57352">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Preamble</w:t>
      </w:r>
    </w:p>
    <w:p xmlns:wp14="http://schemas.microsoft.com/office/word/2010/wordml" w:rsidP="25CD89F7" w14:paraId="29C01C7A" wp14:textId="69610957">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Headings, Side-notes and Punctuations</w:t>
      </w:r>
    </w:p>
    <w:p xmlns:wp14="http://schemas.microsoft.com/office/word/2010/wordml" w:rsidP="25CD89F7" w14:paraId="738D4BF2" wp14:textId="5350EEEC">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(D) External aid to Interpretation include:</w:t>
      </w:r>
    </w:p>
    <w:p xmlns:wp14="http://schemas.microsoft.com/office/word/2010/wordml" w:rsidP="25CD89F7" w14:paraId="1658E158" wp14:textId="6550DA16">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Historical Setting of Provision</w:t>
      </w:r>
    </w:p>
    <w:p xmlns:wp14="http://schemas.microsoft.com/office/word/2010/wordml" w:rsidP="25CD89F7" w14:paraId="42BFCA33" wp14:textId="6B355AF5">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Dictionaries and other published literary sources</w:t>
      </w:r>
    </w:p>
    <w:p xmlns:wp14="http://schemas.microsoft.com/office/word/2010/wordml" w:rsidP="25CD89F7" w14:paraId="79A9F1FF" wp14:textId="79E16A26">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Practice</w:t>
      </w:r>
    </w:p>
    <w:p xmlns:wp14="http://schemas.microsoft.com/office/word/2010/wordml" w:rsidP="25CD89F7" w14:paraId="68FFEEBF" wp14:textId="1FE2035C">
      <w:pPr>
        <w:pStyle w:val="ListParagraph"/>
        <w:numPr>
          <w:ilvl w:val="0"/>
          <w:numId w:val="1"/>
        </w:numPr>
        <w:jc w:val="both"/>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Other Statutes in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Pari Materia (with same context/subject matter)</w:t>
      </w:r>
    </w:p>
    <w:p xmlns:wp14="http://schemas.microsoft.com/office/word/2010/wordml" w:rsidP="25CD89F7" w14:paraId="3542F424" wp14:textId="2CA42661">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Official Reports: it has been held that the recommendations from other Commisions on Legislative matters contained therein may not be regarded as evidence of Parliamentary intention as Parliament may be aware nor  not have accepted the recommendations and acted upon them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Black-Clawson Case</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[1975]).</w:t>
      </w:r>
    </w:p>
    <w:p xmlns:wp14="http://schemas.microsoft.com/office/word/2010/wordml" w:rsidP="25CD89F7" w14:paraId="7F04F4FA" wp14:textId="2E8F4499">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Treaties and International Conventions</w:t>
      </w:r>
    </w:p>
    <w:p xmlns:wp14="http://schemas.microsoft.com/office/word/2010/wordml" w:rsidP="25CD89F7" w14:paraId="46D97B50" wp14:textId="2829CE08">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Parliamentary Materials:</w:t>
      </w: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was held in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Davis v Johnson</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(1979) that a court may not refer to Parliamentary materials for any purpose whatsoever connected with the interpretation of statutes. Then in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Pepper (Inspector of Taxes) v Hart</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[1993], court gave different judgement and significantly relaxed the general prohibition.</w:t>
      </w:r>
    </w:p>
    <w:p xmlns:wp14="http://schemas.microsoft.com/office/word/2010/wordml" w14:paraId="6B9210AC" wp14:textId="3C0FFFD3">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There are so many variables that work against the possibility of Judicial interpretation of Statutes superceeding Legislation. Parliament is Sovereign and the Judiciary cannot bypass this key feature of the UK government as they are there to protect this sovereignty. This is reflected in the approach taken by ensuring all interpretations are as much as possible considered to reflect the intention of the statute.</w:t>
      </w:r>
    </w:p>
    <w:p xmlns:wp14="http://schemas.microsoft.com/office/word/2010/wordml" w14:paraId="31C11EB4" wp14:textId="6E62EB8E">
      <w:r>
        <w:br/>
      </w:r>
    </w:p>
    <w:p xmlns:wp14="http://schemas.microsoft.com/office/word/2010/wordml" w:rsidP="25CD89F7" w14:paraId="4050F341" wp14:textId="50900EC7">
      <w:pPr>
        <w:jc w:val="both"/>
      </w:pPr>
      <w:r w:rsidRPr="25CD89F7" w:rsidR="25CD89F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Conclusion</w:t>
      </w:r>
    </w:p>
    <w:p xmlns:wp14="http://schemas.microsoft.com/office/word/2010/wordml" w:rsidP="25CD89F7" w14:paraId="32902E01" wp14:textId="56F7F901">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Precedents by the Courts is not a suitable method for National Laws on Major Changes to the Law. Judicial Law making by Interpretation is not a sufficiently quick law-making practice in a modern society. Judges are to uphold the sovereignty of Parliament especially in the UK. The Parliament is the main Legislative body in the UK and so all Legislation remains Primary sources of Law as there is clear separation of powers and the roles are not interchangeable.</w:t>
      </w:r>
    </w:p>
    <w:p xmlns:wp14="http://schemas.microsoft.com/office/word/2010/wordml" w:rsidP="25CD89F7" w14:paraId="09F8E604" wp14:textId="528CD53B">
      <w:pPr>
        <w:jc w:val="both"/>
      </w:pPr>
      <w:r w:rsidRPr="25CD89F7" w:rsidR="25CD89F7">
        <w:rPr>
          <w:rFonts w:ascii="Calibri" w:hAnsi="Calibri" w:eastAsia="Calibri" w:cs="Calibri"/>
          <w:b w:val="0"/>
          <w:bCs w:val="0"/>
          <w:noProof w:val="0"/>
          <w:sz w:val="22"/>
          <w:szCs w:val="22"/>
          <w:lang w:val="en-GB"/>
        </w:rPr>
        <w:t xml:space="preserve"> </w:t>
      </w:r>
    </w:p>
    <w:p xmlns:wp14="http://schemas.microsoft.com/office/word/2010/wordml" w:rsidP="25CD89F7" w14:paraId="010F5DED" wp14:textId="2355C604">
      <w:pPr>
        <w:jc w:val="both"/>
      </w:pPr>
      <w:r w:rsidRPr="25CD89F7" w:rsidR="25CD89F7">
        <w:rPr>
          <w:rFonts w:ascii="Times New Roman" w:hAnsi="Times New Roman" w:eastAsia="Times New Roman" w:cs="Times New Roman"/>
          <w:b w:val="1"/>
          <w:bCs w:val="1"/>
          <w:i w:val="0"/>
          <w:iCs w:val="0"/>
          <w:strike w:val="0"/>
          <w:dstrike w:val="0"/>
          <w:noProof w:val="0"/>
          <w:color w:val="2D2D2D"/>
          <w:sz w:val="24"/>
          <w:szCs w:val="24"/>
          <w:u w:val="none"/>
          <w:lang w:val="en-GB"/>
        </w:rPr>
        <w:t>References</w:t>
      </w:r>
    </w:p>
    <w:p xmlns:wp14="http://schemas.microsoft.com/office/word/2010/wordml" w14:paraId="4BC48CDB" wp14:textId="5E50161C">
      <w:r>
        <w:br/>
      </w:r>
    </w:p>
    <w:p xmlns:wp14="http://schemas.microsoft.com/office/word/2010/wordml" w:rsidP="25CD89F7" w14:paraId="2C4323D6" wp14:textId="64D96D77">
      <w:pPr>
        <w:jc w:val="both"/>
      </w:pP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Bourne v Norwich Crematorium</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[1967] 44 TC 164 </w:t>
      </w:r>
    </w:p>
    <w:p xmlns:wp14="http://schemas.microsoft.com/office/word/2010/wordml" w:rsidP="25CD89F7" w14:paraId="1B1F08B9" wp14:textId="300C74CE">
      <w:pPr>
        <w:jc w:val="both"/>
      </w:pP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Black-Clawson Case</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[1975] AC 591</w:t>
      </w:r>
    </w:p>
    <w:p xmlns:wp14="http://schemas.microsoft.com/office/word/2010/wordml" w:rsidP="25CD89F7" w14:paraId="0053338B" wp14:textId="2F4896EC">
      <w:pPr>
        <w:jc w:val="both"/>
      </w:pP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Davis v Johnson</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(1979) AC 264</w:t>
      </w:r>
    </w:p>
    <w:p xmlns:wp14="http://schemas.microsoft.com/office/word/2010/wordml" w:rsidP="25CD89F7" w14:paraId="14BFDAB2" wp14:textId="0493BF11">
      <w:pPr>
        <w:jc w:val="both"/>
      </w:pP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Notham v London Borough of Barnet</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[1978] 1 All ER 1243</w:t>
      </w:r>
    </w:p>
    <w:p xmlns:wp14="http://schemas.microsoft.com/office/word/2010/wordml" w:rsidP="25CD89F7" w14:paraId="27C4C9D8" wp14:textId="782FA3DA">
      <w:pPr>
        <w:jc w:val="both"/>
      </w:pP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Pepper (Inspector of Taxes) v Hart</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[1993] AC 593</w:t>
      </w:r>
    </w:p>
    <w:p xmlns:wp14="http://schemas.microsoft.com/office/word/2010/wordml" w:rsidP="25CD89F7" w14:paraId="346838AA" wp14:textId="4CE3B87A">
      <w:pPr>
        <w:jc w:val="both"/>
      </w:pP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Powell v Kempton Park Racecourse</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[1899] AC 143</w:t>
      </w:r>
    </w:p>
    <w:p xmlns:wp14="http://schemas.microsoft.com/office/word/2010/wordml" w:rsidP="25CD89F7" w14:paraId="1030C116" wp14:textId="0322F731">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 v Allen (1872) LR 1 CCR 367</w:t>
      </w:r>
    </w:p>
    <w:p xmlns:wp14="http://schemas.microsoft.com/office/word/2010/wordml" w:rsidP="25CD89F7" w14:paraId="794B0EFD" wp14:textId="74E969B7">
      <w:pPr>
        <w:jc w:val="both"/>
      </w:pP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R v Barnet LBC</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[1983] 2 AC 309).</w:t>
      </w:r>
    </w:p>
    <w:p xmlns:wp14="http://schemas.microsoft.com/office/word/2010/wordml" w:rsidP="25CD89F7" w14:paraId="6BF2D3F3" wp14:textId="0986814F">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Martin J. ,  (2013)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The English Legal System </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London: Hodder</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t>
      </w:r>
    </w:p>
    <w:p xmlns:wp14="http://schemas.microsoft.com/office/word/2010/wordml" w:rsidP="25CD89F7" w14:paraId="3946A2EC" wp14:textId="458C7A3B">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Partington M. (2019) Introduction to the English Legal System 2019-2020. (14</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GB"/>
        </w:rPr>
        <w:t>th</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Ed.) Oxford: Oxford University Press</w:t>
      </w:r>
    </w:p>
    <w:p xmlns:wp14="http://schemas.microsoft.com/office/word/2010/wordml" w:rsidP="25CD89F7" w14:paraId="186BD4C4" wp14:textId="70C3CBAC">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 H. W. (1930) “Maxwell on the Interpretation of Statutes. Seventh edition. By G. F. L. Bridgman. London: Sweet &amp; Maxwell, Ltd.1929. cxi and 372 pp.,”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Cambridge Law Journal</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Cambridge University Press, 4(1), pp. 108–108. doi: 10.1017/S0008197300130806.</w:t>
      </w:r>
    </w:p>
    <w:p xmlns:wp14="http://schemas.microsoft.com/office/word/2010/wordml" w:rsidP="25CD89F7" w14:paraId="7A0BF73A" wp14:textId="59F42690">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 R. C. B., &amp; Taggart, M. (2005). The Published Work of John Willis.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University of Toronto Law Journal</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55</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(3), 887–890. </w:t>
      </w:r>
      <w:hyperlink r:id="Rcfa4ed51297c4611">
        <w:r w:rsidRPr="25CD89F7" w:rsidR="25CD89F7">
          <w:rPr>
            <w:rStyle w:val="Hyperlink"/>
            <w:rFonts w:ascii="Times New Roman" w:hAnsi="Times New Roman" w:eastAsia="Times New Roman" w:cs="Times New Roman"/>
            <w:b w:val="0"/>
            <w:bCs w:val="0"/>
            <w:i w:val="0"/>
            <w:iCs w:val="0"/>
            <w:strike w:val="0"/>
            <w:dstrike w:val="0"/>
            <w:noProof w:val="0"/>
            <w:sz w:val="24"/>
            <w:szCs w:val="24"/>
            <w:lang w:val="en-GB"/>
          </w:rPr>
          <w:t>http://www.jstor.org/stable/4491670</w:t>
        </w:r>
      </w:hyperlink>
    </w:p>
    <w:p xmlns:wp14="http://schemas.microsoft.com/office/word/2010/wordml" w:rsidP="25CD89F7" w14:paraId="64CB6505" wp14:textId="165F3793">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Ross Carter, Bennion on Statutory Interpretation, </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Statute Law Review</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Volume 41, Issue 2, June 2020, Pages 240–284, </w:t>
      </w:r>
      <w:hyperlink r:id="Rbe120746b2fd465b">
        <w:r w:rsidRPr="25CD89F7" w:rsidR="25CD89F7">
          <w:rPr>
            <w:rStyle w:val="Hyperlink"/>
            <w:rFonts w:ascii="Times New Roman" w:hAnsi="Times New Roman" w:eastAsia="Times New Roman" w:cs="Times New Roman"/>
            <w:b w:val="0"/>
            <w:bCs w:val="0"/>
            <w:i w:val="0"/>
            <w:iCs w:val="0"/>
            <w:strike w:val="0"/>
            <w:dstrike w:val="0"/>
            <w:noProof w:val="0"/>
            <w:sz w:val="24"/>
            <w:szCs w:val="24"/>
            <w:lang w:val="en-GB"/>
          </w:rPr>
          <w:t>https://doi.org/10.1093/slr/hmy023</w:t>
        </w:r>
      </w:hyperlink>
    </w:p>
    <w:p xmlns:wp14="http://schemas.microsoft.com/office/word/2010/wordml" w:rsidP="25CD89F7" w14:paraId="29B9BBBD" wp14:textId="3EC86B77">
      <w:pPr>
        <w:jc w:val="both"/>
      </w:pP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Smith &amp; Bailey, (1996)</w:t>
      </w:r>
      <w:r w:rsidRPr="25CD89F7" w:rsidR="25CD89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The Modern English Legal System</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(3</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GB"/>
        </w:rPr>
        <w:t>rd</w:t>
      </w:r>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Ed.) London</w:t>
      </w:r>
    </w:p>
    <w:p xmlns:wp14="http://schemas.microsoft.com/office/word/2010/wordml" w14:paraId="6C527D38" wp14:textId="41D326EA">
      <w:r w:rsidRPr="25CD89F7" w:rsidR="25CD89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Interpretation Act 1978</w:t>
      </w:r>
    </w:p>
    <w:p xmlns:wp14="http://schemas.microsoft.com/office/word/2010/wordml" w:rsidP="25CD89F7" w14:paraId="5E5787A5" wp14:textId="28F1289F">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d05cf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5e6ad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25AE1A"/>
    <w:rsid w:val="0125AE1A"/>
    <w:rsid w:val="067BA08B"/>
    <w:rsid w:val="18809F4E"/>
    <w:rsid w:val="25CD89F7"/>
    <w:rsid w:val="56F27D71"/>
    <w:rsid w:val="5C75E988"/>
    <w:rsid w:val="5C75E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5AE1A"/>
  <w15:chartTrackingRefBased/>
  <w15:docId w15:val="{8D825C47-E46A-459C-8B1C-738B3A0F1D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jstor.org/stable/4491670" TargetMode="External" Id="Rcfa4ed51297c4611" /><Relationship Type="http://schemas.openxmlformats.org/officeDocument/2006/relationships/hyperlink" Target="https://doi.org/10.1093/slr/hmy023" TargetMode="External" Id="Rbe120746b2fd465b" /><Relationship Type="http://schemas.openxmlformats.org/officeDocument/2006/relationships/numbering" Target="/word/numbering.xml" Id="Rb7c013f06bcb4b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Gezim Rrapi (1712729)</dc:creator>
  <keywords/>
  <dc:description/>
  <lastModifiedBy>Gezim Rrapi (1712729)</lastModifiedBy>
  <revision>2</revision>
  <dcterms:created xsi:type="dcterms:W3CDTF">2022-07-22T08:28:33.3668368Z</dcterms:created>
  <dcterms:modified xsi:type="dcterms:W3CDTF">2022-07-22T08:33:56.1030574Z</dcterms:modified>
</coreProperties>
</file>