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360"/>
        <w:jc w:val="center"/>
        <w:rPr>
          <w:lang w:val="en-GB" w:eastAsia="zh-CN" w:bidi="hi-IN"/>
        </w:rPr>
      </w:pPr>
      <w:r>
        <w:rPr>
          <w:b/>
          <w:bCs/>
          <w:u w:val="single"/>
          <w:lang w:val="en-GB" w:eastAsia="zh-CN" w:bidi="hi-IN"/>
        </w:rPr>
        <w:t>Identity: a choice or obligation?</w:t>
      </w:r>
    </w:p>
    <w:p>
      <w:pPr>
        <w:pStyle w:val="Normal"/>
        <w:bidi w:val="0"/>
        <w:spacing w:lineRule="auto" w:line="360"/>
        <w:jc w:val="both"/>
        <w:rPr>
          <w:lang w:val="en-GB" w:eastAsia="zh-CN" w:bidi="hi-IN"/>
        </w:rPr>
      </w:pPr>
      <w:r>
        <w:rPr>
          <w:lang w:val="en-GB" w:eastAsia="zh-CN" w:bidi="hi-IN"/>
        </w:rPr>
        <w:tab/>
        <w:t>What is the first association with identity? From the linguistic point of view, identity is something similar to the words like "own", and "self"; it refers largely to the characteristics one possesses. Arguably, one can possess an identity they want, however, is the identity something of such flexibility? I problematize the question of flexible identity and argue that while on some peculiar aspects, it is possible to change the identity, for the most part, identity is compiled of the pieces that are not chosen. Moreover, rather than being a homogenous notion, identity is quite controversial on its own and could consist of conflicting pieces within an individual or, even, a whole community. Identity depends on the social context, and also the social context depends on the identity of the individuals of the society. The important question in need of an answer is: what spheres of human life would benefit from a better understanding of identity?</w:t>
      </w:r>
    </w:p>
    <w:p>
      <w:pPr>
        <w:pStyle w:val="Normal"/>
        <w:bidi w:val="0"/>
        <w:spacing w:lineRule="auto" w:line="360"/>
        <w:jc w:val="both"/>
        <w:rPr>
          <w:lang w:val="en-GB" w:eastAsia="zh-CN" w:bidi="hi-IN"/>
        </w:rPr>
      </w:pPr>
      <w:r>
        <w:rPr>
          <w:lang w:val="en-GB" w:eastAsia="zh-CN" w:bidi="hi-IN"/>
        </w:rPr>
        <w:tab/>
        <w:t>According to Stanley B. Klein and Shaun Nichols (2012; pp. 677-678), our identity is deeply rooted in memory. Memory provides us with the necessary background and provisions which make up personal identity. Therefore, at any point in life, a person's identity refers to the evidence that one store in their memory (pp. 695-696). In light of such a claim, the identity can be constituted as a successive phenomenon, an aggregated set of memories that serve as evidence of one's self. Peter J. Burke (2006, p. 84) expresses a similar opinion, stating that it is the small changes accumulated over time, that influence and nourish the changes in our identity.</w:t>
      </w:r>
    </w:p>
    <w:p>
      <w:pPr>
        <w:pStyle w:val="Normal"/>
        <w:bidi w:val="0"/>
        <w:spacing w:lineRule="auto" w:line="360"/>
        <w:jc w:val="both"/>
        <w:rPr>
          <w:lang w:val="en-GB" w:eastAsia="zh-CN" w:bidi="hi-IN"/>
        </w:rPr>
      </w:pPr>
      <w:r>
        <w:rPr>
          <w:lang w:val="en-GB" w:eastAsia="zh-CN" w:bidi="hi-IN"/>
        </w:rPr>
        <w:tab/>
        <w:t xml:space="preserve">On the scale of the collective environment, such memory also exists: through documenting history and commemoration of significant events that happened before people inherit their piece of collective belonging and identify as one from this particular group. One such example is the indigenous identity. </w:t>
      </w:r>
    </w:p>
    <w:p>
      <w:pPr>
        <w:pStyle w:val="Normal"/>
        <w:bidi w:val="0"/>
        <w:spacing w:lineRule="auto" w:line="360"/>
        <w:jc w:val="both"/>
        <w:rPr>
          <w:lang w:val="en-GB" w:eastAsia="zh-CN" w:bidi="hi-IN"/>
        </w:rPr>
      </w:pPr>
      <w:r>
        <w:rPr>
          <w:lang w:val="en-GB" w:eastAsia="zh-CN" w:bidi="hi-IN"/>
        </w:rPr>
        <w:tab/>
        <w:t xml:space="preserve">There is something particularly interesting about indigenous communities in both Canada and the USA: the people of the First Nations share horrible memories of the past under pressure to obtain the identity they never wanted.  In the historical study by Bonita Lawrence (2003), there is an interesting difference between the two approaches used by the countries in relation to the First Nations. In Canada, Bill C-31 allowed the indigenous people to recover their native status and changed the racist Indian Act (p. 13), although the damage to indigenous communities was beyond the simple overrule: some of the communities refused to recognise those "Bill C-31 Indians", namely – aboriginal women, who had previously refused their Native identity to marry white men (p. 15). In the US, a much more sophisticated system was incorporated through different agreements with the tribes (p. 16), although they still based land allocation on the blood quantum and separation of "purebloods" from "mixed-bloods" (p.17). </w:t>
      </w:r>
    </w:p>
    <w:p>
      <w:pPr>
        <w:pStyle w:val="Normal"/>
        <w:bidi w:val="0"/>
        <w:spacing w:lineRule="auto" w:line="360"/>
        <w:jc w:val="both"/>
        <w:rPr>
          <w:lang w:val="en-GB" w:eastAsia="zh-CN" w:bidi="hi-IN"/>
        </w:rPr>
      </w:pPr>
      <w:r>
        <w:rPr>
          <w:lang w:val="en-GB" w:eastAsia="zh-CN" w:bidi="hi-IN"/>
        </w:rPr>
        <w:tab/>
        <w:t xml:space="preserve">The debate on indigenous identity was not concluded – this was one of the reasons why there was this significant impartiality within the allocation of rights and separating the First Nations into this separate category. The reflection on the struggle with deriving a definition of indigenous identity found a structured reflection in the work of Douglas E. Sanders (1999), where the author uncovers the different positions of international organizations. There is, arguably, one particularly good take on the definition: the absence of such. The so-called "constructivist approach" by Benedict Kingsbury (Sanders, 1999; p. 11), suggests "to each their own", and advices to follow the three levels of criteria to classify an ethnic group as indigenous. While this method is considerably broader, it is also more inclusive, as it allows the communities with an idea to be a distinct group to enjoy their identity and be recognised in the way they want it to be. Although, it is problematic that many such communities were lost in the course of history, due to the inability to accept differences in the past. </w:t>
      </w:r>
    </w:p>
    <w:p>
      <w:pPr>
        <w:pStyle w:val="Normal"/>
        <w:bidi w:val="0"/>
        <w:spacing w:lineRule="auto" w:line="360"/>
        <w:jc w:val="both"/>
        <w:rPr>
          <w:lang w:val="en-GB" w:eastAsia="zh-CN" w:bidi="hi-IN"/>
        </w:rPr>
      </w:pPr>
      <w:r>
        <w:rPr>
          <w:lang w:val="en-GB" w:eastAsia="zh-CN" w:bidi="hi-IN"/>
        </w:rPr>
        <w:tab/>
        <w:t>Any tragedy that is related to racism is also largely based on the way how people identify each other: the question “</w:t>
      </w:r>
      <w:r>
        <w:rPr>
          <w:i/>
          <w:iCs/>
          <w:lang w:val="en-GB" w:eastAsia="zh-CN" w:bidi="hi-IN"/>
        </w:rPr>
        <w:t>what particular features one possesses</w:t>
      </w:r>
      <w:r>
        <w:rPr>
          <w:i w:val="false"/>
          <w:iCs w:val="false"/>
          <w:lang w:val="en-GB" w:eastAsia="zh-CN" w:bidi="hi-IN"/>
        </w:rPr>
        <w:t>" often is answered before one has got a chance to introduce themselves. The biological features together constitute one's race – such is the opinion of David Wakefield and Cynthia Hudley (2007, p. 148). While the problem of perception is not a matter that could be easily solved, the negative effects could be mitigated by supporting different identity groups and learning to accept our own unchangeable features of ourselves (p. 150). It is a very important part of any political strategy, to aim at creating a harmonic society.</w:t>
      </w:r>
    </w:p>
    <w:p>
      <w:pPr>
        <w:pStyle w:val="Normal"/>
        <w:bidi w:val="0"/>
        <w:spacing w:lineRule="auto" w:line="360"/>
        <w:jc w:val="both"/>
        <w:rPr>
          <w:lang w:val="en-GB" w:eastAsia="zh-CN" w:bidi="hi-IN"/>
        </w:rPr>
      </w:pPr>
      <w:r>
        <w:rPr>
          <w:lang w:val="en-GB" w:eastAsia="zh-CN" w:bidi="hi-IN"/>
        </w:rPr>
        <w:tab/>
        <w:t xml:space="preserve">Identity is not only in the history of a nation or one's biological appearance. One another identity to which an individual is born is religious. When a child is born into a family with a strict religious affiliation, they can not possibly refuse or choose. They are obliged to be raised under that religious agenda up until they will be old enough to choose. And this is not the only aspect of religious identity: sometimes religious identity can subject an individual to prejudice and unfair treatment. Expansion in this direction is provisioned by the book of Nasar Meer (2015) on the identity of Muslims. The author provides an example of a British Muslim individual, complaining about how unfair it is that they are expected to show more condemnation of the actions of their identity group, even though they are in no way related to those actions (p. 81). Then the author problematizes further the conflict arriving at the point where Islamophobia is regarded as "cultural racism" (p. 104), although still mentions that Muslims "understand themselves" and "need to be recognised" as a distinct category. The problem lies at the point when the identity becomes so public, it becomes associated with something: in this case, with a radical religious movement. Arguably, the people who do not belong to the category of Muslim identity would hardly move on when they witness the actions of a group associated – existing within – the Muslim group. Such is the external conflict ideological association with a certain identity type. An expanded and more general excourse is written by Jonathan Leader Maynard (2015; pp. 35). If left unattended, such conflict may exceed the legal borders and lead to violent outcomes. </w:t>
      </w:r>
    </w:p>
    <w:p>
      <w:pPr>
        <w:pStyle w:val="Normal"/>
        <w:bidi w:val="0"/>
        <w:spacing w:lineRule="auto" w:line="360"/>
        <w:jc w:val="both"/>
        <w:rPr>
          <w:lang w:val="en-GB" w:eastAsia="zh-CN" w:bidi="hi-IN"/>
        </w:rPr>
      </w:pPr>
      <w:r>
        <w:rPr>
          <w:lang w:val="en-GB" w:eastAsia="zh-CN" w:bidi="hi-IN"/>
        </w:rPr>
        <w:tab/>
        <w:t xml:space="preserve">One of the less obvious parts of identity is language. Such an opinion expresses Bonny Norton (2016), a language teacher and researcher. According to their paper, language is </w:t>
      </w:r>
      <w:r>
        <w:rPr>
          <w:i/>
          <w:iCs/>
          <w:lang w:val="en-GB" w:eastAsia="zh-CN" w:bidi="hi-IN"/>
        </w:rPr>
        <w:t>a social practice</w:t>
      </w:r>
      <w:r>
        <w:rPr>
          <w:i w:val="false"/>
          <w:iCs w:val="false"/>
          <w:lang w:val="en-GB" w:eastAsia="zh-CN" w:bidi="hi-IN"/>
        </w:rPr>
        <w:t>, that helps express one's identity in terms and with help of tools of this language (p. 476), which was used and exercised within one identity group. Some languages are more general, the wider they are used, the less reflective of identity and the more of a tool they are. For example, a greeting in the Tatar language, "isenmesez”, can be roughly translated as “are you alive” and is reflective of dark times in Tatar history, when their life because of religion was under constant threat. Modern Ukrainian phrase “Як ти?” (eng. How are you?) is also a phrase reflective of the war with the Russian Federation, it is a more informal and personal way to ask about one's well-being and became particularly popular in recent times.</w:t>
      </w:r>
    </w:p>
    <w:p>
      <w:pPr>
        <w:pStyle w:val="Normal"/>
        <w:bidi w:val="0"/>
        <w:spacing w:lineRule="auto" w:line="360"/>
        <w:jc w:val="both"/>
        <w:rPr>
          <w:lang w:val="en-GB" w:eastAsia="zh-CN" w:bidi="hi-IN"/>
        </w:rPr>
      </w:pPr>
      <w:r>
        <w:rPr>
          <w:lang w:val="en-GB" w:eastAsia="zh-CN" w:bidi="hi-IN"/>
        </w:rPr>
        <w:tab/>
        <w:t xml:space="preserve">Back to the work of Peter J. Burke (2006; p. 85): it is suggested that people may have multiple identities, which either derive a dominant one or uncover a "compromise", leaving a person in a struggle. P. G Klandermans (2014) elaborates on this approach to the problem of multiple identities (p. 11) and highlights that people’s identities are not always harmonious. The author presents an example of people’s political identity conflict, where the people in the Netherlands would support a party with the decision of which they would also disagree. People of multiple identities are also inclined to develop and show their identity which gives them the opportunity to engage with the people around them. Because of the complicated structure of identity, there is also an academic argument to "forget" identity and analyze instead the politics of social categories (Agius et al, 2018; pp. 5-6). While such an approach might be useful for government-related studies, the overall picture could be significantly excluding with regard to the groups badly or not represented in politics. </w:t>
      </w:r>
    </w:p>
    <w:p>
      <w:pPr>
        <w:pStyle w:val="Normal"/>
        <w:bidi w:val="0"/>
        <w:spacing w:lineRule="auto" w:line="360"/>
        <w:jc w:val="both"/>
        <w:rPr>
          <w:lang w:val="en-GB" w:eastAsia="zh-CN" w:bidi="hi-IN"/>
        </w:rPr>
      </w:pPr>
      <w:r>
        <w:rPr>
          <w:lang w:val="en-GB" w:eastAsia="zh-CN" w:bidi="hi-IN"/>
        </w:rPr>
        <w:tab/>
        <w:t xml:space="preserve">The studies of identity are interdisciplinary. There are some provisions, which could attribute to political studies (e.g political identity of an ethnic group, some important points for inclusive political strategy), some others may benefit the psychological studies (well-being and acceptance of own identity); even some linguistic studies could elaborate on the question of some language structures, and say some things such as: it is because of the identity of these people, they greet each other that way. For the point of interdisciplinarity, I find particularly interesting and promising the direction of the work of Rusi Jaspal et al (2016), which specifies the meaning behind and implications of Schwartz Values (SVT) and Identity Process Theory (IPT).  IPT compiles an identity as consisting of three levels: </w:t>
      </w:r>
      <w:r>
        <w:rPr>
          <w:i/>
          <w:iCs/>
          <w:lang w:val="en-GB" w:eastAsia="zh-CN" w:bidi="hi-IN"/>
        </w:rPr>
        <w:t xml:space="preserve">intrapsychic, interpersonal </w:t>
      </w:r>
      <w:r>
        <w:rPr>
          <w:i w:val="false"/>
          <w:iCs w:val="false"/>
          <w:lang w:val="en-GB" w:eastAsia="zh-CN" w:bidi="hi-IN"/>
        </w:rPr>
        <w:t>and</w:t>
      </w:r>
      <w:r>
        <w:rPr>
          <w:i/>
          <w:iCs/>
          <w:lang w:val="en-GB" w:eastAsia="zh-CN" w:bidi="hi-IN"/>
        </w:rPr>
        <w:t xml:space="preserve"> intergroup </w:t>
      </w:r>
      <w:r>
        <w:rPr>
          <w:i w:val="false"/>
          <w:iCs w:val="false"/>
          <w:lang w:val="en-GB" w:eastAsia="zh-CN" w:bidi="hi-IN"/>
        </w:rPr>
        <w:t>(p. 176)</w:t>
      </w:r>
      <w:r>
        <w:rPr>
          <w:i/>
          <w:iCs/>
          <w:lang w:val="en-GB" w:eastAsia="zh-CN" w:bidi="hi-IN"/>
        </w:rPr>
        <w:t>.</w:t>
      </w:r>
      <w:r>
        <w:rPr>
          <w:i w:val="false"/>
          <w:iCs w:val="false"/>
          <w:lang w:val="en-GB" w:eastAsia="zh-CN" w:bidi="hi-IN"/>
        </w:rPr>
        <w:t xml:space="preserve"> Such a division provides more light on the multiple identity problem: a very good example is used in the work of a Muslim man who is also a homosexual. Jaspal et al explain such identity conflict in the background of </w:t>
      </w:r>
      <w:r>
        <w:rPr>
          <w:i/>
          <w:iCs/>
          <w:lang w:val="en-GB" w:eastAsia="zh-CN" w:bidi="hi-IN"/>
        </w:rPr>
        <w:t>identity motives</w:t>
      </w:r>
      <w:r>
        <w:rPr>
          <w:i w:val="false"/>
          <w:iCs w:val="false"/>
          <w:lang w:val="en-GB" w:eastAsia="zh-CN" w:bidi="hi-IN"/>
        </w:rPr>
        <w:t>:</w:t>
      </w:r>
      <w:r>
        <w:rPr>
          <w:i/>
          <w:iCs/>
          <w:lang w:val="en-GB" w:eastAsia="zh-CN" w:bidi="hi-IN"/>
        </w:rPr>
        <w:t xml:space="preserve"> </w:t>
      </w:r>
      <w:r>
        <w:rPr>
          <w:i w:val="false"/>
          <w:iCs w:val="false"/>
          <w:lang w:val="en-GB" w:eastAsia="zh-CN" w:bidi="hi-IN"/>
        </w:rPr>
        <w:t xml:space="preserve">where the threat exists for one of the possessed identities, there appears </w:t>
      </w:r>
      <w:r>
        <w:rPr>
          <w:i/>
          <w:iCs/>
          <w:lang w:val="en-GB" w:eastAsia="zh-CN" w:bidi="hi-IN"/>
        </w:rPr>
        <w:t xml:space="preserve">denial </w:t>
      </w:r>
      <w:r>
        <w:rPr>
          <w:i w:val="false"/>
          <w:iCs w:val="false"/>
          <w:lang w:val="en-GB" w:eastAsia="zh-CN" w:bidi="hi-IN"/>
        </w:rPr>
        <w:t xml:space="preserve">(p. 176). Because on the </w:t>
      </w:r>
      <w:r>
        <w:rPr>
          <w:i/>
          <w:iCs/>
          <w:lang w:val="en-GB" w:eastAsia="zh-CN" w:bidi="hi-IN"/>
        </w:rPr>
        <w:t xml:space="preserve">intergroup </w:t>
      </w:r>
      <w:r>
        <w:rPr>
          <w:i w:val="false"/>
          <w:iCs w:val="false"/>
          <w:lang w:val="en-GB" w:eastAsia="zh-CN" w:bidi="hi-IN"/>
        </w:rPr>
        <w:t xml:space="preserve">level, this man identifies as a Muslim, this identity would be used as a social disguise, whilst his </w:t>
      </w:r>
      <w:r>
        <w:rPr>
          <w:i/>
          <w:iCs/>
          <w:lang w:val="en-GB" w:eastAsia="zh-CN" w:bidi="hi-IN"/>
        </w:rPr>
        <w:t xml:space="preserve">intrapsychic </w:t>
      </w:r>
      <w:r>
        <w:rPr>
          <w:i w:val="false"/>
          <w:iCs w:val="false"/>
          <w:lang w:val="en-GB" w:eastAsia="zh-CN" w:bidi="hi-IN"/>
        </w:rPr>
        <w:t>identity as a gay man will be denied. SWT provides an explanation of this phenomenon: "</w:t>
      </w:r>
      <w:r>
        <w:rPr>
          <w:i/>
          <w:iCs/>
          <w:lang w:val="en-GB" w:eastAsia="zh-CN" w:bidi="hi-IN"/>
        </w:rPr>
        <w:t>conformity values – the motivation to fulfil other's expectations</w:t>
      </w:r>
      <w:r>
        <w:rPr>
          <w:i w:val="false"/>
          <w:iCs w:val="false"/>
          <w:lang w:val="en-GB" w:eastAsia="zh-CN" w:bidi="hi-IN"/>
        </w:rPr>
        <w:t>” (p. 179). The cooperation of the two theories provides a great field for further research on the interdependence of identity and various processes in society.</w:t>
      </w:r>
    </w:p>
    <w:p>
      <w:pPr>
        <w:pStyle w:val="Normal"/>
        <w:bidi w:val="0"/>
        <w:spacing w:lineRule="auto" w:line="360"/>
        <w:jc w:val="both"/>
        <w:rPr>
          <w:lang w:val="en-GB" w:eastAsia="zh-CN" w:bidi="hi-IN"/>
        </w:rPr>
      </w:pPr>
      <w:r>
        <w:rPr>
          <w:i w:val="false"/>
          <w:iCs w:val="false"/>
          <w:lang w:val="en-GB" w:eastAsia="zh-CN" w:bidi="hi-IN"/>
        </w:rPr>
        <w:tab/>
        <w:t xml:space="preserve">On the politics of </w:t>
      </w:r>
      <w:r>
        <w:rPr>
          <w:i/>
          <w:iCs/>
          <w:lang w:val="en-GB" w:eastAsia="zh-CN" w:bidi="hi-IN"/>
        </w:rPr>
        <w:t>multiculturalism</w:t>
      </w:r>
      <w:r>
        <w:rPr>
          <w:i w:val="false"/>
          <w:iCs w:val="false"/>
          <w:lang w:val="en-GB" w:eastAsia="zh-CN" w:bidi="hi-IN"/>
        </w:rPr>
        <w:t xml:space="preserve"> talks in their book Francis Fukuyama (2019). Started as a phenomenon of several ethnic groups in a country's perspective, this notion quickly sank into the detailed background of those seemingly large cultural groups (p. 95) In the scope of identity, where culture is a part of one’s self-understanding, the </w:t>
      </w:r>
      <w:r>
        <w:rPr>
          <w:i/>
          <w:iCs/>
          <w:lang w:val="en-GB" w:eastAsia="zh-CN" w:bidi="hi-IN"/>
        </w:rPr>
        <w:t xml:space="preserve">multiculturalism </w:t>
      </w:r>
      <w:r>
        <w:rPr>
          <w:i w:val="false"/>
          <w:iCs w:val="false"/>
          <w:lang w:val="en-GB" w:eastAsia="zh-CN" w:bidi="hi-IN"/>
        </w:rPr>
        <w:t xml:space="preserve">can also be useful. Knowing the audience is an essential part of </w:t>
      </w:r>
      <w:r>
        <w:rPr>
          <w:i/>
          <w:iCs/>
          <w:lang w:val="en-GB" w:eastAsia="zh-CN" w:bidi="hi-IN"/>
        </w:rPr>
        <w:t xml:space="preserve">political correctness </w:t>
      </w:r>
      <w:r>
        <w:rPr>
          <w:i w:val="false"/>
          <w:iCs w:val="false"/>
          <w:lang w:val="en-GB" w:eastAsia="zh-CN" w:bidi="hi-IN"/>
        </w:rPr>
        <w:t xml:space="preserve">(p. 99), which is particularly useful in politics and understanding and assessment of a political movement. The development of society demands state recognition on deeper levels, normalising the new modes of identity (pp. 132-133) and establishing the </w:t>
      </w:r>
      <w:r>
        <w:rPr>
          <w:i/>
          <w:iCs/>
          <w:lang w:val="en-GB" w:eastAsia="zh-CN" w:bidi="hi-IN"/>
        </w:rPr>
        <w:t>intrapsychic</w:t>
      </w:r>
      <w:r>
        <w:rPr>
          <w:i w:val="false"/>
          <w:iCs w:val="false"/>
          <w:lang w:val="en-GB" w:eastAsia="zh-CN" w:bidi="hi-IN"/>
        </w:rPr>
        <w:t xml:space="preserve"> identity as a separate and valid mode of life.</w:t>
      </w:r>
    </w:p>
    <w:p>
      <w:pPr>
        <w:pStyle w:val="Normal"/>
        <w:bidi w:val="0"/>
        <w:spacing w:lineRule="auto" w:line="360"/>
        <w:jc w:val="both"/>
        <w:rPr>
          <w:lang w:val="en-GB" w:eastAsia="zh-CN" w:bidi="hi-IN"/>
        </w:rPr>
      </w:pPr>
      <w:r>
        <w:rPr>
          <w:i w:val="false"/>
          <w:iCs w:val="false"/>
          <w:lang w:val="en-GB" w:eastAsia="zh-CN" w:bidi="hi-IN"/>
        </w:rPr>
        <w:tab/>
        <w:t xml:space="preserve">All things considered, identity proves to be mostly unchangeable: people are forced into an already existing social context with little to no choice. The most flexible, </w:t>
      </w:r>
      <w:r>
        <w:rPr>
          <w:i/>
          <w:iCs/>
          <w:lang w:val="en-GB" w:eastAsia="zh-CN" w:bidi="hi-IN"/>
        </w:rPr>
        <w:t xml:space="preserve">intrapsychic </w:t>
      </w:r>
      <w:r>
        <w:rPr>
          <w:i w:val="false"/>
          <w:iCs w:val="false"/>
          <w:lang w:val="en-GB" w:eastAsia="zh-CN" w:bidi="hi-IN"/>
        </w:rPr>
        <w:t>level of identity, which reflects own assumptions and perceptions of themself, often exists in conflict with surrounding levels of social compartments. The social context is, however, subjected to change because of the identity, although so far the personal identity is both developed further than the social level and suppressed in favour of the social context. The studies of identity provide useful information and understanding of the interaction of identity and politics: identity needs to be one of the central parts of the politics of any direction. Although not only political area would benefit from the understanding of the concept of identity. Such fields as psychology and psychiatry would definitely utilize the knowledge of interdependence between mental health problems and identity acceptance. The study of identity provides sufficient space for further research.</w:t>
      </w:r>
    </w:p>
    <w:p>
      <w:pPr>
        <w:pStyle w:val="Normal"/>
        <w:bidi w:val="0"/>
        <w:spacing w:lineRule="auto" w:line="360"/>
        <w:jc w:val="both"/>
        <w:rPr>
          <w:lang w:val="en-GB" w:eastAsia="zh-CN" w:bidi="hi-IN"/>
        </w:rPr>
      </w:pPr>
      <w:r>
        <w:rPr>
          <w:lang w:val="en-GB" w:eastAsia="zh-CN" w:bidi="hi-IN"/>
        </w:rPr>
      </w:r>
    </w:p>
    <w:p>
      <w:pPr>
        <w:pStyle w:val="Normal"/>
        <w:bidi w:val="0"/>
        <w:spacing w:lineRule="auto" w:line="360"/>
        <w:jc w:val="both"/>
        <w:rPr>
          <w:lang w:val="en-GB" w:eastAsia="zh-CN" w:bidi="hi-IN"/>
        </w:rPr>
      </w:pPr>
      <w:r>
        <w:rPr>
          <w:lang w:val="en-GB" w:eastAsia="zh-CN" w:bidi="hi-IN"/>
        </w:rPr>
        <w:tab/>
      </w:r>
    </w:p>
    <w:p>
      <w:pPr>
        <w:pStyle w:val="Normal"/>
        <w:bidi w:val="0"/>
        <w:spacing w:lineRule="auto" w:line="360"/>
        <w:jc w:val="both"/>
        <w:rPr>
          <w:lang w:val="en-GB" w:eastAsia="zh-CN" w:bidi="hi-IN"/>
        </w:rPr>
      </w:pPr>
      <w:r>
        <w:rPr>
          <w:lang w:val="en-GB" w:eastAsia="zh-CN" w:bidi="hi-IN"/>
        </w:rPr>
      </w:r>
      <w:r>
        <w:br w:type="page"/>
      </w:r>
    </w:p>
    <w:p>
      <w:pPr>
        <w:pStyle w:val="Normal"/>
        <w:bidi w:val="0"/>
        <w:spacing w:lineRule="auto" w:line="360"/>
        <w:jc w:val="both"/>
        <w:rPr>
          <w:lang w:val="en-GB" w:eastAsia="zh-CN" w:bidi="hi-IN"/>
        </w:rPr>
      </w:pPr>
      <w:r>
        <w:rPr>
          <w:b/>
          <w:bCs/>
          <w:i/>
          <w:iCs/>
          <w:lang w:val="en-GB" w:eastAsia="zh-CN" w:bidi="hi-IN"/>
        </w:rPr>
        <w:t>References</w:t>
      </w:r>
    </w:p>
    <w:p>
      <w:pPr>
        <w:pStyle w:val="TextBody"/>
        <w:ind w:left="567" w:right="0" w:hanging="567"/>
        <w:jc w:val="both"/>
        <w:rPr>
          <w:lang w:val="en-GB" w:eastAsia="zh-CN" w:bidi="hi-IN"/>
        </w:rPr>
      </w:pPr>
      <w:r>
        <w:rPr>
          <w:lang w:val="en-GB" w:eastAsia="zh-CN" w:bidi="hi-IN"/>
        </w:rPr>
        <w:t xml:space="preserve">1. Agius, C. </w:t>
      </w:r>
      <w:r>
        <w:rPr>
          <w:i/>
          <w:lang w:val="en-GB" w:eastAsia="zh-CN" w:bidi="hi-IN"/>
        </w:rPr>
        <w:t>et al.</w:t>
      </w:r>
      <w:r>
        <w:rPr>
          <w:lang w:val="en-GB" w:eastAsia="zh-CN" w:bidi="hi-IN"/>
        </w:rPr>
        <w:t xml:space="preserve"> (2018) “The politics of identity: making and disrupting identity,” in </w:t>
      </w:r>
      <w:r>
        <w:rPr>
          <w:i/>
          <w:lang w:val="en-GB" w:eastAsia="zh-CN" w:bidi="hi-IN"/>
        </w:rPr>
        <w:t>The Politics of Identity: Place, space and discourse</w:t>
      </w:r>
      <w:r>
        <w:rPr>
          <w:lang w:val="en-GB" w:eastAsia="zh-CN" w:bidi="hi-IN"/>
        </w:rPr>
        <w:t xml:space="preserve">. Oxford: Manchester University Press, pp. 1–11. </w:t>
      </w:r>
    </w:p>
    <w:p>
      <w:pPr>
        <w:pStyle w:val="TextBody"/>
        <w:ind w:left="567" w:right="0" w:hanging="567"/>
        <w:jc w:val="both"/>
        <w:rPr>
          <w:lang w:val="en-GB" w:eastAsia="zh-CN" w:bidi="hi-IN"/>
        </w:rPr>
      </w:pPr>
      <w:r>
        <w:rPr>
          <w:lang w:val="en-GB" w:eastAsia="zh-CN" w:bidi="hi-IN"/>
        </w:rPr>
        <w:t xml:space="preserve">2. Burke, P.J. (2006) “Identity change,” </w:t>
      </w:r>
      <w:r>
        <w:rPr>
          <w:i/>
          <w:lang w:val="en-GB" w:eastAsia="zh-CN" w:bidi="hi-IN"/>
        </w:rPr>
        <w:t>Social Psychology Quarterly</w:t>
      </w:r>
      <w:r>
        <w:rPr>
          <w:lang w:val="en-GB" w:eastAsia="zh-CN" w:bidi="hi-IN"/>
        </w:rPr>
        <w:t xml:space="preserve">, 69(1), pp. 81–96. Available at: https://doi.org/10.1177/019027250606900106. </w:t>
      </w:r>
    </w:p>
    <w:p>
      <w:pPr>
        <w:pStyle w:val="TextBody"/>
        <w:ind w:left="567" w:right="0" w:hanging="567"/>
        <w:jc w:val="both"/>
        <w:rPr>
          <w:lang w:val="en-GB" w:eastAsia="zh-CN" w:bidi="hi-IN"/>
        </w:rPr>
      </w:pPr>
      <w:r>
        <w:rPr>
          <w:lang w:val="en-GB" w:eastAsia="zh-CN" w:bidi="hi-IN"/>
        </w:rPr>
        <w:t xml:space="preserve">3. Fukuyama, F. (2019) “11. From Identity to Identities”, “14. What is to be done?”, in </w:t>
      </w:r>
      <w:r>
        <w:rPr>
          <w:i/>
          <w:lang w:val="en-GB" w:eastAsia="zh-CN" w:bidi="hi-IN"/>
        </w:rPr>
        <w:t>Identity: The demand for dignity and the politics of resentment</w:t>
      </w:r>
      <w:r>
        <w:rPr>
          <w:lang w:val="en-GB" w:eastAsia="zh-CN" w:bidi="hi-IN"/>
        </w:rPr>
        <w:t xml:space="preserve">. New York, NY: Picador, pp. 90–103; 132–146. </w:t>
      </w:r>
    </w:p>
    <w:p>
      <w:pPr>
        <w:pStyle w:val="TextBody"/>
        <w:ind w:left="567" w:right="0" w:hanging="567"/>
        <w:jc w:val="both"/>
        <w:rPr>
          <w:lang w:val="en-GB" w:eastAsia="zh-CN" w:bidi="hi-IN"/>
        </w:rPr>
      </w:pPr>
      <w:r>
        <w:rPr>
          <w:lang w:val="en-GB" w:eastAsia="zh-CN" w:bidi="hi-IN"/>
        </w:rPr>
        <w:t xml:space="preserve">4. Jaspal, R., Bardi, A., Polek, E. and Schwartz, S.H. (2016) “Part III Integrating theoretical frameworks: ‘9 Values and Identity Process Theory: theoretical integration and empirical interactions,’” in </w:t>
      </w:r>
      <w:r>
        <w:rPr>
          <w:i/>
          <w:lang w:val="en-GB" w:eastAsia="zh-CN" w:bidi="hi-IN"/>
        </w:rPr>
        <w:t>Identity process theory</w:t>
      </w:r>
      <w:r>
        <w:rPr>
          <w:lang w:val="en-GB" w:eastAsia="zh-CN" w:bidi="hi-IN"/>
        </w:rPr>
        <w:t xml:space="preserve">. New York, NY: Cambridge Univ Press, pp. 175–199. </w:t>
      </w:r>
    </w:p>
    <w:p>
      <w:pPr>
        <w:pStyle w:val="TextBody"/>
        <w:ind w:left="567" w:right="0" w:hanging="567"/>
        <w:jc w:val="both"/>
        <w:rPr>
          <w:lang w:val="en-GB" w:eastAsia="zh-CN" w:bidi="hi-IN"/>
        </w:rPr>
      </w:pPr>
      <w:r>
        <w:rPr>
          <w:lang w:val="en-GB" w:eastAsia="zh-CN" w:bidi="hi-IN"/>
        </w:rPr>
        <w:t xml:space="preserve">5. Klandermans, P.G. (2014) “Identity politics and politicized identities: Identity processes and the dynamics of protest,” </w:t>
      </w:r>
      <w:r>
        <w:rPr>
          <w:i/>
          <w:lang w:val="en-GB" w:eastAsia="zh-CN" w:bidi="hi-IN"/>
        </w:rPr>
        <w:t>Political Psychology</w:t>
      </w:r>
      <w:r>
        <w:rPr>
          <w:lang w:val="en-GB" w:eastAsia="zh-CN" w:bidi="hi-IN"/>
        </w:rPr>
        <w:t xml:space="preserve">, 35(1), pp. 1–22. Available at: https://doi.org/10.1111/pops.12167. </w:t>
      </w:r>
    </w:p>
    <w:p>
      <w:pPr>
        <w:pStyle w:val="TextBody"/>
        <w:ind w:left="567" w:right="0" w:hanging="567"/>
        <w:jc w:val="both"/>
        <w:rPr>
          <w:lang w:val="en-GB" w:eastAsia="zh-CN" w:bidi="hi-IN"/>
        </w:rPr>
      </w:pPr>
      <w:r>
        <w:rPr>
          <w:lang w:val="en-GB" w:eastAsia="zh-CN" w:bidi="hi-IN"/>
        </w:rPr>
        <w:t xml:space="preserve">6. Klein, S.B. and Nichols, S. (2012) “Memory and the sense of personal identity,” </w:t>
      </w:r>
      <w:r>
        <w:rPr>
          <w:i/>
          <w:lang w:val="en-GB" w:eastAsia="zh-CN" w:bidi="hi-IN"/>
        </w:rPr>
        <w:t>Mind</w:t>
      </w:r>
      <w:r>
        <w:rPr>
          <w:lang w:val="en-GB" w:eastAsia="zh-CN" w:bidi="hi-IN"/>
        </w:rPr>
        <w:t xml:space="preserve">, 121(483), pp. 677–702. Available at: https://doi.org/10.1093/mind/fzs080. </w:t>
      </w:r>
    </w:p>
    <w:p>
      <w:pPr>
        <w:pStyle w:val="TextBody"/>
        <w:ind w:left="567" w:right="0" w:hanging="567"/>
        <w:jc w:val="both"/>
        <w:rPr>
          <w:lang w:val="en-GB" w:eastAsia="zh-CN" w:bidi="hi-IN"/>
        </w:rPr>
      </w:pPr>
      <w:r>
        <w:rPr>
          <w:lang w:val="en-GB" w:eastAsia="zh-CN" w:bidi="hi-IN"/>
        </w:rPr>
        <w:t xml:space="preserve">7. Lawrence, B. (2003) “Gender, race, and the regulation of Native identity in Canada and the United States: An overview,” </w:t>
      </w:r>
      <w:r>
        <w:rPr>
          <w:i/>
          <w:lang w:val="en-GB" w:eastAsia="zh-CN" w:bidi="hi-IN"/>
        </w:rPr>
        <w:t>Hypatia</w:t>
      </w:r>
      <w:r>
        <w:rPr>
          <w:lang w:val="en-GB" w:eastAsia="zh-CN" w:bidi="hi-IN"/>
        </w:rPr>
        <w:t xml:space="preserve">, 18(2), pp. 3–31. Available at: https://doi.org/10.1111/j.1527-2001.2003.tb00799.x. </w:t>
      </w:r>
    </w:p>
    <w:p>
      <w:pPr>
        <w:pStyle w:val="TextBody"/>
        <w:ind w:left="567" w:right="0" w:hanging="567"/>
        <w:jc w:val="both"/>
        <w:rPr>
          <w:lang w:val="en-GB" w:eastAsia="zh-CN" w:bidi="hi-IN"/>
        </w:rPr>
      </w:pPr>
      <w:r>
        <w:rPr>
          <w:lang w:val="en-GB" w:eastAsia="zh-CN" w:bidi="hi-IN"/>
        </w:rPr>
        <w:t xml:space="preserve">8. Maynard, J.L. (2015) “Identity and Ideology in Political Violence and Conflict,” </w:t>
      </w:r>
      <w:r>
        <w:rPr>
          <w:i/>
          <w:lang w:val="en-GB" w:eastAsia="zh-CN" w:bidi="hi-IN"/>
        </w:rPr>
        <w:t>St Antony's International Review</w:t>
      </w:r>
      <w:r>
        <w:rPr>
          <w:lang w:val="en-GB" w:eastAsia="zh-CN" w:bidi="hi-IN"/>
        </w:rPr>
        <w:t xml:space="preserve">, 10(2), pp. 18–52. Available at: https://doi.org/10.1080/09546553.2013.796934. </w:t>
      </w:r>
    </w:p>
    <w:p>
      <w:pPr>
        <w:pStyle w:val="TextBody"/>
        <w:ind w:left="567" w:right="0" w:hanging="567"/>
        <w:jc w:val="both"/>
        <w:rPr>
          <w:lang w:val="en-GB" w:eastAsia="zh-CN" w:bidi="hi-IN"/>
        </w:rPr>
      </w:pPr>
      <w:r>
        <w:rPr>
          <w:lang w:val="en-GB" w:eastAsia="zh-CN" w:bidi="hi-IN"/>
        </w:rPr>
        <w:t xml:space="preserve">9. Meer, N. (2015) “4 Local and Global Muslim identities,” in </w:t>
      </w:r>
      <w:r>
        <w:rPr>
          <w:i/>
          <w:lang w:val="en-GB" w:eastAsia="zh-CN" w:bidi="hi-IN"/>
        </w:rPr>
        <w:t>Citizenship, identity and the politics of multiculturalism: The rise of Muslim conciousness</w:t>
      </w:r>
      <w:r>
        <w:rPr>
          <w:lang w:val="en-GB" w:eastAsia="zh-CN" w:bidi="hi-IN"/>
        </w:rPr>
        <w:t xml:space="preserve">. Basingstoke, England: Palgrave Macmillan, pp. 81–106. </w:t>
      </w:r>
    </w:p>
    <w:p>
      <w:pPr>
        <w:pStyle w:val="TextBody"/>
        <w:ind w:left="567" w:right="0" w:hanging="567"/>
        <w:jc w:val="both"/>
        <w:rPr>
          <w:lang w:val="en-GB" w:eastAsia="zh-CN" w:bidi="hi-IN"/>
        </w:rPr>
      </w:pPr>
      <w:r>
        <w:rPr>
          <w:lang w:val="en-GB" w:eastAsia="zh-CN" w:bidi="hi-IN"/>
        </w:rPr>
        <w:t xml:space="preserve">10. Norton, B. (2016) “Identity and language learning: Back to the future,” </w:t>
      </w:r>
      <w:r>
        <w:rPr>
          <w:i/>
          <w:lang w:val="en-GB" w:eastAsia="zh-CN" w:bidi="hi-IN"/>
        </w:rPr>
        <w:t>TESOL Quarterly</w:t>
      </w:r>
      <w:r>
        <w:rPr>
          <w:lang w:val="en-GB" w:eastAsia="zh-CN" w:bidi="hi-IN"/>
        </w:rPr>
        <w:t xml:space="preserve">, 50(2), pp. 475–479. Available at: https://doi.org/10.1002/tesq.293. </w:t>
      </w:r>
    </w:p>
    <w:p>
      <w:pPr>
        <w:pStyle w:val="TextBody"/>
        <w:ind w:left="567" w:right="0" w:hanging="567"/>
        <w:jc w:val="both"/>
        <w:rPr>
          <w:lang w:val="en-GB" w:eastAsia="zh-CN" w:bidi="hi-IN"/>
        </w:rPr>
      </w:pPr>
      <w:r>
        <w:rPr>
          <w:lang w:val="en-GB" w:eastAsia="zh-CN" w:bidi="hi-IN"/>
        </w:rPr>
        <w:t xml:space="preserve">11. Sanders, D.E. (1999) “Indigenous peoples: Issues of definition,” </w:t>
      </w:r>
      <w:r>
        <w:rPr>
          <w:i/>
          <w:lang w:val="en-GB" w:eastAsia="zh-CN" w:bidi="hi-IN"/>
        </w:rPr>
        <w:t>International Journal of Cultural Property</w:t>
      </w:r>
      <w:r>
        <w:rPr>
          <w:lang w:val="en-GB" w:eastAsia="zh-CN" w:bidi="hi-IN"/>
        </w:rPr>
        <w:t xml:space="preserve">, 8(1), pp. 4–13. Available at: https://doi.org/10.1017/s0940739199770591. </w:t>
      </w:r>
    </w:p>
    <w:p>
      <w:pPr>
        <w:pStyle w:val="TextBody"/>
        <w:ind w:left="567" w:right="0" w:hanging="567"/>
        <w:jc w:val="both"/>
        <w:rPr>
          <w:lang w:val="en-GB" w:eastAsia="zh-CN" w:bidi="hi-IN"/>
        </w:rPr>
      </w:pPr>
      <w:r>
        <w:rPr>
          <w:lang w:val="en-GB" w:eastAsia="zh-CN" w:bidi="hi-IN"/>
        </w:rPr>
        <w:t xml:space="preserve">12. Wakefield, W.D. and Hudley, C. (2007) “Ethnic and racial identity and adolescent well-being,” </w:t>
      </w:r>
      <w:r>
        <w:rPr>
          <w:i/>
          <w:lang w:val="en-GB" w:eastAsia="zh-CN" w:bidi="hi-IN"/>
        </w:rPr>
        <w:t>Theory Into Practice</w:t>
      </w:r>
      <w:r>
        <w:rPr>
          <w:lang w:val="en-GB" w:eastAsia="zh-CN" w:bidi="hi-IN"/>
        </w:rPr>
        <w:t xml:space="preserve">, 46(2), pp. 147–154. Available at: https://doi.org/10.1080/00405840701233099. </w:t>
      </w:r>
    </w:p>
    <w:p>
      <w:pPr>
        <w:pStyle w:val="Normal"/>
        <w:bidi w:val="0"/>
        <w:spacing w:lineRule="auto" w:line="360"/>
        <w:jc w:val="both"/>
        <w:rPr>
          <w:lang w:val="en-GB" w:eastAsia="zh-CN" w:bidi="hi-IN"/>
        </w:rPr>
      </w:pPr>
      <w:r>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num w:numId="1">
    <w:abstractNumId w:val="1"/>
  </w:num>
  <w:num w:numId="2">
    <w:abstractNumId w:val="2"/>
  </w:num>
</w:numbering>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2"/>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kern w:val="2"/>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NSimSun" w:cs="Lucida Sans"/>
      <w:color w:val="auto"/>
      <w:kern w:val="2"/>
      <w:sz w:val="24"/>
      <w:szCs w:val="24"/>
      <w:lang w:val="en-US" w:eastAsia="zh-CN" w:bidi="hi-IN"/>
    </w:rPr>
  </w:style>
  <w:style w:type="paragraph" w:styleId="Heading2" w:customStyle="1">
    <w:name w:val="Heading 2"/>
    <w:basedOn w:val="Heading"/>
    <w:next w:val="TextBody"/>
    <w:qFormat/>
    <w:pPr>
      <w:numPr>
        <w:ilvl w:val="1"/>
        <w:numId w:val="2"/>
      </w:numPr>
      <w:spacing w:before="200" w:after="120"/>
      <w:outlineLvl w:val="1"/>
    </w:pPr>
    <w:rPr>
      <w:b/>
      <w:bCs/>
      <w:sz w:val="32"/>
      <w:szCs w:val="32"/>
    </w:rPr>
  </w:style>
  <w:style w:type="character" w:styleId="DefaultParagraphFont" w:default="1">
    <w:name w:val="Default Paragraph Font"/>
    <w:uiPriority w:val="1"/>
    <w:semiHidden/>
    <w:unhideWhenUsed/>
    <w:qFormat/>
    <w:rPr/>
  </w:style>
  <w:style w:type="paragraph" w:styleId="Heading" w:customStyle="1">
    <w:name w:val="Heading"/>
    <w:basedOn w:val="Normal"/>
    <w:next w:val="TextBody"/>
    <w:qFormat/>
    <w:pPr>
      <w:keepNext w:val="true"/>
      <w:spacing w:before="240" w:after="120"/>
    </w:pPr>
    <w:rPr>
      <w:rFonts w:ascii="Times New Roman" w:hAnsi="Times New Roman"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customStyle="1">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rFonts w:cs="Lucida Sans"/>
      <w:lang w:val="en-US" w:eastAsia="en-US" w:bidi="en-US"/>
    </w:rPr>
  </w:style>
  <w:style w:type="paragraph" w:styleId="Default" w:customStyle="1">
    <w:name w:val="Default"/>
    <w:qFormat/>
    <w:pPr>
      <w:widowControl/>
      <w:suppressAutoHyphens w:val="true"/>
      <w:bidi w:val="0"/>
      <w:spacing w:before="0" w:after="0"/>
      <w:jc w:val="left"/>
    </w:pPr>
    <w:rPr>
      <w:rFonts w:ascii="Times New Roman" w:hAnsi="Times New Roman" w:eastAsia="NSimSun" w:cs="Lucida Sans"/>
      <w:color w:val="000000"/>
      <w:kern w:val="2"/>
      <w:sz w:val="24"/>
      <w:szCs w:val="24"/>
      <w:lang w:val="en-U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1141</TotalTime>
  <Application>LibreOffice/7.3.4.2$Windows_X86_64 LibreOffice_project/728fec16bd5f605073805c3c9e7c4212a0120dc5</Application>
  <AppVersion>15.0000</AppVersion>
  <Pages>5</Pages>
  <Words>2219</Words>
  <Characters>12101</Characters>
  <CharactersWithSpaces>14319</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2014-09-07T12:23:00Z</dcterms:created>
  <dc:creator>Nilesh</dc:creator>
  <dc:description/>
  <dc:language>en-US</dc:language>
  <cp:lastModifiedBy/>
  <dcterms:modified xsi:type="dcterms:W3CDTF">2023-03-27T17:06:14Z</dcterms:modified>
  <cp:revision>89</cp:revision>
  <dc:subject/>
  <dc:title/>
</cp:coreProperties>
</file>

<file path=docProps/custom.xml><?xml version="1.0" encoding="utf-8"?>
<Properties xmlns="http://schemas.openxmlformats.org/officeDocument/2006/custom-properties" xmlns:vt="http://schemas.openxmlformats.org/officeDocument/2006/docPropsVTypes"/>
</file>