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5FAB522" wp14:paraId="7C02CF71" wp14:textId="299CB27F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5FAB522" w:rsidR="6AE4591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 athletes with previous ACL injuries report lower confidence in cutting and landing movements compared to uninjured athletes?</w:t>
      </w:r>
    </w:p>
    <w:p w:rsidR="0282F1A4" w:rsidP="258D4AF7" w:rsidRDefault="0282F1A4" w14:paraId="379D9179" w14:textId="485C1A35">
      <w:pPr>
        <w:pStyle w:val="Normal"/>
      </w:pPr>
    </w:p>
    <w:p w:rsidR="2A164EB3" w:rsidRDefault="2A164EB3" w14:paraId="44946AEB" w14:textId="15A57692">
      <w:r w:rsidRPr="75FAB522" w:rsidR="6AE459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aim of this study is to </w:t>
      </w:r>
      <w:r w:rsidRPr="75FAB522" w:rsidR="644F34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compare the confidence levels in cutting and landing movements between athletes who have had </w:t>
      </w:r>
      <w:r w:rsidRPr="75FAB522" w:rsidR="644F34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75FAB522" w:rsidR="644F34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ACL injuries compared to athletes with no </w:t>
      </w:r>
      <w:r w:rsidRPr="75FAB522" w:rsidR="644F34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75FAB522" w:rsidR="644F34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injuries lower limb injuries within the last 12 months.</w:t>
      </w:r>
    </w:p>
    <w:p w:rsidR="12575CD6" w:rsidP="258D4AF7" w:rsidRDefault="12575CD6" w14:paraId="16526458" w14:textId="139CEC44">
      <w:pPr>
        <w:pStyle w:val="Normal"/>
      </w:pPr>
      <w:r w:rsidRPr="258D4AF7" w:rsidR="59F10F7B">
        <w:rPr>
          <w:b w:val="1"/>
          <w:bCs w:val="1"/>
        </w:rPr>
        <w:t xml:space="preserve">Introduction and rationale </w:t>
      </w:r>
    </w:p>
    <w:p w:rsidR="243A21D0" w:rsidP="258D4AF7" w:rsidRDefault="243A21D0" w14:paraId="17DDA9DF" w14:textId="7B07D5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</w:pPr>
      <w:r w:rsidRPr="258D4AF7" w:rsidR="243A21D0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The Anterior</w:t>
      </w:r>
      <w:r w:rsidRPr="258D4AF7" w:rsidR="5DB868C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cruciate ligament (ACL)</w:t>
      </w:r>
      <w:r w:rsidRPr="258D4AF7" w:rsidR="3BD0AC17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is one of the </w:t>
      </w:r>
      <w:r w:rsidRPr="258D4AF7" w:rsidR="40512910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main </w:t>
      </w:r>
      <w:r w:rsidRPr="258D4AF7" w:rsidR="7817E6E9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stabilisers in</w:t>
      </w:r>
      <w:r w:rsidRPr="258D4AF7" w:rsidR="3BD0AC17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the knee</w:t>
      </w:r>
      <w:r w:rsidRPr="258D4AF7" w:rsidR="12DF00BF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, </w:t>
      </w:r>
      <w:r w:rsidRPr="258D4AF7" w:rsidR="5009750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with the role of controlling </w:t>
      </w:r>
      <w:r w:rsidRPr="258D4AF7" w:rsidR="2E90B02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anterior </w:t>
      </w:r>
      <w:r w:rsidRPr="258D4AF7" w:rsidR="5009750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tibial translation and stability during dynamic movements. </w:t>
      </w:r>
      <w:r w:rsidRPr="258D4AF7" w:rsidR="119749DB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ACL </w:t>
      </w:r>
      <w:r w:rsidRPr="258D4AF7" w:rsidR="5DB868C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injuries are one of the most common injuries within sport</w:t>
      </w:r>
      <w:r w:rsidRPr="258D4AF7" w:rsidR="2202057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ing environments</w:t>
      </w:r>
      <w:r w:rsidRPr="258D4AF7" w:rsidR="5DB868C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and within rugby</w:t>
      </w:r>
      <w:r w:rsidRPr="258D4AF7" w:rsidR="44987A1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, this is due to the demanding movements such as sudden change of direction, accelerations/</w:t>
      </w:r>
      <w:r w:rsidRPr="258D4AF7" w:rsidR="44987A1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deaccelerations</w:t>
      </w:r>
      <w:r w:rsidRPr="258D4AF7" w:rsidR="44987A1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and impact injuries</w:t>
      </w:r>
      <w:r w:rsidRPr="258D4AF7" w:rsidR="5DB868C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258D4AF7" w:rsidR="024690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(Long and Rao, 2026)</w:t>
      </w:r>
      <w:r w:rsidRPr="258D4AF7" w:rsidR="5DB868C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. </w:t>
      </w:r>
      <w:r w:rsidRPr="258D4AF7" w:rsidR="5E72592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Movements such as side stepping with </w:t>
      </w:r>
      <w:r w:rsidRPr="258D4AF7" w:rsidR="77768E49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deacceleration</w:t>
      </w:r>
      <w:r w:rsidRPr="258D4AF7" w:rsidR="5E72592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(cutting) along with landing from jumping </w:t>
      </w:r>
      <w:r w:rsidRPr="258D4AF7" w:rsidR="76DCEEF1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movements</w:t>
      </w:r>
      <w:r w:rsidRPr="258D4AF7" w:rsidR="5E72592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258D4AF7" w:rsidR="772BC3C8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are</w:t>
      </w:r>
      <w:r w:rsidRPr="258D4AF7" w:rsidR="5E72592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258D4AF7" w:rsidR="5E72592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high risk</w:t>
      </w:r>
      <w:r w:rsidRPr="258D4AF7" w:rsidR="5E72592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movem</w:t>
      </w:r>
      <w:r w:rsidRPr="258D4AF7" w:rsidR="27C985E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e</w:t>
      </w:r>
      <w:r w:rsidRPr="258D4AF7" w:rsidR="5E72592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nts linked with the me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chanisms of ACL injuries within </w:t>
      </w:r>
      <w:r w:rsidRPr="258D4AF7" w:rsidR="7C1E5CB1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athletes'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state </w:t>
      </w:r>
      <w:r w:rsidRPr="258D4AF7" w:rsidR="1253C7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Aizawa et al. (2020</w:t>
      </w:r>
      <w:r w:rsidRPr="258D4AF7" w:rsidR="1253C7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)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258D4AF7" w:rsidR="2461A7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,</w:t>
      </w:r>
      <w:r w:rsidRPr="258D4AF7" w:rsidR="2461A7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due to the force and load placed on the ACL and knee. 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Further to this, an </w:t>
      </w:r>
      <w:r w:rsidRPr="258D4AF7" w:rsidR="25CD8428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athlete's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psychological 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state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and readiness before </w:t>
      </w:r>
      <w:r w:rsidRPr="258D4AF7" w:rsidR="01A574D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returning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to playing </w:t>
      </w:r>
      <w:r w:rsidRPr="258D4AF7" w:rsidR="4959B268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scenarios</w:t>
      </w:r>
      <w:r w:rsidRPr="258D4AF7" w:rsidR="7B8C64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are a key factor in a </w:t>
      </w:r>
      <w:r w:rsidRPr="258D4AF7" w:rsidR="58CB26D0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return to play </w:t>
      </w:r>
      <w:r w:rsidRPr="258D4AF7" w:rsidR="5EE38D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(Webster and Feller, 2021)</w:t>
      </w:r>
      <w:r w:rsidRPr="258D4AF7" w:rsidR="27C904F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.</w:t>
      </w:r>
      <w:r w:rsidRPr="258D4AF7" w:rsidR="24E146A6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258D4AF7" w:rsidR="7B3AA469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</w:p>
    <w:p w:rsidR="7606001E" w:rsidP="258D4AF7" w:rsidRDefault="7606001E" w14:paraId="4DECD8D1" w14:textId="2058753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58D4AF7" w:rsidR="27C904F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Fear of reinjury in athletes can </w:t>
      </w:r>
      <w:r w:rsidRPr="258D4AF7" w:rsidR="73E7F579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reduced</w:t>
      </w:r>
      <w:r w:rsidRPr="258D4AF7" w:rsidR="27C904F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the confidence in </w:t>
      </w:r>
      <w:r w:rsidRPr="258D4AF7" w:rsidR="55367AC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movements</w:t>
      </w:r>
      <w:r w:rsidRPr="258D4AF7" w:rsidR="27C904F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after ACL surgeries and rehab</w:t>
      </w:r>
      <w:r w:rsidRPr="258D4AF7" w:rsidR="69800099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258D4AF7" w:rsidR="6980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(Meierbachtol et al., 2018).</w:t>
      </w:r>
      <w:r w:rsidRPr="258D4AF7" w:rsidR="27C904F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using the ACL-RSI </w:t>
      </w:r>
      <w:r w:rsidRPr="258D4AF7" w:rsidR="7C9818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(Return to Sport after Injury)</w:t>
      </w:r>
      <w:r w:rsidRPr="258D4AF7" w:rsidR="7C981836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258D4AF7" w:rsidR="27C904F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scale </w:t>
      </w:r>
      <w:r w:rsidRPr="258D4AF7" w:rsidR="4C97769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helps discuss and analysis </w:t>
      </w:r>
      <w:r w:rsidRPr="258D4AF7" w:rsidR="6B75617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psychological </w:t>
      </w:r>
      <w:r w:rsidRPr="258D4AF7" w:rsidR="6D78C915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barriers</w:t>
      </w:r>
      <w:r w:rsidRPr="258D4AF7" w:rsidR="4C97769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and the readiness within an athlete to return to sports</w:t>
      </w:r>
      <w:r w:rsidRPr="258D4AF7" w:rsidR="52C31C8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.</w:t>
      </w:r>
      <w:r w:rsidRPr="258D4AF7" w:rsidR="70C54706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258D4AF7" w:rsidR="58111BD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The ACL-RSI scale is used in recent articles discussing the landing and cutting confidence</w:t>
      </w:r>
      <w:r w:rsidRPr="258D4AF7" w:rsidR="3DCAF126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.</w:t>
      </w:r>
      <w:r w:rsidRPr="258D4AF7" w:rsidR="58111BD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="52C31C83">
        <w:rPr>
          <w:b w:val="0"/>
          <w:bCs w:val="0"/>
        </w:rPr>
        <w:t xml:space="preserve">Rugby is an ideal sport to study due to the frequent movements of cutting and landing. Comparing injured athletes to </w:t>
      </w:r>
      <w:r w:rsidR="468A7AA2">
        <w:rPr>
          <w:b w:val="0"/>
          <w:bCs w:val="0"/>
        </w:rPr>
        <w:t>uninjured</w:t>
      </w:r>
      <w:r w:rsidR="52C31C83">
        <w:rPr>
          <w:b w:val="0"/>
          <w:bCs w:val="0"/>
        </w:rPr>
        <w:t xml:space="preserve"> athletes allows a</w:t>
      </w:r>
      <w:r w:rsidRPr="258D4AF7" w:rsidR="52C31C8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n identific</w:t>
      </w:r>
      <w:r w:rsidRPr="258D4AF7" w:rsidR="61E90BE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ation of deficits that may occur during rehab, this allows therapists to tailor programmes and increase </w:t>
      </w:r>
      <w:r w:rsidRPr="258D4AF7" w:rsidR="709BB2F6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reptation</w:t>
      </w:r>
      <w:r w:rsidRPr="258D4AF7" w:rsidR="61E90BE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to increase readiness in</w:t>
      </w:r>
      <w:r w:rsidRPr="258D4AF7" w:rsidR="04E4FDF7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athletes to return to play </w:t>
      </w:r>
      <w:r w:rsidRPr="258D4AF7" w:rsidR="2E67BB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(Paterno et al., 2019).</w:t>
      </w:r>
      <w:r w:rsidRPr="258D4AF7" w:rsidR="50A1AB3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purpose of this study is to compare the </w:t>
      </w:r>
      <w:r w:rsidRPr="258D4AF7" w:rsidR="1439AD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self-reported</w:t>
      </w:r>
      <w:r w:rsidRPr="258D4AF7" w:rsidR="50A1AB3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confidence from an athlete who has sustained an ACL injury in cutting and landing </w:t>
      </w:r>
      <w:r w:rsidRPr="258D4AF7" w:rsidR="39BF2B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movements</w:t>
      </w:r>
      <w:r w:rsidRPr="258D4AF7" w:rsidR="50A1AB3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compared to an athlete who has </w:t>
      </w:r>
      <w:r w:rsidRPr="258D4AF7" w:rsidR="246390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not experienced a lower limb injury</w:t>
      </w:r>
    </w:p>
    <w:p w:rsidR="44206723" w:rsidP="258D4AF7" w:rsidRDefault="44206723" w14:paraId="3E630560" w14:textId="41E4D81F">
      <w:pPr>
        <w:pStyle w:val="Normal"/>
      </w:pPr>
      <w:r w:rsidRPr="258D4AF7" w:rsidR="6F3CA2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ACL injured athletes may </w:t>
      </w:r>
      <w:r w:rsidRPr="258D4AF7" w:rsidR="6A1CE4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experience</w:t>
      </w:r>
      <w:r w:rsidRPr="258D4AF7" w:rsidR="6F3CA2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reduced confidence and apprehension when returning to play </w:t>
      </w:r>
      <w:r w:rsidRPr="258D4AF7" w:rsidR="6C38A2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after</w:t>
      </w:r>
      <w:r w:rsidRPr="258D4AF7" w:rsidR="6F3CA2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their injury, being therapist lead and having support and supervision during the </w:t>
      </w:r>
      <w:r w:rsidRPr="258D4AF7" w:rsidR="2AD72B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rehabilitation phase may support the </w:t>
      </w:r>
      <w:r w:rsidRPr="258D4AF7" w:rsidR="3684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psychological benefits of the athlete</w:t>
      </w:r>
      <w:r w:rsidRPr="258D4AF7" w:rsidR="16AB30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. This can be increasing confidence and </w:t>
      </w:r>
      <w:r w:rsidRPr="258D4AF7" w:rsidR="356F2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emotional support</w:t>
      </w:r>
      <w:r w:rsidRPr="258D4AF7" w:rsidR="16AB30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also</w:t>
      </w:r>
      <w:r w:rsidRPr="258D4AF7" w:rsidR="3684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</w:t>
      </w:r>
      <w:r w:rsidRPr="258D4AF7" w:rsidR="7AE43B4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(Chmielewski et al., 2024)</w:t>
      </w:r>
      <w:r w:rsidRPr="258D4AF7" w:rsidR="3684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</w:t>
      </w:r>
      <w:r w:rsidRPr="258D4AF7" w:rsidR="3684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The </w:t>
      </w:r>
      <w:r w:rsidRPr="258D4AF7" w:rsidR="55310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inclusion</w:t>
      </w:r>
      <w:r w:rsidRPr="258D4AF7" w:rsidR="3684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of a sports therap</w:t>
      </w:r>
      <w:r w:rsidRPr="258D4AF7" w:rsidR="221207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ist and or a physiotherapist</w:t>
      </w:r>
      <w:r w:rsidRPr="258D4AF7" w:rsidR="3776F2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</w:t>
      </w:r>
      <w:r w:rsidRPr="258D4AF7" w:rsidR="221207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during ACL return</w:t>
      </w:r>
      <w:r w:rsidRPr="258D4AF7" w:rsidR="07D7FF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ing athletes is important in this study, </w:t>
      </w:r>
      <w:r w:rsidRPr="258D4AF7" w:rsidR="6CA85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this is due to the knowledge in movements </w:t>
      </w:r>
      <w:r w:rsidRPr="258D4AF7" w:rsidR="6CA85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required</w:t>
      </w:r>
      <w:r w:rsidRPr="258D4AF7" w:rsidR="6CA85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, </w:t>
      </w:r>
      <w:r w:rsidRPr="258D4AF7" w:rsidR="008389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rehabilitation</w:t>
      </w:r>
      <w:r w:rsidRPr="258D4AF7" w:rsidR="6CA85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needed but also the readiness of the athlete to </w:t>
      </w:r>
      <w:r w:rsidRPr="258D4AF7" w:rsidR="524D09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>move</w:t>
      </w:r>
      <w:r w:rsidRPr="258D4AF7" w:rsidR="6CA85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  <w:t xml:space="preserve"> on each phase. </w:t>
      </w:r>
    </w:p>
    <w:p w:rsidR="44206723" w:rsidP="258D4AF7" w:rsidRDefault="44206723" w14:paraId="2BF88A73" w14:textId="690F53E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</w:rPr>
      </w:pPr>
    </w:p>
    <w:p w:rsidR="44206723" w:rsidP="258D4AF7" w:rsidRDefault="44206723" w14:paraId="4C1637B7" w14:textId="2B6E057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8D4AF7" w:rsidR="28775E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Ford et al. (2016) </w:t>
      </w:r>
      <w:r w:rsidRPr="258D4AF7" w:rsidR="037833EC">
        <w:rPr>
          <w:rFonts w:ascii="Aptos" w:hAnsi="Aptos" w:eastAsia="Aptos" w:cs="Aptos"/>
          <w:noProof w:val="0"/>
          <w:sz w:val="24"/>
          <w:szCs w:val="24"/>
          <w:lang w:val="en-GB"/>
        </w:rPr>
        <w:t>investigates</w:t>
      </w:r>
      <w:r w:rsidRPr="258D4AF7" w:rsidR="28775E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landing leg preference in ACL athletes compared to </w:t>
      </w:r>
      <w:r w:rsidRPr="258D4AF7" w:rsidR="26986404">
        <w:rPr>
          <w:rFonts w:ascii="Aptos" w:hAnsi="Aptos" w:eastAsia="Aptos" w:cs="Aptos"/>
          <w:noProof w:val="0"/>
          <w:sz w:val="24"/>
          <w:szCs w:val="24"/>
          <w:lang w:val="en-GB"/>
        </w:rPr>
        <w:t>non-injured</w:t>
      </w:r>
      <w:r w:rsidRPr="258D4AF7" w:rsidR="28775E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athletes, the study found that 71% of athletes who</w:t>
      </w:r>
      <w:r w:rsidRPr="258D4AF7" w:rsidR="567E2B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had ACL </w:t>
      </w:r>
      <w:r w:rsidRPr="258D4AF7" w:rsidR="5EC50B6D">
        <w:rPr>
          <w:rFonts w:ascii="Aptos" w:hAnsi="Aptos" w:eastAsia="Aptos" w:cs="Aptos"/>
          <w:noProof w:val="0"/>
          <w:sz w:val="24"/>
          <w:szCs w:val="24"/>
          <w:lang w:val="en-GB"/>
        </w:rPr>
        <w:t>reconstruction preferred</w:t>
      </w:r>
      <w:r w:rsidRPr="258D4AF7" w:rsidR="567E2B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land on the uninjured limb which what suggest th</w:t>
      </w:r>
      <w:r w:rsidRPr="258D4AF7" w:rsidR="41B9D5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ere could be a lack of confidence. </w:t>
      </w:r>
    </w:p>
    <w:p w:rsidR="44206723" w:rsidP="258D4AF7" w:rsidRDefault="44206723" w14:paraId="7BBBF7F5" w14:textId="351BC127">
      <w:pPr>
        <w:pStyle w:val="Normal"/>
      </w:pPr>
      <w:r w:rsidRPr="258D4AF7" w:rsidR="5B6CF574">
        <w:rPr>
          <w:b w:val="1"/>
          <w:bCs w:val="1"/>
        </w:rPr>
        <w:t xml:space="preserve">Aims, </w:t>
      </w:r>
      <w:r w:rsidRPr="258D4AF7" w:rsidR="5B6CF574">
        <w:rPr>
          <w:b w:val="1"/>
          <w:bCs w:val="1"/>
        </w:rPr>
        <w:t>Objectives</w:t>
      </w:r>
      <w:r w:rsidRPr="258D4AF7" w:rsidR="5B6CF574">
        <w:rPr>
          <w:b w:val="1"/>
          <w:bCs w:val="1"/>
        </w:rPr>
        <w:t xml:space="preserve"> and Hypotheses </w:t>
      </w:r>
    </w:p>
    <w:p w:rsidR="3E2937EB" w:rsidP="258D4AF7" w:rsidRDefault="3E2937EB" w14:paraId="376C04CE" w14:textId="2DFE9C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8D4AF7" w:rsidR="270494B8">
        <w:rPr>
          <w:rFonts w:ascii="Aptos" w:hAnsi="Aptos" w:eastAsia="Aptos" w:cs="Aptos"/>
          <w:noProof w:val="0"/>
          <w:sz w:val="24"/>
          <w:szCs w:val="24"/>
          <w:lang w:val="en-GB"/>
        </w:rPr>
        <w:t>To compare confidence levels in cutting and landing movements between previously ACL</w:t>
      </w:r>
      <w:r w:rsidRPr="258D4AF7" w:rsidR="08E5C0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58D4AF7" w:rsidR="270494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injured rugby athletes and uninjured rugby athletes. During this study measuring the confidence levels of an athlete using the ACI-RSI scale. Comparing and discussing </w:t>
      </w:r>
      <w:r w:rsidRPr="258D4AF7" w:rsidR="0ABDA6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confidence scores between the ACL injury group and the Non injured group. To </w:t>
      </w:r>
      <w:r w:rsidRPr="258D4AF7" w:rsidR="0ABDA612">
        <w:rPr>
          <w:rFonts w:ascii="Aptos" w:hAnsi="Aptos" w:eastAsia="Aptos" w:cs="Aptos"/>
          <w:noProof w:val="0"/>
          <w:sz w:val="24"/>
          <w:szCs w:val="24"/>
          <w:lang w:val="en-GB"/>
        </w:rPr>
        <w:t>identify</w:t>
      </w:r>
      <w:r w:rsidRPr="258D4AF7" w:rsidR="0ABDA6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if returning from an ACL injury </w:t>
      </w:r>
      <w:r w:rsidRPr="258D4AF7" w:rsidR="738A7C87">
        <w:rPr>
          <w:rFonts w:ascii="Aptos" w:hAnsi="Aptos" w:eastAsia="Aptos" w:cs="Aptos"/>
          <w:noProof w:val="0"/>
          <w:sz w:val="24"/>
          <w:szCs w:val="24"/>
          <w:lang w:val="en-GB"/>
        </w:rPr>
        <w:t>corelates with lower confidence in cutting and landing movements</w:t>
      </w:r>
      <w:r w:rsidRPr="258D4AF7" w:rsidR="034C4C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258D4AF7" w:rsidR="0A8B42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58D4AF7" w:rsidR="0A8B42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58D4AF7" w:rsidR="6FD7DB16">
        <w:rPr>
          <w:rFonts w:ascii="Aptos" w:hAnsi="Aptos" w:eastAsia="Aptos" w:cs="Aptos"/>
          <w:noProof w:val="0"/>
          <w:sz w:val="24"/>
          <w:szCs w:val="24"/>
          <w:lang w:val="en-GB"/>
        </w:rPr>
        <w:t>hypothesis</w:t>
      </w:r>
      <w:r w:rsidRPr="258D4AF7" w:rsidR="0A8B42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from this study suggests that athletes who have </w:t>
      </w:r>
      <w:r w:rsidRPr="258D4AF7" w:rsidR="0F70FAF4">
        <w:rPr>
          <w:rFonts w:ascii="Aptos" w:hAnsi="Aptos" w:eastAsia="Aptos" w:cs="Aptos"/>
          <w:noProof w:val="0"/>
          <w:sz w:val="24"/>
          <w:szCs w:val="24"/>
          <w:lang w:val="en-GB"/>
        </w:rPr>
        <w:t>sustained</w:t>
      </w:r>
      <w:r w:rsidRPr="258D4AF7" w:rsidR="0A8B42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any </w:t>
      </w:r>
      <w:r w:rsidRPr="258D4AF7" w:rsidR="0A8B42EF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258D4AF7" w:rsidR="0A8B42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ACL injuries will report lower confidence in cutting and land</w:t>
      </w:r>
      <w:r w:rsidRPr="258D4AF7" w:rsidR="727FBD17">
        <w:rPr>
          <w:rFonts w:ascii="Aptos" w:hAnsi="Aptos" w:eastAsia="Aptos" w:cs="Aptos"/>
          <w:noProof w:val="0"/>
          <w:sz w:val="24"/>
          <w:szCs w:val="24"/>
          <w:lang w:val="en-GB"/>
        </w:rPr>
        <w:t>ing movem</w:t>
      </w:r>
      <w:r w:rsidRPr="258D4AF7" w:rsidR="08E86216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258D4AF7" w:rsidR="727FBD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nts compared to athletes who have had no </w:t>
      </w:r>
      <w:r w:rsidRPr="258D4AF7" w:rsidR="727FBD17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258D4AF7" w:rsidR="727FBD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lower limb injuries</w:t>
      </w:r>
      <w:r w:rsidRPr="258D4AF7" w:rsidR="3B2103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Collecting results and responses via google forms, </w:t>
      </w:r>
      <w:r w:rsidRPr="258D4AF7" w:rsidR="094816A0">
        <w:rPr>
          <w:rFonts w:ascii="Aptos" w:hAnsi="Aptos" w:eastAsia="Aptos" w:cs="Aptos"/>
          <w:noProof w:val="0"/>
          <w:sz w:val="24"/>
          <w:szCs w:val="24"/>
          <w:lang w:val="en-GB"/>
        </w:rPr>
        <w:t>using the results and answers from the questionnaire and grouping them via responses into 2 groups. The answers and confidence levels between each group will be studied and t</w:t>
      </w:r>
      <w:r w:rsidRPr="258D4AF7" w:rsidR="4B9A6C1F">
        <w:rPr>
          <w:rFonts w:ascii="Aptos" w:hAnsi="Aptos" w:eastAsia="Aptos" w:cs="Aptos"/>
          <w:noProof w:val="0"/>
          <w:sz w:val="24"/>
          <w:szCs w:val="24"/>
          <w:lang w:val="en-GB"/>
        </w:rPr>
        <w:t>hen compared to see of it predicted the hypothesis of the study.</w:t>
      </w:r>
    </w:p>
    <w:p w:rsidR="44206723" w:rsidP="258D4AF7" w:rsidRDefault="44206723" w14:paraId="7B1771CF" w14:textId="477CDC1E">
      <w:pPr>
        <w:pStyle w:val="Normal"/>
      </w:pPr>
      <w:r w:rsidRPr="258D4AF7" w:rsidR="5B6CF574">
        <w:rPr>
          <w:b w:val="1"/>
          <w:bCs w:val="1"/>
        </w:rPr>
        <w:t>Methodology</w:t>
      </w:r>
      <w:r w:rsidRPr="258D4AF7" w:rsidR="5B6CF574">
        <w:rPr>
          <w:b w:val="1"/>
          <w:bCs w:val="1"/>
        </w:rPr>
        <w:t xml:space="preserve"> </w:t>
      </w:r>
    </w:p>
    <w:p w:rsidR="58388FE3" w:rsidRDefault="58388FE3" w14:paraId="5672D8FA" w14:textId="7EBD4C2B">
      <w:r w:rsidRPr="258D4AF7" w:rsidR="10F6D574">
        <w:rPr>
          <w:b w:val="1"/>
          <w:bCs w:val="1"/>
        </w:rPr>
        <w:t>Design</w:t>
      </w:r>
    </w:p>
    <w:p w:rsidR="42AB92ED" w:rsidRDefault="42AB92ED" w14:paraId="624AC8D8" w14:textId="41BCCF66">
      <w:r w:rsidRPr="258D4AF7" w:rsidR="42AB92ED">
        <w:rPr>
          <w:b w:val="1"/>
          <w:bCs w:val="1"/>
        </w:rPr>
        <w:t xml:space="preserve">Group 1- </w:t>
      </w:r>
      <w:r w:rsidR="42AB92ED">
        <w:rPr>
          <w:b w:val="0"/>
          <w:bCs w:val="0"/>
        </w:rPr>
        <w:t xml:space="preserve">Athletes with </w:t>
      </w:r>
      <w:r w:rsidR="42AB92ED">
        <w:rPr>
          <w:b w:val="0"/>
          <w:bCs w:val="0"/>
        </w:rPr>
        <w:t>previous</w:t>
      </w:r>
      <w:r w:rsidR="42AB92ED">
        <w:rPr>
          <w:b w:val="0"/>
          <w:bCs w:val="0"/>
        </w:rPr>
        <w:t xml:space="preserve"> ACL injury who have fully returned to play</w:t>
      </w:r>
    </w:p>
    <w:p w:rsidR="42AB92ED" w:rsidRDefault="42AB92ED" w14:paraId="39E010D9" w14:textId="2154C501">
      <w:r w:rsidR="42AB92ED">
        <w:rPr>
          <w:b w:val="0"/>
          <w:bCs w:val="0"/>
        </w:rPr>
        <w:t xml:space="preserve">Group 2- Athletes with no history of </w:t>
      </w:r>
      <w:r w:rsidR="42AB92ED">
        <w:rPr>
          <w:b w:val="0"/>
          <w:bCs w:val="0"/>
        </w:rPr>
        <w:t>ACL injuries</w:t>
      </w:r>
      <w:r w:rsidR="42AB92ED">
        <w:rPr>
          <w:b w:val="0"/>
          <w:bCs w:val="0"/>
        </w:rPr>
        <w:t xml:space="preserve"> and no lower limb injuries in the last 6-12 months. </w:t>
      </w:r>
    </w:p>
    <w:p w:rsidR="42AB92ED" w:rsidRDefault="42AB92ED" w14:paraId="25AD76DC" w14:textId="39566EAF">
      <w:r w:rsidR="42AB92ED">
        <w:rPr>
          <w:b w:val="0"/>
          <w:bCs w:val="0"/>
        </w:rPr>
        <w:t>This study is a cross-sectional design comparing the confidence levels reported between the two groups at a time, using an on</w:t>
      </w:r>
      <w:r w:rsidR="2F89617F">
        <w:rPr>
          <w:b w:val="0"/>
          <w:bCs w:val="0"/>
        </w:rPr>
        <w:t>line questionnaire</w:t>
      </w:r>
      <w:r w:rsidR="42AB92ED">
        <w:rPr>
          <w:b w:val="0"/>
          <w:bCs w:val="0"/>
        </w:rPr>
        <w:t xml:space="preserve"> increas</w:t>
      </w:r>
      <w:r w:rsidR="5DCC04AC">
        <w:rPr>
          <w:b w:val="0"/>
          <w:bCs w:val="0"/>
        </w:rPr>
        <w:t>es</w:t>
      </w:r>
      <w:r w:rsidR="42AB92ED">
        <w:rPr>
          <w:b w:val="0"/>
          <w:bCs w:val="0"/>
        </w:rPr>
        <w:t xml:space="preserve"> accessibility for athletes in clubs and allows everyone to access the questionnaire via a link.</w:t>
      </w:r>
    </w:p>
    <w:p w:rsidR="44206723" w:rsidRDefault="44206723" w14:paraId="34871EF1" w14:textId="043C4057">
      <w:r w:rsidRPr="0282F1A4" w:rsidR="44206723">
        <w:rPr>
          <w:b w:val="1"/>
          <w:bCs w:val="1"/>
        </w:rPr>
        <w:t>Participants</w:t>
      </w:r>
    </w:p>
    <w:p w:rsidR="6F65C1A2" w:rsidRDefault="6F65C1A2" w14:paraId="31EB92F8" w14:textId="7B981B43">
      <w:r w:rsidR="6F65C1A2">
        <w:rPr>
          <w:b w:val="0"/>
          <w:bCs w:val="0"/>
        </w:rPr>
        <w:t xml:space="preserve">Using a sample size of 50-100 rugby players all playing regular rugby in </w:t>
      </w:r>
      <w:r w:rsidR="3316FDD1">
        <w:rPr>
          <w:b w:val="0"/>
          <w:bCs w:val="0"/>
        </w:rPr>
        <w:t>premierships</w:t>
      </w:r>
      <w:r w:rsidR="6F65C1A2">
        <w:rPr>
          <w:b w:val="0"/>
          <w:bCs w:val="0"/>
        </w:rPr>
        <w:t xml:space="preserve"> rugby and above</w:t>
      </w:r>
      <w:r w:rsidR="7E944744">
        <w:rPr>
          <w:b w:val="0"/>
          <w:bCs w:val="0"/>
        </w:rPr>
        <w:t>.</w:t>
      </w:r>
      <w:r w:rsidR="08EAB3F7">
        <w:rPr>
          <w:b w:val="0"/>
          <w:bCs w:val="0"/>
        </w:rPr>
        <w:t xml:space="preserve"> Participants must be fully returned to playing from injury with at least 5 months of regular games post ACL injury. Non inju</w:t>
      </w:r>
      <w:r w:rsidR="6D1249C8">
        <w:rPr>
          <w:b w:val="0"/>
          <w:bCs w:val="0"/>
        </w:rPr>
        <w:t xml:space="preserve">red athletes must not have </w:t>
      </w:r>
      <w:r w:rsidR="5E82ACEC">
        <w:rPr>
          <w:b w:val="0"/>
          <w:bCs w:val="0"/>
        </w:rPr>
        <w:t xml:space="preserve">had any </w:t>
      </w:r>
      <w:r w:rsidR="5E82ACEC">
        <w:rPr>
          <w:b w:val="0"/>
          <w:bCs w:val="0"/>
        </w:rPr>
        <w:t>previous</w:t>
      </w:r>
      <w:r w:rsidR="5E82ACEC">
        <w:rPr>
          <w:b w:val="0"/>
          <w:bCs w:val="0"/>
        </w:rPr>
        <w:t xml:space="preserve"> lower limb </w:t>
      </w:r>
      <w:r w:rsidR="1DA4C6C9">
        <w:rPr>
          <w:b w:val="0"/>
          <w:bCs w:val="0"/>
        </w:rPr>
        <w:t>injury.</w:t>
      </w:r>
      <w:r w:rsidR="4586ED23">
        <w:rPr>
          <w:b w:val="0"/>
          <w:bCs w:val="0"/>
        </w:rPr>
        <w:t xml:space="preserve"> Group 1 are ACL </w:t>
      </w:r>
      <w:r w:rsidR="4586ED23">
        <w:rPr>
          <w:b w:val="0"/>
          <w:bCs w:val="0"/>
        </w:rPr>
        <w:t>injured</w:t>
      </w:r>
      <w:r w:rsidR="4586ED23">
        <w:rPr>
          <w:b w:val="0"/>
          <w:bCs w:val="0"/>
        </w:rPr>
        <w:t xml:space="preserve"> athletes and Group 2 are the </w:t>
      </w:r>
      <w:r w:rsidR="067BF41A">
        <w:rPr>
          <w:b w:val="0"/>
          <w:bCs w:val="0"/>
        </w:rPr>
        <w:t>Non-ACL</w:t>
      </w:r>
      <w:bookmarkStart w:name="_Int_q3YWkeuf" w:id="1721416369"/>
      <w:r w:rsidR="4586ED23">
        <w:rPr>
          <w:b w:val="0"/>
          <w:bCs w:val="0"/>
        </w:rPr>
        <w:t xml:space="preserve"> </w:t>
      </w:r>
      <w:bookmarkEnd w:id="1721416369"/>
      <w:r w:rsidR="4586ED23">
        <w:rPr>
          <w:b w:val="0"/>
          <w:bCs w:val="0"/>
        </w:rPr>
        <w:t>group</w:t>
      </w:r>
      <w:r w:rsidR="7AF92411">
        <w:rPr>
          <w:b w:val="0"/>
          <w:bCs w:val="0"/>
        </w:rPr>
        <w:t xml:space="preserve">. An inclusion </w:t>
      </w:r>
      <w:r w:rsidR="27E30B42">
        <w:rPr>
          <w:b w:val="0"/>
          <w:bCs w:val="0"/>
        </w:rPr>
        <w:t>and exclusion</w:t>
      </w:r>
      <w:r w:rsidR="7AF92411">
        <w:rPr>
          <w:b w:val="0"/>
          <w:bCs w:val="0"/>
        </w:rPr>
        <w:t xml:space="preserve"> criteria will be in place for each group. Exclusion criteria </w:t>
      </w:r>
      <w:r w:rsidR="368AD21A">
        <w:rPr>
          <w:b w:val="0"/>
          <w:bCs w:val="0"/>
        </w:rPr>
        <w:t>inhale</w:t>
      </w:r>
      <w:r w:rsidR="7AF92411">
        <w:rPr>
          <w:b w:val="0"/>
          <w:bCs w:val="0"/>
        </w:rPr>
        <w:t xml:space="preserve"> any recent lower limb injuries within the </w:t>
      </w:r>
      <w:r w:rsidR="27178C46">
        <w:rPr>
          <w:b w:val="0"/>
          <w:bCs w:val="0"/>
        </w:rPr>
        <w:t>last 6</w:t>
      </w:r>
      <w:r w:rsidR="7AF92411">
        <w:rPr>
          <w:b w:val="0"/>
          <w:bCs w:val="0"/>
        </w:rPr>
        <w:t>-12</w:t>
      </w:r>
      <w:r w:rsidR="1042449B">
        <w:rPr>
          <w:b w:val="0"/>
          <w:bCs w:val="0"/>
        </w:rPr>
        <w:t>months,</w:t>
      </w:r>
      <w:r w:rsidR="431B399B">
        <w:rPr>
          <w:b w:val="0"/>
          <w:bCs w:val="0"/>
        </w:rPr>
        <w:t xml:space="preserve"> having an ACL injury and not have returned to play. All </w:t>
      </w:r>
      <w:r w:rsidR="3CF2AFF5">
        <w:rPr>
          <w:b w:val="0"/>
          <w:bCs w:val="0"/>
        </w:rPr>
        <w:t>participants</w:t>
      </w:r>
      <w:r w:rsidR="431B399B">
        <w:rPr>
          <w:b w:val="0"/>
          <w:bCs w:val="0"/>
        </w:rPr>
        <w:t xml:space="preserve"> must </w:t>
      </w:r>
      <w:r w:rsidR="274EF0FA">
        <w:rPr>
          <w:b w:val="0"/>
          <w:bCs w:val="0"/>
        </w:rPr>
        <w:t>actively</w:t>
      </w:r>
      <w:r w:rsidR="431B399B">
        <w:rPr>
          <w:b w:val="0"/>
          <w:bCs w:val="0"/>
        </w:rPr>
        <w:t xml:space="preserve"> be playing and have returned from injury and played </w:t>
      </w:r>
      <w:r w:rsidR="06176535">
        <w:rPr>
          <w:b w:val="0"/>
          <w:bCs w:val="0"/>
        </w:rPr>
        <w:t>consistently</w:t>
      </w:r>
      <w:r w:rsidR="431B399B">
        <w:rPr>
          <w:b w:val="0"/>
          <w:bCs w:val="0"/>
        </w:rPr>
        <w:t xml:space="preserve"> for the last 6 months</w:t>
      </w:r>
      <w:r w:rsidR="47A190FD">
        <w:rPr>
          <w:b w:val="0"/>
          <w:bCs w:val="0"/>
        </w:rPr>
        <w:t xml:space="preserve">.  </w:t>
      </w:r>
      <w:r w:rsidR="47A190FD">
        <w:rPr>
          <w:b w:val="0"/>
          <w:bCs w:val="0"/>
        </w:rPr>
        <w:t xml:space="preserve">Recruitment for this study will be via clubs, </w:t>
      </w:r>
      <w:r w:rsidR="47A190FD">
        <w:rPr>
          <w:b w:val="0"/>
          <w:bCs w:val="0"/>
        </w:rPr>
        <w:t>coaches</w:t>
      </w:r>
      <w:r w:rsidR="47A190FD">
        <w:rPr>
          <w:b w:val="0"/>
          <w:bCs w:val="0"/>
        </w:rPr>
        <w:t xml:space="preserve"> and </w:t>
      </w:r>
      <w:r w:rsidR="569CD7E0">
        <w:rPr>
          <w:b w:val="0"/>
          <w:bCs w:val="0"/>
        </w:rPr>
        <w:t xml:space="preserve">social media. The link will be sent out so </w:t>
      </w:r>
      <w:r w:rsidR="7C880D3E">
        <w:rPr>
          <w:b w:val="0"/>
          <w:bCs w:val="0"/>
        </w:rPr>
        <w:t>participants</w:t>
      </w:r>
      <w:r w:rsidR="569CD7E0">
        <w:rPr>
          <w:b w:val="0"/>
          <w:bCs w:val="0"/>
        </w:rPr>
        <w:t xml:space="preserve"> who have had ACL injuries </w:t>
      </w:r>
    </w:p>
    <w:p w:rsidR="44206723" w:rsidRDefault="44206723" w14:paraId="45589112" w14:textId="589890ED">
      <w:r w:rsidRPr="258D4AF7" w:rsidR="5B6CF574">
        <w:rPr>
          <w:b w:val="1"/>
          <w:bCs w:val="1"/>
        </w:rPr>
        <w:t xml:space="preserve">Procedures </w:t>
      </w:r>
    </w:p>
    <w:p w:rsidR="30DC09ED" w:rsidRDefault="30DC09ED" w14:paraId="02DFFE3C" w14:textId="1F2E3E4D">
      <w:r w:rsidR="30DC09ED">
        <w:rPr>
          <w:b w:val="0"/>
          <w:bCs w:val="0"/>
        </w:rPr>
        <w:t xml:space="preserve">The questionnaire design is an online questionnaire form with athletes accessing via a link, the estimated completion time for the form is around </w:t>
      </w:r>
      <w:r w:rsidR="7C1BA56F">
        <w:rPr>
          <w:b w:val="0"/>
          <w:bCs w:val="0"/>
        </w:rPr>
        <w:t>5</w:t>
      </w:r>
      <w:r w:rsidR="30DC09ED">
        <w:rPr>
          <w:b w:val="0"/>
          <w:bCs w:val="0"/>
        </w:rPr>
        <w:t xml:space="preserve"> minutes </w:t>
      </w:r>
      <w:r w:rsidR="21BEA178">
        <w:rPr>
          <w:b w:val="0"/>
          <w:bCs w:val="0"/>
        </w:rPr>
        <w:t xml:space="preserve">which is quick and easy for athletes on a busy schedule. There is no physical testing </w:t>
      </w:r>
      <w:r w:rsidR="553AB70A">
        <w:rPr>
          <w:b w:val="0"/>
          <w:bCs w:val="0"/>
        </w:rPr>
        <w:t>required</w:t>
      </w:r>
      <w:r w:rsidR="553AB70A">
        <w:rPr>
          <w:b w:val="0"/>
          <w:bCs w:val="0"/>
        </w:rPr>
        <w:t xml:space="preserve"> for</w:t>
      </w:r>
      <w:r w:rsidR="4542C495">
        <w:rPr>
          <w:b w:val="0"/>
          <w:bCs w:val="0"/>
        </w:rPr>
        <w:t xml:space="preserve"> any of the participants.</w:t>
      </w:r>
      <w:r w:rsidR="18F58CCE">
        <w:rPr>
          <w:b w:val="0"/>
          <w:bCs w:val="0"/>
        </w:rPr>
        <w:t xml:space="preserve"> Ethical approval will be approved by UWTSD</w:t>
      </w:r>
      <w:r w:rsidR="2FFB1938">
        <w:rPr>
          <w:b w:val="0"/>
          <w:bCs w:val="0"/>
        </w:rPr>
        <w:t xml:space="preserve">. During this study having a therapist present allows the using of the ACL-RSI </w:t>
      </w:r>
      <w:r w:rsidR="4B076663">
        <w:rPr>
          <w:b w:val="0"/>
          <w:bCs w:val="0"/>
        </w:rPr>
        <w:t>scale to</w:t>
      </w:r>
      <w:r w:rsidR="2FFB1938">
        <w:rPr>
          <w:b w:val="0"/>
          <w:bCs w:val="0"/>
        </w:rPr>
        <w:t xml:space="preserve"> a better unde</w:t>
      </w:r>
      <w:r w:rsidR="090FB732">
        <w:rPr>
          <w:b w:val="0"/>
          <w:bCs w:val="0"/>
        </w:rPr>
        <w:t>rstanding.</w:t>
      </w:r>
      <w:r w:rsidR="6E7D3764">
        <w:rPr>
          <w:b w:val="0"/>
          <w:bCs w:val="0"/>
        </w:rPr>
        <w:t xml:space="preserve"> The questions include demographic questioning, confidence scoring and readiness and movement specific confidence questions.</w:t>
      </w:r>
    </w:p>
    <w:p w:rsidR="0282F1A4" w:rsidP="258D4AF7" w:rsidRDefault="0282F1A4" w14:paraId="3980EE22" w14:textId="50628B3B">
      <w:pPr>
        <w:rPr>
          <w:b w:val="0"/>
          <w:bCs w:val="0"/>
        </w:rPr>
      </w:pPr>
    </w:p>
    <w:p w:rsidR="44206723" w:rsidRDefault="44206723" w14:paraId="2DF3CE9B" w14:textId="0506CC57">
      <w:r w:rsidRPr="258D4AF7" w:rsidR="5B6CF574">
        <w:rPr>
          <w:b w:val="1"/>
          <w:bCs w:val="1"/>
        </w:rPr>
        <w:t xml:space="preserve">Data Analysis </w:t>
      </w:r>
      <w:r w:rsidRPr="258D4AF7" w:rsidR="3F01FCE8">
        <w:rPr>
          <w:b w:val="1"/>
          <w:bCs w:val="1"/>
        </w:rPr>
        <w:t xml:space="preserve">/ timeline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714"/>
        <w:gridCol w:w="1742"/>
        <w:gridCol w:w="1301"/>
        <w:gridCol w:w="1376"/>
        <w:gridCol w:w="1356"/>
        <w:gridCol w:w="1644"/>
      </w:tblGrid>
      <w:tr w:rsidR="258D4AF7" w:rsidTr="258D4AF7" w14:paraId="57EA32BA">
        <w:trPr>
          <w:trHeight w:val="960"/>
        </w:trPr>
        <w:tc>
          <w:tcPr>
            <w:tcW w:w="1714" w:type="dxa"/>
            <w:tcMar/>
          </w:tcPr>
          <w:p w:rsidR="06DCBB6D" w:rsidP="258D4AF7" w:rsidRDefault="06DCBB6D" w14:paraId="7AA97411" w14:textId="0A6DD2A0">
            <w:pPr>
              <w:pStyle w:val="Normal"/>
            </w:pPr>
            <w:r w:rsidR="06DCBB6D">
              <w:rPr>
                <w:b w:val="0"/>
                <w:bCs w:val="0"/>
              </w:rPr>
              <w:t xml:space="preserve">October/ November </w:t>
            </w:r>
          </w:p>
        </w:tc>
        <w:tc>
          <w:tcPr>
            <w:tcW w:w="1742" w:type="dxa"/>
            <w:tcMar/>
          </w:tcPr>
          <w:p w:rsidR="06DCBB6D" w:rsidP="258D4AF7" w:rsidRDefault="06DCBB6D" w14:paraId="545FC75F" w14:textId="7BF589D8">
            <w:pPr>
              <w:pStyle w:val="Normal"/>
            </w:pPr>
            <w:r w:rsidR="06DCBB6D">
              <w:rPr>
                <w:b w:val="0"/>
                <w:bCs w:val="0"/>
              </w:rPr>
              <w:t xml:space="preserve">December / January </w:t>
            </w:r>
          </w:p>
        </w:tc>
        <w:tc>
          <w:tcPr>
            <w:tcW w:w="1301" w:type="dxa"/>
            <w:tcMar/>
          </w:tcPr>
          <w:p w:rsidR="06DCBB6D" w:rsidP="258D4AF7" w:rsidRDefault="06DCBB6D" w14:paraId="585696D3" w14:textId="1D88313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06DCBB6D">
              <w:rPr>
                <w:b w:val="0"/>
                <w:bCs w:val="0"/>
              </w:rPr>
              <w:t xml:space="preserve">February </w:t>
            </w:r>
          </w:p>
        </w:tc>
        <w:tc>
          <w:tcPr>
            <w:tcW w:w="1376" w:type="dxa"/>
            <w:tcMar/>
          </w:tcPr>
          <w:p w:rsidR="06DCBB6D" w:rsidP="258D4AF7" w:rsidRDefault="06DCBB6D" w14:paraId="0FB9D2B8" w14:textId="2A235B4B">
            <w:pPr>
              <w:pStyle w:val="Normal"/>
            </w:pPr>
            <w:r w:rsidR="06DCBB6D">
              <w:rPr>
                <w:b w:val="0"/>
                <w:bCs w:val="0"/>
              </w:rPr>
              <w:t xml:space="preserve">March </w:t>
            </w:r>
          </w:p>
        </w:tc>
        <w:tc>
          <w:tcPr>
            <w:tcW w:w="1356" w:type="dxa"/>
            <w:tcMar/>
          </w:tcPr>
          <w:p w:rsidR="06DCBB6D" w:rsidP="258D4AF7" w:rsidRDefault="06DCBB6D" w14:paraId="0D06EFC8" w14:textId="114F6501">
            <w:pPr>
              <w:pStyle w:val="Normal"/>
            </w:pPr>
            <w:r w:rsidR="06DCBB6D">
              <w:rPr>
                <w:b w:val="0"/>
                <w:bCs w:val="0"/>
              </w:rPr>
              <w:t>April</w:t>
            </w:r>
          </w:p>
        </w:tc>
        <w:tc>
          <w:tcPr>
            <w:tcW w:w="1644" w:type="dxa"/>
            <w:tcMar/>
          </w:tcPr>
          <w:p w:rsidR="06DCBB6D" w:rsidP="258D4AF7" w:rsidRDefault="06DCBB6D" w14:paraId="421232AF" w14:textId="7A97CB90">
            <w:pPr>
              <w:pStyle w:val="Normal"/>
            </w:pPr>
            <w:r w:rsidR="06DCBB6D">
              <w:rPr>
                <w:b w:val="0"/>
                <w:bCs w:val="0"/>
              </w:rPr>
              <w:t xml:space="preserve">May </w:t>
            </w:r>
          </w:p>
        </w:tc>
      </w:tr>
      <w:tr w:rsidR="258D4AF7" w:rsidTr="258D4AF7" w14:paraId="0D8C511D">
        <w:trPr>
          <w:trHeight w:val="300"/>
        </w:trPr>
        <w:tc>
          <w:tcPr>
            <w:tcW w:w="1714" w:type="dxa"/>
            <w:tcMar/>
          </w:tcPr>
          <w:p w:rsidR="06DCBB6D" w:rsidP="258D4AF7" w:rsidRDefault="06DCBB6D" w14:paraId="190BA703" w14:textId="6F8E67C7">
            <w:pPr>
              <w:pStyle w:val="Normal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Finalise proposal</w:t>
            </w:r>
          </w:p>
        </w:tc>
        <w:tc>
          <w:tcPr>
            <w:tcW w:w="1742" w:type="dxa"/>
            <w:tcMar/>
          </w:tcPr>
          <w:p w:rsidR="06DCBB6D" w:rsidP="258D4AF7" w:rsidRDefault="06DCBB6D" w14:paraId="3D71775C" w14:textId="5737F6EC">
            <w:pPr>
              <w:pStyle w:val="Normal"/>
              <w:spacing w:before="0" w:beforeAutospacing="on" w:after="0" w:afterAutospacing="on"/>
              <w:ind w:left="0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Recruit participants/ send out questionnaire</w:t>
            </w:r>
          </w:p>
          <w:p w:rsidR="258D4AF7" w:rsidP="258D4AF7" w:rsidRDefault="258D4AF7" w14:paraId="2F1F7F7D" w14:textId="4BACAB81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01" w:type="dxa"/>
            <w:tcMar/>
          </w:tcPr>
          <w:p w:rsidR="06DCBB6D" w:rsidP="258D4AF7" w:rsidRDefault="06DCBB6D" w14:paraId="059B9FAB" w14:textId="79EB18C6">
            <w:pPr>
              <w:pStyle w:val="Normal"/>
              <w:spacing w:before="0" w:beforeAutospacing="on" w:after="0" w:afterAutospacing="on"/>
              <w:ind w:left="0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Organise data</w:t>
            </w:r>
          </w:p>
          <w:p w:rsidR="258D4AF7" w:rsidP="258D4AF7" w:rsidRDefault="258D4AF7" w14:paraId="18AE3E45" w14:textId="40703BDD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76" w:type="dxa"/>
            <w:tcMar/>
          </w:tcPr>
          <w:p w:rsidR="06DCBB6D" w:rsidP="258D4AF7" w:rsidRDefault="06DCBB6D" w14:paraId="5AC60621" w14:textId="14F98EEE">
            <w:pPr>
              <w:pStyle w:val="Normal"/>
              <w:spacing w:before="0" w:beforeAutospacing="on" w:after="0" w:afterAutospacing="on"/>
              <w:ind w:left="0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Complete results chapter</w:t>
            </w:r>
          </w:p>
          <w:p w:rsidR="258D4AF7" w:rsidP="258D4AF7" w:rsidRDefault="258D4AF7" w14:paraId="2A83AB8F" w14:textId="09F0646A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56" w:type="dxa"/>
            <w:tcMar/>
          </w:tcPr>
          <w:p w:rsidR="06DCBB6D" w:rsidP="258D4AF7" w:rsidRDefault="06DCBB6D" w14:paraId="3226AB09" w14:textId="28F5EAAF">
            <w:pPr>
              <w:pStyle w:val="Normal"/>
              <w:spacing w:before="0" w:beforeAutospacing="on" w:after="0" w:afterAutospacing="on"/>
              <w:ind w:left="0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Finalise discussion</w:t>
            </w:r>
          </w:p>
          <w:p w:rsidR="258D4AF7" w:rsidP="258D4AF7" w:rsidRDefault="258D4AF7" w14:paraId="7456DC72" w14:textId="7197B045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644" w:type="dxa"/>
            <w:tcMar/>
          </w:tcPr>
          <w:p w:rsidR="06DCBB6D" w:rsidP="258D4AF7" w:rsidRDefault="06DCBB6D" w14:paraId="4B358B1B" w14:textId="56543CE0">
            <w:pPr>
              <w:pStyle w:val="Normal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Present presentation</w:t>
            </w:r>
          </w:p>
        </w:tc>
      </w:tr>
      <w:tr w:rsidR="258D4AF7" w:rsidTr="258D4AF7" w14:paraId="0E5B65E3">
        <w:trPr>
          <w:trHeight w:val="692"/>
        </w:trPr>
        <w:tc>
          <w:tcPr>
            <w:tcW w:w="1714" w:type="dxa"/>
            <w:tcMar/>
          </w:tcPr>
          <w:p w:rsidR="06DCBB6D" w:rsidP="258D4AF7" w:rsidRDefault="06DCBB6D" w14:paraId="412B51D0" w14:textId="6F985095">
            <w:pPr>
              <w:pStyle w:val="Normal"/>
              <w:spacing w:before="0" w:beforeAutospacing="on" w:after="0" w:afterAutospacing="on"/>
              <w:ind w:left="0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Submit ethics</w:t>
            </w:r>
          </w:p>
          <w:p w:rsidR="258D4AF7" w:rsidP="258D4AF7" w:rsidRDefault="258D4AF7" w14:paraId="1FEE6FA3" w14:textId="75566A72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742" w:type="dxa"/>
            <w:tcMar/>
          </w:tcPr>
          <w:p w:rsidR="06DCBB6D" w:rsidP="258D4AF7" w:rsidRDefault="06DCBB6D" w14:paraId="56616CA2" w14:textId="696481FC">
            <w:pPr>
              <w:pStyle w:val="Normal"/>
              <w:spacing w:before="0" w:beforeAutospacing="on" w:after="0" w:afterAutospacing="on"/>
              <w:ind w:left="0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Collect data</w:t>
            </w:r>
          </w:p>
          <w:p w:rsidR="258D4AF7" w:rsidP="258D4AF7" w:rsidRDefault="258D4AF7" w14:paraId="471DF7C5" w14:textId="0779C634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01" w:type="dxa"/>
            <w:tcMar/>
          </w:tcPr>
          <w:p w:rsidR="06DCBB6D" w:rsidP="258D4AF7" w:rsidRDefault="06DCBB6D" w14:paraId="62BF396E" w14:textId="7927F3C2">
            <w:pPr>
              <w:pStyle w:val="Normal"/>
              <w:spacing w:before="0" w:beforeAutospacing="on" w:after="0" w:afterAutospacing="on"/>
              <w:ind w:left="0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Start data analysis using SPSS</w:t>
            </w:r>
          </w:p>
          <w:p w:rsidR="258D4AF7" w:rsidP="258D4AF7" w:rsidRDefault="258D4AF7" w14:paraId="498CAD90" w14:textId="33C3ABB1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76" w:type="dxa"/>
            <w:tcMar/>
          </w:tcPr>
          <w:p w:rsidR="06DCBB6D" w:rsidP="258D4AF7" w:rsidRDefault="06DCBB6D" w14:paraId="71FDA44C" w14:textId="6901C609">
            <w:pPr>
              <w:pStyle w:val="Normal"/>
              <w:spacing w:before="0" w:beforeAutospacing="on" w:after="0" w:afterAutospacing="on"/>
              <w:ind w:left="0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Begin discussion</w:t>
            </w:r>
          </w:p>
          <w:p w:rsidR="258D4AF7" w:rsidP="258D4AF7" w:rsidRDefault="258D4AF7" w14:paraId="7105C86A" w14:textId="2C21312C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56" w:type="dxa"/>
            <w:tcMar/>
          </w:tcPr>
          <w:p w:rsidR="258D4AF7" w:rsidP="258D4AF7" w:rsidRDefault="258D4AF7" w14:paraId="5F84AF32" w14:textId="3CB9AC47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644" w:type="dxa"/>
            <w:tcMar/>
          </w:tcPr>
          <w:p w:rsidR="258D4AF7" w:rsidP="258D4AF7" w:rsidRDefault="258D4AF7" w14:paraId="798E3896" w14:textId="3CB9AC47">
            <w:pPr>
              <w:pStyle w:val="Normal"/>
              <w:rPr>
                <w:b w:val="0"/>
                <w:bCs w:val="0"/>
              </w:rPr>
            </w:pPr>
          </w:p>
        </w:tc>
      </w:tr>
      <w:tr w:rsidR="258D4AF7" w:rsidTr="258D4AF7" w14:paraId="1762AF11">
        <w:trPr>
          <w:trHeight w:val="300"/>
        </w:trPr>
        <w:tc>
          <w:tcPr>
            <w:tcW w:w="1714" w:type="dxa"/>
            <w:tcMar/>
          </w:tcPr>
          <w:p w:rsidR="06DCBB6D" w:rsidP="258D4AF7" w:rsidRDefault="06DCBB6D" w14:paraId="0352FAF8" w14:textId="1690CED0">
            <w:pPr>
              <w:pStyle w:val="Normal"/>
              <w:rPr>
                <w:b w:val="0"/>
                <w:bCs w:val="0"/>
              </w:rPr>
            </w:pPr>
            <w:r w:rsidR="06DCBB6D">
              <w:rPr>
                <w:b w:val="0"/>
                <w:bCs w:val="0"/>
              </w:rPr>
              <w:t>Create</w:t>
            </w:r>
            <w:r w:rsidR="06DCBB6D">
              <w:rPr>
                <w:b w:val="0"/>
                <w:bCs w:val="0"/>
              </w:rPr>
              <w:t xml:space="preserve"> questionnaire</w:t>
            </w:r>
          </w:p>
        </w:tc>
        <w:tc>
          <w:tcPr>
            <w:tcW w:w="1742" w:type="dxa"/>
            <w:tcMar/>
          </w:tcPr>
          <w:p w:rsidR="258D4AF7" w:rsidP="258D4AF7" w:rsidRDefault="258D4AF7" w14:paraId="35624C0F" w14:textId="3CB9AC47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01" w:type="dxa"/>
            <w:tcMar/>
          </w:tcPr>
          <w:p w:rsidR="258D4AF7" w:rsidP="258D4AF7" w:rsidRDefault="258D4AF7" w14:paraId="2DF4DDEA" w14:textId="3CB9AC47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76" w:type="dxa"/>
            <w:tcMar/>
          </w:tcPr>
          <w:p w:rsidR="258D4AF7" w:rsidP="258D4AF7" w:rsidRDefault="258D4AF7" w14:paraId="0CBBE319" w14:textId="3CB9AC47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356" w:type="dxa"/>
            <w:tcMar/>
          </w:tcPr>
          <w:p w:rsidR="258D4AF7" w:rsidP="258D4AF7" w:rsidRDefault="258D4AF7" w14:paraId="641AD5A5" w14:textId="3CB9AC47">
            <w:pPr>
              <w:pStyle w:val="Normal"/>
              <w:rPr>
                <w:b w:val="0"/>
                <w:bCs w:val="0"/>
              </w:rPr>
            </w:pPr>
          </w:p>
        </w:tc>
        <w:tc>
          <w:tcPr>
            <w:tcW w:w="1644" w:type="dxa"/>
            <w:tcMar/>
          </w:tcPr>
          <w:p w:rsidR="258D4AF7" w:rsidP="258D4AF7" w:rsidRDefault="258D4AF7" w14:paraId="02D39C56" w14:textId="3CB9AC47">
            <w:pPr>
              <w:pStyle w:val="Normal"/>
              <w:rPr>
                <w:b w:val="0"/>
                <w:bCs w:val="0"/>
              </w:rPr>
            </w:pPr>
          </w:p>
        </w:tc>
      </w:tr>
    </w:tbl>
    <w:p w:rsidR="258D4AF7" w:rsidP="258D4AF7" w:rsidRDefault="258D4AF7" w14:paraId="4FD75765" w14:textId="03DD0927">
      <w:pPr>
        <w:pStyle w:val="Normal"/>
        <w:suppressLineNumbers w:val="0"/>
        <w:bidi w:val="0"/>
        <w:spacing w:beforeAutospacing="on" w:after="160" w:afterAutospacing="off" w:line="279" w:lineRule="auto"/>
        <w:ind w:left="0" w:right="0"/>
        <w:jc w:val="left"/>
        <w:rPr>
          <w:b w:val="0"/>
          <w:bCs w:val="0"/>
        </w:rPr>
      </w:pPr>
    </w:p>
    <w:p w:rsidR="0282F1A4" w:rsidP="0282F1A4" w:rsidRDefault="0282F1A4" w14:paraId="383A428D" w14:textId="265F2C1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82F1A4" w:rsidRDefault="0282F1A4" w14:paraId="09327A52" w14:textId="0F48C395">
      <w:pPr/>
      <w:r w:rsidR="64459914">
        <w:rPr>
          <w:b w:val="0"/>
          <w:bCs w:val="0"/>
        </w:rPr>
        <w:t>Reference list</w:t>
      </w:r>
    </w:p>
    <w:p w:rsidR="64459914" w:rsidP="258D4AF7" w:rsidRDefault="64459914" w14:paraId="64B833E5" w14:textId="2C1C6439">
      <w:pPr>
        <w:spacing w:before="0" w:beforeAutospacing="off" w:after="240" w:afterAutospacing="off" w:line="360" w:lineRule="auto"/>
      </w:pPr>
      <w:r w:rsidRPr="258D4AF7" w:rsidR="644599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Aizawa, J., Hirohata, K., Ohji, S., Ohmi, T., Koga, H. and Yagishita, K. (2020). Factors associated with psychological readiness to return to sports with cutting, pivoting, and jump-landings after primary ACL reconstruction. </w:t>
      </w:r>
      <w:r w:rsidRPr="258D4AF7" w:rsidR="6445991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Orthopaedic Journal of Sports Medicine</w:t>
      </w:r>
      <w:r w:rsidRPr="258D4AF7" w:rsidR="644599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8(11). doi:10.1177/2325967120964484.</w:t>
      </w:r>
    </w:p>
    <w:p w:rsidR="258D4AF7" w:rsidRDefault="258D4AF7" w14:paraId="3D8D2504" w14:textId="5DA2BCDE">
      <w:pPr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TrYijveAvQe79" int2:id="a3MoYz4k">
      <int2:state int2:type="spell" int2:value="Rejected"/>
    </int2:textHash>
    <int2:bookmark int2:bookmarkName="_Int_q3YWkeuf" int2:invalidationBookmarkName="" int2:hashCode="C4c/gw4AKIA5Xj" int2:id="9h5fxfdg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5d251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5d413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7612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99dd8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81426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d9429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863fb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ec2f2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be208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ef12b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Calibri,Sans-Serif" w:hAnsi="Calibri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31BF2E"/>
    <w:rsid w:val="00371F06"/>
    <w:rsid w:val="00838934"/>
    <w:rsid w:val="00AD1875"/>
    <w:rsid w:val="0151C40B"/>
    <w:rsid w:val="015E71BB"/>
    <w:rsid w:val="018E8CCF"/>
    <w:rsid w:val="01A574DC"/>
    <w:rsid w:val="01C8A532"/>
    <w:rsid w:val="02356CC2"/>
    <w:rsid w:val="023E0F78"/>
    <w:rsid w:val="0246908C"/>
    <w:rsid w:val="0282F1A4"/>
    <w:rsid w:val="034C4C75"/>
    <w:rsid w:val="035430FA"/>
    <w:rsid w:val="037833EC"/>
    <w:rsid w:val="039334E8"/>
    <w:rsid w:val="03EA9AE7"/>
    <w:rsid w:val="0444B0DE"/>
    <w:rsid w:val="0486DBB1"/>
    <w:rsid w:val="049C1224"/>
    <w:rsid w:val="04ADCDCC"/>
    <w:rsid w:val="04E4FDF7"/>
    <w:rsid w:val="050117DC"/>
    <w:rsid w:val="053CF6CE"/>
    <w:rsid w:val="06176535"/>
    <w:rsid w:val="065D1C0D"/>
    <w:rsid w:val="065E528C"/>
    <w:rsid w:val="067BF41A"/>
    <w:rsid w:val="06BB2A24"/>
    <w:rsid w:val="06DCBB6D"/>
    <w:rsid w:val="07B0EB2B"/>
    <w:rsid w:val="07D7FF20"/>
    <w:rsid w:val="08958ED6"/>
    <w:rsid w:val="08BE0739"/>
    <w:rsid w:val="08E5C015"/>
    <w:rsid w:val="08E86216"/>
    <w:rsid w:val="08EAB3F7"/>
    <w:rsid w:val="08FD841E"/>
    <w:rsid w:val="090FB732"/>
    <w:rsid w:val="094816A0"/>
    <w:rsid w:val="0A2B2D1C"/>
    <w:rsid w:val="0A8B42EF"/>
    <w:rsid w:val="0ABDA612"/>
    <w:rsid w:val="0ADF35E8"/>
    <w:rsid w:val="0B3F227C"/>
    <w:rsid w:val="0C59DDFA"/>
    <w:rsid w:val="0C60BC34"/>
    <w:rsid w:val="0C81D06D"/>
    <w:rsid w:val="0CB38833"/>
    <w:rsid w:val="0D1BDFDD"/>
    <w:rsid w:val="0D4D958A"/>
    <w:rsid w:val="0D5237FA"/>
    <w:rsid w:val="0D657CD4"/>
    <w:rsid w:val="0DB71D92"/>
    <w:rsid w:val="0E42D603"/>
    <w:rsid w:val="0EF00173"/>
    <w:rsid w:val="0EF1218C"/>
    <w:rsid w:val="0F13B3C2"/>
    <w:rsid w:val="0F217AC1"/>
    <w:rsid w:val="0F6FD9CE"/>
    <w:rsid w:val="0F70FAF4"/>
    <w:rsid w:val="10233257"/>
    <w:rsid w:val="1042449B"/>
    <w:rsid w:val="10575C2D"/>
    <w:rsid w:val="1071EC0B"/>
    <w:rsid w:val="10D8FB62"/>
    <w:rsid w:val="10EB6964"/>
    <w:rsid w:val="10F6D574"/>
    <w:rsid w:val="119749DB"/>
    <w:rsid w:val="11BE2827"/>
    <w:rsid w:val="11D8B203"/>
    <w:rsid w:val="12232080"/>
    <w:rsid w:val="1253C780"/>
    <w:rsid w:val="12575CD6"/>
    <w:rsid w:val="12DF00BF"/>
    <w:rsid w:val="13316C28"/>
    <w:rsid w:val="13D86A38"/>
    <w:rsid w:val="13EBA950"/>
    <w:rsid w:val="141AACB3"/>
    <w:rsid w:val="1439AD1D"/>
    <w:rsid w:val="14BAFA9F"/>
    <w:rsid w:val="14F8656F"/>
    <w:rsid w:val="158FDD09"/>
    <w:rsid w:val="15BE1436"/>
    <w:rsid w:val="16560791"/>
    <w:rsid w:val="16AB30B1"/>
    <w:rsid w:val="16FDF11F"/>
    <w:rsid w:val="170C52EF"/>
    <w:rsid w:val="170D57FE"/>
    <w:rsid w:val="171C874C"/>
    <w:rsid w:val="17458C92"/>
    <w:rsid w:val="17915F90"/>
    <w:rsid w:val="179940DE"/>
    <w:rsid w:val="17AF6D4B"/>
    <w:rsid w:val="17C79E17"/>
    <w:rsid w:val="180E5826"/>
    <w:rsid w:val="18CD31AF"/>
    <w:rsid w:val="18F58CCE"/>
    <w:rsid w:val="1934BB34"/>
    <w:rsid w:val="19A94BB5"/>
    <w:rsid w:val="19B2A343"/>
    <w:rsid w:val="19F52F5D"/>
    <w:rsid w:val="1A26744D"/>
    <w:rsid w:val="1AE64A3F"/>
    <w:rsid w:val="1AFD234E"/>
    <w:rsid w:val="1B22DDA5"/>
    <w:rsid w:val="1B66794F"/>
    <w:rsid w:val="1BC6CAEF"/>
    <w:rsid w:val="1CAA3D2C"/>
    <w:rsid w:val="1CBECEBC"/>
    <w:rsid w:val="1D39292E"/>
    <w:rsid w:val="1D7093C0"/>
    <w:rsid w:val="1DA4C6C9"/>
    <w:rsid w:val="1DB39D4B"/>
    <w:rsid w:val="1E87CCEE"/>
    <w:rsid w:val="1EFB9130"/>
    <w:rsid w:val="2068D1AD"/>
    <w:rsid w:val="20909DFB"/>
    <w:rsid w:val="212B520A"/>
    <w:rsid w:val="2188B6D7"/>
    <w:rsid w:val="219582B8"/>
    <w:rsid w:val="21BEA178"/>
    <w:rsid w:val="2202057D"/>
    <w:rsid w:val="22120789"/>
    <w:rsid w:val="22B5109E"/>
    <w:rsid w:val="22B9E9E2"/>
    <w:rsid w:val="22C80939"/>
    <w:rsid w:val="22C8A0D7"/>
    <w:rsid w:val="22EB9290"/>
    <w:rsid w:val="22FC82B1"/>
    <w:rsid w:val="230464FE"/>
    <w:rsid w:val="2331BF2E"/>
    <w:rsid w:val="23516C09"/>
    <w:rsid w:val="235BD2E1"/>
    <w:rsid w:val="2372895F"/>
    <w:rsid w:val="241F2C18"/>
    <w:rsid w:val="24385444"/>
    <w:rsid w:val="243A21D0"/>
    <w:rsid w:val="2461A71D"/>
    <w:rsid w:val="246390FF"/>
    <w:rsid w:val="24940556"/>
    <w:rsid w:val="249F641D"/>
    <w:rsid w:val="24DB4CD9"/>
    <w:rsid w:val="24E146A6"/>
    <w:rsid w:val="251E52DC"/>
    <w:rsid w:val="252544B6"/>
    <w:rsid w:val="252D5200"/>
    <w:rsid w:val="256A8D67"/>
    <w:rsid w:val="258D4AF7"/>
    <w:rsid w:val="25CD8428"/>
    <w:rsid w:val="25FC5268"/>
    <w:rsid w:val="2611F046"/>
    <w:rsid w:val="26986404"/>
    <w:rsid w:val="26C4178C"/>
    <w:rsid w:val="26DE8A15"/>
    <w:rsid w:val="2701DE94"/>
    <w:rsid w:val="270494B8"/>
    <w:rsid w:val="271208AB"/>
    <w:rsid w:val="27178C46"/>
    <w:rsid w:val="274EF0FA"/>
    <w:rsid w:val="2799AD9D"/>
    <w:rsid w:val="27C904FE"/>
    <w:rsid w:val="27C985E4"/>
    <w:rsid w:val="27E30B42"/>
    <w:rsid w:val="27E9783E"/>
    <w:rsid w:val="27FBF1E5"/>
    <w:rsid w:val="28775E4E"/>
    <w:rsid w:val="2879389E"/>
    <w:rsid w:val="28AC5495"/>
    <w:rsid w:val="2A164EB3"/>
    <w:rsid w:val="2A2FC675"/>
    <w:rsid w:val="2A5FFA7F"/>
    <w:rsid w:val="2ACE4A14"/>
    <w:rsid w:val="2AD72BF9"/>
    <w:rsid w:val="2AEFE14A"/>
    <w:rsid w:val="2B03D7BE"/>
    <w:rsid w:val="2B0AC425"/>
    <w:rsid w:val="2B0BFCB5"/>
    <w:rsid w:val="2BE76C15"/>
    <w:rsid w:val="2C485DD4"/>
    <w:rsid w:val="2C6A1D84"/>
    <w:rsid w:val="2C8CE2CF"/>
    <w:rsid w:val="2CB3693D"/>
    <w:rsid w:val="2D4BE9A5"/>
    <w:rsid w:val="2D787F89"/>
    <w:rsid w:val="2DADEDD9"/>
    <w:rsid w:val="2DFA940B"/>
    <w:rsid w:val="2E4B8496"/>
    <w:rsid w:val="2E67BBE7"/>
    <w:rsid w:val="2E90B02E"/>
    <w:rsid w:val="2EF43A98"/>
    <w:rsid w:val="2F10D68A"/>
    <w:rsid w:val="2F89617F"/>
    <w:rsid w:val="2FFB1938"/>
    <w:rsid w:val="30684FF4"/>
    <w:rsid w:val="30861913"/>
    <w:rsid w:val="30CEACF9"/>
    <w:rsid w:val="30DC09ED"/>
    <w:rsid w:val="32599B11"/>
    <w:rsid w:val="32A0514B"/>
    <w:rsid w:val="3316FDD1"/>
    <w:rsid w:val="33B6CC27"/>
    <w:rsid w:val="34036F9C"/>
    <w:rsid w:val="34BB02B1"/>
    <w:rsid w:val="34DE6CA1"/>
    <w:rsid w:val="34F5104F"/>
    <w:rsid w:val="3561AC64"/>
    <w:rsid w:val="356F228C"/>
    <w:rsid w:val="35B60319"/>
    <w:rsid w:val="3684EDB4"/>
    <w:rsid w:val="368AD21A"/>
    <w:rsid w:val="370AE42F"/>
    <w:rsid w:val="377691E3"/>
    <w:rsid w:val="3776F20A"/>
    <w:rsid w:val="377B23BC"/>
    <w:rsid w:val="37C04C2D"/>
    <w:rsid w:val="38286A6B"/>
    <w:rsid w:val="39BF2B1E"/>
    <w:rsid w:val="3A02B068"/>
    <w:rsid w:val="3A6107DC"/>
    <w:rsid w:val="3A652E22"/>
    <w:rsid w:val="3AA38356"/>
    <w:rsid w:val="3B21034D"/>
    <w:rsid w:val="3B48FA9F"/>
    <w:rsid w:val="3BD0AC17"/>
    <w:rsid w:val="3C4A125C"/>
    <w:rsid w:val="3C577C3C"/>
    <w:rsid w:val="3CF2AFF5"/>
    <w:rsid w:val="3D1DF636"/>
    <w:rsid w:val="3D40B3BB"/>
    <w:rsid w:val="3D597710"/>
    <w:rsid w:val="3DAC0DBC"/>
    <w:rsid w:val="3DCAF126"/>
    <w:rsid w:val="3DCB59AC"/>
    <w:rsid w:val="3DE7B604"/>
    <w:rsid w:val="3E2937EB"/>
    <w:rsid w:val="3EBFA721"/>
    <w:rsid w:val="3EE41F5E"/>
    <w:rsid w:val="3F01FCE8"/>
    <w:rsid w:val="3F329002"/>
    <w:rsid w:val="40035144"/>
    <w:rsid w:val="40512910"/>
    <w:rsid w:val="40A5BD1A"/>
    <w:rsid w:val="414338FA"/>
    <w:rsid w:val="41B9D58D"/>
    <w:rsid w:val="41B9F8F9"/>
    <w:rsid w:val="4228FA32"/>
    <w:rsid w:val="42AB92ED"/>
    <w:rsid w:val="42DFBD62"/>
    <w:rsid w:val="42FD8249"/>
    <w:rsid w:val="431B399B"/>
    <w:rsid w:val="44206723"/>
    <w:rsid w:val="44755C97"/>
    <w:rsid w:val="44987A12"/>
    <w:rsid w:val="44A6E08B"/>
    <w:rsid w:val="44C659E0"/>
    <w:rsid w:val="4542C495"/>
    <w:rsid w:val="4586ED23"/>
    <w:rsid w:val="459F95D4"/>
    <w:rsid w:val="46410A66"/>
    <w:rsid w:val="4664E7A8"/>
    <w:rsid w:val="468A7AA2"/>
    <w:rsid w:val="46B782CE"/>
    <w:rsid w:val="475D2CEE"/>
    <w:rsid w:val="47A190FD"/>
    <w:rsid w:val="485CF71D"/>
    <w:rsid w:val="48682CE1"/>
    <w:rsid w:val="490BCDD0"/>
    <w:rsid w:val="4959B268"/>
    <w:rsid w:val="496544FD"/>
    <w:rsid w:val="49E17F83"/>
    <w:rsid w:val="4A05CBEB"/>
    <w:rsid w:val="4B03B88A"/>
    <w:rsid w:val="4B076663"/>
    <w:rsid w:val="4B5B1522"/>
    <w:rsid w:val="4B9A6C1F"/>
    <w:rsid w:val="4BF00C94"/>
    <w:rsid w:val="4C48DB9C"/>
    <w:rsid w:val="4C977694"/>
    <w:rsid w:val="4CE61B3C"/>
    <w:rsid w:val="4D09D2CD"/>
    <w:rsid w:val="4D1200BE"/>
    <w:rsid w:val="4D236A16"/>
    <w:rsid w:val="4D3E64D3"/>
    <w:rsid w:val="4D75AC8F"/>
    <w:rsid w:val="4D8B20FE"/>
    <w:rsid w:val="4D948F3F"/>
    <w:rsid w:val="4DABB04E"/>
    <w:rsid w:val="4DFB1EE2"/>
    <w:rsid w:val="4E2B1E92"/>
    <w:rsid w:val="4EA8EF15"/>
    <w:rsid w:val="4EBECFEF"/>
    <w:rsid w:val="4EEA9270"/>
    <w:rsid w:val="4F295EA8"/>
    <w:rsid w:val="4FAB299C"/>
    <w:rsid w:val="4FDA43B7"/>
    <w:rsid w:val="4FDCB30F"/>
    <w:rsid w:val="50097504"/>
    <w:rsid w:val="500FDCC9"/>
    <w:rsid w:val="506A4EDD"/>
    <w:rsid w:val="506E0EBF"/>
    <w:rsid w:val="50A1AB3D"/>
    <w:rsid w:val="50B6B48A"/>
    <w:rsid w:val="51270AAE"/>
    <w:rsid w:val="51443EF4"/>
    <w:rsid w:val="51638A23"/>
    <w:rsid w:val="517558E9"/>
    <w:rsid w:val="519222D1"/>
    <w:rsid w:val="521B86F0"/>
    <w:rsid w:val="521C4F1A"/>
    <w:rsid w:val="524D09BB"/>
    <w:rsid w:val="5266A9F7"/>
    <w:rsid w:val="526C076A"/>
    <w:rsid w:val="5291EF66"/>
    <w:rsid w:val="52A58DCC"/>
    <w:rsid w:val="52C31C83"/>
    <w:rsid w:val="52E4BB52"/>
    <w:rsid w:val="532E7108"/>
    <w:rsid w:val="53FCA47D"/>
    <w:rsid w:val="54445C58"/>
    <w:rsid w:val="54C340CD"/>
    <w:rsid w:val="553108F6"/>
    <w:rsid w:val="55367AC3"/>
    <w:rsid w:val="553AB70A"/>
    <w:rsid w:val="5619229C"/>
    <w:rsid w:val="5665B9A3"/>
    <w:rsid w:val="567E2B3C"/>
    <w:rsid w:val="569CD7E0"/>
    <w:rsid w:val="5711DD81"/>
    <w:rsid w:val="57B0CE62"/>
    <w:rsid w:val="58111BDC"/>
    <w:rsid w:val="58388FE3"/>
    <w:rsid w:val="58587810"/>
    <w:rsid w:val="58CB26D0"/>
    <w:rsid w:val="58F4D93E"/>
    <w:rsid w:val="58FC1E64"/>
    <w:rsid w:val="593066EA"/>
    <w:rsid w:val="59D3A681"/>
    <w:rsid w:val="59F10F7B"/>
    <w:rsid w:val="5A4D47A0"/>
    <w:rsid w:val="5A4F1780"/>
    <w:rsid w:val="5A6DCD7A"/>
    <w:rsid w:val="5ADB6EDF"/>
    <w:rsid w:val="5B6CF574"/>
    <w:rsid w:val="5BFF5476"/>
    <w:rsid w:val="5C60BA11"/>
    <w:rsid w:val="5D0F2873"/>
    <w:rsid w:val="5D3AC31F"/>
    <w:rsid w:val="5DB868CC"/>
    <w:rsid w:val="5DCC04AC"/>
    <w:rsid w:val="5E725923"/>
    <w:rsid w:val="5E82ACEC"/>
    <w:rsid w:val="5EB34CED"/>
    <w:rsid w:val="5EBF799D"/>
    <w:rsid w:val="5EC50B6D"/>
    <w:rsid w:val="5EE38D09"/>
    <w:rsid w:val="5F4597F1"/>
    <w:rsid w:val="604EB7A8"/>
    <w:rsid w:val="60D4F2FC"/>
    <w:rsid w:val="60F82E3B"/>
    <w:rsid w:val="61019156"/>
    <w:rsid w:val="618A7FD8"/>
    <w:rsid w:val="61E90BE3"/>
    <w:rsid w:val="620EE240"/>
    <w:rsid w:val="625E844D"/>
    <w:rsid w:val="62DADB03"/>
    <w:rsid w:val="62F7E22F"/>
    <w:rsid w:val="6325A38E"/>
    <w:rsid w:val="63986ADE"/>
    <w:rsid w:val="6416D86B"/>
    <w:rsid w:val="64459914"/>
    <w:rsid w:val="644CAD8E"/>
    <w:rsid w:val="644F3413"/>
    <w:rsid w:val="65688A35"/>
    <w:rsid w:val="65ABB546"/>
    <w:rsid w:val="667BF419"/>
    <w:rsid w:val="668D4125"/>
    <w:rsid w:val="670E927C"/>
    <w:rsid w:val="671E3B6E"/>
    <w:rsid w:val="67BB751F"/>
    <w:rsid w:val="67F0E564"/>
    <w:rsid w:val="68835C19"/>
    <w:rsid w:val="68881851"/>
    <w:rsid w:val="68EC79AB"/>
    <w:rsid w:val="69800099"/>
    <w:rsid w:val="69B31B35"/>
    <w:rsid w:val="69E107EC"/>
    <w:rsid w:val="6A1CE4A3"/>
    <w:rsid w:val="6A424F4C"/>
    <w:rsid w:val="6AE4591B"/>
    <w:rsid w:val="6B03EC9C"/>
    <w:rsid w:val="6B756174"/>
    <w:rsid w:val="6B85E52E"/>
    <w:rsid w:val="6BB86682"/>
    <w:rsid w:val="6C38A28D"/>
    <w:rsid w:val="6CA8518B"/>
    <w:rsid w:val="6D1249C8"/>
    <w:rsid w:val="6D5C44C8"/>
    <w:rsid w:val="6D78C915"/>
    <w:rsid w:val="6E08F785"/>
    <w:rsid w:val="6E286AE6"/>
    <w:rsid w:val="6E7D3764"/>
    <w:rsid w:val="6EC2A4BB"/>
    <w:rsid w:val="6F085FB2"/>
    <w:rsid w:val="6F3CA26F"/>
    <w:rsid w:val="6F65C1A2"/>
    <w:rsid w:val="6FD7DB16"/>
    <w:rsid w:val="7031156B"/>
    <w:rsid w:val="709BB2F6"/>
    <w:rsid w:val="70C54706"/>
    <w:rsid w:val="70C9AA8E"/>
    <w:rsid w:val="7107F9D2"/>
    <w:rsid w:val="727FBD17"/>
    <w:rsid w:val="738A7C87"/>
    <w:rsid w:val="73BFC43B"/>
    <w:rsid w:val="73E7F579"/>
    <w:rsid w:val="74199E1F"/>
    <w:rsid w:val="746AECCA"/>
    <w:rsid w:val="74EDFEFC"/>
    <w:rsid w:val="75F01731"/>
    <w:rsid w:val="75F41B85"/>
    <w:rsid w:val="75FAB522"/>
    <w:rsid w:val="7606001E"/>
    <w:rsid w:val="76DCEEF1"/>
    <w:rsid w:val="772BC3C8"/>
    <w:rsid w:val="77768E49"/>
    <w:rsid w:val="77F85A1D"/>
    <w:rsid w:val="7817E6E9"/>
    <w:rsid w:val="785C90CD"/>
    <w:rsid w:val="790145A4"/>
    <w:rsid w:val="798C6B6E"/>
    <w:rsid w:val="79A6514C"/>
    <w:rsid w:val="79FE5260"/>
    <w:rsid w:val="7A798CD6"/>
    <w:rsid w:val="7AE43B4B"/>
    <w:rsid w:val="7AF92411"/>
    <w:rsid w:val="7B3AA469"/>
    <w:rsid w:val="7B8C641D"/>
    <w:rsid w:val="7BAAA774"/>
    <w:rsid w:val="7C1BA56F"/>
    <w:rsid w:val="7C1E5CB1"/>
    <w:rsid w:val="7C880D3E"/>
    <w:rsid w:val="7C981836"/>
    <w:rsid w:val="7CDE4C60"/>
    <w:rsid w:val="7E11F187"/>
    <w:rsid w:val="7E35D6F1"/>
    <w:rsid w:val="7E3B0CDA"/>
    <w:rsid w:val="7E944744"/>
    <w:rsid w:val="7F30D1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D0289"/>
  <w15:chartTrackingRefBased/>
  <w15:docId w15:val="{1CE87242-E56E-400B-AF98-831DD423BF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282F1A4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58D4AF7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62990d0cbd44aab" /><Relationship Type="http://schemas.microsoft.com/office/2020/10/relationships/intelligence" Target="/word/intelligence2.xml" Id="Rfcb6a9c2bf6848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Finley Jones (2413098)</dc:creator>
  <keywords/>
  <dc:description/>
  <lastModifiedBy>Finley Jones (2413098)</lastModifiedBy>
  <revision>4</revision>
  <dcterms:created xsi:type="dcterms:W3CDTF">2026-10-15T15:47:09.2325035Z</dcterms:created>
  <dcterms:modified xsi:type="dcterms:W3CDTF">2026-10-23T13:54:29.7295822Z</dcterms:modified>
</coreProperties>
</file>