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A34284"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PSYCHOLOGY IN HEALTH AND SOCIAL CARE</w:t>
      </w:r>
    </w:p>
    <w:p w14:paraId="163BAC34"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 xml:space="preserve"> </w:t>
      </w:r>
    </w:p>
    <w:p w14:paraId="0A4A1019"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Module Code: LCHS4010</w:t>
      </w:r>
    </w:p>
    <w:p w14:paraId="56585451"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Module Title: Psychology in Health and Social Care</w:t>
      </w:r>
    </w:p>
    <w:p w14:paraId="15A77AF9"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Assessment: Component 2 – Essay</w:t>
      </w:r>
    </w:p>
    <w:p w14:paraId="55256A3D"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Lecturer’s Name: Neale Haddon</w:t>
      </w:r>
    </w:p>
    <w:p w14:paraId="17698074"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 xml:space="preserve"> </w:t>
      </w:r>
    </w:p>
    <w:p w14:paraId="457190E5"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Essay Title:</w:t>
      </w:r>
    </w:p>
    <w:p w14:paraId="30D08838"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How social media affects mental health and wellbeing during adolescence</w:t>
      </w:r>
    </w:p>
    <w:p w14:paraId="4B069CD1"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 xml:space="preserve"> </w:t>
      </w:r>
    </w:p>
    <w:p w14:paraId="57BADAE9"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Student Details:</w:t>
      </w:r>
    </w:p>
    <w:p w14:paraId="366D0672"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 xml:space="preserve">Name: </w:t>
      </w:r>
      <w:proofErr w:type="spellStart"/>
      <w:r w:rsidRPr="00F548BB">
        <w:rPr>
          <w:rFonts w:ascii="Arial" w:hAnsi="Arial" w:cs="Arial"/>
          <w:sz w:val="22"/>
          <w:szCs w:val="22"/>
        </w:rPr>
        <w:t>Sehrash</w:t>
      </w:r>
      <w:proofErr w:type="spellEnd"/>
      <w:r w:rsidRPr="00F548BB">
        <w:rPr>
          <w:rFonts w:ascii="Arial" w:hAnsi="Arial" w:cs="Arial"/>
          <w:sz w:val="22"/>
          <w:szCs w:val="22"/>
        </w:rPr>
        <w:t xml:space="preserve"> Ali</w:t>
      </w:r>
    </w:p>
    <w:p w14:paraId="0F9D092D"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Student ID: 2440353</w:t>
      </w:r>
    </w:p>
    <w:p w14:paraId="1675BAF3"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 xml:space="preserve"> </w:t>
      </w:r>
    </w:p>
    <w:p w14:paraId="3D91A736" w14:textId="77777777" w:rsidR="00406C14" w:rsidRPr="00F548BB" w:rsidRDefault="00406C14" w:rsidP="001E6D88">
      <w:pPr>
        <w:spacing w:line="360" w:lineRule="auto"/>
        <w:rPr>
          <w:rFonts w:ascii="Arial" w:hAnsi="Arial" w:cs="Arial"/>
          <w:sz w:val="22"/>
          <w:szCs w:val="22"/>
        </w:rPr>
      </w:pPr>
      <w:r w:rsidRPr="00F548BB">
        <w:rPr>
          <w:rFonts w:ascii="Arial" w:hAnsi="Arial" w:cs="Arial"/>
          <w:sz w:val="22"/>
          <w:szCs w:val="22"/>
        </w:rPr>
        <w:t>Word Count: 1490</w:t>
      </w:r>
    </w:p>
    <w:p w14:paraId="237911F4" w14:textId="76B2783B" w:rsidR="00AC1B54" w:rsidRPr="00F548BB" w:rsidRDefault="00406C14" w:rsidP="001E6D88">
      <w:pPr>
        <w:spacing w:line="360" w:lineRule="auto"/>
        <w:rPr>
          <w:rFonts w:ascii="Arial" w:hAnsi="Arial" w:cs="Arial"/>
          <w:sz w:val="22"/>
          <w:szCs w:val="22"/>
        </w:rPr>
      </w:pPr>
      <w:r w:rsidRPr="00F548BB">
        <w:rPr>
          <w:rFonts w:ascii="Arial" w:hAnsi="Arial" w:cs="Arial"/>
          <w:sz w:val="22"/>
          <w:szCs w:val="22"/>
        </w:rPr>
        <w:t>Submission Date: 15 July 2026</w:t>
      </w:r>
    </w:p>
    <w:p w14:paraId="2CF5CF1E" w14:textId="77777777" w:rsidR="00AC1B54" w:rsidRPr="00F548BB" w:rsidRDefault="00AC1B54" w:rsidP="001E6D88">
      <w:pPr>
        <w:spacing w:line="360" w:lineRule="auto"/>
        <w:rPr>
          <w:rFonts w:ascii="Arial" w:hAnsi="Arial" w:cs="Arial"/>
          <w:sz w:val="22"/>
          <w:szCs w:val="22"/>
        </w:rPr>
      </w:pPr>
    </w:p>
    <w:p w14:paraId="3A3C1023" w14:textId="77777777" w:rsidR="00AC1B54" w:rsidRPr="00F548BB" w:rsidRDefault="00AC1B54" w:rsidP="001E6D88">
      <w:pPr>
        <w:spacing w:line="360" w:lineRule="auto"/>
        <w:rPr>
          <w:rFonts w:ascii="Arial" w:hAnsi="Arial" w:cs="Arial"/>
          <w:sz w:val="22"/>
          <w:szCs w:val="22"/>
        </w:rPr>
      </w:pPr>
    </w:p>
    <w:p w14:paraId="34557A4C"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How social media affects mental health and wellbeing during adolescence</w:t>
      </w:r>
    </w:p>
    <w:p w14:paraId="4E417FB7"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 xml:space="preserve"> </w:t>
      </w:r>
    </w:p>
    <w:p w14:paraId="41CD5B9C"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Adolescence is a key period of change and development, generally covering ages 12 to 18. At this time, young people go through fast shifts in their bodies, their thinking, and their emotions. They start to become more independent, spend more time with friends, and work out their own values and identity (Crisp and Turner, 2021). In the UK today, much of this growing</w:t>
      </w:r>
      <w:r w:rsidRPr="00F548BB">
        <w:rPr>
          <w:rFonts w:ascii="Cambria Math" w:hAnsi="Cambria Math" w:cs="Cambria Math"/>
          <w:sz w:val="22"/>
          <w:szCs w:val="22"/>
        </w:rPr>
        <w:t>‑</w:t>
      </w:r>
      <w:r w:rsidRPr="00F548BB">
        <w:rPr>
          <w:rFonts w:ascii="Arial" w:hAnsi="Arial" w:cs="Arial"/>
          <w:sz w:val="22"/>
          <w:szCs w:val="22"/>
        </w:rPr>
        <w:t xml:space="preserve">up happens online. Official figures from Ofcom (2024) show that over 9 out of 10 teenagers own a smartphone, and most spend 3 to 4 hours each day using sites and apps like </w:t>
      </w:r>
      <w:proofErr w:type="spellStart"/>
      <w:r w:rsidRPr="00F548BB">
        <w:rPr>
          <w:rFonts w:ascii="Arial" w:hAnsi="Arial" w:cs="Arial"/>
          <w:sz w:val="22"/>
          <w:szCs w:val="22"/>
        </w:rPr>
        <w:t>TikTok</w:t>
      </w:r>
      <w:proofErr w:type="spellEnd"/>
      <w:r w:rsidRPr="00F548BB">
        <w:rPr>
          <w:rFonts w:ascii="Arial" w:hAnsi="Arial" w:cs="Arial"/>
          <w:sz w:val="22"/>
          <w:szCs w:val="22"/>
        </w:rPr>
        <w:t>, Instagram, Snapchat and Facebook. This regular use has led to a lot of discussion: does social media help or harm how young people feel about themselves? Research from the Mental Health Foundation (2023) shows it works both ways — it can bring people together, but heavy use is also linked to higher stress, low confidence and poor sleep. To understand these different results, this essay will use Erikson’s psychosocial theory and Bowlby’s attachment theory to explain how social media influences mental health, and look at what each theory can and cannot explain.</w:t>
      </w:r>
    </w:p>
    <w:p w14:paraId="7E403820"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 xml:space="preserve"> </w:t>
      </w:r>
    </w:p>
    <w:p w14:paraId="00B61645"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When looking at the evidence, it is clear there is no simple answer. On the positive side, social media opens up new ways to connect. For those who feel lonely, or who have interests or identities that are not well</w:t>
      </w:r>
      <w:r w:rsidRPr="00F548BB">
        <w:rPr>
          <w:rFonts w:ascii="Cambria Math" w:hAnsi="Cambria Math" w:cs="Cambria Math"/>
          <w:sz w:val="22"/>
          <w:szCs w:val="22"/>
        </w:rPr>
        <w:t>‑</w:t>
      </w:r>
      <w:r w:rsidRPr="00F548BB">
        <w:rPr>
          <w:rFonts w:ascii="Arial" w:hAnsi="Arial" w:cs="Arial"/>
          <w:sz w:val="22"/>
          <w:szCs w:val="22"/>
        </w:rPr>
        <w:t>represented in their local area, online groups can give a real sense of belonging and safety (Young and Davies, 2023). It also makes it easier to find information and advice on mental health that might not be available close to home. However, there are clear risks too. The Mental Health Foundation (2023) found that the more time young people spend online, the more likely they are to feel anxious, unhappy or tired. Common problems include online bullying, which can leave long</w:t>
      </w:r>
      <w:r w:rsidRPr="00F548BB">
        <w:rPr>
          <w:rFonts w:ascii="Cambria Math" w:hAnsi="Cambria Math" w:cs="Cambria Math"/>
          <w:sz w:val="22"/>
          <w:szCs w:val="22"/>
        </w:rPr>
        <w:t>‑</w:t>
      </w:r>
      <w:r w:rsidRPr="00F548BB">
        <w:rPr>
          <w:rFonts w:ascii="Arial" w:hAnsi="Arial" w:cs="Arial"/>
          <w:sz w:val="22"/>
          <w:szCs w:val="22"/>
        </w:rPr>
        <w:t>term emotional damage, and the habit of comparing yourself to others. Most posts only show the best moments, edited to look perfect, so young people often measure their normal daily lives against these ideal images. This often leads to feeling “not good enough”, and the worry that everyone else is having a better time — known as the “fear of missing out” or FOMO (</w:t>
      </w:r>
      <w:proofErr w:type="spellStart"/>
      <w:r w:rsidRPr="00F548BB">
        <w:rPr>
          <w:rFonts w:ascii="Arial" w:hAnsi="Arial" w:cs="Arial"/>
          <w:sz w:val="22"/>
          <w:szCs w:val="22"/>
        </w:rPr>
        <w:t>Twenge</w:t>
      </w:r>
      <w:proofErr w:type="spellEnd"/>
      <w:r w:rsidRPr="00F548BB">
        <w:rPr>
          <w:rFonts w:ascii="Arial" w:hAnsi="Arial" w:cs="Arial"/>
          <w:sz w:val="22"/>
          <w:szCs w:val="22"/>
        </w:rPr>
        <w:t xml:space="preserve"> et al., 2024). Being online late also disrupts sleep and reduces time spent talking face</w:t>
      </w:r>
      <w:r w:rsidRPr="00F548BB">
        <w:rPr>
          <w:rFonts w:ascii="Cambria Math" w:hAnsi="Cambria Math" w:cs="Cambria Math"/>
          <w:sz w:val="22"/>
          <w:szCs w:val="22"/>
        </w:rPr>
        <w:t>‑</w:t>
      </w:r>
      <w:r w:rsidRPr="00F548BB">
        <w:rPr>
          <w:rFonts w:ascii="Arial" w:hAnsi="Arial" w:cs="Arial"/>
          <w:sz w:val="22"/>
          <w:szCs w:val="22"/>
        </w:rPr>
        <w:t>to</w:t>
      </w:r>
      <w:r w:rsidRPr="00F548BB">
        <w:rPr>
          <w:rFonts w:ascii="Cambria Math" w:hAnsi="Cambria Math" w:cs="Cambria Math"/>
          <w:sz w:val="22"/>
          <w:szCs w:val="22"/>
        </w:rPr>
        <w:t>‑</w:t>
      </w:r>
      <w:r w:rsidRPr="00F548BB">
        <w:rPr>
          <w:rFonts w:ascii="Arial" w:hAnsi="Arial" w:cs="Arial"/>
          <w:sz w:val="22"/>
          <w:szCs w:val="22"/>
        </w:rPr>
        <w:t>face, both of which are vital for keeping emotions stable.</w:t>
      </w:r>
    </w:p>
    <w:p w14:paraId="64810518"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 xml:space="preserve"> </w:t>
      </w:r>
    </w:p>
    <w:p w14:paraId="44AD541E"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The first theory used here is Erikson’s psychosocial theory. Erikson (1997) said that people develop through eight different stages across their whole life, and each stage has a specific challenge to overcome. For teenagers, the main task is called Identity versus Role Confusion. The big question at this age is: “Who am I?” Young people try out different hobbies, beliefs, styles and friendship groups to build a clear idea of who they are. If they manage this well, they grow into confident adults with a strong sense of self; if they struggle, they may feel unsure about their future and have low self</w:t>
      </w:r>
      <w:r w:rsidRPr="00F548BB">
        <w:rPr>
          <w:rFonts w:ascii="Cambria Math" w:hAnsi="Cambria Math" w:cs="Cambria Math"/>
          <w:sz w:val="22"/>
          <w:szCs w:val="22"/>
        </w:rPr>
        <w:t>‑</w:t>
      </w:r>
      <w:r w:rsidRPr="00F548BB">
        <w:rPr>
          <w:rFonts w:ascii="Arial" w:hAnsi="Arial" w:cs="Arial"/>
          <w:sz w:val="22"/>
          <w:szCs w:val="22"/>
        </w:rPr>
        <w:t>belief. This theory is helpful because it sees adolescence as a time of active growth, not just a difficult phase (Hayes, 2020).</w:t>
      </w:r>
    </w:p>
    <w:p w14:paraId="4880E581"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 xml:space="preserve"> </w:t>
      </w:r>
    </w:p>
    <w:p w14:paraId="13F16134"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When we apply this to social media, it explains why it has such a big effect. On the good side, platforms give young people a low</w:t>
      </w:r>
      <w:r w:rsidRPr="00F548BB">
        <w:rPr>
          <w:rFonts w:ascii="Cambria Math" w:hAnsi="Cambria Math" w:cs="Cambria Math"/>
          <w:sz w:val="22"/>
          <w:szCs w:val="22"/>
        </w:rPr>
        <w:t>‑</w:t>
      </w:r>
      <w:r w:rsidRPr="00F548BB">
        <w:rPr>
          <w:rFonts w:ascii="Arial" w:hAnsi="Arial" w:cs="Arial"/>
          <w:sz w:val="22"/>
          <w:szCs w:val="22"/>
        </w:rPr>
        <w:t>pressure space to try out different sides of their personality. They can join groups, share their views and experiment with how they present themselves, without the immediate pressure of face</w:t>
      </w:r>
      <w:r w:rsidRPr="00F548BB">
        <w:rPr>
          <w:rFonts w:ascii="Cambria Math" w:hAnsi="Cambria Math" w:cs="Cambria Math"/>
          <w:sz w:val="22"/>
          <w:szCs w:val="22"/>
        </w:rPr>
        <w:t>‑</w:t>
      </w:r>
      <w:r w:rsidRPr="00F548BB">
        <w:rPr>
          <w:rFonts w:ascii="Arial" w:hAnsi="Arial" w:cs="Arial"/>
          <w:sz w:val="22"/>
          <w:szCs w:val="22"/>
        </w:rPr>
        <w:t>to</w:t>
      </w:r>
      <w:r w:rsidRPr="00F548BB">
        <w:rPr>
          <w:rFonts w:ascii="Cambria Math" w:hAnsi="Cambria Math" w:cs="Cambria Math"/>
          <w:sz w:val="22"/>
          <w:szCs w:val="22"/>
        </w:rPr>
        <w:t>‑</w:t>
      </w:r>
      <w:r w:rsidRPr="00F548BB">
        <w:rPr>
          <w:rFonts w:ascii="Arial" w:hAnsi="Arial" w:cs="Arial"/>
          <w:sz w:val="22"/>
          <w:szCs w:val="22"/>
        </w:rPr>
        <w:t>face judgment (Crisp and Turner, 2021). This fits exactly with what Erikson described as the work of building an identity. On the downside, online approval works differently: self</w:t>
      </w:r>
      <w:r w:rsidRPr="00F548BB">
        <w:rPr>
          <w:rFonts w:ascii="Cambria Math" w:hAnsi="Cambria Math" w:cs="Cambria Math"/>
          <w:sz w:val="22"/>
          <w:szCs w:val="22"/>
        </w:rPr>
        <w:t>‑</w:t>
      </w:r>
      <w:r w:rsidRPr="00F548BB">
        <w:rPr>
          <w:rFonts w:ascii="Arial" w:hAnsi="Arial" w:cs="Arial"/>
          <w:sz w:val="22"/>
          <w:szCs w:val="22"/>
        </w:rPr>
        <w:t>worth often becomes tied to numbers — likes, comments and shares — which can change quickly and feel unreliable. If posts get little attention or negative feedback, it can make them feel uncertain and confused. There is also pressure to only show a “perfect” version of life, creating a gap between who they are online and who they really are. According to Erikson, this gap causes stress and anxiety, and makes it harder to form a real, consistent sense of self.</w:t>
      </w:r>
    </w:p>
    <w:p w14:paraId="2E2ACB7A"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 xml:space="preserve"> </w:t>
      </w:r>
    </w:p>
    <w:p w14:paraId="3ACCDB04"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Looking at the strengths and weaknesses of this theory: it is very useful for health and social care workers, as it explains why friends’ opinions and personal image matter so much to teenagers. It shows that time spent online is not just “wasting time”, but part of growing up. However, it has limits. Erikson wrote his work long before the internet existed, so he could not predict how identity could be spread across multiple accounts, or how permanent online posts could affect how young people see themselves later. It also focuses more on social influences than on the changes in the teenage brain, which affect how they control feelings and make decisions (Hayes, 2020). Even so, it gives a clear framework to understand the challenges young people face.</w:t>
      </w:r>
    </w:p>
    <w:p w14:paraId="5FFAFE2B"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 xml:space="preserve"> </w:t>
      </w:r>
    </w:p>
    <w:p w14:paraId="3AF5B008"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The second theory used is Bowlby’s attachment theory. Bowlby (1982) argued that the bond formed with main caregivers in early childhood creates an “internal working model” — a set of beliefs about whether you are worthy of love, and whether other people can be trusted. While this pattern is not fixed forever, it usually stays similar and shapes how someone relates to others as they grow. Bowlby described three main styles: secure attachment, where you feel confident and trusting; insecure</w:t>
      </w:r>
      <w:r w:rsidRPr="00F548BB">
        <w:rPr>
          <w:rFonts w:ascii="Cambria Math" w:hAnsi="Cambria Math" w:cs="Cambria Math"/>
          <w:sz w:val="22"/>
          <w:szCs w:val="22"/>
        </w:rPr>
        <w:t>‑</w:t>
      </w:r>
      <w:r w:rsidRPr="00F548BB">
        <w:rPr>
          <w:rFonts w:ascii="Arial" w:hAnsi="Arial" w:cs="Arial"/>
          <w:sz w:val="22"/>
          <w:szCs w:val="22"/>
        </w:rPr>
        <w:t>avoidant attachment, where you keep your distance to avoid being hurt; and insecure</w:t>
      </w:r>
      <w:r w:rsidRPr="00F548BB">
        <w:rPr>
          <w:rFonts w:ascii="Cambria Math" w:hAnsi="Cambria Math" w:cs="Cambria Math"/>
          <w:sz w:val="22"/>
          <w:szCs w:val="22"/>
        </w:rPr>
        <w:t>‑</w:t>
      </w:r>
      <w:r w:rsidRPr="00F548BB">
        <w:rPr>
          <w:rFonts w:ascii="Arial" w:hAnsi="Arial" w:cs="Arial"/>
          <w:sz w:val="22"/>
          <w:szCs w:val="22"/>
        </w:rPr>
        <w:t>anxious attachment, where you constantly worry about being left or not being good enough. This theory helps explain why the same social media experience can affect two young people in completely different ways (Holmes, 2021).</w:t>
      </w:r>
    </w:p>
    <w:p w14:paraId="7E6EF8C5"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 xml:space="preserve"> </w:t>
      </w:r>
    </w:p>
    <w:p w14:paraId="024AA3EB"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When applied to online use, attachment style acts like a lens through which everything is seen. Those with a secure start in life tend to use social media in a balanced way: they already feel good about themselves, so they can stay in touch with friends and share updates without needing constant praise. They are less likely to take silence or criticism personally. In contrast, those with insecure patterns are much more vulnerable. For example, a young person with an anxious style already fears being rejected; if a friend does not reply quickly or posts photos without them, they take it as proof they are not valued (Young and Davies, 2023). This often leads to checking apps over and over, posting more often to get attention, but still never feeling satisfied. Online messages also lack tone of voice, facial expressions and touch — things Bowlby said are essential for building trust and managing feelings. For those already feeling unsure, relying mostly on text can make relationships feel less real and increase loneliness, which raises the risk of low mood.</w:t>
      </w:r>
    </w:p>
    <w:p w14:paraId="047F15B6"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 xml:space="preserve"> </w:t>
      </w:r>
    </w:p>
    <w:p w14:paraId="1A70A876"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Evaluating Bowlby’s theory: it clearly shows why some cope well online while others struggle, which is very helpful when supporting young people. It helps spot those who may need extra guidance. However, it can seem too strict, suggesting early relationships decide everything; modern research shows attachment styles can improve through good friendships, support and therapy later in life (Holmes, 2021). It also focuses mostly on close family bonds and does not fully explain the influence of large peer groups or how platforms are designed to keep users scrolling.</w:t>
      </w:r>
    </w:p>
    <w:p w14:paraId="6EFB69F6"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 xml:space="preserve"> </w:t>
      </w:r>
    </w:p>
    <w:p w14:paraId="3E1CF64D"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When we put both theories together, we get a full picture. Erikson explains what the young person is trying to achieve: building their own identity. Bowlby explains how their past experiences shape how they feel while doing it. Social media gives them the tools and the audience for this work, but in a space where feedback is public, fast and often unkind. Changes in the developing brain also make teenagers extra sensitive to social rewards, while family and friends influence how they interpret what they see. All these factors decide whether social media helps or harms their wellbeing.</w:t>
      </w:r>
    </w:p>
    <w:p w14:paraId="7821B9DE"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 xml:space="preserve"> </w:t>
      </w:r>
    </w:p>
    <w:p w14:paraId="40E467F1" w14:textId="77777777" w:rsidR="009D3E83" w:rsidRPr="00F548BB" w:rsidRDefault="009D3E83" w:rsidP="001E6D88">
      <w:pPr>
        <w:spacing w:line="360" w:lineRule="auto"/>
        <w:rPr>
          <w:rFonts w:ascii="Arial" w:hAnsi="Arial" w:cs="Arial"/>
          <w:sz w:val="22"/>
          <w:szCs w:val="22"/>
        </w:rPr>
      </w:pPr>
      <w:r w:rsidRPr="00F548BB">
        <w:rPr>
          <w:rFonts w:ascii="Arial" w:hAnsi="Arial" w:cs="Arial"/>
          <w:sz w:val="22"/>
          <w:szCs w:val="22"/>
        </w:rPr>
        <w:t>In conclusion, the effect of social media is different for every young person. It brings great opportunities to connect and learn, but also brings pressure and risk. Using Erikson’s theory, we see it has become the main place where identity is formed — when used well, it supports growth; when self</w:t>
      </w:r>
      <w:r w:rsidRPr="00F548BB">
        <w:rPr>
          <w:rFonts w:ascii="Cambria Math" w:hAnsi="Cambria Math" w:cs="Cambria Math"/>
          <w:sz w:val="22"/>
          <w:szCs w:val="22"/>
        </w:rPr>
        <w:t>‑</w:t>
      </w:r>
      <w:r w:rsidRPr="00F548BB">
        <w:rPr>
          <w:rFonts w:ascii="Arial" w:hAnsi="Arial" w:cs="Arial"/>
          <w:sz w:val="22"/>
          <w:szCs w:val="22"/>
        </w:rPr>
        <w:t>worth depends on likes, it causes confusion and stress. Using Bowlby’s theory, we see that those with a secure base manage challenges better, while those with insecure patterns find their fears get stronger. While both theories have limits, using them together gives the clearest understanding. For health and social care, this means helping young people build confidence from within, separate their value from online popularity, and use technology in ways that support their mental health, rather than damage it.</w:t>
      </w:r>
    </w:p>
    <w:p w14:paraId="061AD4C8"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References</w:t>
      </w:r>
    </w:p>
    <w:p w14:paraId="4E61B0F5"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 </w:t>
      </w:r>
    </w:p>
    <w:p w14:paraId="14CE789B"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Bowlby, J. (1982) Attachment and Loss: Volume 1, Attachment. 2</w:t>
      </w:r>
      <w:r w:rsidRPr="00F548BB">
        <w:rPr>
          <w:rFonts w:ascii="Arial" w:hAnsi="Arial" w:cs="Arial"/>
          <w:sz w:val="22"/>
          <w:szCs w:val="22"/>
          <w:vertAlign w:val="superscript"/>
        </w:rPr>
        <w:t>nd</w:t>
      </w:r>
      <w:r w:rsidRPr="00F548BB">
        <w:rPr>
          <w:rFonts w:ascii="Arial" w:hAnsi="Arial" w:cs="Arial"/>
          <w:sz w:val="22"/>
          <w:szCs w:val="22"/>
        </w:rPr>
        <w:t xml:space="preserve"> </w:t>
      </w:r>
      <w:proofErr w:type="spellStart"/>
      <w:r w:rsidRPr="00F548BB">
        <w:rPr>
          <w:rFonts w:ascii="Arial" w:hAnsi="Arial" w:cs="Arial"/>
          <w:sz w:val="22"/>
          <w:szCs w:val="22"/>
        </w:rPr>
        <w:t>edn</w:t>
      </w:r>
      <w:proofErr w:type="spellEnd"/>
      <w:r w:rsidRPr="00F548BB">
        <w:rPr>
          <w:rFonts w:ascii="Arial" w:hAnsi="Arial" w:cs="Arial"/>
          <w:sz w:val="22"/>
          <w:szCs w:val="22"/>
        </w:rPr>
        <w:t>. London: Penguin.</w:t>
      </w:r>
    </w:p>
    <w:p w14:paraId="4FF57E5E"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 </w:t>
      </w:r>
    </w:p>
    <w:p w14:paraId="17FDAE7F" w14:textId="6C32E94C"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Crisp, V. </w:t>
      </w:r>
      <w:r w:rsidR="00FC0200">
        <w:rPr>
          <w:rFonts w:ascii="Arial" w:hAnsi="Arial" w:cs="Arial"/>
          <w:sz w:val="22"/>
          <w:szCs w:val="22"/>
        </w:rPr>
        <w:t>a</w:t>
      </w:r>
      <w:r w:rsidRPr="00F548BB">
        <w:rPr>
          <w:rFonts w:ascii="Arial" w:hAnsi="Arial" w:cs="Arial"/>
          <w:sz w:val="22"/>
          <w:szCs w:val="22"/>
        </w:rPr>
        <w:t>nd Turner, P. (2021) Psychology for Nurses and Health Professionals. 3</w:t>
      </w:r>
      <w:r w:rsidRPr="00F548BB">
        <w:rPr>
          <w:rFonts w:ascii="Arial" w:hAnsi="Arial" w:cs="Arial"/>
          <w:sz w:val="22"/>
          <w:szCs w:val="22"/>
          <w:vertAlign w:val="superscript"/>
        </w:rPr>
        <w:t>rd</w:t>
      </w:r>
      <w:r w:rsidRPr="00F548BB">
        <w:rPr>
          <w:rFonts w:ascii="Arial" w:hAnsi="Arial" w:cs="Arial"/>
          <w:sz w:val="22"/>
          <w:szCs w:val="22"/>
        </w:rPr>
        <w:t xml:space="preserve"> </w:t>
      </w:r>
      <w:proofErr w:type="spellStart"/>
      <w:r w:rsidRPr="00F548BB">
        <w:rPr>
          <w:rFonts w:ascii="Arial" w:hAnsi="Arial" w:cs="Arial"/>
          <w:sz w:val="22"/>
          <w:szCs w:val="22"/>
        </w:rPr>
        <w:t>edn</w:t>
      </w:r>
      <w:proofErr w:type="spellEnd"/>
      <w:r w:rsidRPr="00F548BB">
        <w:rPr>
          <w:rFonts w:ascii="Arial" w:hAnsi="Arial" w:cs="Arial"/>
          <w:sz w:val="22"/>
          <w:szCs w:val="22"/>
        </w:rPr>
        <w:t>. London: Hodder Education.</w:t>
      </w:r>
    </w:p>
    <w:p w14:paraId="7A1C0983"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 </w:t>
      </w:r>
    </w:p>
    <w:p w14:paraId="20A5DC74"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Erikson, E.H. (1997) The Life Cycle Completed. Extended </w:t>
      </w:r>
      <w:proofErr w:type="spellStart"/>
      <w:r w:rsidRPr="00F548BB">
        <w:rPr>
          <w:rFonts w:ascii="Arial" w:hAnsi="Arial" w:cs="Arial"/>
          <w:sz w:val="22"/>
          <w:szCs w:val="22"/>
        </w:rPr>
        <w:t>edn</w:t>
      </w:r>
      <w:proofErr w:type="spellEnd"/>
      <w:r w:rsidRPr="00F548BB">
        <w:rPr>
          <w:rFonts w:ascii="Arial" w:hAnsi="Arial" w:cs="Arial"/>
          <w:sz w:val="22"/>
          <w:szCs w:val="22"/>
        </w:rPr>
        <w:t>. New York: W.W. Norton.</w:t>
      </w:r>
    </w:p>
    <w:p w14:paraId="16071D58"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 </w:t>
      </w:r>
    </w:p>
    <w:p w14:paraId="29FD6C39"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Hayes, N. (2020) Foundations of Psychology. 5</w:t>
      </w:r>
      <w:r w:rsidRPr="00F548BB">
        <w:rPr>
          <w:rFonts w:ascii="Arial" w:hAnsi="Arial" w:cs="Arial"/>
          <w:sz w:val="22"/>
          <w:szCs w:val="22"/>
          <w:vertAlign w:val="superscript"/>
        </w:rPr>
        <w:t>th</w:t>
      </w:r>
      <w:r w:rsidRPr="00F548BB">
        <w:rPr>
          <w:rFonts w:ascii="Arial" w:hAnsi="Arial" w:cs="Arial"/>
          <w:sz w:val="22"/>
          <w:szCs w:val="22"/>
        </w:rPr>
        <w:t xml:space="preserve"> </w:t>
      </w:r>
      <w:proofErr w:type="spellStart"/>
      <w:r w:rsidRPr="00F548BB">
        <w:rPr>
          <w:rFonts w:ascii="Arial" w:hAnsi="Arial" w:cs="Arial"/>
          <w:sz w:val="22"/>
          <w:szCs w:val="22"/>
        </w:rPr>
        <w:t>edn</w:t>
      </w:r>
      <w:proofErr w:type="spellEnd"/>
      <w:r w:rsidRPr="00F548BB">
        <w:rPr>
          <w:rFonts w:ascii="Arial" w:hAnsi="Arial" w:cs="Arial"/>
          <w:sz w:val="22"/>
          <w:szCs w:val="22"/>
        </w:rPr>
        <w:t>. Harlow: Pearson.</w:t>
      </w:r>
    </w:p>
    <w:p w14:paraId="7A2D8378"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 </w:t>
      </w:r>
    </w:p>
    <w:p w14:paraId="3F199EB6"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Holmes, J. (2021) Attachment Theory: A Very Short Introduction. Oxford: Oxford University Press.</w:t>
      </w:r>
    </w:p>
    <w:p w14:paraId="54EA7938"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 </w:t>
      </w:r>
    </w:p>
    <w:p w14:paraId="42392FA9"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Mental Health Foundation (2023) Digital Life and Mental Health: Young People’s Experiences. London: Mental Health Foundation.</w:t>
      </w:r>
    </w:p>
    <w:p w14:paraId="26E649D4"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 </w:t>
      </w:r>
    </w:p>
    <w:p w14:paraId="6BAAFEEA"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Ofcom (2024) Children and Parents: Media Use and Attitudes Report. London: Office of Communications.</w:t>
      </w:r>
    </w:p>
    <w:p w14:paraId="1A0239FE"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 </w:t>
      </w:r>
    </w:p>
    <w:p w14:paraId="627776CD" w14:textId="77777777" w:rsidR="00D406DA" w:rsidRPr="00F548BB" w:rsidRDefault="00D406DA" w:rsidP="001E6D88">
      <w:pPr>
        <w:spacing w:line="360" w:lineRule="auto"/>
        <w:rPr>
          <w:rFonts w:ascii="Arial" w:hAnsi="Arial" w:cs="Arial"/>
          <w:sz w:val="22"/>
          <w:szCs w:val="22"/>
        </w:rPr>
      </w:pPr>
      <w:proofErr w:type="spellStart"/>
      <w:r w:rsidRPr="00F548BB">
        <w:rPr>
          <w:rFonts w:ascii="Arial" w:hAnsi="Arial" w:cs="Arial"/>
          <w:sz w:val="22"/>
          <w:szCs w:val="22"/>
        </w:rPr>
        <w:t>Twenge</w:t>
      </w:r>
      <w:proofErr w:type="spellEnd"/>
      <w:r w:rsidRPr="00F548BB">
        <w:rPr>
          <w:rFonts w:ascii="Arial" w:hAnsi="Arial" w:cs="Arial"/>
          <w:sz w:val="22"/>
          <w:szCs w:val="22"/>
        </w:rPr>
        <w:t>, J.M., Campbell, W.K. and Cooper, B. (2024) ‘Social media use and adolescent mental health: Updated evidence from national surveys’, Journal of Adolescent Health, 75(2), pp. 189–195.</w:t>
      </w:r>
    </w:p>
    <w:p w14:paraId="1C1572C9" w14:textId="77777777"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 </w:t>
      </w:r>
    </w:p>
    <w:p w14:paraId="7DE15A77" w14:textId="0AB15F65" w:rsidR="00D406DA" w:rsidRPr="00F548BB" w:rsidRDefault="00D406DA" w:rsidP="001E6D88">
      <w:pPr>
        <w:spacing w:line="360" w:lineRule="auto"/>
        <w:rPr>
          <w:rFonts w:ascii="Arial" w:hAnsi="Arial" w:cs="Arial"/>
          <w:sz w:val="22"/>
          <w:szCs w:val="22"/>
        </w:rPr>
      </w:pPr>
      <w:r w:rsidRPr="00F548BB">
        <w:rPr>
          <w:rFonts w:ascii="Arial" w:hAnsi="Arial" w:cs="Arial"/>
          <w:sz w:val="22"/>
          <w:szCs w:val="22"/>
        </w:rPr>
        <w:t xml:space="preserve">Young, H. </w:t>
      </w:r>
      <w:r w:rsidR="00543DF4">
        <w:rPr>
          <w:rFonts w:ascii="Arial" w:hAnsi="Arial" w:cs="Arial"/>
          <w:sz w:val="22"/>
          <w:szCs w:val="22"/>
        </w:rPr>
        <w:t>a</w:t>
      </w:r>
      <w:r w:rsidRPr="00F548BB">
        <w:rPr>
          <w:rFonts w:ascii="Arial" w:hAnsi="Arial" w:cs="Arial"/>
          <w:sz w:val="22"/>
          <w:szCs w:val="22"/>
        </w:rPr>
        <w:t>nd Davies, J. (2023) Online Safety and Mental Health in Young People. London: Jessica Kingsley Publishers.</w:t>
      </w:r>
    </w:p>
    <w:p w14:paraId="1F157A17" w14:textId="77777777" w:rsidR="00AC1B54" w:rsidRPr="00F548BB" w:rsidRDefault="00AC1B54" w:rsidP="001E6D88">
      <w:pPr>
        <w:spacing w:line="360" w:lineRule="auto"/>
        <w:rPr>
          <w:rFonts w:ascii="Arial" w:hAnsi="Arial" w:cs="Arial"/>
          <w:sz w:val="22"/>
          <w:szCs w:val="22"/>
        </w:rPr>
      </w:pPr>
    </w:p>
    <w:sectPr w:rsidR="00AC1B54" w:rsidRPr="00F548BB">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1"/>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C14"/>
    <w:rsid w:val="000F4306"/>
    <w:rsid w:val="001E6D88"/>
    <w:rsid w:val="00283F14"/>
    <w:rsid w:val="00406C14"/>
    <w:rsid w:val="00543DF4"/>
    <w:rsid w:val="006D7E8C"/>
    <w:rsid w:val="00802399"/>
    <w:rsid w:val="009923F3"/>
    <w:rsid w:val="009D3E83"/>
    <w:rsid w:val="00AC1B54"/>
    <w:rsid w:val="00BA5ABA"/>
    <w:rsid w:val="00BA7AF1"/>
    <w:rsid w:val="00BC2055"/>
    <w:rsid w:val="00D406DA"/>
    <w:rsid w:val="00F548BB"/>
    <w:rsid w:val="00FC02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AFCFDA"/>
  <w15:chartTrackingRefBased/>
  <w15:docId w15:val="{16681ABA-A627-094A-B0CA-9132B73A5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C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6C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6C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6C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6C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6C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6C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6C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6C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C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6C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6C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6C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6C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6C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6C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6C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6C14"/>
    <w:rPr>
      <w:rFonts w:eastAsiaTheme="majorEastAsia" w:cstheme="majorBidi"/>
      <w:color w:val="272727" w:themeColor="text1" w:themeTint="D8"/>
    </w:rPr>
  </w:style>
  <w:style w:type="paragraph" w:styleId="Title">
    <w:name w:val="Title"/>
    <w:basedOn w:val="Normal"/>
    <w:next w:val="Normal"/>
    <w:link w:val="TitleChar"/>
    <w:uiPriority w:val="10"/>
    <w:qFormat/>
    <w:rsid w:val="00406C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6C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6C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6C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6C14"/>
    <w:pPr>
      <w:spacing w:before="160"/>
      <w:jc w:val="center"/>
    </w:pPr>
    <w:rPr>
      <w:i/>
      <w:iCs/>
      <w:color w:val="404040" w:themeColor="text1" w:themeTint="BF"/>
    </w:rPr>
  </w:style>
  <w:style w:type="character" w:customStyle="1" w:styleId="QuoteChar">
    <w:name w:val="Quote Char"/>
    <w:basedOn w:val="DefaultParagraphFont"/>
    <w:link w:val="Quote"/>
    <w:uiPriority w:val="29"/>
    <w:rsid w:val="00406C14"/>
    <w:rPr>
      <w:i/>
      <w:iCs/>
      <w:color w:val="404040" w:themeColor="text1" w:themeTint="BF"/>
    </w:rPr>
  </w:style>
  <w:style w:type="paragraph" w:styleId="ListParagraph">
    <w:name w:val="List Paragraph"/>
    <w:basedOn w:val="Normal"/>
    <w:uiPriority w:val="34"/>
    <w:qFormat/>
    <w:rsid w:val="00406C14"/>
    <w:pPr>
      <w:ind w:left="720"/>
      <w:contextualSpacing/>
    </w:pPr>
  </w:style>
  <w:style w:type="character" w:styleId="IntenseEmphasis">
    <w:name w:val="Intense Emphasis"/>
    <w:basedOn w:val="DefaultParagraphFont"/>
    <w:uiPriority w:val="21"/>
    <w:qFormat/>
    <w:rsid w:val="00406C14"/>
    <w:rPr>
      <w:i/>
      <w:iCs/>
      <w:color w:val="0F4761" w:themeColor="accent1" w:themeShade="BF"/>
    </w:rPr>
  </w:style>
  <w:style w:type="paragraph" w:styleId="IntenseQuote">
    <w:name w:val="Intense Quote"/>
    <w:basedOn w:val="Normal"/>
    <w:next w:val="Normal"/>
    <w:link w:val="IntenseQuoteChar"/>
    <w:uiPriority w:val="30"/>
    <w:qFormat/>
    <w:rsid w:val="00406C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6C14"/>
    <w:rPr>
      <w:i/>
      <w:iCs/>
      <w:color w:val="0F4761" w:themeColor="accent1" w:themeShade="BF"/>
    </w:rPr>
  </w:style>
  <w:style w:type="character" w:styleId="IntenseReference">
    <w:name w:val="Intense Reference"/>
    <w:basedOn w:val="DefaultParagraphFont"/>
    <w:uiPriority w:val="32"/>
    <w:qFormat/>
    <w:rsid w:val="00406C1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1511</Words>
  <Characters>8615</Characters>
  <Application>Microsoft Office Word</Application>
  <DocSecurity>0</DocSecurity>
  <Lines>71</Lines>
  <Paragraphs>20</Paragraphs>
  <ScaleCrop>false</ScaleCrop>
  <Company/>
  <LinksUpToDate>false</LinksUpToDate>
  <CharactersWithSpaces>10106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khan</dc:creator>
  <cp:keywords/>
  <dc:description/>
  <cp:lastModifiedBy>Safa khan</cp:lastModifiedBy>
  <cp:revision>2</cp:revision>
  <dcterms:created xsi:type="dcterms:W3CDTF">2026-06-23T21:32:00Z</dcterms:created>
  <dcterms:modified xsi:type="dcterms:W3CDTF">2026-06-23T21:32:00Z</dcterms:modified>
</cp:coreProperties>
</file>