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77777777"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p>
    <w:p w14:paraId="3DCFFD10" w14:textId="77777777"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p>
    <w:p w14:paraId="6F2C3011" w14:textId="77777777"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Pr="008375B5"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27B40D1D" w14:textId="77777777" w:rsidR="00D46920" w:rsidRDefault="00D46920" w:rsidP="005C28E8">
      <w:pPr>
        <w:spacing w:line="360" w:lineRule="auto"/>
        <w:rPr>
          <w:rFonts w:ascii="Times New Roman" w:hAnsi="Times New Roman"/>
          <w:b/>
          <w:bCs/>
          <w:sz w:val="32"/>
          <w:szCs w:val="32"/>
        </w:rPr>
      </w:pPr>
    </w:p>
    <w:p w14:paraId="4A02BBF4" w14:textId="77777777" w:rsidR="00D46920" w:rsidRDefault="00D46920" w:rsidP="005C28E8">
      <w:pPr>
        <w:spacing w:line="360" w:lineRule="auto"/>
        <w:rPr>
          <w:rFonts w:ascii="Times New Roman" w:hAnsi="Times New Roman"/>
          <w:b/>
          <w:bCs/>
          <w:sz w:val="32"/>
          <w:szCs w:val="32"/>
        </w:rPr>
      </w:pPr>
    </w:p>
    <w:p w14:paraId="76D7774B" w14:textId="77777777" w:rsidR="00D46920" w:rsidRDefault="00D46920" w:rsidP="005C28E8">
      <w:pPr>
        <w:spacing w:line="360" w:lineRule="auto"/>
        <w:rPr>
          <w:rFonts w:ascii="Times New Roman" w:hAnsi="Times New Roman"/>
          <w:b/>
          <w:bCs/>
          <w:sz w:val="32"/>
          <w:szCs w:val="32"/>
        </w:rPr>
      </w:pPr>
    </w:p>
    <w:p w14:paraId="34B45FF6" w14:textId="77777777" w:rsidR="00D46920" w:rsidRDefault="00D46920" w:rsidP="005C28E8">
      <w:pPr>
        <w:spacing w:line="360" w:lineRule="auto"/>
        <w:rPr>
          <w:rFonts w:ascii="Times New Roman" w:hAnsi="Times New Roman"/>
          <w:b/>
          <w:bCs/>
          <w:sz w:val="32"/>
          <w:szCs w:val="32"/>
        </w:rPr>
      </w:pPr>
    </w:p>
    <w:p w14:paraId="4A1E3447" w14:textId="77777777" w:rsidR="00D46920" w:rsidRDefault="00D46920" w:rsidP="005C28E8">
      <w:pPr>
        <w:spacing w:line="360" w:lineRule="auto"/>
        <w:rPr>
          <w:rFonts w:ascii="Times New Roman" w:hAnsi="Times New Roman"/>
          <w:b/>
          <w:bCs/>
          <w:sz w:val="32"/>
          <w:szCs w:val="32"/>
        </w:rPr>
      </w:pPr>
    </w:p>
    <w:p w14:paraId="3BEE57A6" w14:textId="77777777" w:rsidR="00D46920" w:rsidRDefault="00D46920" w:rsidP="005C28E8">
      <w:pPr>
        <w:spacing w:line="360" w:lineRule="auto"/>
        <w:rPr>
          <w:rFonts w:ascii="Times New Roman" w:hAnsi="Times New Roman"/>
          <w:b/>
          <w:bCs/>
          <w:sz w:val="32"/>
          <w:szCs w:val="32"/>
        </w:rPr>
      </w:pPr>
    </w:p>
    <w:p w14:paraId="7FC0129A" w14:textId="77777777" w:rsidR="00D46920" w:rsidRDefault="00D46920" w:rsidP="005C28E8">
      <w:pPr>
        <w:spacing w:line="360" w:lineRule="auto"/>
        <w:rPr>
          <w:rFonts w:ascii="Times New Roman" w:hAnsi="Times New Roman"/>
          <w:b/>
          <w:bCs/>
          <w:sz w:val="32"/>
          <w:szCs w:val="32"/>
        </w:rPr>
      </w:pPr>
    </w:p>
    <w:p w14:paraId="57F3AF5E" w14:textId="77777777" w:rsidR="00D46920" w:rsidRDefault="00D46920" w:rsidP="005C28E8">
      <w:pPr>
        <w:spacing w:line="360" w:lineRule="auto"/>
        <w:rPr>
          <w:rFonts w:ascii="Times New Roman" w:hAnsi="Times New Roman"/>
          <w:b/>
          <w:bCs/>
          <w:sz w:val="32"/>
          <w:szCs w:val="32"/>
        </w:rPr>
      </w:pPr>
    </w:p>
    <w:p w14:paraId="08169C61" w14:textId="77777777" w:rsidR="00D46920" w:rsidRDefault="00D46920" w:rsidP="005C28E8">
      <w:pPr>
        <w:spacing w:line="360" w:lineRule="auto"/>
        <w:rPr>
          <w:rFonts w:ascii="Times New Roman" w:hAnsi="Times New Roman"/>
          <w:b/>
          <w:bCs/>
          <w:sz w:val="32"/>
          <w:szCs w:val="32"/>
        </w:rPr>
      </w:pPr>
    </w:p>
    <w:p w14:paraId="2A6D6624" w14:textId="6679E8C9" w:rsidR="00D46920" w:rsidRDefault="00D46920" w:rsidP="005C28E8">
      <w:pPr>
        <w:spacing w:line="360" w:lineRule="auto"/>
        <w:rPr>
          <w:rFonts w:ascii="Times New Roman" w:hAnsi="Times New Roman"/>
          <w:b/>
          <w:bCs/>
          <w:sz w:val="32"/>
          <w:szCs w:val="32"/>
        </w:rPr>
      </w:pPr>
      <w:r>
        <w:rPr>
          <w:rFonts w:ascii="Times New Roman" w:hAnsi="Times New Roman"/>
          <w:b/>
          <w:bCs/>
          <w:sz w:val="32"/>
          <w:szCs w:val="32"/>
        </w:rPr>
        <w:lastRenderedPageBreak/>
        <w:t xml:space="preserve">Questions and Guidelines for </w:t>
      </w:r>
      <w:r w:rsidRPr="009F64B3">
        <w:rPr>
          <w:rFonts w:ascii="Times New Roman" w:hAnsi="Times New Roman"/>
          <w:b/>
          <w:bCs/>
          <w:sz w:val="32"/>
          <w:szCs w:val="32"/>
        </w:rPr>
        <w:t>Assessment Component 1</w:t>
      </w:r>
    </w:p>
    <w:tbl>
      <w:tblPr>
        <w:tblStyle w:val="TableGrid"/>
        <w:tblW w:w="0" w:type="auto"/>
        <w:tblLook w:val="04A0" w:firstRow="1" w:lastRow="0" w:firstColumn="1" w:lastColumn="0" w:noHBand="0" w:noVBand="1"/>
      </w:tblPr>
      <w:tblGrid>
        <w:gridCol w:w="9016"/>
      </w:tblGrid>
      <w:tr w:rsidR="00B44499" w14:paraId="2A86D8D5" w14:textId="77777777" w:rsidTr="00114199">
        <w:tc>
          <w:tcPr>
            <w:tcW w:w="9016" w:type="dxa"/>
          </w:tcPr>
          <w:p w14:paraId="2C6D4BB5" w14:textId="5D2C766C" w:rsidR="003A2D72" w:rsidRDefault="00B44499" w:rsidP="007A7356">
            <w:pPr>
              <w:spacing w:line="360" w:lineRule="auto"/>
              <w:jc w:val="both"/>
            </w:pPr>
            <w:r>
              <w:rPr>
                <w:rFonts w:ascii="Arial" w:hAnsi="Arial" w:cs="Arial"/>
                <w:b/>
                <w:bCs/>
                <w:sz w:val="22"/>
                <w:szCs w:val="22"/>
                <w:lang w:eastAsia="en-GB"/>
              </w:rPr>
              <w:t>Introduction</w:t>
            </w:r>
            <w:r w:rsidR="003A2D72">
              <w:rPr>
                <w:rFonts w:ascii="Arial" w:hAnsi="Arial" w:cs="Arial"/>
                <w:b/>
                <w:bCs/>
                <w:sz w:val="22"/>
                <w:szCs w:val="22"/>
                <w:lang w:eastAsia="en-GB"/>
              </w:rPr>
              <w:t xml:space="preserve">- </w:t>
            </w:r>
            <w:r w:rsidR="003A2D72">
              <w:rPr>
                <w:rFonts w:ascii="Arial" w:hAnsi="Arial" w:cs="Arial"/>
                <w:sz w:val="22"/>
                <w:szCs w:val="22"/>
                <w:lang w:eastAsia="en-GB"/>
              </w:rPr>
              <w:t>This</w:t>
            </w:r>
            <w:r w:rsidR="003A2D72">
              <w:t xml:space="preserve"> task explains four key concepts central to health and social care: innovation, creativity, value creation, and change. Each concept is defined using recent academic sources, explained in simple terms, and linked to real-life examples from the NHS and care settings. Understanding these ideas helps professionals improve patient care and solve everyday challenges.</w:t>
            </w:r>
          </w:p>
          <w:p w14:paraId="57DBE902" w14:textId="7C089471" w:rsidR="00B44499" w:rsidRPr="000B1AFC" w:rsidRDefault="00B44499" w:rsidP="00114199">
            <w:pPr>
              <w:pStyle w:val="NoSpacing"/>
              <w:rPr>
                <w:rFonts w:ascii="Arial" w:hAnsi="Arial" w:cs="Arial"/>
                <w:b/>
                <w:bCs/>
                <w:sz w:val="22"/>
                <w:szCs w:val="22"/>
                <w:lang w:eastAsia="en-GB"/>
              </w:rPr>
            </w:pPr>
          </w:p>
        </w:tc>
      </w:tr>
      <w:tr w:rsidR="00114199" w14:paraId="4941CB47" w14:textId="77777777" w:rsidTr="00114199">
        <w:tc>
          <w:tcPr>
            <w:tcW w:w="9016" w:type="dxa"/>
          </w:tcPr>
          <w:p w14:paraId="329E3EDC" w14:textId="4018AD78" w:rsidR="00114199" w:rsidRPr="000B1AFC" w:rsidRDefault="00114199" w:rsidP="0031435C">
            <w:pPr>
              <w:pStyle w:val="NoSpacing"/>
              <w:spacing w:line="360" w:lineRule="auto"/>
              <w:jc w:val="both"/>
              <w:rPr>
                <w:rFonts w:ascii="Arial" w:hAnsi="Arial" w:cs="Arial"/>
                <w:b/>
                <w:bCs/>
                <w:sz w:val="22"/>
                <w:szCs w:val="22"/>
                <w:lang w:eastAsia="en-GB"/>
              </w:rPr>
            </w:pPr>
            <w:r w:rsidRPr="000B1AFC">
              <w:rPr>
                <w:rFonts w:ascii="Arial" w:hAnsi="Arial" w:cs="Arial"/>
                <w:b/>
                <w:bCs/>
                <w:sz w:val="22"/>
                <w:szCs w:val="22"/>
                <w:lang w:eastAsia="en-GB"/>
              </w:rPr>
              <w:t xml:space="preserve">Task 1- Defining Key Concepts in Practice </w:t>
            </w:r>
          </w:p>
          <w:p w14:paraId="090B9A24" w14:textId="0DC3AA51" w:rsidR="00114199" w:rsidRDefault="00114199" w:rsidP="0031435C">
            <w:pPr>
              <w:pStyle w:val="NoSpacing"/>
              <w:spacing w:line="360" w:lineRule="auto"/>
              <w:jc w:val="both"/>
              <w:rPr>
                <w:rFonts w:ascii="Arial" w:hAnsi="Arial" w:cs="Arial"/>
                <w:b/>
                <w:bCs/>
                <w:sz w:val="22"/>
                <w:szCs w:val="22"/>
              </w:rPr>
            </w:pPr>
            <w:r w:rsidRPr="000B1AFC">
              <w:rPr>
                <w:rFonts w:ascii="Arial" w:hAnsi="Arial" w:cs="Arial"/>
                <w:b/>
                <w:bCs/>
                <w:sz w:val="22"/>
                <w:szCs w:val="22"/>
              </w:rPr>
              <w:t>Innovation</w:t>
            </w:r>
          </w:p>
          <w:p w14:paraId="33B4EDC0" w14:textId="15E945B1" w:rsidR="003A2D72" w:rsidRDefault="003A2D72" w:rsidP="0031435C">
            <w:pPr>
              <w:spacing w:line="360" w:lineRule="auto"/>
              <w:jc w:val="both"/>
            </w:pPr>
            <w:r w:rsidRPr="007A7356">
              <w:rPr>
                <w:b/>
                <w:bCs/>
              </w:rPr>
              <w:t>Definition:</w:t>
            </w:r>
            <w:r>
              <w:t xml:space="preserve"> Innovation in healthcare means introducing new ideas, technologies, or ways of working that improve patient care and service delivery (NHS England, 2021).</w:t>
            </w:r>
          </w:p>
          <w:p w14:paraId="21B8DA82" w14:textId="5628231B" w:rsidR="003A2D72" w:rsidRDefault="003A2D72" w:rsidP="0031435C">
            <w:pPr>
              <w:spacing w:line="360" w:lineRule="auto"/>
              <w:jc w:val="both"/>
            </w:pPr>
            <w:r w:rsidRPr="007A7356">
              <w:rPr>
                <w:b/>
                <w:bCs/>
              </w:rPr>
              <w:t>In my own words:</w:t>
            </w:r>
            <w:r>
              <w:t xml:space="preserve"> Simply put, innovation is about finding better ways to do things. It could be a new piece of technology, a different way of organising appointments, or a fresh approach to supporting patients.</w:t>
            </w:r>
          </w:p>
          <w:p w14:paraId="5A989352" w14:textId="77777777" w:rsidR="003A2D72" w:rsidRDefault="003A2D72" w:rsidP="0031435C">
            <w:pPr>
              <w:spacing w:line="360" w:lineRule="auto"/>
              <w:jc w:val="both"/>
            </w:pPr>
            <w:r w:rsidRPr="007A7356">
              <w:rPr>
                <w:b/>
                <w:bCs/>
              </w:rPr>
              <w:t>Real-life example:</w:t>
            </w:r>
            <w:r>
              <w:t xml:space="preserve"> During the COVID-19 pandemic, many NHS hospitals introduced virtual appointments. Patients could see their doctors by video call instead of travelling to clinics. This kept people safe, saved time, and reduced waiting lists (NHS England, 2021).</w:t>
            </w:r>
          </w:p>
          <w:p w14:paraId="2A58A514" w14:textId="77777777" w:rsidR="003A2D72" w:rsidRDefault="003A2D72" w:rsidP="0031435C">
            <w:pPr>
              <w:spacing w:line="360" w:lineRule="auto"/>
              <w:jc w:val="both"/>
            </w:pPr>
          </w:p>
          <w:p w14:paraId="25C1C683" w14:textId="77777777" w:rsidR="003A2D72" w:rsidRDefault="003A2D72" w:rsidP="0031435C">
            <w:pPr>
              <w:spacing w:line="360" w:lineRule="auto"/>
              <w:jc w:val="both"/>
            </w:pPr>
            <w:r w:rsidRPr="007A7356">
              <w:rPr>
                <w:b/>
                <w:bCs/>
              </w:rPr>
              <w:t>Why it matters:</w:t>
            </w:r>
            <w:r>
              <w:t xml:space="preserve"> This example shows how innovation can make healthcare more accessible. However, we must remember that not everyone has internet access, so innovation needs to work for all patients, not just some.</w:t>
            </w:r>
          </w:p>
          <w:p w14:paraId="1D25107A" w14:textId="77777777" w:rsidR="00114199" w:rsidRPr="000B1AFC" w:rsidRDefault="00114199" w:rsidP="0031435C">
            <w:pPr>
              <w:pStyle w:val="NoSpacing"/>
              <w:spacing w:line="360" w:lineRule="auto"/>
              <w:jc w:val="both"/>
              <w:rPr>
                <w:rFonts w:ascii="Arial" w:hAnsi="Arial" w:cs="Arial"/>
                <w:sz w:val="22"/>
                <w:szCs w:val="22"/>
              </w:rPr>
            </w:pPr>
            <w:r w:rsidRPr="000B1AFC">
              <w:rPr>
                <w:rFonts w:ascii="Arial" w:hAnsi="Arial" w:cs="Arial"/>
                <w:sz w:val="22"/>
                <w:szCs w:val="22"/>
              </w:rPr>
              <w:t>Rogers’ Diffusion of Innovation Theory explains how new ideas and technologies spread through organisations and are gradually adopted by staff (Rogers, 2003).</w:t>
            </w:r>
          </w:p>
          <w:p w14:paraId="17541416" w14:textId="77777777" w:rsidR="00344BBE" w:rsidRDefault="00344BBE" w:rsidP="0031435C">
            <w:pPr>
              <w:pStyle w:val="NoSpacing"/>
              <w:spacing w:line="360" w:lineRule="auto"/>
              <w:jc w:val="both"/>
              <w:rPr>
                <w:rFonts w:ascii="Arial" w:hAnsi="Arial" w:cs="Arial"/>
                <w:b/>
                <w:bCs/>
                <w:sz w:val="22"/>
                <w:szCs w:val="22"/>
              </w:rPr>
            </w:pPr>
          </w:p>
          <w:p w14:paraId="1566D3BB" w14:textId="77777777" w:rsidR="00D34386" w:rsidRDefault="00114199" w:rsidP="0031435C">
            <w:pPr>
              <w:pStyle w:val="NoSpacing"/>
              <w:spacing w:line="360" w:lineRule="auto"/>
              <w:jc w:val="both"/>
              <w:rPr>
                <w:rFonts w:ascii="Arial" w:hAnsi="Arial" w:cs="Arial"/>
                <w:b/>
                <w:bCs/>
                <w:sz w:val="22"/>
                <w:szCs w:val="22"/>
              </w:rPr>
            </w:pPr>
            <w:r w:rsidRPr="000B1AFC">
              <w:rPr>
                <w:rFonts w:ascii="Arial" w:hAnsi="Arial" w:cs="Arial"/>
                <w:b/>
                <w:bCs/>
                <w:sz w:val="22"/>
                <w:szCs w:val="22"/>
              </w:rPr>
              <w:t>Creativity</w:t>
            </w:r>
          </w:p>
          <w:p w14:paraId="409891CE" w14:textId="77777777" w:rsidR="00D34386" w:rsidRDefault="00D34386" w:rsidP="0031435C">
            <w:pPr>
              <w:spacing w:line="360" w:lineRule="auto"/>
              <w:jc w:val="both"/>
            </w:pPr>
            <w:r w:rsidRPr="007A7356">
              <w:rPr>
                <w:b/>
                <w:bCs/>
              </w:rPr>
              <w:t>Definition:</w:t>
            </w:r>
            <w:r>
              <w:t xml:space="preserve"> Creativity is the ability to come up with new and useful ideas by combining knowledge, skills, and motivation (Amabile and Pratt, 2020).</w:t>
            </w:r>
          </w:p>
          <w:p w14:paraId="381E617B" w14:textId="77777777" w:rsidR="00D34386" w:rsidRDefault="00D34386" w:rsidP="0031435C">
            <w:pPr>
              <w:spacing w:line="360" w:lineRule="auto"/>
              <w:jc w:val="both"/>
            </w:pPr>
          </w:p>
          <w:p w14:paraId="008E76C4" w14:textId="250032E8" w:rsidR="00D34386" w:rsidRDefault="00D34386" w:rsidP="0031435C">
            <w:pPr>
              <w:spacing w:line="360" w:lineRule="auto"/>
              <w:jc w:val="both"/>
            </w:pPr>
            <w:r w:rsidRPr="007A7356">
              <w:rPr>
                <w:b/>
                <w:bCs/>
              </w:rPr>
              <w:t>In my own words:</w:t>
            </w:r>
            <w:r>
              <w:t xml:space="preserve"> Creativity means thinking differently to solve problems. In healthcare, it's about looking at situations with fresh eyes and </w:t>
            </w:r>
            <w:r w:rsidR="004505F6">
              <w:t>asking,</w:t>
            </w:r>
            <w:r>
              <w:t xml:space="preserve"> "what if?" or "why not?"</w:t>
            </w:r>
          </w:p>
          <w:p w14:paraId="746EF0D3" w14:textId="77777777" w:rsidR="00D34386" w:rsidRDefault="00D34386" w:rsidP="0031435C">
            <w:pPr>
              <w:spacing w:line="360" w:lineRule="auto"/>
              <w:jc w:val="both"/>
            </w:pPr>
          </w:p>
          <w:p w14:paraId="5F19D4A0" w14:textId="77777777" w:rsidR="00D34386" w:rsidRDefault="00D34386" w:rsidP="0031435C">
            <w:pPr>
              <w:spacing w:line="360" w:lineRule="auto"/>
              <w:jc w:val="both"/>
            </w:pPr>
            <w:r w:rsidRPr="007A7356">
              <w:rPr>
                <w:b/>
                <w:bCs/>
              </w:rPr>
              <w:t>Real-life example:</w:t>
            </w:r>
            <w:r>
              <w:t xml:space="preserve"> A mental health team in Manchester worked with patients to design peer support groups. Former patients helped run the sessions because they understood what others were going through. Attendance improved because people felt listened to and understood (The Health Foundation, 2022).</w:t>
            </w:r>
          </w:p>
          <w:p w14:paraId="7CFEDACF" w14:textId="77777777" w:rsidR="00D34386" w:rsidRDefault="00D34386" w:rsidP="0031435C">
            <w:pPr>
              <w:spacing w:line="360" w:lineRule="auto"/>
              <w:jc w:val="both"/>
            </w:pPr>
          </w:p>
          <w:p w14:paraId="581D2B7D" w14:textId="77777777" w:rsidR="00D34386" w:rsidRDefault="00D34386" w:rsidP="0031435C">
            <w:pPr>
              <w:spacing w:line="360" w:lineRule="auto"/>
              <w:jc w:val="both"/>
            </w:pPr>
            <w:r>
              <w:t>Why it matters: This shows creativity isn't just about art or design. It's about involving people in their own care and finding solutions together.</w:t>
            </w:r>
          </w:p>
          <w:p w14:paraId="293C69AE" w14:textId="77777777" w:rsidR="00D34386" w:rsidRDefault="00D34386" w:rsidP="0031435C">
            <w:pPr>
              <w:pStyle w:val="NoSpacing"/>
              <w:spacing w:line="360" w:lineRule="auto"/>
              <w:jc w:val="both"/>
              <w:rPr>
                <w:rFonts w:ascii="Arial" w:hAnsi="Arial" w:cs="Arial"/>
                <w:sz w:val="22"/>
                <w:szCs w:val="22"/>
              </w:rPr>
            </w:pPr>
          </w:p>
          <w:p w14:paraId="0DBF2C25" w14:textId="77777777" w:rsidR="00D34386" w:rsidRDefault="00D34386" w:rsidP="0031435C">
            <w:pPr>
              <w:pStyle w:val="NoSpacing"/>
              <w:spacing w:line="360" w:lineRule="auto"/>
              <w:jc w:val="both"/>
              <w:rPr>
                <w:rFonts w:ascii="Arial" w:hAnsi="Arial" w:cs="Arial"/>
                <w:sz w:val="22"/>
                <w:szCs w:val="22"/>
              </w:rPr>
            </w:pPr>
          </w:p>
          <w:p w14:paraId="37BC2065" w14:textId="77777777" w:rsidR="00114199" w:rsidRPr="000B1AFC" w:rsidRDefault="00114199" w:rsidP="0031435C">
            <w:pPr>
              <w:pStyle w:val="NoSpacing"/>
              <w:spacing w:line="360" w:lineRule="auto"/>
              <w:jc w:val="both"/>
              <w:rPr>
                <w:rFonts w:ascii="Arial" w:hAnsi="Arial" w:cs="Arial"/>
                <w:b/>
                <w:bCs/>
                <w:sz w:val="22"/>
                <w:szCs w:val="22"/>
              </w:rPr>
            </w:pPr>
            <w:r w:rsidRPr="000B1AFC">
              <w:rPr>
                <w:rFonts w:ascii="Arial" w:hAnsi="Arial" w:cs="Arial"/>
                <w:b/>
                <w:bCs/>
                <w:sz w:val="22"/>
                <w:szCs w:val="22"/>
              </w:rPr>
              <w:t>Value Creation</w:t>
            </w:r>
          </w:p>
          <w:p w14:paraId="42E5C9D0" w14:textId="3BFC9C33" w:rsidR="00D34386" w:rsidRPr="00D34386" w:rsidRDefault="00D34386" w:rsidP="0031435C">
            <w:pPr>
              <w:pStyle w:val="NoSpacing"/>
              <w:spacing w:line="360" w:lineRule="auto"/>
              <w:jc w:val="both"/>
              <w:rPr>
                <w:rFonts w:ascii="Arial" w:hAnsi="Arial" w:cs="Arial"/>
                <w:sz w:val="22"/>
                <w:szCs w:val="22"/>
              </w:rPr>
            </w:pPr>
            <w:r>
              <w:t>Definition: Value creation in healthcare means improving patient health outcomes while making the best use of available resources (Teisberg, Wallace and O'Hara, 2020).</w:t>
            </w:r>
          </w:p>
          <w:p w14:paraId="047C0CF4" w14:textId="77777777" w:rsidR="00D34386" w:rsidRDefault="00D34386" w:rsidP="0031435C">
            <w:pPr>
              <w:spacing w:line="360" w:lineRule="auto"/>
              <w:jc w:val="both"/>
            </w:pPr>
          </w:p>
          <w:p w14:paraId="26099EB2" w14:textId="77777777" w:rsidR="00D34386" w:rsidRDefault="00D34386" w:rsidP="0031435C">
            <w:pPr>
              <w:spacing w:line="360" w:lineRule="auto"/>
              <w:jc w:val="both"/>
            </w:pPr>
            <w:r w:rsidRPr="007A7356">
              <w:rPr>
                <w:b/>
                <w:bCs/>
              </w:rPr>
              <w:t>In my own words:</w:t>
            </w:r>
            <w:r>
              <w:t xml:space="preserve"> Value is about getting the best results for patients without wasting money, time, or effort. It's doing more with what you have.</w:t>
            </w:r>
          </w:p>
          <w:p w14:paraId="5A19D307" w14:textId="77777777" w:rsidR="00D34386" w:rsidRDefault="00D34386" w:rsidP="0031435C">
            <w:pPr>
              <w:spacing w:line="360" w:lineRule="auto"/>
              <w:jc w:val="both"/>
            </w:pPr>
          </w:p>
          <w:p w14:paraId="2BC18E82" w14:textId="77777777" w:rsidR="00D34386" w:rsidRDefault="00D34386" w:rsidP="0031435C">
            <w:pPr>
              <w:spacing w:line="360" w:lineRule="auto"/>
              <w:jc w:val="both"/>
            </w:pPr>
            <w:r w:rsidRPr="007A7356">
              <w:rPr>
                <w:b/>
                <w:bCs/>
              </w:rPr>
              <w:t>Real-life example:</w:t>
            </w:r>
            <w:r>
              <w:t xml:space="preserve"> Some areas now offer joined-up diabetes care. Patients see a specialist nurse, a dietitian, and use apps to track their health all in one place. This joined-up approach means fewer hospital visits and better blood sugar control (Teisberg, Wallace and O'Hara, 2020).</w:t>
            </w:r>
          </w:p>
          <w:p w14:paraId="3B84D856" w14:textId="77777777" w:rsidR="00D34386" w:rsidRDefault="00D34386" w:rsidP="0031435C">
            <w:pPr>
              <w:spacing w:line="360" w:lineRule="auto"/>
              <w:jc w:val="both"/>
            </w:pPr>
          </w:p>
          <w:p w14:paraId="726C1D2D" w14:textId="77777777" w:rsidR="00D34386" w:rsidRDefault="00D34386" w:rsidP="0031435C">
            <w:pPr>
              <w:spacing w:line="360" w:lineRule="auto"/>
              <w:jc w:val="both"/>
            </w:pPr>
            <w:r w:rsidRPr="007A7356">
              <w:rPr>
                <w:b/>
                <w:bCs/>
              </w:rPr>
              <w:t>Why it matters:</w:t>
            </w:r>
            <w:r>
              <w:t xml:space="preserve"> This example proves that working smarter, not harder, helps both patients and the NHS.</w:t>
            </w:r>
          </w:p>
          <w:p w14:paraId="38A8418E" w14:textId="77777777" w:rsidR="00D34386" w:rsidRDefault="00D34386" w:rsidP="0031435C">
            <w:pPr>
              <w:spacing w:line="360" w:lineRule="auto"/>
              <w:jc w:val="both"/>
            </w:pPr>
          </w:p>
          <w:p w14:paraId="1E79A814" w14:textId="77777777" w:rsidR="00114199" w:rsidRPr="000B1AFC" w:rsidRDefault="00114199" w:rsidP="0031435C">
            <w:pPr>
              <w:pStyle w:val="NoSpacing"/>
              <w:spacing w:line="360" w:lineRule="auto"/>
              <w:jc w:val="both"/>
              <w:rPr>
                <w:rFonts w:ascii="Arial" w:hAnsi="Arial" w:cs="Arial"/>
                <w:b/>
                <w:bCs/>
                <w:sz w:val="22"/>
                <w:szCs w:val="22"/>
              </w:rPr>
            </w:pPr>
            <w:r w:rsidRPr="000B1AFC">
              <w:rPr>
                <w:rFonts w:ascii="Arial" w:hAnsi="Arial" w:cs="Arial"/>
                <w:b/>
                <w:bCs/>
                <w:sz w:val="22"/>
                <w:szCs w:val="22"/>
              </w:rPr>
              <w:t>Change</w:t>
            </w:r>
          </w:p>
          <w:p w14:paraId="77A9767E" w14:textId="77777777" w:rsidR="00D34386" w:rsidRDefault="00D34386" w:rsidP="0031435C">
            <w:pPr>
              <w:pStyle w:val="NoSpacing"/>
              <w:spacing w:line="360" w:lineRule="auto"/>
              <w:jc w:val="both"/>
              <w:rPr>
                <w:rFonts w:ascii="Arial" w:hAnsi="Arial" w:cs="Arial"/>
                <w:color w:val="000000"/>
                <w:sz w:val="22"/>
                <w:szCs w:val="22"/>
              </w:rPr>
            </w:pPr>
          </w:p>
          <w:p w14:paraId="09838178" w14:textId="77777777" w:rsidR="00D34386" w:rsidRPr="00D34386" w:rsidRDefault="00D34386" w:rsidP="0031435C">
            <w:pPr>
              <w:spacing w:line="360" w:lineRule="auto"/>
              <w:jc w:val="both"/>
            </w:pPr>
            <w:r w:rsidRPr="00D34386">
              <w:rPr>
                <w:b/>
                <w:bCs/>
              </w:rPr>
              <w:t>Definition:</w:t>
            </w:r>
            <w:r w:rsidRPr="00D34386">
              <w:t xml:space="preserve"> Organisational change means shifting how things are done to improve outcomes and effectiveness (Burnes, 2017).</w:t>
            </w:r>
          </w:p>
          <w:p w14:paraId="150A8BC6" w14:textId="77777777" w:rsidR="00D34386" w:rsidRPr="00D34386" w:rsidRDefault="00D34386" w:rsidP="0031435C">
            <w:pPr>
              <w:spacing w:line="360" w:lineRule="auto"/>
              <w:jc w:val="both"/>
            </w:pPr>
          </w:p>
          <w:p w14:paraId="50A0E0BA" w14:textId="77777777" w:rsidR="00D34386" w:rsidRPr="00D34386" w:rsidRDefault="00D34386" w:rsidP="0031435C">
            <w:pPr>
              <w:spacing w:line="360" w:lineRule="auto"/>
              <w:jc w:val="both"/>
            </w:pPr>
            <w:r w:rsidRPr="00D34386">
              <w:rPr>
                <w:b/>
                <w:bCs/>
              </w:rPr>
              <w:t>In my own words:</w:t>
            </w:r>
            <w:r w:rsidRPr="00D34386">
              <w:t xml:space="preserve"> Change is about moving from old ways to new and better ways of working. It takes time and planning to get right.</w:t>
            </w:r>
          </w:p>
          <w:p w14:paraId="46DA2972" w14:textId="77777777" w:rsidR="00D34386" w:rsidRPr="00D34386" w:rsidRDefault="00D34386" w:rsidP="0031435C">
            <w:pPr>
              <w:spacing w:line="360" w:lineRule="auto"/>
              <w:jc w:val="both"/>
            </w:pPr>
          </w:p>
          <w:p w14:paraId="3A74C724" w14:textId="77777777" w:rsidR="00D34386" w:rsidRPr="00D34386" w:rsidRDefault="00D34386" w:rsidP="0031435C">
            <w:pPr>
              <w:spacing w:line="360" w:lineRule="auto"/>
              <w:jc w:val="both"/>
            </w:pPr>
            <w:r w:rsidRPr="00D34386">
              <w:rPr>
                <w:b/>
                <w:bCs/>
              </w:rPr>
              <w:t>Real-life example:</w:t>
            </w:r>
            <w:r w:rsidRPr="00D34386">
              <w:t xml:space="preserve"> A care home swapped paper care records for electronic tablets. Staff could update information instantly, and families felt more confident knowing records were accurate and secure (West, 2021).</w:t>
            </w:r>
          </w:p>
          <w:p w14:paraId="2D0889EB" w14:textId="77777777" w:rsidR="00D34386" w:rsidRPr="00D34386" w:rsidRDefault="00D34386" w:rsidP="0031435C">
            <w:pPr>
              <w:spacing w:line="360" w:lineRule="auto"/>
              <w:jc w:val="both"/>
            </w:pPr>
          </w:p>
          <w:p w14:paraId="3B9FCE0B" w14:textId="77777777" w:rsidR="00D34386" w:rsidRPr="00D34386" w:rsidRDefault="00D34386" w:rsidP="0031435C">
            <w:pPr>
              <w:spacing w:line="360" w:lineRule="auto"/>
              <w:jc w:val="both"/>
            </w:pPr>
            <w:r w:rsidRPr="00D34386">
              <w:rPr>
                <w:b/>
                <w:bCs/>
              </w:rPr>
              <w:t>Why it matters:</w:t>
            </w:r>
            <w:r w:rsidRPr="00D34386">
              <w:t xml:space="preserve"> Change can feel uncomfortable at first. But with good leadership and training, it leads to safer, more reliable care.</w:t>
            </w:r>
          </w:p>
          <w:p w14:paraId="25936C40" w14:textId="77777777" w:rsidR="00D34386" w:rsidRDefault="00D34386" w:rsidP="0031435C">
            <w:pPr>
              <w:spacing w:line="360" w:lineRule="auto"/>
              <w:jc w:val="both"/>
            </w:pPr>
          </w:p>
          <w:p w14:paraId="6CCE7031" w14:textId="5BD31085" w:rsidR="00D34386" w:rsidRPr="00D34386" w:rsidRDefault="00D34386" w:rsidP="0031435C">
            <w:pPr>
              <w:spacing w:line="360" w:lineRule="auto"/>
              <w:jc w:val="both"/>
              <w:rPr>
                <w:b/>
                <w:bCs/>
              </w:rPr>
            </w:pPr>
            <w:r w:rsidRPr="00D34386">
              <w:rPr>
                <w:b/>
                <w:bCs/>
              </w:rPr>
              <w:t>Conclusion</w:t>
            </w:r>
            <w:r w:rsidR="007A7356">
              <w:rPr>
                <w:b/>
                <w:bCs/>
              </w:rPr>
              <w:t xml:space="preserve">: </w:t>
            </w:r>
            <w:r w:rsidRPr="00D34386">
              <w:t>Innovation, creativity, value creation, and change work together to improve health and social care. Innovation brings new ideas, creativity helps generate them, value creation makes sure resources are well spent, and change management makes improvements last. Together, they help build a better, fairer health service for everyone.</w:t>
            </w:r>
          </w:p>
          <w:p w14:paraId="50438493" w14:textId="6AC09BE7" w:rsidR="00114199" w:rsidRPr="000B1AFC" w:rsidRDefault="00114199" w:rsidP="0031435C">
            <w:pPr>
              <w:pStyle w:val="NoSpacing"/>
              <w:spacing w:line="360" w:lineRule="auto"/>
              <w:jc w:val="both"/>
              <w:rPr>
                <w:rFonts w:ascii="Arial" w:hAnsi="Arial" w:cs="Arial"/>
                <w:sz w:val="22"/>
                <w:szCs w:val="22"/>
              </w:rPr>
            </w:pPr>
          </w:p>
        </w:tc>
      </w:tr>
      <w:tr w:rsidR="00114199" w14:paraId="79A0BD18" w14:textId="77777777" w:rsidTr="00114199">
        <w:tc>
          <w:tcPr>
            <w:tcW w:w="9016" w:type="dxa"/>
          </w:tcPr>
          <w:p w14:paraId="01B5DD50" w14:textId="77777777" w:rsidR="00D34386" w:rsidRPr="00D34386" w:rsidRDefault="00114199" w:rsidP="00D34386">
            <w:pPr>
              <w:rPr>
                <w:b/>
                <w:bCs/>
              </w:rPr>
            </w:pPr>
            <w:r w:rsidRPr="000B1AFC">
              <w:rPr>
                <w:b/>
                <w:bCs/>
                <w:lang w:val="en-US" w:eastAsia="en-GB"/>
              </w:rPr>
              <w:lastRenderedPageBreak/>
              <w:t xml:space="preserve">Task 2 - Mind Map </w:t>
            </w:r>
            <w:r w:rsidR="00D34386" w:rsidRPr="00D34386">
              <w:rPr>
                <w:b/>
                <w:bCs/>
              </w:rPr>
              <w:t>– Childhood Obesity in Barking and Dagenham</w:t>
            </w:r>
          </w:p>
          <w:p w14:paraId="0E59DCFF" w14:textId="38F7E9E1" w:rsidR="000B1AFC" w:rsidRPr="000B1AFC" w:rsidRDefault="000B1AFC" w:rsidP="000B1AFC">
            <w:pPr>
              <w:pStyle w:val="NoSpacing"/>
              <w:rPr>
                <w:b/>
                <w:bCs/>
                <w:lang w:val="en-US" w:eastAsia="en-GB"/>
              </w:rPr>
            </w:pPr>
          </w:p>
          <w:p w14:paraId="2A9FC5F1" w14:textId="77777777" w:rsidR="00D34386" w:rsidRPr="00D34386" w:rsidRDefault="00D34386" w:rsidP="0031435C">
            <w:pPr>
              <w:spacing w:line="360" w:lineRule="auto"/>
              <w:jc w:val="both"/>
            </w:pPr>
            <w:r w:rsidRPr="00D34386">
              <w:t>Childhood obesity in Barking and Dagenham is a serious problem. Nearly one in three Year 6 children are obese, more than double the rate in richer London areas like Richmond (Keane, 2023). If not addressed, these children face higher risks of diabetes, poor mental health, and lifelong health problems (NHS Digital, 2026).</w:t>
            </w:r>
          </w:p>
          <w:p w14:paraId="4E7981CC" w14:textId="77777777" w:rsidR="00D34386" w:rsidRPr="00D34386" w:rsidRDefault="00D34386" w:rsidP="0031435C">
            <w:pPr>
              <w:spacing w:line="360" w:lineRule="auto"/>
              <w:jc w:val="both"/>
            </w:pPr>
          </w:p>
          <w:p w14:paraId="7B5A1102" w14:textId="023D3E09" w:rsidR="00D34386" w:rsidRPr="00D34386" w:rsidRDefault="00D34386" w:rsidP="0031435C">
            <w:pPr>
              <w:spacing w:line="360" w:lineRule="auto"/>
              <w:jc w:val="both"/>
            </w:pPr>
            <w:r w:rsidRPr="00D34386">
              <w:t>Children from low-income families are most affected. Many families on low incomes rely on cheap fast food and cannot afford fresh fruit and vegetables (Keane, 2023). Limited safe green spaces and concerns about knife crime stop children playing outside (London Borough of Barking and Dagenham, 2024).</w:t>
            </w:r>
          </w:p>
          <w:p w14:paraId="2AD40B37" w14:textId="77777777" w:rsidR="0031435C" w:rsidRDefault="0031435C" w:rsidP="0031435C">
            <w:pPr>
              <w:spacing w:line="360" w:lineRule="auto"/>
              <w:jc w:val="both"/>
            </w:pPr>
          </w:p>
          <w:p w14:paraId="0AAB0FC3" w14:textId="38453543" w:rsidR="00C6170D" w:rsidRDefault="00C6170D" w:rsidP="0031435C">
            <w:pPr>
              <w:spacing w:line="360" w:lineRule="auto"/>
              <w:jc w:val="both"/>
            </w:pPr>
            <w:r>
              <w:rPr>
                <w:noProof/>
              </w:rPr>
              <w:lastRenderedPageBreak/>
              <w:drawing>
                <wp:inline distT="0" distB="0" distL="0" distR="0" wp14:anchorId="1A0C2AF1" wp14:editId="13ADB4F1">
                  <wp:extent cx="5731510" cy="3223895"/>
                  <wp:effectExtent l="0" t="0" r="0" b="0"/>
                  <wp:docPr id="843252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F94E2E4" w14:textId="77777777" w:rsidR="00C6170D" w:rsidRDefault="00C6170D" w:rsidP="0031435C">
            <w:pPr>
              <w:spacing w:line="360" w:lineRule="auto"/>
              <w:jc w:val="both"/>
            </w:pPr>
          </w:p>
          <w:p w14:paraId="36F4C170" w14:textId="77777777" w:rsidR="00C6170D" w:rsidRDefault="00C6170D" w:rsidP="0031435C">
            <w:pPr>
              <w:spacing w:line="360" w:lineRule="auto"/>
              <w:jc w:val="both"/>
            </w:pPr>
          </w:p>
          <w:p w14:paraId="494B73B6" w14:textId="37F6407D" w:rsidR="00D34386" w:rsidRPr="00D34386" w:rsidRDefault="00D34386" w:rsidP="0031435C">
            <w:pPr>
              <w:spacing w:line="360" w:lineRule="auto"/>
              <w:jc w:val="both"/>
            </w:pPr>
            <w:r w:rsidRPr="00D34386">
              <w:t>A systems thinking approach recognises that these factors do not work alone but form a complex web (Meadows, 2008; Headen, Eaton and Kumanyika, 2025). Therefore, solutions must work together: free school meals, community cooking programmes, safer parks, and tougher rules on junk food ads (Kelly et al., 2025). Only a whole-system partnership involving the council, NHS, and local communities can create lasting change (London Borough of Barking and Dagenham, 2024).</w:t>
            </w:r>
          </w:p>
          <w:p w14:paraId="4991839B" w14:textId="77777777" w:rsidR="00D34386" w:rsidRDefault="00D34386" w:rsidP="0031435C">
            <w:pPr>
              <w:pStyle w:val="NoSpacing"/>
              <w:spacing w:line="360" w:lineRule="auto"/>
              <w:jc w:val="both"/>
              <w:rPr>
                <w:rFonts w:ascii="Arial" w:hAnsi="Arial" w:cs="Arial"/>
                <w:b/>
                <w:bCs/>
                <w:color w:val="000000"/>
                <w:sz w:val="22"/>
                <w:szCs w:val="22"/>
              </w:rPr>
            </w:pPr>
          </w:p>
          <w:p w14:paraId="7C202E64" w14:textId="25BD38F4" w:rsidR="00114199" w:rsidRPr="000B1AFC" w:rsidRDefault="00114199" w:rsidP="000B1AFC">
            <w:pPr>
              <w:pStyle w:val="NoSpacing"/>
              <w:rPr>
                <w:rFonts w:ascii="Arial" w:hAnsi="Arial" w:cs="Arial"/>
                <w:sz w:val="22"/>
                <w:szCs w:val="22"/>
              </w:rPr>
            </w:pPr>
          </w:p>
        </w:tc>
      </w:tr>
      <w:tr w:rsidR="00114199" w14:paraId="110F7451" w14:textId="77777777" w:rsidTr="00114199">
        <w:tc>
          <w:tcPr>
            <w:tcW w:w="9016" w:type="dxa"/>
          </w:tcPr>
          <w:p w14:paraId="5CD63A79" w14:textId="77777777" w:rsidR="00B44499" w:rsidRPr="005C28E8" w:rsidRDefault="00B44499" w:rsidP="00B44499">
            <w:pPr>
              <w:pStyle w:val="NoSpacing"/>
              <w:rPr>
                <w:rFonts w:ascii="Arial" w:hAnsi="Arial" w:cs="Arial"/>
                <w:b/>
                <w:bCs/>
                <w:sz w:val="22"/>
                <w:szCs w:val="22"/>
                <w:lang w:val="en-US" w:eastAsia="en-GB"/>
              </w:rPr>
            </w:pPr>
            <w:r w:rsidRPr="005C28E8">
              <w:rPr>
                <w:rFonts w:ascii="Arial" w:hAnsi="Arial" w:cs="Arial"/>
                <w:b/>
                <w:bCs/>
                <w:sz w:val="22"/>
                <w:szCs w:val="22"/>
                <w:lang w:val="en-US" w:eastAsia="en-GB"/>
              </w:rPr>
              <w:lastRenderedPageBreak/>
              <w:t>Task 3 - Self-Reflection of Group Activity (200 words).</w:t>
            </w:r>
          </w:p>
          <w:p w14:paraId="218E2088"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b/>
                <w:bCs/>
                <w:sz w:val="22"/>
                <w:szCs w:val="22"/>
                <w:lang w:val="en-US" w:eastAsia="en-GB"/>
              </w:rPr>
              <w:t>Question</w:t>
            </w:r>
            <w:r w:rsidRPr="005C28E8">
              <w:rPr>
                <w:rFonts w:ascii="Arial" w:hAnsi="Arial" w:cs="Arial"/>
                <w:sz w:val="22"/>
                <w:szCs w:val="22"/>
                <w:lang w:val="en-US" w:eastAsia="en-GB"/>
              </w:rPr>
              <w:t xml:space="preserve"> - Write a short self-reflection (approximately 200 words) on your experience of the Convergent and Divergent Thinking class activity. Use a </w:t>
            </w:r>
            <w:proofErr w:type="spellStart"/>
            <w:r w:rsidRPr="005C28E8">
              <w:rPr>
                <w:rFonts w:ascii="Arial" w:hAnsi="Arial" w:cs="Arial"/>
                <w:sz w:val="22"/>
                <w:szCs w:val="22"/>
                <w:lang w:val="en-US" w:eastAsia="en-GB"/>
              </w:rPr>
              <w:t>recognised</w:t>
            </w:r>
            <w:proofErr w:type="spellEnd"/>
            <w:r w:rsidRPr="005C28E8">
              <w:rPr>
                <w:rFonts w:ascii="Arial" w:hAnsi="Arial" w:cs="Arial"/>
                <w:sz w:val="22"/>
                <w:szCs w:val="22"/>
                <w:lang w:val="en-US" w:eastAsia="en-GB"/>
              </w:rPr>
              <w:t> reflective model (such as Gibbs, Kolb,) to guide your reflection.</w:t>
            </w:r>
          </w:p>
          <w:p w14:paraId="6482BC73"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sz w:val="22"/>
                <w:szCs w:val="22"/>
                <w:lang w:eastAsia="en-GB"/>
              </w:rPr>
              <w:t>In your response, you should:</w:t>
            </w:r>
          </w:p>
          <w:p w14:paraId="068466B7"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sz w:val="22"/>
                <w:szCs w:val="22"/>
                <w:lang w:eastAsia="en-GB"/>
              </w:rPr>
              <w:t>Briefly explain the difference between convergent and divergent thinking</w:t>
            </w:r>
          </w:p>
          <w:p w14:paraId="20653347"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sz w:val="22"/>
                <w:szCs w:val="22"/>
                <w:lang w:eastAsia="en-GB"/>
              </w:rPr>
              <w:t>Reflect on how you used these thinking styles during the group activity</w:t>
            </w:r>
          </w:p>
          <w:p w14:paraId="656CF87E"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sz w:val="22"/>
                <w:szCs w:val="22"/>
                <w:lang w:eastAsia="en-GB"/>
              </w:rPr>
              <w:t>Identify what you learned about your own thinking or teamwork skills</w:t>
            </w:r>
          </w:p>
          <w:p w14:paraId="2085E17A" w14:textId="77777777" w:rsidR="00B44499" w:rsidRPr="005C28E8" w:rsidRDefault="00B44499" w:rsidP="00B44499">
            <w:pPr>
              <w:pStyle w:val="NoSpacing"/>
              <w:rPr>
                <w:rFonts w:ascii="Arial" w:hAnsi="Arial" w:cs="Arial"/>
                <w:sz w:val="22"/>
                <w:szCs w:val="22"/>
                <w:lang w:eastAsia="en-GB"/>
              </w:rPr>
            </w:pPr>
            <w:r w:rsidRPr="005C28E8">
              <w:rPr>
                <w:rFonts w:ascii="Arial" w:hAnsi="Arial" w:cs="Arial"/>
                <w:sz w:val="22"/>
                <w:szCs w:val="22"/>
                <w:lang w:eastAsia="en-GB"/>
              </w:rPr>
              <w:t>Include at least one academic source to support your reflection</w:t>
            </w:r>
          </w:p>
          <w:p w14:paraId="1E52F2C8" w14:textId="77777777" w:rsidR="00B44499" w:rsidRPr="005C28E8" w:rsidRDefault="00B44499" w:rsidP="00B44499">
            <w:pPr>
              <w:pStyle w:val="NoSpacing"/>
              <w:rPr>
                <w:rFonts w:ascii="Arial" w:hAnsi="Arial" w:cs="Arial"/>
                <w:sz w:val="22"/>
                <w:szCs w:val="22"/>
                <w:lang w:eastAsia="en-GB"/>
              </w:rPr>
            </w:pPr>
          </w:p>
          <w:p w14:paraId="7D55AF0C" w14:textId="77777777" w:rsidR="00B44499" w:rsidRPr="005C28E8" w:rsidRDefault="00B44499" w:rsidP="005C28E8">
            <w:pPr>
              <w:pStyle w:val="NoSpacing"/>
              <w:rPr>
                <w:rFonts w:ascii="Arial" w:hAnsi="Arial" w:cs="Arial"/>
                <w:sz w:val="22"/>
                <w:szCs w:val="22"/>
              </w:rPr>
            </w:pPr>
            <w:r w:rsidRPr="005C28E8">
              <w:rPr>
                <w:rFonts w:ascii="Arial" w:hAnsi="Arial" w:cs="Arial"/>
                <w:sz w:val="22"/>
                <w:szCs w:val="22"/>
              </w:rPr>
              <w:t>End with what you would do differently next time.</w:t>
            </w:r>
          </w:p>
          <w:p w14:paraId="5B295E10" w14:textId="77777777" w:rsidR="00B44499" w:rsidRPr="005C28E8" w:rsidRDefault="00B44499" w:rsidP="005C28E8">
            <w:pPr>
              <w:pStyle w:val="NoSpacing"/>
              <w:rPr>
                <w:rFonts w:ascii="Arial" w:hAnsi="Arial" w:cs="Arial"/>
                <w:sz w:val="22"/>
                <w:szCs w:val="22"/>
              </w:rPr>
            </w:pPr>
            <w:r w:rsidRPr="005C28E8">
              <w:rPr>
                <w:rFonts w:ascii="Arial" w:hAnsi="Arial" w:cs="Arial"/>
                <w:sz w:val="22"/>
                <w:szCs w:val="22"/>
              </w:rPr>
              <w:t>Include</w:t>
            </w:r>
            <w:r w:rsidRPr="005C28E8">
              <w:rPr>
                <w:rStyle w:val="apple-converted-space"/>
                <w:rFonts w:ascii="Arial" w:eastAsiaTheme="majorEastAsia" w:hAnsi="Arial" w:cs="Arial"/>
                <w:color w:val="000000"/>
                <w:sz w:val="22"/>
                <w:szCs w:val="22"/>
              </w:rPr>
              <w:t> </w:t>
            </w:r>
            <w:r w:rsidRPr="005C28E8">
              <w:rPr>
                <w:rStyle w:val="Strong"/>
                <w:rFonts w:ascii="Arial" w:eastAsiaTheme="majorEastAsia" w:hAnsi="Arial" w:cs="Arial"/>
                <w:color w:val="000000"/>
                <w:sz w:val="22"/>
                <w:szCs w:val="22"/>
              </w:rPr>
              <w:t>at least one academic source</w:t>
            </w:r>
            <w:r w:rsidRPr="005C28E8">
              <w:rPr>
                <w:rStyle w:val="apple-converted-space"/>
                <w:rFonts w:ascii="Arial" w:eastAsiaTheme="majorEastAsia" w:hAnsi="Arial" w:cs="Arial"/>
                <w:color w:val="000000"/>
                <w:sz w:val="22"/>
                <w:szCs w:val="22"/>
              </w:rPr>
              <w:t> </w:t>
            </w:r>
            <w:r w:rsidRPr="005C28E8">
              <w:rPr>
                <w:rFonts w:ascii="Arial" w:hAnsi="Arial" w:cs="Arial"/>
                <w:sz w:val="22"/>
                <w:szCs w:val="22"/>
              </w:rPr>
              <w:t>(e.g. a journal or book on reflective practice).</w:t>
            </w:r>
          </w:p>
          <w:p w14:paraId="377378C2" w14:textId="77777777" w:rsidR="005C28E8" w:rsidRPr="005C28E8" w:rsidRDefault="00B44499" w:rsidP="005C28E8">
            <w:pPr>
              <w:pStyle w:val="NoSpacing"/>
              <w:rPr>
                <w:rFonts w:ascii="Arial" w:hAnsi="Arial" w:cs="Arial"/>
                <w:sz w:val="22"/>
                <w:szCs w:val="22"/>
              </w:rPr>
            </w:pPr>
            <w:r w:rsidRPr="005C28E8">
              <w:rPr>
                <w:rStyle w:val="Strong"/>
                <w:rFonts w:ascii="Arial" w:eastAsiaTheme="majorEastAsia" w:hAnsi="Arial" w:cs="Arial"/>
                <w:color w:val="000000"/>
                <w:sz w:val="22"/>
                <w:szCs w:val="22"/>
              </w:rPr>
              <w:t>Link to Theory:</w:t>
            </w:r>
            <w:r w:rsidRPr="005C28E8">
              <w:rPr>
                <w:rStyle w:val="apple-converted-space"/>
                <w:rFonts w:ascii="Arial" w:eastAsiaTheme="majorEastAsia" w:hAnsi="Arial" w:cs="Arial"/>
                <w:b/>
                <w:bCs/>
                <w:color w:val="000000"/>
                <w:sz w:val="22"/>
                <w:szCs w:val="22"/>
              </w:rPr>
              <w:t> </w:t>
            </w:r>
            <w:r w:rsidRPr="005C28E8">
              <w:rPr>
                <w:rFonts w:ascii="Arial" w:hAnsi="Arial" w:cs="Arial"/>
                <w:sz w:val="22"/>
                <w:szCs w:val="22"/>
              </w:rPr>
              <w:t>Clearly state which reflective model you are using and apply each stage.</w:t>
            </w:r>
            <w:r w:rsidRPr="005C28E8">
              <w:rPr>
                <w:rStyle w:val="apple-converted-space"/>
                <w:rFonts w:ascii="Arial" w:eastAsiaTheme="majorEastAsia" w:hAnsi="Arial" w:cs="Arial"/>
                <w:color w:val="000000"/>
                <w:sz w:val="22"/>
                <w:szCs w:val="22"/>
              </w:rPr>
              <w:t> </w:t>
            </w:r>
            <w:r w:rsidR="005C28E8" w:rsidRPr="005C28E8">
              <w:rPr>
                <w:rFonts w:ascii="Arial" w:hAnsi="Arial" w:cs="Arial"/>
                <w:sz w:val="22"/>
                <w:szCs w:val="22"/>
              </w:rPr>
              <w:t>(e.g. Gibbs, Driscoll, Kolb).</w:t>
            </w:r>
          </w:p>
          <w:p w14:paraId="73D07EFE" w14:textId="0703CA45" w:rsidR="00B44499" w:rsidRPr="005C28E8" w:rsidRDefault="00B44499" w:rsidP="005C28E8">
            <w:pPr>
              <w:pStyle w:val="NoSpacing"/>
              <w:rPr>
                <w:rFonts w:ascii="Arial" w:hAnsi="Arial" w:cs="Arial"/>
                <w:sz w:val="22"/>
                <w:szCs w:val="22"/>
              </w:rPr>
            </w:pPr>
            <w:r w:rsidRPr="005C28E8">
              <w:rPr>
                <w:rStyle w:val="Strong"/>
                <w:rFonts w:ascii="Arial" w:eastAsiaTheme="majorEastAsia" w:hAnsi="Arial" w:cs="Arial"/>
                <w:color w:val="000000"/>
                <w:sz w:val="22"/>
                <w:szCs w:val="22"/>
              </w:rPr>
              <w:t>Practice Link:</w:t>
            </w:r>
            <w:r w:rsidRPr="005C28E8">
              <w:rPr>
                <w:rFonts w:ascii="Arial" w:hAnsi="Arial" w:cs="Arial"/>
                <w:sz w:val="22"/>
                <w:szCs w:val="22"/>
              </w:rPr>
              <w:t xml:space="preserve"> Use a real moment from the activity, e.g. “When we could not agree, I suggested we use a pros and cons list..."</w:t>
            </w:r>
          </w:p>
          <w:p w14:paraId="20A4BF40" w14:textId="77777777" w:rsidR="00B44499" w:rsidRPr="005C28E8" w:rsidRDefault="00B44499" w:rsidP="005C28E8">
            <w:pPr>
              <w:pStyle w:val="NoSpacing"/>
              <w:rPr>
                <w:rFonts w:ascii="Arial" w:hAnsi="Arial" w:cs="Arial"/>
                <w:sz w:val="22"/>
                <w:szCs w:val="22"/>
              </w:rPr>
            </w:pPr>
            <w:r w:rsidRPr="005C28E8">
              <w:rPr>
                <w:rStyle w:val="Strong"/>
                <w:rFonts w:ascii="Arial" w:eastAsiaTheme="majorEastAsia" w:hAnsi="Arial" w:cs="Arial"/>
                <w:color w:val="000000"/>
                <w:sz w:val="22"/>
                <w:szCs w:val="22"/>
              </w:rPr>
              <w:t>Avoid:</w:t>
            </w:r>
            <w:r w:rsidRPr="005C28E8">
              <w:rPr>
                <w:rStyle w:val="apple-converted-space"/>
                <w:rFonts w:ascii="Arial" w:eastAsiaTheme="majorEastAsia" w:hAnsi="Arial" w:cs="Arial"/>
                <w:color w:val="000000"/>
                <w:sz w:val="22"/>
                <w:szCs w:val="22"/>
              </w:rPr>
              <w:t> </w:t>
            </w:r>
            <w:r w:rsidRPr="005C28E8">
              <w:rPr>
                <w:rFonts w:ascii="Arial" w:hAnsi="Arial" w:cs="Arial"/>
                <w:sz w:val="22"/>
                <w:szCs w:val="22"/>
              </w:rPr>
              <w:t>Being vague (e.g. "It went well"). Show what you really learned.</w:t>
            </w:r>
          </w:p>
          <w:p w14:paraId="6B49C028" w14:textId="77777777" w:rsidR="00B44499" w:rsidRPr="005C28E8" w:rsidRDefault="00B44499" w:rsidP="005C28E8">
            <w:pPr>
              <w:pStyle w:val="NoSpacing"/>
              <w:rPr>
                <w:rFonts w:ascii="Arial" w:eastAsia="Cambria" w:hAnsi="Arial" w:cs="Arial"/>
                <w:sz w:val="22"/>
                <w:szCs w:val="22"/>
              </w:rPr>
            </w:pPr>
            <w:r w:rsidRPr="005C28E8">
              <w:rPr>
                <w:rFonts w:ascii="Arial" w:eastAsia="Cambria" w:hAnsi="Arial" w:cs="Arial"/>
                <w:sz w:val="22"/>
                <w:szCs w:val="22"/>
              </w:rPr>
              <w:t>Think about these questions</w:t>
            </w:r>
          </w:p>
          <w:p w14:paraId="075DAA6F" w14:textId="77777777" w:rsidR="00B44499" w:rsidRPr="005C28E8" w:rsidRDefault="00B44499" w:rsidP="005C28E8">
            <w:pPr>
              <w:pStyle w:val="NoSpacing"/>
              <w:rPr>
                <w:rFonts w:ascii="Arial" w:hAnsi="Arial" w:cs="Arial"/>
                <w:sz w:val="22"/>
                <w:szCs w:val="22"/>
              </w:rPr>
            </w:pPr>
            <w:r w:rsidRPr="005C28E8">
              <w:rPr>
                <w:rFonts w:ascii="Arial" w:hAnsi="Arial" w:cs="Arial"/>
                <w:sz w:val="22"/>
                <w:szCs w:val="22"/>
              </w:rPr>
              <w:lastRenderedPageBreak/>
              <w:t>Did one thinking style feel more natural to you?</w:t>
            </w:r>
          </w:p>
          <w:p w14:paraId="26832AD8" w14:textId="78D79C7A" w:rsidR="00114199" w:rsidRPr="005C28E8" w:rsidRDefault="00B44499" w:rsidP="00B44499">
            <w:pPr>
              <w:pStyle w:val="NoSpacing"/>
              <w:rPr>
                <w:rFonts w:ascii="Arial" w:hAnsi="Arial" w:cs="Arial"/>
                <w:sz w:val="22"/>
                <w:szCs w:val="22"/>
                <w:lang w:eastAsia="en-GB"/>
              </w:rPr>
            </w:pPr>
            <w:r w:rsidRPr="005C28E8">
              <w:rPr>
                <w:rFonts w:ascii="Arial" w:hAnsi="Arial" w:cs="Arial"/>
                <w:sz w:val="22"/>
                <w:szCs w:val="22"/>
              </w:rPr>
              <w:t>How did you contribute to your group</w:t>
            </w:r>
          </w:p>
        </w:tc>
      </w:tr>
      <w:tr w:rsidR="00804E06" w14:paraId="7E37D0A5" w14:textId="77777777" w:rsidTr="00114199">
        <w:tc>
          <w:tcPr>
            <w:tcW w:w="9016" w:type="dxa"/>
          </w:tcPr>
          <w:p w14:paraId="384A13AB" w14:textId="77777777" w:rsidR="00D34386" w:rsidRPr="00D34386" w:rsidRDefault="00804E06" w:rsidP="00D34386">
            <w:pPr>
              <w:rPr>
                <w:b/>
                <w:bCs/>
              </w:rPr>
            </w:pPr>
            <w:r w:rsidRPr="00804E06">
              <w:rPr>
                <w:rFonts w:ascii="Arial" w:hAnsi="Arial" w:cs="Arial"/>
                <w:b/>
                <w:bCs/>
                <w:sz w:val="22"/>
                <w:szCs w:val="22"/>
              </w:rPr>
              <w:lastRenderedPageBreak/>
              <w:t>Task 4 – Case Study Analysis</w:t>
            </w:r>
            <w:r w:rsidR="00D34386" w:rsidRPr="00D34386">
              <w:rPr>
                <w:b/>
                <w:bCs/>
              </w:rPr>
              <w:t>– Virtual Wards in the NHS</w:t>
            </w:r>
          </w:p>
          <w:p w14:paraId="310AE88F" w14:textId="0CE16A1B" w:rsidR="00804E06" w:rsidRPr="00804E06" w:rsidRDefault="00804E06" w:rsidP="00804E06">
            <w:pPr>
              <w:pStyle w:val="NoSpacing"/>
              <w:rPr>
                <w:rFonts w:ascii="Arial" w:hAnsi="Arial" w:cs="Arial"/>
                <w:b/>
                <w:bCs/>
                <w:sz w:val="22"/>
                <w:szCs w:val="22"/>
              </w:rPr>
            </w:pPr>
            <w:r w:rsidRPr="00804E06">
              <w:rPr>
                <w:rFonts w:ascii="Arial" w:hAnsi="Arial" w:cs="Arial"/>
                <w:b/>
                <w:bCs/>
                <w:sz w:val="22"/>
                <w:szCs w:val="22"/>
              </w:rPr>
              <w:t xml:space="preserve"> </w:t>
            </w:r>
          </w:p>
          <w:p w14:paraId="7FD3332A" w14:textId="77777777" w:rsidR="00D34386" w:rsidRPr="00D34386" w:rsidRDefault="00D34386" w:rsidP="0031435C">
            <w:pPr>
              <w:spacing w:line="360" w:lineRule="auto"/>
              <w:jc w:val="both"/>
            </w:pPr>
            <w:r w:rsidRPr="00D34386">
              <w:t>Virtual wards, also known as hospital at home, allow patients to receive acute care in their own homes through remote monitoring technology (NHS England, 2025). This innovation emerged to address hospital bed shortages, long A&amp;E waiting times, and the need to reduce unnecessary admissions, especially during winter pressures (NELFT NHS Foundation Trust, 2026).</w:t>
            </w:r>
          </w:p>
          <w:p w14:paraId="645EC605" w14:textId="77777777" w:rsidR="00D34386" w:rsidRPr="00D34386" w:rsidRDefault="00D34386" w:rsidP="0031435C">
            <w:pPr>
              <w:spacing w:line="360" w:lineRule="auto"/>
              <w:jc w:val="both"/>
            </w:pPr>
          </w:p>
          <w:p w14:paraId="22DFA016" w14:textId="77777777" w:rsidR="00D34386" w:rsidRPr="00D34386" w:rsidRDefault="00D34386" w:rsidP="0031435C">
            <w:pPr>
              <w:spacing w:line="360" w:lineRule="auto"/>
              <w:jc w:val="both"/>
            </w:pPr>
            <w:r w:rsidRPr="00D34386">
              <w:t xml:space="preserve">Creativity played a key role in developing this solution. Instead of building more hospital beds, clinical teams reimagined the ward itself. They combined wearable devices, apps, and daily virtual check-ins to deliver hospital-level care remotely (Nottingham University Hospitals, 2026). As </w:t>
            </w:r>
            <w:proofErr w:type="spellStart"/>
            <w:r w:rsidRPr="00D34386">
              <w:t>Mangalaram</w:t>
            </w:r>
            <w:proofErr w:type="spellEnd"/>
            <w:r w:rsidRPr="00D34386">
              <w:t xml:space="preserve"> Sadhasivam, Clinical Lead at NELFT, explains: "Our virtual ward allows us to deliver hospital-level care in the comfort of people's homes, surrounded by their loved ones" (NELFT NHS Foundation Trust, 2026).</w:t>
            </w:r>
          </w:p>
          <w:p w14:paraId="2A7FF023" w14:textId="77777777" w:rsidR="00D34386" w:rsidRPr="00D34386" w:rsidRDefault="00D34386" w:rsidP="0031435C">
            <w:pPr>
              <w:spacing w:line="360" w:lineRule="auto"/>
              <w:jc w:val="both"/>
            </w:pPr>
            <w:r w:rsidRPr="00D34386">
              <w:t>Value created has been significant. For patients, it means quicker recovery in familiar surroundings and reduced risk of hospital-acquired infections (BHR Hospitals, 2024). For staff, virtual wards free up hospital beds for those most in need and reduce pressure on A&amp;E departments (NHS England, 2025). For the system, they offer cost savings by reducing unnecessary admissions and shortening hospital stays.</w:t>
            </w:r>
          </w:p>
          <w:p w14:paraId="392F7060" w14:textId="77777777" w:rsidR="0031435C" w:rsidRDefault="0031435C" w:rsidP="0031435C">
            <w:pPr>
              <w:spacing w:line="360" w:lineRule="auto"/>
              <w:jc w:val="both"/>
            </w:pPr>
          </w:p>
          <w:p w14:paraId="023BC905" w14:textId="5FE6ED6E" w:rsidR="00D34386" w:rsidRPr="00D34386" w:rsidRDefault="00D34386" w:rsidP="0031435C">
            <w:pPr>
              <w:spacing w:line="360" w:lineRule="auto"/>
              <w:jc w:val="both"/>
            </w:pPr>
            <w:r w:rsidRPr="00D34386">
              <w:t>Reported outcomes are impressive. At BHR Hospitals, over 200 patients benefited, with 91% rating the service as good or very good (BHR Hospitals, 2024). The Frailty Virtual Ward helped the trust achieve its best A&amp;E performance in five years (BHR Hospitals, 2024).</w:t>
            </w:r>
          </w:p>
          <w:p w14:paraId="4BE0CA36" w14:textId="77777777" w:rsidR="00D34386" w:rsidRPr="00D34386" w:rsidRDefault="00D34386" w:rsidP="0031435C">
            <w:pPr>
              <w:spacing w:line="360" w:lineRule="auto"/>
              <w:jc w:val="both"/>
            </w:pPr>
            <w:r w:rsidRPr="00D34386">
              <w:t>This model could be expanded to other conditions and regions, supporting the NHS 10-year plan to shift care from hospital to community (Nottingham University Hospitals, 2026).</w:t>
            </w:r>
          </w:p>
          <w:p w14:paraId="09BA497F" w14:textId="77777777" w:rsidR="00D34386" w:rsidRPr="00D34386" w:rsidRDefault="00D34386" w:rsidP="0031435C">
            <w:pPr>
              <w:spacing w:line="360" w:lineRule="auto"/>
              <w:jc w:val="both"/>
            </w:pPr>
          </w:p>
          <w:p w14:paraId="4AA23260" w14:textId="77777777" w:rsidR="00D34386" w:rsidRPr="00D34386" w:rsidRDefault="00D34386" w:rsidP="0031435C">
            <w:pPr>
              <w:spacing w:line="360" w:lineRule="auto"/>
              <w:jc w:val="both"/>
            </w:pPr>
            <w:r w:rsidRPr="00D34386">
              <w:t>Link to Theory</w:t>
            </w:r>
          </w:p>
          <w:p w14:paraId="26CD99EB" w14:textId="77777777" w:rsidR="00D34386" w:rsidRPr="00D34386" w:rsidRDefault="00D34386" w:rsidP="0031435C">
            <w:pPr>
              <w:spacing w:line="360" w:lineRule="auto"/>
              <w:jc w:val="both"/>
            </w:pPr>
            <w:r w:rsidRPr="00D34386">
              <w:lastRenderedPageBreak/>
              <w:t>Rogers' Diffusion of Innovation Theory explains why virtual wards are spreading across the NHS. The innovation offers clear advantages (better patient experience, reduced costs), is compatible with NHS values, and has shown observable results that encourage other trusts to adopt it (Rogers, 2003).</w:t>
            </w:r>
          </w:p>
          <w:p w14:paraId="3896A024" w14:textId="77777777" w:rsidR="00D34386" w:rsidRPr="00D34386" w:rsidRDefault="00D34386" w:rsidP="0031435C">
            <w:pPr>
              <w:spacing w:line="360" w:lineRule="auto"/>
              <w:jc w:val="both"/>
            </w:pPr>
          </w:p>
          <w:p w14:paraId="058A61C5" w14:textId="77777777" w:rsidR="00D34386" w:rsidRPr="00D34386" w:rsidRDefault="00D34386" w:rsidP="0031435C">
            <w:pPr>
              <w:spacing w:line="360" w:lineRule="auto"/>
              <w:jc w:val="both"/>
            </w:pPr>
            <w:r w:rsidRPr="00D34386">
              <w:t xml:space="preserve">This innovation also reflects the Value Proposition Canvas, which focuses on creating services that match what users </w:t>
            </w:r>
            <w:proofErr w:type="gramStart"/>
            <w:r w:rsidRPr="00D34386">
              <w:t>actually need</w:t>
            </w:r>
            <w:proofErr w:type="gramEnd"/>
            <w:r w:rsidRPr="00D34386">
              <w:t xml:space="preserve"> (Osterwalder et al., 2014). Virtual wards succeed because they address the real patient need for safe, comfortable recovery while solving the NHS need for hospital bed capacity. The patient gains include faster recovery at home, while pain points like hospital-acquired infections are reduced (Osterwalder et al., 2014).</w:t>
            </w:r>
          </w:p>
          <w:p w14:paraId="18EE04B8" w14:textId="23BF14CC" w:rsidR="00804E06" w:rsidRPr="00804E06" w:rsidRDefault="00804E06" w:rsidP="00804E06">
            <w:pPr>
              <w:pStyle w:val="NoSpacing"/>
              <w:rPr>
                <w:rFonts w:ascii="Arial" w:hAnsi="Arial" w:cs="Arial"/>
                <w:sz w:val="22"/>
                <w:szCs w:val="22"/>
              </w:rPr>
            </w:pPr>
          </w:p>
        </w:tc>
      </w:tr>
      <w:tr w:rsidR="00804E06" w14:paraId="0F49A4AD" w14:textId="77777777" w:rsidTr="00114199">
        <w:tc>
          <w:tcPr>
            <w:tcW w:w="9016" w:type="dxa"/>
          </w:tcPr>
          <w:p w14:paraId="79F756B5" w14:textId="711903F1" w:rsidR="0031435C" w:rsidRPr="0031435C" w:rsidRDefault="00804E06" w:rsidP="000812B9">
            <w:pPr>
              <w:pStyle w:val="NoSpacing"/>
              <w:rPr>
                <w:b/>
                <w:bCs/>
                <w:color w:val="000000"/>
                <w:sz w:val="20"/>
                <w:szCs w:val="20"/>
              </w:rPr>
            </w:pPr>
            <w:r w:rsidRPr="000812B9">
              <w:rPr>
                <w:b/>
                <w:bCs/>
                <w:lang w:val="en-US" w:eastAsia="en-GB"/>
              </w:rPr>
              <w:lastRenderedPageBreak/>
              <w:t xml:space="preserve">Task 5 - Research </w:t>
            </w:r>
            <w:r w:rsidRPr="0031435C">
              <w:rPr>
                <w:b/>
                <w:bCs/>
                <w:lang w:val="en-US" w:eastAsia="en-GB"/>
              </w:rPr>
              <w:t xml:space="preserve">Task </w:t>
            </w:r>
            <w:r w:rsidR="0031435C" w:rsidRPr="0031435C">
              <w:rPr>
                <w:b/>
                <w:bCs/>
              </w:rPr>
              <w:t>– Staff Stress in Healthcare</w:t>
            </w:r>
          </w:p>
          <w:p w14:paraId="71D376FE" w14:textId="77777777" w:rsidR="0031435C" w:rsidRPr="0031435C" w:rsidRDefault="0031435C" w:rsidP="000812B9">
            <w:pPr>
              <w:pStyle w:val="NoSpacing"/>
              <w:rPr>
                <w:b/>
                <w:bCs/>
                <w:color w:val="000000"/>
                <w:sz w:val="20"/>
                <w:szCs w:val="20"/>
              </w:rPr>
            </w:pPr>
          </w:p>
          <w:p w14:paraId="41B47CBE" w14:textId="77777777" w:rsidR="0031435C" w:rsidRPr="0031435C" w:rsidRDefault="0031435C" w:rsidP="0031435C">
            <w:pPr>
              <w:spacing w:line="360" w:lineRule="auto"/>
              <w:jc w:val="both"/>
            </w:pPr>
            <w:r w:rsidRPr="0031435C">
              <w:t>Staff stress and burnout among healthcare professionals is a growing crisis affecting the NHS and social care. In real care settings, this shows up as high sickness absence rates, staff leaving the profession, and lower quality patient care (The King's Fund, 2022). Two recent academic studies help explain the causes of this problem from different angles.</w:t>
            </w:r>
          </w:p>
          <w:p w14:paraId="44225C9D" w14:textId="77777777" w:rsidR="0031435C" w:rsidRPr="0031435C" w:rsidRDefault="0031435C" w:rsidP="0031435C">
            <w:pPr>
              <w:spacing w:line="360" w:lineRule="auto"/>
              <w:jc w:val="both"/>
            </w:pPr>
          </w:p>
          <w:p w14:paraId="7547D9D5" w14:textId="77777777" w:rsidR="0031435C" w:rsidRPr="0031435C" w:rsidRDefault="0031435C" w:rsidP="0031435C">
            <w:pPr>
              <w:spacing w:line="360" w:lineRule="auto"/>
              <w:jc w:val="both"/>
            </w:pPr>
            <w:r w:rsidRPr="0031435C">
              <w:t>Amiri et al. (2024) conducted a global systematic review of occupational risk factors for burnout among healthcare professionals. Their research identified workplace bullying, high job stress, and poor communication as key causes of burnout. They also found that supportive work environments, adequate staffing levels, and individual resilience act as protective factors (Amiri et al., 2024). This study helps me understand that burnout is not simply about individual weakness but is strongly influenced by workplace culture and conditions.</w:t>
            </w:r>
          </w:p>
          <w:p w14:paraId="607CC8AC" w14:textId="77777777" w:rsidR="0031435C" w:rsidRPr="0031435C" w:rsidRDefault="0031435C" w:rsidP="0031435C">
            <w:pPr>
              <w:spacing w:line="360" w:lineRule="auto"/>
              <w:jc w:val="both"/>
            </w:pPr>
          </w:p>
          <w:p w14:paraId="2E2B57E9" w14:textId="77777777" w:rsidR="0031435C" w:rsidRPr="0031435C" w:rsidRDefault="0031435C" w:rsidP="0031435C">
            <w:pPr>
              <w:spacing w:line="360" w:lineRule="auto"/>
              <w:jc w:val="both"/>
            </w:pPr>
            <w:r w:rsidRPr="0031435C">
              <w:t xml:space="preserve">Zhang et al. (2024) used network analysis to examine the relationship between depression and burnout in over 3,600 Chinese healthcare workers. They found strong connections between feeling exhausted from work and losing interest in activities (Zhang et al., 2024). Importantly, they discovered that the relationship between </w:t>
            </w:r>
            <w:r w:rsidRPr="0031435C">
              <w:lastRenderedPageBreak/>
              <w:t>depression and burnout differs between doctors and nurses, suggesting that different staff groups may need different types of support (Zhang et al., 2024).</w:t>
            </w:r>
          </w:p>
          <w:p w14:paraId="4FD84EEC" w14:textId="77777777" w:rsidR="0031435C" w:rsidRPr="0031435C" w:rsidRDefault="0031435C" w:rsidP="0031435C">
            <w:pPr>
              <w:spacing w:line="360" w:lineRule="auto"/>
              <w:jc w:val="both"/>
            </w:pPr>
          </w:p>
          <w:p w14:paraId="3858A64D" w14:textId="77777777" w:rsidR="0031435C" w:rsidRPr="0031435C" w:rsidRDefault="0031435C" w:rsidP="0031435C">
            <w:pPr>
              <w:spacing w:line="360" w:lineRule="auto"/>
              <w:jc w:val="both"/>
            </w:pPr>
            <w:r w:rsidRPr="0031435C">
              <w:t>Both articles agree that workplace factors are major causes of staff stress. However, while Amiri et al. (2024) focus on organisational causes like bullying and staffing levels, Zhang et al. (2024) highlight the psychological links between burnout and depression. Together, they show that solving staff stress requires both fixing workplace problems and supporting individual mental health.</w:t>
            </w:r>
          </w:p>
          <w:p w14:paraId="3BF0A766" w14:textId="77777777" w:rsidR="0031435C" w:rsidRPr="0031435C" w:rsidRDefault="0031435C" w:rsidP="0031435C">
            <w:pPr>
              <w:spacing w:line="360" w:lineRule="auto"/>
              <w:jc w:val="both"/>
            </w:pPr>
          </w:p>
          <w:p w14:paraId="1A52BC37" w14:textId="77777777" w:rsidR="0031435C" w:rsidRPr="0031435C" w:rsidRDefault="0031435C" w:rsidP="0031435C">
            <w:pPr>
              <w:spacing w:line="360" w:lineRule="auto"/>
              <w:jc w:val="both"/>
            </w:pPr>
            <w:r w:rsidRPr="0031435C">
              <w:t>Link to Theory</w:t>
            </w:r>
          </w:p>
          <w:p w14:paraId="10CBA87B" w14:textId="77777777" w:rsidR="0031435C" w:rsidRPr="0031435C" w:rsidRDefault="0031435C" w:rsidP="0031435C">
            <w:pPr>
              <w:spacing w:line="360" w:lineRule="auto"/>
              <w:jc w:val="both"/>
            </w:pPr>
            <w:r w:rsidRPr="0031435C">
              <w:t>These findings connect to the Maslach Burnout Theory, which identifies three key dimensions of burnout: emotional exhaustion, depersonalisation, and reduced personal accomplishment (Maslach, Jackson and Leiter, 1996). Amiri et al. (2024) highlight the organisational causes that lead to emotional exhaustion, while Zhang et al. (2024) show how exhaustion links to depression, reflecting Maslach's emphasis on the psychological impact of prolonged workplace stress.</w:t>
            </w:r>
          </w:p>
          <w:p w14:paraId="3E4C46EC" w14:textId="3B279059" w:rsidR="00804E06" w:rsidRPr="000812B9" w:rsidRDefault="00804E06" w:rsidP="000812B9">
            <w:pPr>
              <w:pStyle w:val="NoSpacing"/>
              <w:rPr>
                <w:rFonts w:ascii="Arial" w:hAnsi="Arial" w:cs="Arial"/>
                <w:color w:val="000000"/>
                <w:sz w:val="20"/>
                <w:szCs w:val="20"/>
              </w:rPr>
            </w:pPr>
          </w:p>
        </w:tc>
      </w:tr>
      <w:tr w:rsidR="00804E06" w14:paraId="72451D9A" w14:textId="77777777" w:rsidTr="00114199">
        <w:tc>
          <w:tcPr>
            <w:tcW w:w="9016" w:type="dxa"/>
          </w:tcPr>
          <w:p w14:paraId="40DABE4A" w14:textId="77D979E0" w:rsidR="00804E06" w:rsidRDefault="00804E06" w:rsidP="000812B9">
            <w:pPr>
              <w:pStyle w:val="NoSpacing"/>
              <w:rPr>
                <w:lang w:val="en-US" w:eastAsia="en-GB"/>
              </w:rPr>
            </w:pPr>
            <w:r w:rsidRPr="000812B9">
              <w:rPr>
                <w:lang w:val="en-US" w:eastAsia="en-GB"/>
              </w:rPr>
              <w:lastRenderedPageBreak/>
              <w:t xml:space="preserve">Task 6 - Exploring Digital Innovation in Health and Social Care </w:t>
            </w:r>
          </w:p>
          <w:p w14:paraId="50F3ECC1" w14:textId="77777777" w:rsidR="0031435C" w:rsidRDefault="0031435C" w:rsidP="000812B9">
            <w:pPr>
              <w:pStyle w:val="NoSpacing"/>
              <w:rPr>
                <w:lang w:val="en-US" w:eastAsia="en-GB"/>
              </w:rPr>
            </w:pPr>
          </w:p>
          <w:p w14:paraId="31C38B52" w14:textId="77777777" w:rsidR="0031435C" w:rsidRPr="0031435C" w:rsidRDefault="0031435C" w:rsidP="0031435C">
            <w:pPr>
              <w:spacing w:line="360" w:lineRule="auto"/>
              <w:jc w:val="both"/>
            </w:pPr>
            <w:r w:rsidRPr="0031435C">
              <w:t>Question 1: Discuss one benefit of using wearable health technologies to support the management of chronic health conditions.</w:t>
            </w:r>
          </w:p>
          <w:p w14:paraId="50E26BB7" w14:textId="77777777" w:rsidR="0031435C" w:rsidRPr="0031435C" w:rsidRDefault="0031435C" w:rsidP="0031435C">
            <w:pPr>
              <w:spacing w:line="360" w:lineRule="auto"/>
              <w:jc w:val="both"/>
            </w:pPr>
            <w:r w:rsidRPr="0031435C">
              <w:t>Wearable health technologies include devices like smartwatches, fitness trackers, and adhesive patches that monitor heart rate, activity levels, and other health signs continuously (NHS England, 2025). One major benefit is their ability to detect early warning signs before a patient becomes seriously unwell. Multi-sensor wearables can monitor heart activity, breathing, and fluid levels in patients with chronic conditions like heart failure (NHS England, 2025).</w:t>
            </w:r>
          </w:p>
          <w:p w14:paraId="194B2CF7" w14:textId="77777777" w:rsidR="0031435C" w:rsidRPr="0031435C" w:rsidRDefault="0031435C" w:rsidP="0031435C">
            <w:pPr>
              <w:spacing w:line="360" w:lineRule="auto"/>
              <w:jc w:val="both"/>
            </w:pPr>
          </w:p>
          <w:p w14:paraId="7408BF44" w14:textId="77777777" w:rsidR="0031435C" w:rsidRPr="0031435C" w:rsidRDefault="0031435C" w:rsidP="0031435C">
            <w:pPr>
              <w:spacing w:line="360" w:lineRule="auto"/>
              <w:jc w:val="both"/>
            </w:pPr>
            <w:r w:rsidRPr="0031435C">
              <w:t xml:space="preserve">Research shows these devices can predict a worsening event up to 34 days in advance by tracking small changes in the body (NHS England, 2025). This early warning gives clinicians time to adjust medications or offer support before the patient needs hospital </w:t>
            </w:r>
            <w:r w:rsidRPr="0031435C">
              <w:lastRenderedPageBreak/>
              <w:t xml:space="preserve">admission. For example, the </w:t>
            </w:r>
            <w:proofErr w:type="spellStart"/>
            <w:r w:rsidRPr="0031435C">
              <w:t>HeartLogic</w:t>
            </w:r>
            <w:proofErr w:type="spellEnd"/>
            <w:r w:rsidRPr="0031435C">
              <w:t>™ index detects around 70% of heart failure events early, with few false alerts (NHS England, 2025).</w:t>
            </w:r>
          </w:p>
          <w:p w14:paraId="0E9E951C" w14:textId="77777777" w:rsidR="0031435C" w:rsidRPr="0031435C" w:rsidRDefault="0031435C" w:rsidP="0031435C">
            <w:pPr>
              <w:spacing w:line="360" w:lineRule="auto"/>
              <w:jc w:val="both"/>
            </w:pPr>
          </w:p>
          <w:p w14:paraId="74CAFAF5" w14:textId="77777777" w:rsidR="0031435C" w:rsidRPr="0031435C" w:rsidRDefault="0031435C" w:rsidP="0031435C">
            <w:pPr>
              <w:spacing w:line="360" w:lineRule="auto"/>
              <w:jc w:val="both"/>
            </w:pPr>
            <w:r w:rsidRPr="0031435C">
              <w:t>This matters because it shifts care from reacting to emergencies towards preventing them. However, accessibility remains a challenge – not everyone can afford smartwatches, and older adults may struggle with the technology (NHS England, 2025). The Technology Acceptance Model explains that patients are more likely to use wearables when they find them useful and easy to operate (Davis, 1989).</w:t>
            </w:r>
          </w:p>
          <w:p w14:paraId="2A0A7427" w14:textId="77777777" w:rsidR="0031435C" w:rsidRPr="0031435C" w:rsidRDefault="0031435C" w:rsidP="0031435C">
            <w:pPr>
              <w:spacing w:line="360" w:lineRule="auto"/>
              <w:jc w:val="both"/>
            </w:pPr>
          </w:p>
          <w:p w14:paraId="6E16CC6A" w14:textId="77777777" w:rsidR="0031435C" w:rsidRPr="0031435C" w:rsidRDefault="0031435C" w:rsidP="0031435C">
            <w:pPr>
              <w:spacing w:line="360" w:lineRule="auto"/>
              <w:jc w:val="both"/>
            </w:pPr>
            <w:r w:rsidRPr="0031435C">
              <w:t>Question 2: Describe how electronic health records (EHRs) improve communication and collaboration between healthcare providers.</w:t>
            </w:r>
          </w:p>
          <w:p w14:paraId="340B1C97" w14:textId="77777777" w:rsidR="0031435C" w:rsidRPr="0031435C" w:rsidRDefault="0031435C" w:rsidP="0031435C">
            <w:pPr>
              <w:spacing w:line="360" w:lineRule="auto"/>
              <w:jc w:val="both"/>
            </w:pPr>
            <w:r w:rsidRPr="0031435C">
              <w:t>Electronic health records (EHRs) are digital versions of patients' paper charts that store medical history, test results, and treatment plans in one secure place (NHS Digital, 2024). They improve communication by giving all providers access to the same up-to-date information instantly.</w:t>
            </w:r>
          </w:p>
          <w:p w14:paraId="29549F81" w14:textId="77777777" w:rsidR="0031435C" w:rsidRPr="0031435C" w:rsidRDefault="0031435C" w:rsidP="0031435C">
            <w:pPr>
              <w:spacing w:line="360" w:lineRule="auto"/>
              <w:jc w:val="both"/>
            </w:pPr>
          </w:p>
          <w:p w14:paraId="2E77D8C1" w14:textId="77777777" w:rsidR="0031435C" w:rsidRPr="0031435C" w:rsidRDefault="0031435C" w:rsidP="0031435C">
            <w:pPr>
              <w:spacing w:line="360" w:lineRule="auto"/>
              <w:jc w:val="both"/>
            </w:pPr>
            <w:r w:rsidRPr="0031435C">
              <w:t>In the UK, the NHS Digital Shared Care Records programme connects hospitals, GPs, and social care services across regions (NHS Digital, 2024). For example, in Greater Manchester, the shared record system means paramedics, A&amp;E doctors, and GPs can all see the same patient information immediately, reducing repeat tests and speeding up treatment (NHS Digital, 2024).</w:t>
            </w:r>
          </w:p>
          <w:p w14:paraId="46C32321" w14:textId="77777777" w:rsidR="0031435C" w:rsidRPr="0031435C" w:rsidRDefault="0031435C" w:rsidP="0031435C">
            <w:pPr>
              <w:spacing w:line="360" w:lineRule="auto"/>
              <w:jc w:val="both"/>
            </w:pPr>
          </w:p>
          <w:p w14:paraId="4727799C" w14:textId="77777777" w:rsidR="0031435C" w:rsidRPr="0031435C" w:rsidRDefault="0031435C" w:rsidP="0031435C">
            <w:pPr>
              <w:spacing w:line="360" w:lineRule="auto"/>
              <w:jc w:val="both"/>
            </w:pPr>
            <w:r w:rsidRPr="0031435C">
              <w:t>For patients seeing multiple specialists, EHRs create a smoother journey. Instead of repeating their history at every appointment, their story travels with them (NHS Digital, 2024). Patients can also access their own records through the NHS App, giving them more control over their care (NHS Digital, 2024). The NHS Long Term Plan highlights digital records as essential for joining up care across hospitals and communities (NHS England, 2019).</w:t>
            </w:r>
          </w:p>
          <w:p w14:paraId="50714098" w14:textId="77777777" w:rsidR="0031435C" w:rsidRPr="0031435C" w:rsidRDefault="0031435C" w:rsidP="0031435C">
            <w:pPr>
              <w:spacing w:line="360" w:lineRule="auto"/>
              <w:jc w:val="both"/>
            </w:pPr>
          </w:p>
          <w:p w14:paraId="23C7E8C7" w14:textId="77777777" w:rsidR="0031435C" w:rsidRPr="0031435C" w:rsidRDefault="0031435C" w:rsidP="0031435C">
            <w:pPr>
              <w:spacing w:line="360" w:lineRule="auto"/>
              <w:jc w:val="both"/>
            </w:pPr>
            <w:r w:rsidRPr="0031435C">
              <w:t>Question 3: Explore how digital technology can support preventative care and health promotion, using a real example.</w:t>
            </w:r>
          </w:p>
          <w:p w14:paraId="1271EF65" w14:textId="77777777" w:rsidR="0031435C" w:rsidRPr="0031435C" w:rsidRDefault="0031435C" w:rsidP="0031435C">
            <w:pPr>
              <w:spacing w:line="360" w:lineRule="auto"/>
              <w:jc w:val="both"/>
            </w:pPr>
            <w:r w:rsidRPr="0031435C">
              <w:lastRenderedPageBreak/>
              <w:t>Digital technology supports preventative care by reaching people early and helping them manage their health before problems start. A strong UK example is the Digital Health Passport (DHP</w:t>
            </w:r>
            <w:proofErr w:type="gramStart"/>
            <w:r w:rsidRPr="0031435C">
              <w:t>) ,</w:t>
            </w:r>
            <w:proofErr w:type="gramEnd"/>
            <w:r w:rsidRPr="0031435C">
              <w:t xml:space="preserve"> a mobile platform helping young people with asthma (NHS Innovation Accelerator, 2025).</w:t>
            </w:r>
          </w:p>
          <w:p w14:paraId="37F99DC7" w14:textId="77777777" w:rsidR="0031435C" w:rsidRPr="0031435C" w:rsidRDefault="0031435C" w:rsidP="0031435C">
            <w:pPr>
              <w:spacing w:line="360" w:lineRule="auto"/>
              <w:jc w:val="both"/>
            </w:pPr>
          </w:p>
          <w:p w14:paraId="7E26BBF2" w14:textId="77777777" w:rsidR="0031435C" w:rsidRPr="0031435C" w:rsidRDefault="0031435C" w:rsidP="0031435C">
            <w:pPr>
              <w:spacing w:line="360" w:lineRule="auto"/>
              <w:jc w:val="both"/>
            </w:pPr>
            <w:r w:rsidRPr="0031435C">
              <w:t>The app works by offering NHS-approved health coaching, care planning, and self-management tools through a smartphone (NHS Innovation Accelerator, 2025). It actively reaches at-risk young people through social media and school partnerships, rather than waiting for them to seek help. Asthma is a leading cause of hospital admissions for young people, especially those from low-income backgrounds – teenagers from deprived areas are four times more likely to suffer poor asthma outcomes (NHS Innovation Accelerator, 2025).</w:t>
            </w:r>
          </w:p>
          <w:p w14:paraId="2F053F42" w14:textId="77777777" w:rsidR="0031435C" w:rsidRPr="0031435C" w:rsidRDefault="0031435C" w:rsidP="0031435C">
            <w:pPr>
              <w:spacing w:line="360" w:lineRule="auto"/>
              <w:jc w:val="both"/>
            </w:pPr>
          </w:p>
          <w:p w14:paraId="775882B1" w14:textId="77777777" w:rsidR="0031435C" w:rsidRPr="0031435C" w:rsidRDefault="0031435C" w:rsidP="0031435C">
            <w:pPr>
              <w:spacing w:line="360" w:lineRule="auto"/>
              <w:jc w:val="both"/>
            </w:pPr>
            <w:r w:rsidRPr="0031435C">
              <w:t>The platform has already shown improvements in asthma control and patient confidence, while reducing NHS costs (NHS Innovation Accelerator, 2025). This supports the NHS Long Term Plan goal of shifting care from sickness to prevention (NHS England, 2019). However, digital exclusion remains a concern – young people without smartphones or reliable internet cannot access such tools, so offering alternative support is essential (NHS Innovation Accelerator, 2025).</w:t>
            </w:r>
          </w:p>
          <w:p w14:paraId="66C0AF46" w14:textId="77777777" w:rsidR="0031435C" w:rsidRDefault="0031435C" w:rsidP="000812B9">
            <w:pPr>
              <w:pStyle w:val="NoSpacing"/>
              <w:rPr>
                <w:lang w:val="en-US" w:eastAsia="en-GB"/>
              </w:rPr>
            </w:pPr>
          </w:p>
          <w:p w14:paraId="173F4BA1" w14:textId="77777777" w:rsidR="00804E06" w:rsidRPr="000812B9" w:rsidRDefault="00804E06" w:rsidP="0031435C">
            <w:pPr>
              <w:pStyle w:val="NoSpacing"/>
              <w:rPr>
                <w:rFonts w:ascii="Times New Roman" w:hAnsi="Times New Roman"/>
              </w:rPr>
            </w:pPr>
          </w:p>
        </w:tc>
      </w:tr>
      <w:tr w:rsidR="00804E06" w14:paraId="31688848" w14:textId="77777777" w:rsidTr="00114199">
        <w:tc>
          <w:tcPr>
            <w:tcW w:w="9016" w:type="dxa"/>
          </w:tcPr>
          <w:p w14:paraId="7E1EF607" w14:textId="77777777" w:rsidR="00804E06" w:rsidRPr="000812B9" w:rsidRDefault="00804E06" w:rsidP="000812B9">
            <w:pPr>
              <w:pStyle w:val="NoSpacing"/>
              <w:rPr>
                <w:b/>
                <w:bCs/>
                <w:lang w:val="en-US" w:eastAsia="en-GB"/>
              </w:rPr>
            </w:pPr>
            <w:r w:rsidRPr="000812B9">
              <w:rPr>
                <w:b/>
                <w:bCs/>
                <w:lang w:val="en-US" w:eastAsia="en-GB"/>
              </w:rPr>
              <w:lastRenderedPageBreak/>
              <w:t>Task 7 - Understanding the NHS Leadership Framework (350)</w:t>
            </w:r>
          </w:p>
          <w:p w14:paraId="775AFCAA" w14:textId="097A0AFF" w:rsidR="000812B9" w:rsidRPr="000812B9" w:rsidRDefault="000812B9" w:rsidP="000812B9">
            <w:pPr>
              <w:pStyle w:val="NoSpacing"/>
              <w:rPr>
                <w:b/>
                <w:bCs/>
                <w:lang w:eastAsia="en-GB"/>
              </w:rPr>
            </w:pPr>
            <w:r w:rsidRPr="000812B9">
              <w:rPr>
                <w:b/>
                <w:bCs/>
                <w:lang w:val="en-US" w:eastAsia="en-GB"/>
              </w:rPr>
              <w:t>Question</w:t>
            </w:r>
          </w:p>
          <w:p w14:paraId="04D16C9F" w14:textId="77777777" w:rsidR="00804E06" w:rsidRPr="000812B9" w:rsidRDefault="00804E06" w:rsidP="000812B9">
            <w:pPr>
              <w:pStyle w:val="NoSpacing"/>
              <w:rPr>
                <w:lang w:eastAsia="en-GB"/>
              </w:rPr>
            </w:pPr>
            <w:r w:rsidRPr="000812B9">
              <w:rPr>
                <w:lang w:eastAsia="en-GB"/>
              </w:rPr>
              <w:t>1.   Write a short summary, approximately (150 words) that explains the main components or behaviours in the NHS Leadership Framework. Focus on what the framework is and why it's important in health and social care.</w:t>
            </w:r>
          </w:p>
          <w:p w14:paraId="7140CFD3" w14:textId="77777777" w:rsidR="00804E06" w:rsidRPr="000812B9" w:rsidRDefault="00804E06" w:rsidP="000812B9">
            <w:pPr>
              <w:pStyle w:val="NoSpacing"/>
              <w:rPr>
                <w:lang w:eastAsia="en-GB"/>
              </w:rPr>
            </w:pPr>
            <w:r w:rsidRPr="000812B9">
              <w:rPr>
                <w:lang w:eastAsia="en-GB"/>
              </w:rPr>
              <w:t>2.   Then, choose one leadership behaviour (e.g. </w:t>
            </w:r>
            <w:r w:rsidRPr="000812B9">
              <w:rPr>
                <w:i/>
                <w:iCs/>
                <w:lang w:eastAsia="en-GB"/>
              </w:rPr>
              <w:t>inspiring shared purpose</w:t>
            </w:r>
            <w:r w:rsidRPr="000812B9">
              <w:rPr>
                <w:lang w:eastAsia="en-GB"/>
              </w:rPr>
              <w:t>, </w:t>
            </w:r>
            <w:r w:rsidRPr="000812B9">
              <w:rPr>
                <w:i/>
                <w:iCs/>
                <w:lang w:eastAsia="en-GB"/>
              </w:rPr>
              <w:t>leading with care</w:t>
            </w:r>
            <w:r w:rsidRPr="000812B9">
              <w:rPr>
                <w:lang w:eastAsia="en-GB"/>
              </w:rPr>
              <w:t>, </w:t>
            </w:r>
            <w:r w:rsidRPr="000812B9">
              <w:rPr>
                <w:i/>
                <w:iCs/>
                <w:lang w:eastAsia="en-GB"/>
              </w:rPr>
              <w:t>evaluating information</w:t>
            </w:r>
            <w:r w:rsidRPr="000812B9">
              <w:rPr>
                <w:lang w:eastAsia="en-GB"/>
              </w:rPr>
              <w:t>), approximately, (100 words) on how a leader could use it to encourage creativity and improve patient or service user care.</w:t>
            </w:r>
          </w:p>
          <w:p w14:paraId="5E71B71B" w14:textId="77777777" w:rsidR="00804E06" w:rsidRPr="000812B9" w:rsidRDefault="00804E06" w:rsidP="000812B9">
            <w:pPr>
              <w:pStyle w:val="NoSpacing"/>
              <w:rPr>
                <w:lang w:eastAsia="en-GB"/>
              </w:rPr>
            </w:pPr>
            <w:r w:rsidRPr="000812B9">
              <w:rPr>
                <w:lang w:val="en-US" w:eastAsia="en-GB"/>
              </w:rPr>
              <w:t>Use at least 2 credible sources</w:t>
            </w:r>
          </w:p>
          <w:p w14:paraId="4B8A5E66" w14:textId="77777777" w:rsidR="00804E06" w:rsidRPr="000812B9" w:rsidRDefault="00804E06" w:rsidP="000812B9">
            <w:pPr>
              <w:pStyle w:val="NoSpacing"/>
              <w:rPr>
                <w:lang w:eastAsia="en-GB"/>
              </w:rPr>
            </w:pPr>
            <w:r w:rsidRPr="000812B9">
              <w:rPr>
                <w:lang w:eastAsia="en-GB"/>
              </w:rPr>
              <w:t>Write a short reflective journal entry on what you have learned during this module. Focus particularly on how your understanding of creativity and value creation in health and social care has developed over time.</w:t>
            </w:r>
          </w:p>
          <w:p w14:paraId="165455DC" w14:textId="77777777" w:rsidR="00804E06" w:rsidRPr="000812B9" w:rsidRDefault="00804E06" w:rsidP="000812B9">
            <w:pPr>
              <w:pStyle w:val="NoSpacing"/>
              <w:rPr>
                <w:lang w:eastAsia="en-GB"/>
              </w:rPr>
            </w:pPr>
            <w:r w:rsidRPr="000812B9">
              <w:rPr>
                <w:lang w:eastAsia="en-GB"/>
              </w:rPr>
              <w:t>In your reflection, consider</w:t>
            </w:r>
          </w:p>
          <w:p w14:paraId="3C6E947E" w14:textId="77777777" w:rsidR="00804E06" w:rsidRPr="000812B9" w:rsidRDefault="00804E06" w:rsidP="000812B9">
            <w:pPr>
              <w:pStyle w:val="NoSpacing"/>
              <w:numPr>
                <w:ilvl w:val="0"/>
                <w:numId w:val="13"/>
              </w:numPr>
              <w:rPr>
                <w:lang w:eastAsia="en-GB"/>
              </w:rPr>
            </w:pPr>
            <w:r w:rsidRPr="000812B9">
              <w:rPr>
                <w:lang w:eastAsia="en-GB"/>
              </w:rPr>
              <w:t>How your perspective on creativity or innovation has changed</w:t>
            </w:r>
          </w:p>
          <w:p w14:paraId="794368C2" w14:textId="77777777" w:rsidR="00804E06" w:rsidRPr="000812B9" w:rsidRDefault="00804E06" w:rsidP="000812B9">
            <w:pPr>
              <w:pStyle w:val="NoSpacing"/>
              <w:numPr>
                <w:ilvl w:val="0"/>
                <w:numId w:val="13"/>
              </w:numPr>
              <w:rPr>
                <w:lang w:eastAsia="en-GB"/>
              </w:rPr>
            </w:pPr>
            <w:r w:rsidRPr="000812B9">
              <w:rPr>
                <w:lang w:eastAsia="en-GB"/>
              </w:rPr>
              <w:t>What specific concepts, activities, or tasks influenced your thinking</w:t>
            </w:r>
          </w:p>
          <w:p w14:paraId="2A16C327" w14:textId="77777777" w:rsidR="00804E06" w:rsidRPr="000812B9" w:rsidRDefault="00804E06" w:rsidP="000812B9">
            <w:pPr>
              <w:pStyle w:val="NoSpacing"/>
              <w:numPr>
                <w:ilvl w:val="0"/>
                <w:numId w:val="13"/>
              </w:numPr>
              <w:rPr>
                <w:lang w:eastAsia="en-GB"/>
              </w:rPr>
            </w:pPr>
            <w:r w:rsidRPr="000812B9">
              <w:rPr>
                <w:lang w:eastAsia="en-GB"/>
              </w:rPr>
              <w:lastRenderedPageBreak/>
              <w:t>How this learning might shape your future professional practice or career goals.</w:t>
            </w:r>
          </w:p>
          <w:p w14:paraId="46497F91" w14:textId="77777777" w:rsidR="00804E06" w:rsidRPr="000812B9" w:rsidRDefault="00804E06" w:rsidP="000812B9">
            <w:pPr>
              <w:pStyle w:val="NoSpacing"/>
              <w:rPr>
                <w:b/>
                <w:bCs/>
              </w:rPr>
            </w:pPr>
            <w:r w:rsidRPr="000812B9">
              <w:rPr>
                <w:b/>
                <w:bCs/>
              </w:rPr>
              <w:t>Related Theory Example.</w:t>
            </w:r>
          </w:p>
          <w:p w14:paraId="0CAFB3B2" w14:textId="77777777" w:rsidR="00804E06" w:rsidRPr="000812B9" w:rsidRDefault="00804E06" w:rsidP="000812B9">
            <w:pPr>
              <w:pStyle w:val="NoSpacing"/>
            </w:pPr>
            <w:r w:rsidRPr="000812B9">
              <w:t>Transformational Leadership (</w:t>
            </w:r>
            <w:r w:rsidRPr="000812B9">
              <w:rPr>
                <w:rStyle w:val="Strong"/>
                <w:rFonts w:ascii="Arial" w:hAnsi="Arial" w:cs="Arial"/>
                <w:color w:val="000000"/>
                <w:sz w:val="22"/>
                <w:szCs w:val="22"/>
              </w:rPr>
              <w:t>Bass &amp; Avolio,1994)</w:t>
            </w:r>
          </w:p>
          <w:p w14:paraId="608D8D09" w14:textId="5A84DD0E" w:rsidR="00804E06" w:rsidRPr="000812B9" w:rsidRDefault="00804E06" w:rsidP="000812B9">
            <w:pPr>
              <w:pStyle w:val="NoSpacing"/>
              <w:rPr>
                <w:rFonts w:ascii="Arial" w:hAnsi="Arial" w:cs="Arial"/>
                <w:sz w:val="20"/>
                <w:szCs w:val="20"/>
              </w:rPr>
            </w:pPr>
            <w:r w:rsidRPr="009424B4">
              <w:rPr>
                <w:rFonts w:ascii="Arial" w:hAnsi="Arial" w:cs="Arial"/>
                <w:sz w:val="20"/>
                <w:szCs w:val="20"/>
              </w:rPr>
              <w:t>Transformational leadership suggests leaders inspire staff through vision, encouragement and support, helping teams adopt new ideas and improve practice (Bass &amp; Avolio, 1994).</w:t>
            </w:r>
          </w:p>
        </w:tc>
      </w:tr>
      <w:tr w:rsidR="00D46920" w14:paraId="0D64A0E9" w14:textId="77777777" w:rsidTr="00114199">
        <w:tc>
          <w:tcPr>
            <w:tcW w:w="9016" w:type="dxa"/>
          </w:tcPr>
          <w:p w14:paraId="7A27A024" w14:textId="77777777" w:rsidR="0031435C" w:rsidRDefault="00D46920" w:rsidP="00D46920">
            <w:pPr>
              <w:pStyle w:val="NoSpacing"/>
              <w:rPr>
                <w:rFonts w:ascii="Arial" w:hAnsi="Arial" w:cs="Arial"/>
                <w:b/>
                <w:bCs/>
                <w:sz w:val="22"/>
                <w:szCs w:val="22"/>
              </w:rPr>
            </w:pPr>
            <w:r w:rsidRPr="00D46920">
              <w:rPr>
                <w:rFonts w:ascii="Arial" w:hAnsi="Arial" w:cs="Arial"/>
                <w:b/>
                <w:bCs/>
                <w:sz w:val="22"/>
                <w:szCs w:val="22"/>
              </w:rPr>
              <w:lastRenderedPageBreak/>
              <w:t>Task 8 – Self-Reflection Journal Entry</w:t>
            </w:r>
          </w:p>
          <w:p w14:paraId="36292B18" w14:textId="77777777" w:rsidR="0031435C" w:rsidRDefault="0031435C" w:rsidP="00D46920">
            <w:pPr>
              <w:pStyle w:val="NoSpacing"/>
              <w:rPr>
                <w:rFonts w:ascii="Arial" w:hAnsi="Arial" w:cs="Arial"/>
                <w:b/>
                <w:bCs/>
                <w:sz w:val="22"/>
                <w:szCs w:val="22"/>
              </w:rPr>
            </w:pPr>
          </w:p>
          <w:p w14:paraId="175865D3" w14:textId="77777777" w:rsidR="0031435C" w:rsidRPr="0031435C" w:rsidRDefault="0031435C" w:rsidP="0031435C">
            <w:pPr>
              <w:spacing w:line="360" w:lineRule="auto"/>
              <w:jc w:val="both"/>
            </w:pPr>
            <w:r w:rsidRPr="0031435C">
              <w:t>Before this module, I thought innovation in healthcare meant only new technology or expensive equipment. My view has completely changed. I now understand that creativity is about finding better ways to work with what we already have.</w:t>
            </w:r>
          </w:p>
          <w:p w14:paraId="3547123A" w14:textId="77777777" w:rsidR="0031435C" w:rsidRPr="0031435C" w:rsidRDefault="0031435C" w:rsidP="0031435C">
            <w:pPr>
              <w:spacing w:line="360" w:lineRule="auto"/>
              <w:jc w:val="both"/>
            </w:pPr>
          </w:p>
          <w:p w14:paraId="0293109B" w14:textId="77777777" w:rsidR="0031435C" w:rsidRPr="0031435C" w:rsidRDefault="0031435C" w:rsidP="0031435C">
            <w:pPr>
              <w:spacing w:line="360" w:lineRule="auto"/>
              <w:jc w:val="both"/>
            </w:pPr>
            <w:r w:rsidRPr="0031435C">
              <w:t>Task 4 on virtual wards shifted my perspective most. Reading how clinicians reimagined the traditional hospital ward by sending care into patients' homes showed me that innovation often means thinking differently, not spending more (NELFT NHS Foundation Trust, 2026). The creativity wasn't in the devices themselves but in how staff combined existing tools with new ways of working.</w:t>
            </w:r>
          </w:p>
          <w:p w14:paraId="5EF0B7C0" w14:textId="77777777" w:rsidR="0031435C" w:rsidRPr="0031435C" w:rsidRDefault="0031435C" w:rsidP="0031435C">
            <w:pPr>
              <w:spacing w:line="360" w:lineRule="auto"/>
              <w:jc w:val="both"/>
            </w:pPr>
          </w:p>
          <w:p w14:paraId="53C6341B" w14:textId="77777777" w:rsidR="0031435C" w:rsidRPr="0031435C" w:rsidRDefault="0031435C" w:rsidP="0031435C">
            <w:pPr>
              <w:spacing w:line="360" w:lineRule="auto"/>
              <w:jc w:val="both"/>
            </w:pPr>
            <w:r w:rsidRPr="0031435C">
              <w:t>Task 2 on childhood obesity also changed how I see problem-solving. Using a systems thinking approach helped me understand that health issues have connected causes, so single solutions rarely work (Meadows, 2008). This will shape my future role as a healthcare professional. Instead of asking "what's the quick fix?", I will ask "what are the connections?" and involve patients, families, and communities in finding answers together.</w:t>
            </w:r>
          </w:p>
          <w:p w14:paraId="75C9BF74" w14:textId="77777777" w:rsidR="0031435C" w:rsidRPr="0031435C" w:rsidRDefault="0031435C" w:rsidP="0031435C">
            <w:pPr>
              <w:spacing w:line="360" w:lineRule="auto"/>
              <w:jc w:val="both"/>
            </w:pPr>
          </w:p>
          <w:p w14:paraId="57C2C890" w14:textId="77777777" w:rsidR="0031435C" w:rsidRPr="0031435C" w:rsidRDefault="0031435C" w:rsidP="0031435C">
            <w:pPr>
              <w:spacing w:line="360" w:lineRule="auto"/>
              <w:jc w:val="both"/>
            </w:pPr>
            <w:r w:rsidRPr="0031435C">
              <w:t>Using Gibbs' Reflective Cycle (1988) gives me a structured way to learn from every experience. By describing what happened, exploring my feelings, evaluating what went well or badly, analysing the situation, and creating an action plan, I can turn everyday moments into meaningful professional growth. This matters because healthcare is unpredictable – having a clear reflection process will help me improve continuously rather than just moving from one shift to the next without stopping to think.</w:t>
            </w:r>
          </w:p>
          <w:p w14:paraId="66952D3A" w14:textId="77777777" w:rsidR="0031435C" w:rsidRPr="0031435C" w:rsidRDefault="0031435C" w:rsidP="0031435C">
            <w:pPr>
              <w:spacing w:line="360" w:lineRule="auto"/>
              <w:jc w:val="both"/>
            </w:pPr>
          </w:p>
          <w:p w14:paraId="03F50003" w14:textId="77777777" w:rsidR="0031435C" w:rsidRPr="0031435C" w:rsidRDefault="0031435C" w:rsidP="0031435C">
            <w:pPr>
              <w:spacing w:line="360" w:lineRule="auto"/>
              <w:jc w:val="both"/>
            </w:pPr>
            <w:r w:rsidRPr="0031435C">
              <w:lastRenderedPageBreak/>
              <w:t xml:space="preserve">The key concept I will carry into my career is value creation – not just doing things </w:t>
            </w:r>
            <w:proofErr w:type="gramStart"/>
            <w:r w:rsidRPr="0031435C">
              <w:t>right, but</w:t>
            </w:r>
            <w:proofErr w:type="gramEnd"/>
            <w:r w:rsidRPr="0031435C">
              <w:t xml:space="preserve"> doing the right things that matter most to patients (Teisberg, Wallace and O'Hara, 2020).</w:t>
            </w:r>
          </w:p>
          <w:p w14:paraId="2EE11EBA" w14:textId="312EA99B" w:rsidR="00D46920" w:rsidRPr="00D46920" w:rsidRDefault="00D46920" w:rsidP="000812B9">
            <w:pPr>
              <w:pStyle w:val="NoSpacing"/>
              <w:rPr>
                <w:rFonts w:ascii="Arial" w:hAnsi="Arial" w:cs="Arial"/>
                <w:sz w:val="22"/>
                <w:szCs w:val="22"/>
              </w:rPr>
            </w:pPr>
          </w:p>
        </w:tc>
      </w:tr>
    </w:tbl>
    <w:p w14:paraId="6D5E4ED4" w14:textId="77777777" w:rsidR="00114199" w:rsidRPr="009F64B3" w:rsidRDefault="00114199" w:rsidP="0031435C">
      <w:pPr>
        <w:spacing w:line="360" w:lineRule="auto"/>
        <w:rPr>
          <w:rFonts w:ascii="Times New Roman" w:hAnsi="Times New Roman"/>
          <w:b/>
          <w:bCs/>
          <w:sz w:val="32"/>
          <w:szCs w:val="32"/>
        </w:rPr>
      </w:pPr>
    </w:p>
    <w:p w14:paraId="504CD3A9" w14:textId="77777777" w:rsidR="003A2D72" w:rsidRDefault="003A2D72" w:rsidP="003A2D72"/>
    <w:p w14:paraId="0A3046D6" w14:textId="77777777" w:rsidR="00F854F1" w:rsidRDefault="00F854F1" w:rsidP="003A2D72"/>
    <w:p w14:paraId="7ABED8F2" w14:textId="77777777" w:rsidR="00F854F1" w:rsidRDefault="00F854F1" w:rsidP="003A2D72"/>
    <w:p w14:paraId="3A7E0FB7" w14:textId="77777777" w:rsidR="00F854F1" w:rsidRDefault="00F854F1" w:rsidP="003A2D72"/>
    <w:p w14:paraId="1EE1165B" w14:textId="77777777" w:rsidR="00F854F1" w:rsidRDefault="00F854F1" w:rsidP="003A2D72"/>
    <w:p w14:paraId="35181ECB" w14:textId="77777777" w:rsidR="00F854F1" w:rsidRDefault="00F854F1" w:rsidP="003A2D72"/>
    <w:p w14:paraId="437A2A55" w14:textId="77777777" w:rsidR="00F854F1" w:rsidRDefault="00F854F1" w:rsidP="003A2D72"/>
    <w:p w14:paraId="40F2A489" w14:textId="77777777" w:rsidR="00F854F1" w:rsidRDefault="00F854F1" w:rsidP="003A2D72"/>
    <w:p w14:paraId="663BCA9F" w14:textId="77777777" w:rsidR="00F854F1" w:rsidRDefault="00F854F1" w:rsidP="003A2D72"/>
    <w:p w14:paraId="0A158327" w14:textId="77777777" w:rsidR="00F854F1" w:rsidRDefault="00F854F1" w:rsidP="003A2D72"/>
    <w:p w14:paraId="3C04DB45" w14:textId="77777777" w:rsidR="00F854F1" w:rsidRDefault="00F854F1" w:rsidP="003A2D72"/>
    <w:p w14:paraId="7AC5A0C8" w14:textId="77777777" w:rsidR="00F854F1" w:rsidRDefault="00F854F1" w:rsidP="003A2D72"/>
    <w:p w14:paraId="0751BCC2" w14:textId="77777777" w:rsidR="00F854F1" w:rsidRDefault="00F854F1" w:rsidP="003A2D72"/>
    <w:p w14:paraId="0815E97F" w14:textId="77777777" w:rsidR="00F854F1" w:rsidRDefault="00F854F1" w:rsidP="003A2D72"/>
    <w:p w14:paraId="09894E7E" w14:textId="77777777" w:rsidR="00F854F1" w:rsidRDefault="00F854F1" w:rsidP="003A2D72"/>
    <w:p w14:paraId="35F486B0" w14:textId="77777777" w:rsidR="00F854F1" w:rsidRDefault="00F854F1" w:rsidP="003A2D72"/>
    <w:p w14:paraId="253F37D5" w14:textId="77777777" w:rsidR="00F854F1" w:rsidRDefault="00F854F1" w:rsidP="003A2D72"/>
    <w:p w14:paraId="127245EB" w14:textId="77777777" w:rsidR="00F854F1" w:rsidRDefault="00F854F1" w:rsidP="003A2D72"/>
    <w:p w14:paraId="6C1B9404" w14:textId="77777777" w:rsidR="00F854F1" w:rsidRDefault="00F854F1" w:rsidP="003A2D72"/>
    <w:p w14:paraId="196AD93D" w14:textId="77777777" w:rsidR="00F854F1" w:rsidRDefault="00F854F1" w:rsidP="003A2D72"/>
    <w:p w14:paraId="6EDB3217" w14:textId="77777777" w:rsidR="00F854F1" w:rsidRDefault="00F854F1" w:rsidP="003A2D72"/>
    <w:p w14:paraId="0B3A40A6" w14:textId="77777777" w:rsidR="00F854F1" w:rsidRDefault="00F854F1" w:rsidP="003A2D72"/>
    <w:p w14:paraId="20E9AB70" w14:textId="77777777" w:rsidR="00F854F1" w:rsidRDefault="00F854F1" w:rsidP="003A2D72"/>
    <w:p w14:paraId="1908161B" w14:textId="0BD4B9D2" w:rsidR="00F854F1" w:rsidRPr="00F854F1" w:rsidRDefault="00F854F1" w:rsidP="00F854F1">
      <w:pPr>
        <w:rPr>
          <w:b/>
          <w:bCs/>
          <w:sz w:val="36"/>
          <w:szCs w:val="36"/>
        </w:rPr>
      </w:pPr>
      <w:r>
        <w:rPr>
          <w:b/>
          <w:bCs/>
          <w:sz w:val="36"/>
          <w:szCs w:val="36"/>
        </w:rPr>
        <w:lastRenderedPageBreak/>
        <w:t xml:space="preserve">                               </w:t>
      </w:r>
      <w:r w:rsidRPr="00F854F1">
        <w:rPr>
          <w:b/>
          <w:bCs/>
          <w:sz w:val="36"/>
          <w:szCs w:val="36"/>
        </w:rPr>
        <w:t>Reference List</w:t>
      </w:r>
    </w:p>
    <w:p w14:paraId="770460D8" w14:textId="77777777" w:rsidR="00F854F1" w:rsidRPr="00F854F1" w:rsidRDefault="00F854F1" w:rsidP="00F854F1">
      <w:pPr>
        <w:rPr>
          <w:rFonts w:ascii="Arial" w:hAnsi="Arial" w:cs="Arial"/>
          <w:sz w:val="22"/>
          <w:szCs w:val="22"/>
        </w:rPr>
      </w:pPr>
      <w:r w:rsidRPr="00F854F1">
        <w:rPr>
          <w:rFonts w:ascii="Arial" w:hAnsi="Arial" w:cs="Arial"/>
          <w:sz w:val="22"/>
          <w:szCs w:val="22"/>
        </w:rPr>
        <w:t>Amabile, T.M. and Pratt, M.G. (2020) 'The dynamic componential model of creativity and innovation in organizations: Making progress, making meaning', Research in Organizational Behavior, 40(1), pp. 1-17.</w:t>
      </w:r>
    </w:p>
    <w:p w14:paraId="006A0654" w14:textId="244E0DA9" w:rsidR="00F854F1" w:rsidRPr="00F854F1" w:rsidRDefault="00F854F1" w:rsidP="00F854F1">
      <w:pPr>
        <w:rPr>
          <w:rFonts w:ascii="Arial" w:hAnsi="Arial" w:cs="Arial"/>
          <w:sz w:val="22"/>
          <w:szCs w:val="22"/>
        </w:rPr>
      </w:pPr>
      <w:r w:rsidRPr="00F854F1">
        <w:rPr>
          <w:rFonts w:ascii="Arial" w:hAnsi="Arial" w:cs="Arial"/>
          <w:sz w:val="22"/>
          <w:szCs w:val="22"/>
        </w:rPr>
        <w:t xml:space="preserve">Amiri, S., Mahmood, N., Mustafa, H., Javaid, S.F. and Khan, M.A.B. (2024) 'Occupational risk factors for burnout syndrome among healthcare professionals: A global systematic review and meta-analysis', International Journal of Environmental Research and Public Health, 21(12), p. 1001. Available at: </w:t>
      </w:r>
      <w:hyperlink r:id="rId7" w:history="1">
        <w:r w:rsidRPr="00FE69B7">
          <w:rPr>
            <w:rStyle w:val="Hyperlink"/>
            <w:rFonts w:ascii="Arial" w:hAnsi="Arial" w:cs="Arial"/>
            <w:sz w:val="22"/>
            <w:szCs w:val="22"/>
          </w:rPr>
          <w:t>https://www.mdpi.com/</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25</w:t>
      </w:r>
      <w:r w:rsidRPr="00F854F1">
        <w:rPr>
          <w:rFonts w:ascii="Arial" w:hAnsi="Arial" w:cs="Arial"/>
          <w:sz w:val="22"/>
          <w:szCs w:val="22"/>
        </w:rPr>
        <w:t xml:space="preserve"> </w:t>
      </w:r>
      <w:r>
        <w:rPr>
          <w:rFonts w:ascii="Arial" w:hAnsi="Arial" w:cs="Arial"/>
          <w:sz w:val="22"/>
          <w:szCs w:val="22"/>
        </w:rPr>
        <w:t>February</w:t>
      </w:r>
      <w:r w:rsidRPr="00F854F1">
        <w:rPr>
          <w:rFonts w:ascii="Arial" w:hAnsi="Arial" w:cs="Arial"/>
          <w:sz w:val="22"/>
          <w:szCs w:val="22"/>
        </w:rPr>
        <w:t xml:space="preserve"> 2026).</w:t>
      </w:r>
    </w:p>
    <w:p w14:paraId="44DCFFDD" w14:textId="77777777" w:rsidR="00F854F1" w:rsidRPr="00F854F1" w:rsidRDefault="00F854F1" w:rsidP="00F854F1">
      <w:pPr>
        <w:rPr>
          <w:rFonts w:ascii="Arial" w:hAnsi="Arial" w:cs="Arial"/>
          <w:sz w:val="22"/>
          <w:szCs w:val="22"/>
        </w:rPr>
      </w:pPr>
      <w:r w:rsidRPr="00F854F1">
        <w:rPr>
          <w:rFonts w:ascii="Arial" w:hAnsi="Arial" w:cs="Arial"/>
          <w:sz w:val="22"/>
          <w:szCs w:val="22"/>
        </w:rPr>
        <w:t>Bakker, A.B. and Demerouti, E. (2017) 'Job demands–resources theory: Taking stock and looking forward', Journal of Occupational Health Psychology, 22(3), pp. 273-285.</w:t>
      </w:r>
    </w:p>
    <w:p w14:paraId="4A7853FC" w14:textId="0D5BA14B" w:rsidR="00F854F1" w:rsidRPr="00F854F1" w:rsidRDefault="00F854F1" w:rsidP="00F854F1">
      <w:pPr>
        <w:rPr>
          <w:rFonts w:ascii="Arial" w:hAnsi="Arial" w:cs="Arial"/>
          <w:sz w:val="22"/>
          <w:szCs w:val="22"/>
        </w:rPr>
      </w:pPr>
      <w:r w:rsidRPr="00F854F1">
        <w:rPr>
          <w:rFonts w:ascii="Arial" w:hAnsi="Arial" w:cs="Arial"/>
          <w:sz w:val="22"/>
          <w:szCs w:val="22"/>
        </w:rPr>
        <w:t xml:space="preserve">BHR Hospitals (2024) Our virtual ward keeps patients out of A&amp;E. Available at: </w:t>
      </w:r>
      <w:hyperlink r:id="rId8" w:history="1">
        <w:r w:rsidRPr="00FE69B7">
          <w:rPr>
            <w:rStyle w:val="Hyperlink"/>
            <w:rFonts w:ascii="Arial" w:hAnsi="Arial" w:cs="Arial"/>
            <w:sz w:val="22"/>
            <w:szCs w:val="22"/>
          </w:rPr>
          <w:t>https://www.bhrhospitals.nhs.uk/news/our-virtual-ward-keeps-patients-out-of-ae-4465</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 xml:space="preserve">1 </w:t>
      </w:r>
      <w:r w:rsidRPr="00F854F1">
        <w:rPr>
          <w:rFonts w:ascii="Arial" w:hAnsi="Arial" w:cs="Arial"/>
          <w:sz w:val="22"/>
          <w:szCs w:val="22"/>
        </w:rPr>
        <w:t>March 2026).</w:t>
      </w:r>
    </w:p>
    <w:p w14:paraId="3961E916" w14:textId="77777777" w:rsidR="00F854F1" w:rsidRPr="00F854F1" w:rsidRDefault="00F854F1" w:rsidP="00F854F1">
      <w:pPr>
        <w:rPr>
          <w:rFonts w:ascii="Arial" w:hAnsi="Arial" w:cs="Arial"/>
          <w:sz w:val="22"/>
          <w:szCs w:val="22"/>
        </w:rPr>
      </w:pPr>
      <w:r w:rsidRPr="00F854F1">
        <w:rPr>
          <w:rFonts w:ascii="Arial" w:hAnsi="Arial" w:cs="Arial"/>
          <w:sz w:val="22"/>
          <w:szCs w:val="22"/>
        </w:rPr>
        <w:t xml:space="preserve">Burnes, B. (2017) Managing Change. 7th </w:t>
      </w:r>
      <w:proofErr w:type="spellStart"/>
      <w:r w:rsidRPr="00F854F1">
        <w:rPr>
          <w:rFonts w:ascii="Arial" w:hAnsi="Arial" w:cs="Arial"/>
          <w:sz w:val="22"/>
          <w:szCs w:val="22"/>
        </w:rPr>
        <w:t>edn</w:t>
      </w:r>
      <w:proofErr w:type="spellEnd"/>
      <w:r w:rsidRPr="00F854F1">
        <w:rPr>
          <w:rFonts w:ascii="Arial" w:hAnsi="Arial" w:cs="Arial"/>
          <w:sz w:val="22"/>
          <w:szCs w:val="22"/>
        </w:rPr>
        <w:t>. Harlow: Pearson.</w:t>
      </w:r>
    </w:p>
    <w:p w14:paraId="0458D473" w14:textId="77777777" w:rsidR="00F854F1" w:rsidRPr="00F854F1" w:rsidRDefault="00F854F1" w:rsidP="00F854F1">
      <w:pPr>
        <w:rPr>
          <w:rFonts w:ascii="Arial" w:hAnsi="Arial" w:cs="Arial"/>
          <w:sz w:val="22"/>
          <w:szCs w:val="22"/>
        </w:rPr>
      </w:pPr>
      <w:r w:rsidRPr="00F854F1">
        <w:rPr>
          <w:rFonts w:ascii="Arial" w:hAnsi="Arial" w:cs="Arial"/>
          <w:sz w:val="22"/>
          <w:szCs w:val="22"/>
        </w:rPr>
        <w:t>Davis, F.D. (1989) 'Perceived usefulness, perceived ease of use, and user acceptance of information technology', MIS Quarterly, 13(3), pp. 319-340.</w:t>
      </w:r>
    </w:p>
    <w:p w14:paraId="592195D9" w14:textId="0F477CDC" w:rsidR="00F854F1" w:rsidRPr="00F854F1" w:rsidRDefault="00F854F1" w:rsidP="00F854F1">
      <w:pPr>
        <w:rPr>
          <w:rFonts w:ascii="Arial" w:hAnsi="Arial" w:cs="Arial"/>
          <w:sz w:val="22"/>
          <w:szCs w:val="22"/>
        </w:rPr>
      </w:pPr>
      <w:r w:rsidRPr="00F854F1">
        <w:rPr>
          <w:rFonts w:ascii="Arial" w:hAnsi="Arial" w:cs="Arial"/>
          <w:sz w:val="22"/>
          <w:szCs w:val="22"/>
        </w:rPr>
        <w:t>Gibbs, G. (1988) Learning by Doing: A Guide to Teaching and Learning Methods. Oxford: Further Education Unit, Oxford Polytechnic.</w:t>
      </w:r>
    </w:p>
    <w:p w14:paraId="787E9685" w14:textId="77777777" w:rsidR="00F854F1" w:rsidRPr="00F854F1" w:rsidRDefault="00F854F1" w:rsidP="00F854F1">
      <w:pPr>
        <w:rPr>
          <w:rFonts w:ascii="Arial" w:hAnsi="Arial" w:cs="Arial"/>
          <w:sz w:val="22"/>
          <w:szCs w:val="22"/>
        </w:rPr>
      </w:pPr>
      <w:r w:rsidRPr="00F854F1">
        <w:rPr>
          <w:rFonts w:ascii="Arial" w:hAnsi="Arial" w:cs="Arial"/>
          <w:sz w:val="22"/>
          <w:szCs w:val="22"/>
        </w:rPr>
        <w:t>Headen, I.E., Eaton, T.M. and Kumanyika, S.K. (2025) 'Using system dynamics mapping to explore synergy in an equity-focused obesity prevention framework', Frontiers in Public Health, 13, p. 1525224.</w:t>
      </w:r>
    </w:p>
    <w:p w14:paraId="54A0EFA6" w14:textId="10CF5ABE" w:rsidR="00F854F1" w:rsidRPr="00F854F1" w:rsidRDefault="00F854F1" w:rsidP="00F854F1">
      <w:pPr>
        <w:rPr>
          <w:rFonts w:ascii="Arial" w:hAnsi="Arial" w:cs="Arial"/>
          <w:sz w:val="22"/>
          <w:szCs w:val="22"/>
        </w:rPr>
      </w:pPr>
      <w:r w:rsidRPr="00F854F1">
        <w:rPr>
          <w:rFonts w:ascii="Arial" w:hAnsi="Arial" w:cs="Arial"/>
          <w:sz w:val="22"/>
          <w:szCs w:val="22"/>
        </w:rPr>
        <w:t xml:space="preserve">Keane, D. (2023) '‘Tackle junk food’ call as one in four London primary pupils are obese', Evening Standard, 11 April. Available at: </w:t>
      </w:r>
      <w:hyperlink r:id="rId9" w:history="1">
        <w:r w:rsidRPr="00FE69B7">
          <w:rPr>
            <w:rStyle w:val="Hyperlink"/>
            <w:rFonts w:ascii="Arial" w:hAnsi="Arial" w:cs="Arial"/>
            <w:sz w:val="22"/>
            <w:szCs w:val="22"/>
          </w:rPr>
          <w:t>https://www.standard.co.uk/</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 xml:space="preserve">23 February </w:t>
      </w:r>
      <w:r w:rsidRPr="00F854F1">
        <w:rPr>
          <w:rFonts w:ascii="Arial" w:hAnsi="Arial" w:cs="Arial"/>
          <w:sz w:val="22"/>
          <w:szCs w:val="22"/>
        </w:rPr>
        <w:t>2026).</w:t>
      </w:r>
    </w:p>
    <w:p w14:paraId="245FBF8E" w14:textId="77777777" w:rsidR="00F854F1" w:rsidRPr="00F854F1" w:rsidRDefault="00F854F1" w:rsidP="00F854F1">
      <w:pPr>
        <w:rPr>
          <w:rFonts w:ascii="Arial" w:hAnsi="Arial" w:cs="Arial"/>
          <w:sz w:val="22"/>
          <w:szCs w:val="22"/>
        </w:rPr>
      </w:pPr>
      <w:r w:rsidRPr="00F854F1">
        <w:rPr>
          <w:rFonts w:ascii="Arial" w:hAnsi="Arial" w:cs="Arial"/>
          <w:sz w:val="22"/>
          <w:szCs w:val="22"/>
        </w:rPr>
        <w:t>Kelly, C.N., Smith, R., Williams, L. and Jones, P. (2025) 'Inequalities in childhood overweight and obesity: A call to strengthen upstream policy measures', Public Health in Practice, 10, p. 100637.</w:t>
      </w:r>
    </w:p>
    <w:p w14:paraId="469F0685" w14:textId="580D2F69" w:rsidR="00F854F1" w:rsidRPr="00F854F1" w:rsidRDefault="00F854F1" w:rsidP="00F854F1">
      <w:pPr>
        <w:rPr>
          <w:rFonts w:ascii="Arial" w:hAnsi="Arial" w:cs="Arial"/>
          <w:sz w:val="22"/>
          <w:szCs w:val="22"/>
        </w:rPr>
      </w:pPr>
      <w:r w:rsidRPr="00F854F1">
        <w:rPr>
          <w:rFonts w:ascii="Arial" w:hAnsi="Arial" w:cs="Arial"/>
          <w:sz w:val="22"/>
          <w:szCs w:val="22"/>
        </w:rPr>
        <w:t xml:space="preserve">KLAS Research (2025) EHR Interoperability Overview 2025: How We Move Interoperability Forward. Available at: </w:t>
      </w:r>
      <w:hyperlink r:id="rId10" w:history="1">
        <w:r w:rsidRPr="00FE69B7">
          <w:rPr>
            <w:rStyle w:val="Hyperlink"/>
            <w:rFonts w:ascii="Arial" w:hAnsi="Arial" w:cs="Arial"/>
            <w:sz w:val="22"/>
            <w:szCs w:val="22"/>
          </w:rPr>
          <w:t>https://engage.klasresearch.com/blog/ehr-interoperability-overview-</w:t>
        </w:r>
      </w:hyperlink>
      <w:r>
        <w:rPr>
          <w:rFonts w:ascii="Arial" w:hAnsi="Arial" w:cs="Arial"/>
          <w:sz w:val="22"/>
          <w:szCs w:val="22"/>
        </w:rPr>
        <w:t xml:space="preserve"> </w:t>
      </w:r>
      <w:r w:rsidRPr="00F854F1">
        <w:rPr>
          <w:rFonts w:ascii="Arial" w:hAnsi="Arial" w:cs="Arial"/>
          <w:sz w:val="22"/>
          <w:szCs w:val="22"/>
        </w:rPr>
        <w:t xml:space="preserve">2025 (Accessed: </w:t>
      </w:r>
      <w:r>
        <w:rPr>
          <w:rFonts w:ascii="Arial" w:hAnsi="Arial" w:cs="Arial"/>
          <w:sz w:val="22"/>
          <w:szCs w:val="22"/>
        </w:rPr>
        <w:t>2</w:t>
      </w:r>
      <w:r w:rsidRPr="00F854F1">
        <w:rPr>
          <w:rFonts w:ascii="Arial" w:hAnsi="Arial" w:cs="Arial"/>
          <w:sz w:val="22"/>
          <w:szCs w:val="22"/>
        </w:rPr>
        <w:t xml:space="preserve"> March 2026).</w:t>
      </w:r>
    </w:p>
    <w:p w14:paraId="29E0B817" w14:textId="5651ED75" w:rsidR="00F854F1" w:rsidRPr="00F854F1" w:rsidRDefault="00F854F1" w:rsidP="00F854F1">
      <w:pPr>
        <w:rPr>
          <w:rFonts w:ascii="Arial" w:hAnsi="Arial" w:cs="Arial"/>
          <w:sz w:val="22"/>
          <w:szCs w:val="22"/>
        </w:rPr>
      </w:pPr>
      <w:r w:rsidRPr="00F854F1">
        <w:rPr>
          <w:rFonts w:ascii="Arial" w:hAnsi="Arial" w:cs="Arial"/>
          <w:sz w:val="22"/>
          <w:szCs w:val="22"/>
        </w:rPr>
        <w:t xml:space="preserve">London Borough of Barking and Dagenham (2024) A New Strategic Approach to Healthy Weight in Barking &amp; Dagenham. Available at: </w:t>
      </w:r>
      <w:hyperlink r:id="rId11" w:history="1">
        <w:r w:rsidRPr="00FE69B7">
          <w:rPr>
            <w:rStyle w:val="Hyperlink"/>
            <w:rFonts w:ascii="Arial" w:hAnsi="Arial" w:cs="Arial"/>
            <w:sz w:val="22"/>
            <w:szCs w:val="22"/>
          </w:rPr>
          <w:t>https://lbbd.moderngov.co.uk/</w:t>
        </w:r>
      </w:hyperlink>
      <w:r>
        <w:rPr>
          <w:rFonts w:ascii="Arial" w:hAnsi="Arial" w:cs="Arial"/>
          <w:sz w:val="22"/>
          <w:szCs w:val="22"/>
        </w:rPr>
        <w:t xml:space="preserve"> </w:t>
      </w:r>
      <w:r w:rsidRPr="00F854F1">
        <w:rPr>
          <w:rFonts w:ascii="Arial" w:hAnsi="Arial" w:cs="Arial"/>
          <w:sz w:val="22"/>
          <w:szCs w:val="22"/>
        </w:rPr>
        <w:t xml:space="preserve"> (Accessed:</w:t>
      </w:r>
      <w:r>
        <w:rPr>
          <w:rFonts w:ascii="Arial" w:hAnsi="Arial" w:cs="Arial"/>
          <w:sz w:val="22"/>
          <w:szCs w:val="22"/>
        </w:rPr>
        <w:t xml:space="preserve"> 24 February </w:t>
      </w:r>
      <w:r w:rsidRPr="00F854F1">
        <w:rPr>
          <w:rFonts w:ascii="Arial" w:hAnsi="Arial" w:cs="Arial"/>
          <w:sz w:val="22"/>
          <w:szCs w:val="22"/>
        </w:rPr>
        <w:t>2026).</w:t>
      </w:r>
    </w:p>
    <w:p w14:paraId="6A5FDD0D" w14:textId="77777777" w:rsidR="00F854F1" w:rsidRPr="00F854F1" w:rsidRDefault="00F854F1" w:rsidP="00F854F1">
      <w:pPr>
        <w:rPr>
          <w:rFonts w:ascii="Arial" w:hAnsi="Arial" w:cs="Arial"/>
          <w:sz w:val="22"/>
          <w:szCs w:val="22"/>
        </w:rPr>
      </w:pPr>
      <w:r w:rsidRPr="00F854F1">
        <w:rPr>
          <w:rFonts w:ascii="Arial" w:hAnsi="Arial" w:cs="Arial"/>
          <w:sz w:val="22"/>
          <w:szCs w:val="22"/>
        </w:rPr>
        <w:t xml:space="preserve">Maslach, C., Jackson, S.E. and Leiter, M.P. (1996) Maslach Burnout Inventory Manual. 3rd </w:t>
      </w:r>
      <w:proofErr w:type="spellStart"/>
      <w:r w:rsidRPr="00F854F1">
        <w:rPr>
          <w:rFonts w:ascii="Arial" w:hAnsi="Arial" w:cs="Arial"/>
          <w:sz w:val="22"/>
          <w:szCs w:val="22"/>
        </w:rPr>
        <w:t>edn</w:t>
      </w:r>
      <w:proofErr w:type="spellEnd"/>
      <w:r w:rsidRPr="00F854F1">
        <w:rPr>
          <w:rFonts w:ascii="Arial" w:hAnsi="Arial" w:cs="Arial"/>
          <w:sz w:val="22"/>
          <w:szCs w:val="22"/>
        </w:rPr>
        <w:t>. Palo Alto: Consulting Psychologists Press.</w:t>
      </w:r>
    </w:p>
    <w:p w14:paraId="7B4F6198" w14:textId="77777777" w:rsidR="00F854F1" w:rsidRDefault="00F854F1" w:rsidP="00F854F1">
      <w:pPr>
        <w:rPr>
          <w:rFonts w:ascii="Arial" w:hAnsi="Arial" w:cs="Arial"/>
          <w:sz w:val="22"/>
          <w:szCs w:val="22"/>
        </w:rPr>
      </w:pPr>
      <w:r w:rsidRPr="00F854F1">
        <w:rPr>
          <w:rFonts w:ascii="Arial" w:hAnsi="Arial" w:cs="Arial"/>
          <w:sz w:val="22"/>
          <w:szCs w:val="22"/>
        </w:rPr>
        <w:t>Meadows, D.H. (2008) Thinking in Systems: A Primer. White River Junction: Chelsea Green Publishing.</w:t>
      </w:r>
    </w:p>
    <w:p w14:paraId="7DF31868" w14:textId="1797B16A" w:rsidR="00F854F1" w:rsidRPr="00F854F1" w:rsidRDefault="00F854F1" w:rsidP="00F854F1">
      <w:pPr>
        <w:rPr>
          <w:rFonts w:ascii="Arial" w:hAnsi="Arial" w:cs="Arial"/>
          <w:sz w:val="22"/>
          <w:szCs w:val="22"/>
        </w:rPr>
      </w:pPr>
      <w:r w:rsidRPr="00F854F1">
        <w:rPr>
          <w:rFonts w:ascii="Arial" w:hAnsi="Arial" w:cs="Arial"/>
          <w:sz w:val="22"/>
          <w:szCs w:val="22"/>
        </w:rPr>
        <w:lastRenderedPageBreak/>
        <w:t xml:space="preserve">Memorial Sloan Kettering Cancer </w:t>
      </w:r>
      <w:proofErr w:type="spellStart"/>
      <w:r w:rsidRPr="00F854F1">
        <w:rPr>
          <w:rFonts w:ascii="Arial" w:hAnsi="Arial" w:cs="Arial"/>
          <w:sz w:val="22"/>
          <w:szCs w:val="22"/>
        </w:rPr>
        <w:t>Center</w:t>
      </w:r>
      <w:proofErr w:type="spellEnd"/>
      <w:r w:rsidRPr="00F854F1">
        <w:rPr>
          <w:rFonts w:ascii="Arial" w:hAnsi="Arial" w:cs="Arial"/>
          <w:sz w:val="22"/>
          <w:szCs w:val="22"/>
        </w:rPr>
        <w:t xml:space="preserve"> (2025) Leading Cancer </w:t>
      </w:r>
      <w:proofErr w:type="spellStart"/>
      <w:r w:rsidRPr="00F854F1">
        <w:rPr>
          <w:rFonts w:ascii="Arial" w:hAnsi="Arial" w:cs="Arial"/>
          <w:sz w:val="22"/>
          <w:szCs w:val="22"/>
        </w:rPr>
        <w:t>Center</w:t>
      </w:r>
      <w:proofErr w:type="spellEnd"/>
      <w:r w:rsidRPr="00F854F1">
        <w:rPr>
          <w:rFonts w:ascii="Arial" w:hAnsi="Arial" w:cs="Arial"/>
          <w:sz w:val="22"/>
          <w:szCs w:val="22"/>
        </w:rPr>
        <w:t xml:space="preserve"> Transforms Care Through Better Coordination, Faster Results, and a More Connected Patient Experience. Available at: </w:t>
      </w:r>
      <w:hyperlink r:id="rId12" w:history="1">
        <w:r w:rsidRPr="00FE69B7">
          <w:rPr>
            <w:rStyle w:val="Hyperlink"/>
            <w:rFonts w:ascii="Arial" w:hAnsi="Arial" w:cs="Arial"/>
            <w:sz w:val="22"/>
            <w:szCs w:val="22"/>
          </w:rPr>
          <w:t>https://www.epic.com/epic/post/leading-cancer-center-transforms-care</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1</w:t>
      </w:r>
      <w:r w:rsidRPr="00F854F1">
        <w:rPr>
          <w:rFonts w:ascii="Arial" w:hAnsi="Arial" w:cs="Arial"/>
          <w:sz w:val="22"/>
          <w:szCs w:val="22"/>
        </w:rPr>
        <w:t xml:space="preserve"> March 2026).</w:t>
      </w:r>
    </w:p>
    <w:p w14:paraId="74B92BC7" w14:textId="23B9D0C3" w:rsidR="00F854F1" w:rsidRPr="00F854F1" w:rsidRDefault="00F854F1" w:rsidP="00F854F1">
      <w:pPr>
        <w:rPr>
          <w:rFonts w:ascii="Arial" w:hAnsi="Arial" w:cs="Arial"/>
          <w:sz w:val="22"/>
          <w:szCs w:val="22"/>
        </w:rPr>
      </w:pPr>
      <w:r w:rsidRPr="00F854F1">
        <w:rPr>
          <w:rFonts w:ascii="Arial" w:hAnsi="Arial" w:cs="Arial"/>
          <w:sz w:val="22"/>
          <w:szCs w:val="22"/>
        </w:rPr>
        <w:t xml:space="preserve">NELFT NHS Foundation Trust (2026) Innovative virtual wards project wins top recognition at NELFT. Available at: </w:t>
      </w:r>
      <w:hyperlink r:id="rId13" w:history="1">
        <w:r w:rsidRPr="00FE69B7">
          <w:rPr>
            <w:rStyle w:val="Hyperlink"/>
            <w:rFonts w:ascii="Arial" w:hAnsi="Arial" w:cs="Arial"/>
            <w:sz w:val="22"/>
            <w:szCs w:val="22"/>
          </w:rPr>
          <w:t>https://www.nelft.nhs.uk/news-events/innovative-virtual-wards-project-wins-top-recognition-at-nelft-11687</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 xml:space="preserve">22 February </w:t>
      </w:r>
      <w:r w:rsidRPr="00F854F1">
        <w:rPr>
          <w:rFonts w:ascii="Arial" w:hAnsi="Arial" w:cs="Arial"/>
          <w:sz w:val="22"/>
          <w:szCs w:val="22"/>
        </w:rPr>
        <w:t>2026).</w:t>
      </w:r>
    </w:p>
    <w:p w14:paraId="420D7D21" w14:textId="21A6FE9D" w:rsidR="00F854F1" w:rsidRPr="00F854F1" w:rsidRDefault="00F854F1" w:rsidP="00F854F1">
      <w:pPr>
        <w:rPr>
          <w:rFonts w:ascii="Arial" w:hAnsi="Arial" w:cs="Arial"/>
          <w:sz w:val="22"/>
          <w:szCs w:val="22"/>
        </w:rPr>
      </w:pPr>
      <w:r w:rsidRPr="00F854F1">
        <w:rPr>
          <w:rFonts w:ascii="Arial" w:hAnsi="Arial" w:cs="Arial"/>
          <w:sz w:val="22"/>
          <w:szCs w:val="22"/>
        </w:rPr>
        <w:t xml:space="preserve">NHS Digital (2024) Shared Care Records. Available at: </w:t>
      </w:r>
      <w:hyperlink r:id="rId14" w:history="1">
        <w:r w:rsidRPr="00FE69B7">
          <w:rPr>
            <w:rStyle w:val="Hyperlink"/>
            <w:rFonts w:ascii="Arial" w:hAnsi="Arial" w:cs="Arial"/>
            <w:sz w:val="22"/>
            <w:szCs w:val="22"/>
          </w:rPr>
          <w:t>https://digital.nhs.uk/</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22</w:t>
      </w:r>
      <w:r w:rsidRPr="00F854F1">
        <w:rPr>
          <w:rFonts w:ascii="Arial" w:hAnsi="Arial" w:cs="Arial"/>
          <w:sz w:val="22"/>
          <w:szCs w:val="22"/>
        </w:rPr>
        <w:t xml:space="preserve"> </w:t>
      </w:r>
      <w:r>
        <w:rPr>
          <w:rFonts w:ascii="Arial" w:hAnsi="Arial" w:cs="Arial"/>
          <w:sz w:val="22"/>
          <w:szCs w:val="22"/>
        </w:rPr>
        <w:t xml:space="preserve">February </w:t>
      </w:r>
      <w:r w:rsidRPr="00F854F1">
        <w:rPr>
          <w:rFonts w:ascii="Arial" w:hAnsi="Arial" w:cs="Arial"/>
          <w:sz w:val="22"/>
          <w:szCs w:val="22"/>
        </w:rPr>
        <w:t>2026).</w:t>
      </w:r>
    </w:p>
    <w:p w14:paraId="27A011F8" w14:textId="1C0E0242" w:rsidR="00F854F1" w:rsidRPr="00F854F1" w:rsidRDefault="00F854F1" w:rsidP="00F854F1">
      <w:pPr>
        <w:rPr>
          <w:rFonts w:ascii="Arial" w:hAnsi="Arial" w:cs="Arial"/>
          <w:sz w:val="22"/>
          <w:szCs w:val="22"/>
        </w:rPr>
      </w:pPr>
      <w:r w:rsidRPr="00F854F1">
        <w:rPr>
          <w:rFonts w:ascii="Arial" w:hAnsi="Arial" w:cs="Arial"/>
          <w:sz w:val="22"/>
          <w:szCs w:val="22"/>
        </w:rPr>
        <w:t xml:space="preserve">NHS Digital (2026) Health Survey for England, 2024: Children's overweight and obesity. Available at: </w:t>
      </w:r>
      <w:hyperlink r:id="rId15" w:history="1">
        <w:r w:rsidRPr="00FE69B7">
          <w:rPr>
            <w:rStyle w:val="Hyperlink"/>
            <w:rFonts w:ascii="Arial" w:hAnsi="Arial" w:cs="Arial"/>
            <w:sz w:val="22"/>
            <w:szCs w:val="22"/>
          </w:rPr>
          <w:t>https://digital.nhs.uk/</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 xml:space="preserve">26 February </w:t>
      </w:r>
      <w:r w:rsidRPr="00F854F1">
        <w:rPr>
          <w:rFonts w:ascii="Arial" w:hAnsi="Arial" w:cs="Arial"/>
          <w:sz w:val="22"/>
          <w:szCs w:val="22"/>
        </w:rPr>
        <w:t>2026).</w:t>
      </w:r>
    </w:p>
    <w:p w14:paraId="5D257F3E" w14:textId="5FE61758" w:rsidR="00F854F1" w:rsidRPr="00F854F1" w:rsidRDefault="00F854F1" w:rsidP="00F854F1">
      <w:pPr>
        <w:rPr>
          <w:rFonts w:ascii="Arial" w:hAnsi="Arial" w:cs="Arial"/>
          <w:sz w:val="22"/>
          <w:szCs w:val="22"/>
        </w:rPr>
      </w:pPr>
      <w:r w:rsidRPr="00F854F1">
        <w:rPr>
          <w:rFonts w:ascii="Arial" w:hAnsi="Arial" w:cs="Arial"/>
          <w:sz w:val="22"/>
          <w:szCs w:val="22"/>
        </w:rPr>
        <w:t xml:space="preserve">NHS England (2019) The NHS Long Term Plan. Available at: https://www.longtermplan.nhs.uk/ (Accessed: </w:t>
      </w:r>
      <w:r>
        <w:rPr>
          <w:rFonts w:ascii="Arial" w:hAnsi="Arial" w:cs="Arial"/>
          <w:sz w:val="22"/>
          <w:szCs w:val="22"/>
        </w:rPr>
        <w:t>1</w:t>
      </w:r>
      <w:r w:rsidRPr="00F854F1">
        <w:rPr>
          <w:rFonts w:ascii="Arial" w:hAnsi="Arial" w:cs="Arial"/>
          <w:sz w:val="22"/>
          <w:szCs w:val="22"/>
        </w:rPr>
        <w:t xml:space="preserve"> March 2026).</w:t>
      </w:r>
    </w:p>
    <w:p w14:paraId="4E97821C" w14:textId="03D03A57" w:rsidR="00F854F1" w:rsidRPr="00F854F1" w:rsidRDefault="00F854F1" w:rsidP="00F854F1">
      <w:pPr>
        <w:rPr>
          <w:rFonts w:ascii="Arial" w:hAnsi="Arial" w:cs="Arial"/>
          <w:sz w:val="22"/>
          <w:szCs w:val="22"/>
        </w:rPr>
      </w:pPr>
      <w:r w:rsidRPr="00F854F1">
        <w:rPr>
          <w:rFonts w:ascii="Arial" w:hAnsi="Arial" w:cs="Arial"/>
          <w:sz w:val="22"/>
          <w:szCs w:val="22"/>
        </w:rPr>
        <w:t xml:space="preserve">NHS England (2021) Innovation and Life Sciences Strategy. Available at: </w:t>
      </w:r>
      <w:hyperlink r:id="rId16" w:history="1">
        <w:r w:rsidRPr="00FE69B7">
          <w:rPr>
            <w:rStyle w:val="Hyperlink"/>
            <w:rFonts w:ascii="Arial" w:hAnsi="Arial" w:cs="Arial"/>
            <w:sz w:val="22"/>
            <w:szCs w:val="22"/>
          </w:rPr>
          <w:t>https://www.england.nhs.uk/publication/innovation-and-life-sciences-strategy/</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27</w:t>
      </w:r>
      <w:r w:rsidRPr="00F854F1">
        <w:rPr>
          <w:rFonts w:ascii="Arial" w:hAnsi="Arial" w:cs="Arial"/>
          <w:sz w:val="22"/>
          <w:szCs w:val="22"/>
        </w:rPr>
        <w:t xml:space="preserve"> </w:t>
      </w:r>
      <w:r>
        <w:rPr>
          <w:rFonts w:ascii="Arial" w:hAnsi="Arial" w:cs="Arial"/>
          <w:sz w:val="22"/>
          <w:szCs w:val="22"/>
        </w:rPr>
        <w:t xml:space="preserve">February </w:t>
      </w:r>
      <w:r w:rsidRPr="00F854F1">
        <w:rPr>
          <w:rFonts w:ascii="Arial" w:hAnsi="Arial" w:cs="Arial"/>
          <w:sz w:val="22"/>
          <w:szCs w:val="22"/>
        </w:rPr>
        <w:t>2026).</w:t>
      </w:r>
    </w:p>
    <w:p w14:paraId="083A6FA5" w14:textId="666C963E" w:rsidR="00F854F1" w:rsidRPr="00F854F1" w:rsidRDefault="00F854F1" w:rsidP="00F854F1">
      <w:pPr>
        <w:rPr>
          <w:rFonts w:ascii="Arial" w:hAnsi="Arial" w:cs="Arial"/>
          <w:sz w:val="22"/>
          <w:szCs w:val="22"/>
        </w:rPr>
      </w:pPr>
      <w:r w:rsidRPr="00F854F1">
        <w:rPr>
          <w:rFonts w:ascii="Arial" w:hAnsi="Arial" w:cs="Arial"/>
          <w:sz w:val="22"/>
          <w:szCs w:val="22"/>
        </w:rPr>
        <w:t>NHS England (2025) '</w:t>
      </w:r>
      <w:proofErr w:type="gramStart"/>
      <w:r w:rsidRPr="00F854F1">
        <w:rPr>
          <w:rFonts w:ascii="Arial" w:hAnsi="Arial" w:cs="Arial"/>
          <w:sz w:val="22"/>
          <w:szCs w:val="22"/>
        </w:rPr>
        <w:t>Multi-sensor</w:t>
      </w:r>
      <w:proofErr w:type="gramEnd"/>
      <w:r w:rsidRPr="00F854F1">
        <w:rPr>
          <w:rFonts w:ascii="Arial" w:hAnsi="Arial" w:cs="Arial"/>
          <w:sz w:val="22"/>
          <w:szCs w:val="22"/>
        </w:rPr>
        <w:t xml:space="preserve"> wearables re-shaping care of chronic heart-failure: A narrative review', Indian Journal of Medical Research, 162(4), pp. 471-478. Available at: </w:t>
      </w:r>
      <w:hyperlink r:id="rId17" w:history="1">
        <w:r w:rsidRPr="00FE69B7">
          <w:rPr>
            <w:rStyle w:val="Hyperlink"/>
            <w:rFonts w:ascii="Arial" w:hAnsi="Arial" w:cs="Arial"/>
            <w:sz w:val="22"/>
            <w:szCs w:val="22"/>
          </w:rPr>
          <w:t>https://pmc.ncbi.nlm.nih.gov/articles/PMC12744564/</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 xml:space="preserve">28 February </w:t>
      </w:r>
      <w:r w:rsidRPr="00F854F1">
        <w:rPr>
          <w:rFonts w:ascii="Arial" w:hAnsi="Arial" w:cs="Arial"/>
          <w:sz w:val="22"/>
          <w:szCs w:val="22"/>
        </w:rPr>
        <w:t>2026).</w:t>
      </w:r>
    </w:p>
    <w:p w14:paraId="7105370C" w14:textId="615AB971" w:rsidR="00F854F1" w:rsidRPr="00F854F1" w:rsidRDefault="00F854F1" w:rsidP="00F854F1">
      <w:pPr>
        <w:rPr>
          <w:rFonts w:ascii="Arial" w:hAnsi="Arial" w:cs="Arial"/>
          <w:sz w:val="22"/>
          <w:szCs w:val="22"/>
        </w:rPr>
      </w:pPr>
      <w:r w:rsidRPr="00F854F1">
        <w:rPr>
          <w:rFonts w:ascii="Arial" w:hAnsi="Arial" w:cs="Arial"/>
          <w:sz w:val="22"/>
          <w:szCs w:val="22"/>
        </w:rPr>
        <w:t xml:space="preserve">NHS Innovation Accelerator (2025) The Digital Health Passport - Empowering Youth in Managing Asthma and Epilepsy. Available at: </w:t>
      </w:r>
      <w:hyperlink r:id="rId18" w:history="1">
        <w:r w:rsidRPr="00FE69B7">
          <w:rPr>
            <w:rStyle w:val="Hyperlink"/>
            <w:rFonts w:ascii="Arial" w:hAnsi="Arial" w:cs="Arial"/>
            <w:sz w:val="22"/>
            <w:szCs w:val="22"/>
          </w:rPr>
          <w:t>https://nhsaccelerator.com/innovations/the-digital-health-passport/</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 xml:space="preserve">26 February </w:t>
      </w:r>
      <w:r w:rsidRPr="00F854F1">
        <w:rPr>
          <w:rFonts w:ascii="Arial" w:hAnsi="Arial" w:cs="Arial"/>
          <w:sz w:val="22"/>
          <w:szCs w:val="22"/>
        </w:rPr>
        <w:t>2026).</w:t>
      </w:r>
    </w:p>
    <w:p w14:paraId="41FF0B2A" w14:textId="115B9D0C" w:rsidR="00F854F1" w:rsidRPr="00F854F1" w:rsidRDefault="00F854F1" w:rsidP="00F854F1">
      <w:pPr>
        <w:rPr>
          <w:rFonts w:ascii="Arial" w:hAnsi="Arial" w:cs="Arial"/>
          <w:sz w:val="22"/>
          <w:szCs w:val="22"/>
        </w:rPr>
      </w:pPr>
      <w:r w:rsidRPr="00F854F1">
        <w:rPr>
          <w:rFonts w:ascii="Arial" w:hAnsi="Arial" w:cs="Arial"/>
          <w:sz w:val="22"/>
          <w:szCs w:val="22"/>
        </w:rPr>
        <w:t xml:space="preserve">Nottingham University Hospitals (2026) How Virtual Wards are helping to boost bed space in Nottingham and Nottinghamshire's hospitals this winter. Available at: </w:t>
      </w:r>
      <w:hyperlink r:id="rId19" w:history="1">
        <w:r w:rsidRPr="00FE69B7">
          <w:rPr>
            <w:rStyle w:val="Hyperlink"/>
            <w:rFonts w:ascii="Arial" w:hAnsi="Arial" w:cs="Arial"/>
            <w:sz w:val="22"/>
            <w:szCs w:val="22"/>
          </w:rPr>
          <w:t>https://www.nuh.nhs.uk/news/how-virtual-wards-are-helping-to-boost-bed-space-in-nottingham-and-nottinghamshires-hospitals-this-winter-6849</w:t>
        </w:r>
      </w:hyperlink>
      <w:r>
        <w:rPr>
          <w:rFonts w:ascii="Arial" w:hAnsi="Arial" w:cs="Arial"/>
          <w:sz w:val="22"/>
          <w:szCs w:val="22"/>
        </w:rPr>
        <w:t xml:space="preserve"> </w:t>
      </w:r>
      <w:r w:rsidRPr="00F854F1">
        <w:rPr>
          <w:rFonts w:ascii="Arial" w:hAnsi="Arial" w:cs="Arial"/>
          <w:sz w:val="22"/>
          <w:szCs w:val="22"/>
        </w:rPr>
        <w:t xml:space="preserve"> (Accessed:</w:t>
      </w:r>
      <w:r>
        <w:rPr>
          <w:rFonts w:ascii="Arial" w:hAnsi="Arial" w:cs="Arial"/>
          <w:sz w:val="22"/>
          <w:szCs w:val="22"/>
        </w:rPr>
        <w:t xml:space="preserve"> 26 February </w:t>
      </w:r>
      <w:r w:rsidRPr="00F854F1">
        <w:rPr>
          <w:rFonts w:ascii="Arial" w:hAnsi="Arial" w:cs="Arial"/>
          <w:sz w:val="22"/>
          <w:szCs w:val="22"/>
        </w:rPr>
        <w:t>2026).</w:t>
      </w:r>
    </w:p>
    <w:p w14:paraId="1AC79A69" w14:textId="77777777" w:rsidR="00F854F1" w:rsidRPr="00F854F1" w:rsidRDefault="00F854F1" w:rsidP="00F854F1">
      <w:pPr>
        <w:rPr>
          <w:rFonts w:ascii="Arial" w:hAnsi="Arial" w:cs="Arial"/>
          <w:sz w:val="22"/>
          <w:szCs w:val="22"/>
        </w:rPr>
      </w:pPr>
      <w:r w:rsidRPr="00F854F1">
        <w:rPr>
          <w:rFonts w:ascii="Arial" w:hAnsi="Arial" w:cs="Arial"/>
          <w:sz w:val="22"/>
          <w:szCs w:val="22"/>
        </w:rPr>
        <w:t>Osterwalder, A., Pigneur, Y., Bernarda, G. and Smith, A. (2014) Value Proposition Design: How to Create Products and Services Customers Want. Hoboken: John Wiley &amp; Sons.</w:t>
      </w:r>
    </w:p>
    <w:p w14:paraId="78A7480C" w14:textId="77777777" w:rsidR="00F854F1" w:rsidRPr="00F854F1" w:rsidRDefault="00F854F1" w:rsidP="00F854F1">
      <w:pPr>
        <w:rPr>
          <w:rFonts w:ascii="Arial" w:hAnsi="Arial" w:cs="Arial"/>
          <w:sz w:val="22"/>
          <w:szCs w:val="22"/>
        </w:rPr>
      </w:pPr>
      <w:r w:rsidRPr="00F854F1">
        <w:rPr>
          <w:rFonts w:ascii="Arial" w:hAnsi="Arial" w:cs="Arial"/>
          <w:sz w:val="22"/>
          <w:szCs w:val="22"/>
        </w:rPr>
        <w:t xml:space="preserve">Rogers, E.M. (2003) Diffusion of Innovations. 5th </w:t>
      </w:r>
      <w:proofErr w:type="spellStart"/>
      <w:r w:rsidRPr="00F854F1">
        <w:rPr>
          <w:rFonts w:ascii="Arial" w:hAnsi="Arial" w:cs="Arial"/>
          <w:sz w:val="22"/>
          <w:szCs w:val="22"/>
        </w:rPr>
        <w:t>edn</w:t>
      </w:r>
      <w:proofErr w:type="spellEnd"/>
      <w:r w:rsidRPr="00F854F1">
        <w:rPr>
          <w:rFonts w:ascii="Arial" w:hAnsi="Arial" w:cs="Arial"/>
          <w:sz w:val="22"/>
          <w:szCs w:val="22"/>
        </w:rPr>
        <w:t>. New York: Free Press.</w:t>
      </w:r>
    </w:p>
    <w:p w14:paraId="15BD04E4" w14:textId="4959ABC0" w:rsidR="00F854F1" w:rsidRPr="00F854F1" w:rsidRDefault="00F854F1" w:rsidP="00F854F1">
      <w:pPr>
        <w:rPr>
          <w:rFonts w:ascii="Arial" w:hAnsi="Arial" w:cs="Arial"/>
          <w:sz w:val="22"/>
          <w:szCs w:val="22"/>
        </w:rPr>
      </w:pPr>
      <w:r w:rsidRPr="00F854F1">
        <w:rPr>
          <w:rFonts w:ascii="Arial" w:hAnsi="Arial" w:cs="Arial"/>
          <w:sz w:val="22"/>
          <w:szCs w:val="22"/>
        </w:rPr>
        <w:t xml:space="preserve">Stocker, G. (2010) Technology Acceptance of Electronic Medical Records by Nurses. Doctoral dissertation. Webster University. Available at: </w:t>
      </w:r>
      <w:hyperlink r:id="rId20" w:history="1">
        <w:r w:rsidRPr="00FE69B7">
          <w:rPr>
            <w:rStyle w:val="Hyperlink"/>
            <w:rFonts w:ascii="Arial" w:hAnsi="Arial" w:cs="Arial"/>
            <w:sz w:val="22"/>
            <w:szCs w:val="22"/>
          </w:rPr>
          <w:t>https://eric.ed.gov/?id=ED524198</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 xml:space="preserve">23 February </w:t>
      </w:r>
      <w:r w:rsidRPr="00F854F1">
        <w:rPr>
          <w:rFonts w:ascii="Arial" w:hAnsi="Arial" w:cs="Arial"/>
          <w:sz w:val="22"/>
          <w:szCs w:val="22"/>
        </w:rPr>
        <w:t>2026).</w:t>
      </w:r>
    </w:p>
    <w:p w14:paraId="08B4746B" w14:textId="77777777" w:rsidR="00F854F1" w:rsidRPr="00F854F1" w:rsidRDefault="00F854F1" w:rsidP="00F854F1">
      <w:pPr>
        <w:rPr>
          <w:rFonts w:ascii="Arial" w:hAnsi="Arial" w:cs="Arial"/>
          <w:sz w:val="22"/>
          <w:szCs w:val="22"/>
        </w:rPr>
      </w:pPr>
      <w:r w:rsidRPr="00F854F1">
        <w:rPr>
          <w:rFonts w:ascii="Arial" w:hAnsi="Arial" w:cs="Arial"/>
          <w:sz w:val="22"/>
          <w:szCs w:val="22"/>
        </w:rPr>
        <w:t>Teisberg, E., Wallace, S. and O'Hara, S. (2020) 'Defining and implementing value-based health care', Academic Medicine, 95(5), pp. 682-685.</w:t>
      </w:r>
    </w:p>
    <w:p w14:paraId="539A69F1" w14:textId="5DB4CFEE" w:rsidR="00F854F1" w:rsidRPr="00F854F1" w:rsidRDefault="00F854F1" w:rsidP="00F854F1">
      <w:pPr>
        <w:rPr>
          <w:rFonts w:ascii="Arial" w:hAnsi="Arial" w:cs="Arial"/>
          <w:sz w:val="22"/>
          <w:szCs w:val="22"/>
        </w:rPr>
      </w:pPr>
      <w:r w:rsidRPr="00F854F1">
        <w:rPr>
          <w:rFonts w:ascii="Arial" w:hAnsi="Arial" w:cs="Arial"/>
          <w:sz w:val="22"/>
          <w:szCs w:val="22"/>
        </w:rPr>
        <w:t xml:space="preserve">The Health Foundation (2022) Innovation in health and social care: Learning from the pandemic. Available at: </w:t>
      </w:r>
      <w:hyperlink r:id="rId21" w:history="1">
        <w:r w:rsidRPr="00FE69B7">
          <w:rPr>
            <w:rStyle w:val="Hyperlink"/>
            <w:rFonts w:ascii="Arial" w:hAnsi="Arial" w:cs="Arial"/>
            <w:sz w:val="22"/>
            <w:szCs w:val="22"/>
          </w:rPr>
          <w:t>https://www.health.org.uk/</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 xml:space="preserve">21 February </w:t>
      </w:r>
      <w:r w:rsidRPr="00F854F1">
        <w:rPr>
          <w:rFonts w:ascii="Arial" w:hAnsi="Arial" w:cs="Arial"/>
          <w:sz w:val="22"/>
          <w:szCs w:val="22"/>
        </w:rPr>
        <w:t>2026).</w:t>
      </w:r>
    </w:p>
    <w:p w14:paraId="3EC3724C" w14:textId="55A1A2CD" w:rsidR="00F854F1" w:rsidRPr="00F854F1" w:rsidRDefault="00F854F1" w:rsidP="00F854F1">
      <w:pPr>
        <w:rPr>
          <w:rFonts w:ascii="Arial" w:hAnsi="Arial" w:cs="Arial"/>
          <w:sz w:val="22"/>
          <w:szCs w:val="22"/>
        </w:rPr>
      </w:pPr>
      <w:r w:rsidRPr="00F854F1">
        <w:rPr>
          <w:rFonts w:ascii="Arial" w:hAnsi="Arial" w:cs="Arial"/>
          <w:sz w:val="22"/>
          <w:szCs w:val="22"/>
        </w:rPr>
        <w:t xml:space="preserve">The King's Fund (2022) NHS workforce: Our position. Available at: </w:t>
      </w:r>
      <w:hyperlink r:id="rId22" w:history="1">
        <w:r w:rsidRPr="00FE69B7">
          <w:rPr>
            <w:rStyle w:val="Hyperlink"/>
            <w:rFonts w:ascii="Arial" w:hAnsi="Arial" w:cs="Arial"/>
            <w:sz w:val="22"/>
            <w:szCs w:val="22"/>
          </w:rPr>
          <w:t>https://www.kingsfund.org.uk/</w:t>
        </w:r>
      </w:hyperlink>
      <w:r>
        <w:rPr>
          <w:rFonts w:ascii="Arial" w:hAnsi="Arial" w:cs="Arial"/>
          <w:sz w:val="22"/>
          <w:szCs w:val="22"/>
        </w:rPr>
        <w:t xml:space="preserve"> </w:t>
      </w:r>
      <w:r w:rsidRPr="00F854F1">
        <w:rPr>
          <w:rFonts w:ascii="Arial" w:hAnsi="Arial" w:cs="Arial"/>
          <w:sz w:val="22"/>
          <w:szCs w:val="22"/>
        </w:rPr>
        <w:t xml:space="preserve">(Accessed: </w:t>
      </w:r>
      <w:r>
        <w:rPr>
          <w:rFonts w:ascii="Arial" w:hAnsi="Arial" w:cs="Arial"/>
          <w:sz w:val="22"/>
          <w:szCs w:val="22"/>
        </w:rPr>
        <w:t>1</w:t>
      </w:r>
      <w:r w:rsidRPr="00F854F1">
        <w:rPr>
          <w:rFonts w:ascii="Arial" w:hAnsi="Arial" w:cs="Arial"/>
          <w:sz w:val="22"/>
          <w:szCs w:val="22"/>
        </w:rPr>
        <w:t xml:space="preserve"> March 2026).</w:t>
      </w:r>
    </w:p>
    <w:p w14:paraId="6B04A7D2" w14:textId="77777777" w:rsidR="00F854F1" w:rsidRPr="00F854F1" w:rsidRDefault="00F854F1" w:rsidP="00F854F1">
      <w:pPr>
        <w:rPr>
          <w:rFonts w:ascii="Arial" w:hAnsi="Arial" w:cs="Arial"/>
          <w:sz w:val="22"/>
          <w:szCs w:val="22"/>
        </w:rPr>
      </w:pPr>
    </w:p>
    <w:p w14:paraId="2CA717CE" w14:textId="77777777" w:rsidR="00F854F1" w:rsidRPr="00F854F1" w:rsidRDefault="00F854F1" w:rsidP="00F854F1">
      <w:pPr>
        <w:rPr>
          <w:rFonts w:ascii="Arial" w:hAnsi="Arial" w:cs="Arial"/>
          <w:sz w:val="22"/>
          <w:szCs w:val="22"/>
        </w:rPr>
      </w:pPr>
      <w:r w:rsidRPr="00F854F1">
        <w:rPr>
          <w:rFonts w:ascii="Arial" w:hAnsi="Arial" w:cs="Arial"/>
          <w:sz w:val="22"/>
          <w:szCs w:val="22"/>
        </w:rPr>
        <w:lastRenderedPageBreak/>
        <w:t>West, M.A. (2021) Compassionate leadership: Sustaining wisdom, humanity and presence in health and social care. London: The King's Fund.</w:t>
      </w:r>
    </w:p>
    <w:p w14:paraId="47DB69EB" w14:textId="5954FFAF" w:rsidR="00F854F1" w:rsidRPr="00F854F1" w:rsidRDefault="00F854F1" w:rsidP="00F854F1">
      <w:pPr>
        <w:rPr>
          <w:rFonts w:ascii="Arial" w:hAnsi="Arial" w:cs="Arial"/>
          <w:sz w:val="22"/>
          <w:szCs w:val="22"/>
        </w:rPr>
      </w:pPr>
      <w:r w:rsidRPr="00F854F1">
        <w:rPr>
          <w:rFonts w:ascii="Arial" w:hAnsi="Arial" w:cs="Arial"/>
          <w:sz w:val="22"/>
          <w:szCs w:val="22"/>
        </w:rPr>
        <w:t xml:space="preserve">Zhang, Y., Yu, P., Liu, S., Li, X. and Chen, C. (2024) 'Differences in the depression and burnout networks between doctors and nurses: evidence from a network analysis', BMC Public Health, 24, p. 1668. Available at: </w:t>
      </w:r>
      <w:hyperlink r:id="rId23" w:history="1">
        <w:r w:rsidRPr="00FE69B7">
          <w:rPr>
            <w:rStyle w:val="Hyperlink"/>
            <w:rFonts w:ascii="Arial" w:hAnsi="Arial" w:cs="Arial"/>
            <w:sz w:val="22"/>
            <w:szCs w:val="22"/>
          </w:rPr>
          <w:t>https://bmcpublichealth.biomedcentral.com/</w:t>
        </w:r>
      </w:hyperlink>
      <w:r>
        <w:rPr>
          <w:rFonts w:ascii="Arial" w:hAnsi="Arial" w:cs="Arial"/>
          <w:sz w:val="22"/>
          <w:szCs w:val="22"/>
        </w:rPr>
        <w:t xml:space="preserve"> </w:t>
      </w:r>
      <w:r w:rsidRPr="00F854F1">
        <w:rPr>
          <w:rFonts w:ascii="Arial" w:hAnsi="Arial" w:cs="Arial"/>
          <w:sz w:val="22"/>
          <w:szCs w:val="22"/>
        </w:rPr>
        <w:t xml:space="preserve"> (Accessed: </w:t>
      </w:r>
      <w:r>
        <w:rPr>
          <w:rFonts w:ascii="Arial" w:hAnsi="Arial" w:cs="Arial"/>
          <w:sz w:val="22"/>
          <w:szCs w:val="22"/>
        </w:rPr>
        <w:t>27</w:t>
      </w:r>
      <w:r w:rsidRPr="00F854F1">
        <w:rPr>
          <w:rFonts w:ascii="Arial" w:hAnsi="Arial" w:cs="Arial"/>
          <w:sz w:val="22"/>
          <w:szCs w:val="22"/>
        </w:rPr>
        <w:t xml:space="preserve"> </w:t>
      </w:r>
      <w:r>
        <w:rPr>
          <w:rFonts w:ascii="Arial" w:hAnsi="Arial" w:cs="Arial"/>
          <w:sz w:val="22"/>
          <w:szCs w:val="22"/>
        </w:rPr>
        <w:t xml:space="preserve">February </w:t>
      </w:r>
      <w:r w:rsidRPr="00F854F1">
        <w:rPr>
          <w:rFonts w:ascii="Arial" w:hAnsi="Arial" w:cs="Arial"/>
          <w:sz w:val="22"/>
          <w:szCs w:val="22"/>
        </w:rPr>
        <w:t>2026).</w:t>
      </w:r>
    </w:p>
    <w:p w14:paraId="5467C572" w14:textId="77777777" w:rsidR="003A2D72" w:rsidRPr="00F854F1" w:rsidRDefault="003A2D72" w:rsidP="003A2D72">
      <w:pPr>
        <w:rPr>
          <w:rFonts w:ascii="Arial" w:hAnsi="Arial" w:cs="Arial"/>
          <w:sz w:val="22"/>
          <w:szCs w:val="22"/>
        </w:rPr>
      </w:pPr>
    </w:p>
    <w:p w14:paraId="6EF1E3A0" w14:textId="77777777" w:rsidR="003A2D72" w:rsidRPr="00F854F1" w:rsidRDefault="003A2D72" w:rsidP="003A2D72">
      <w:pPr>
        <w:rPr>
          <w:rFonts w:ascii="Arial" w:hAnsi="Arial" w:cs="Arial"/>
          <w:sz w:val="22"/>
          <w:szCs w:val="22"/>
        </w:rPr>
      </w:pPr>
    </w:p>
    <w:sectPr w:rsidR="003A2D72" w:rsidRPr="00F85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812B9"/>
    <w:rsid w:val="000B1AFC"/>
    <w:rsid w:val="00114199"/>
    <w:rsid w:val="0031435C"/>
    <w:rsid w:val="00344BBE"/>
    <w:rsid w:val="003A2D72"/>
    <w:rsid w:val="004505F6"/>
    <w:rsid w:val="005C28E8"/>
    <w:rsid w:val="007472D0"/>
    <w:rsid w:val="007A7356"/>
    <w:rsid w:val="00804E06"/>
    <w:rsid w:val="009A63AF"/>
    <w:rsid w:val="00B44499"/>
    <w:rsid w:val="00C6170D"/>
    <w:rsid w:val="00D34386"/>
    <w:rsid w:val="00D46920"/>
    <w:rsid w:val="00E831D8"/>
    <w:rsid w:val="00F85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F854F1"/>
    <w:rPr>
      <w:color w:val="467886" w:themeColor="hyperlink"/>
      <w:u w:val="single"/>
    </w:rPr>
  </w:style>
  <w:style w:type="character" w:styleId="UnresolvedMention">
    <w:name w:val="Unresolved Mention"/>
    <w:basedOn w:val="DefaultParagraphFont"/>
    <w:uiPriority w:val="99"/>
    <w:semiHidden/>
    <w:unhideWhenUsed/>
    <w:rsid w:val="00F85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rhospitals.nhs.uk/news/our-virtual-ward-keeps-patients-out-of-ae-4465" TargetMode="External"/><Relationship Id="rId13" Type="http://schemas.openxmlformats.org/officeDocument/2006/relationships/hyperlink" Target="https://www.nelft.nhs.uk/news-events/innovative-virtual-wards-project-wins-top-recognition-at-nelft-11687" TargetMode="External"/><Relationship Id="rId18" Type="http://schemas.openxmlformats.org/officeDocument/2006/relationships/hyperlink" Target="https://nhsaccelerator.com/innovations/the-digital-health-passport/" TargetMode="External"/><Relationship Id="rId3" Type="http://schemas.openxmlformats.org/officeDocument/2006/relationships/settings" Target="settings.xml"/><Relationship Id="rId21" Type="http://schemas.openxmlformats.org/officeDocument/2006/relationships/hyperlink" Target="https://www.health.org.uk/" TargetMode="External"/><Relationship Id="rId7" Type="http://schemas.openxmlformats.org/officeDocument/2006/relationships/hyperlink" Target="https://www.mdpi.com/" TargetMode="External"/><Relationship Id="rId12" Type="http://schemas.openxmlformats.org/officeDocument/2006/relationships/hyperlink" Target="https://www.epic.com/epic/post/leading-cancer-center-transforms-care" TargetMode="External"/><Relationship Id="rId17" Type="http://schemas.openxmlformats.org/officeDocument/2006/relationships/hyperlink" Target="https://pmc.ncbi.nlm.nih.gov/articles/PMC1274456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publication/innovation-and-life-sciences-strategy/" TargetMode="External"/><Relationship Id="rId20" Type="http://schemas.openxmlformats.org/officeDocument/2006/relationships/hyperlink" Target="https://eric.ed.gov/?id=ED524198"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lbbd.moderngov.co.uk/"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digital.nhs.uk/" TargetMode="External"/><Relationship Id="rId23" Type="http://schemas.openxmlformats.org/officeDocument/2006/relationships/hyperlink" Target="https://bmcpublichealth.biomedcentral.com/" TargetMode="External"/><Relationship Id="rId10" Type="http://schemas.openxmlformats.org/officeDocument/2006/relationships/hyperlink" Target="https://engage.klasresearch.com/blog/ehr-interoperability-overview-" TargetMode="External"/><Relationship Id="rId19" Type="http://schemas.openxmlformats.org/officeDocument/2006/relationships/hyperlink" Target="https://www.nuh.nhs.uk/news/how-virtual-wards-are-helping-to-boost-bed-space-in-nottingham-and-nottinghamshires-hospitals-this-winter-6849" TargetMode="External"/><Relationship Id="rId4" Type="http://schemas.openxmlformats.org/officeDocument/2006/relationships/webSettings" Target="webSettings.xml"/><Relationship Id="rId9" Type="http://schemas.openxmlformats.org/officeDocument/2006/relationships/hyperlink" Target="https://www.standard.co.uk/" TargetMode="External"/><Relationship Id="rId14" Type="http://schemas.openxmlformats.org/officeDocument/2006/relationships/hyperlink" Target="https://digital.nhs.uk/" TargetMode="External"/><Relationship Id="rId22"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3797</Words>
  <Characters>21644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Noor Al Kemer Muzemil</cp:lastModifiedBy>
  <cp:revision>2</cp:revision>
  <dcterms:created xsi:type="dcterms:W3CDTF">2026-03-05T12:06:00Z</dcterms:created>
  <dcterms:modified xsi:type="dcterms:W3CDTF">2026-03-05T12:06:00Z</dcterms:modified>
</cp:coreProperties>
</file>