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body>
    <w:tbl>
      <w:tblPr>
        <w:tblStyle w:val="TableGrid"/>
        <w:tblW w:w="10670" w:type="dxa"/>
        <w:jc w:val="center"/>
        <w:tblLook w:val="04A0"/>
      </w:tblPr>
      <w:tblGrid>
        <w:gridCol w:w="2070"/>
        <w:gridCol w:w="3399"/>
        <w:gridCol w:w="2598"/>
        <w:gridCol w:w="2603"/>
      </w:tblGrid>
      <w:tr>
        <w:trPr>
          <w:trHeight w:val="707"/>
          <w:jc w:val="center"/>
        </w:trPr>
        <w:tc>
          <w:tcPr>
            <w:cnfStyle w:val="101000000000"/>
            <w:tcW w:w="2070" w:type="dxa"/>
            <w:shd w:val="clear" w:color="auto" w:fill="d9d9d9" w:themeFill="background1" w:themeFillShade="d9"/>
          </w:tcPr>
          <w:p>
            <w:pPr>
              <w:tabs>
                <w:tab w:val="left" w:pos="2050"/>
              </w:tabs>
              <w:spacing w:line="240" w:lineRule="auto"/>
              <w:jc w:val="center"/>
              <w:rPr/>
            </w:pPr>
            <w:r>
              <w:t>Student name:</w:t>
            </w:r>
          </w:p>
        </w:tc>
        <w:tc>
          <w:tcPr>
            <w:cnfStyle w:val="100000000000"/>
            <w:tcW w:w="3399" w:type="dxa"/>
          </w:tcPr>
          <w:p>
            <w:pPr>
              <w:tabs>
                <w:tab w:val="left" w:pos="2050"/>
              </w:tabs>
              <w:spacing w:line="240" w:lineRule="auto"/>
              <w:jc w:val="center"/>
              <w:rPr/>
            </w:pPr>
            <w:r>
              <w:t>Mohammad Abu Sayed</w:t>
            </w:r>
          </w:p>
        </w:tc>
        <w:tc>
          <w:tcPr>
            <w:cnfStyle w:val="100000000000"/>
            <w:tcW w:w="2598" w:type="dxa"/>
            <w:shd w:val="clear" w:color="auto" w:fill="d9d9d9" w:themeFill="background1" w:themeFillShade="d9"/>
          </w:tcPr>
          <w:p>
            <w:pPr>
              <w:tabs>
                <w:tab w:val="left" w:pos="2050"/>
              </w:tabs>
              <w:spacing w:line="240" w:lineRule="auto"/>
              <w:jc w:val="center"/>
              <w:rPr/>
            </w:pPr>
            <w:r>
              <w:t>Student number:</w:t>
            </w:r>
          </w:p>
        </w:tc>
        <w:tc>
          <w:tcPr>
            <w:cnfStyle w:val="100000000000"/>
            <w:tcW w:w="2603" w:type="dxa"/>
          </w:tcPr>
          <w:p>
            <w:pPr>
              <w:tabs>
                <w:tab w:val="left" w:pos="2050"/>
              </w:tabs>
              <w:spacing w:line="240" w:lineRule="auto"/>
              <w:jc w:val="center"/>
              <w:rPr/>
            </w:pPr>
            <w:r>
              <w:t>2130687</w:t>
            </w:r>
          </w:p>
        </w:tc>
      </w:tr>
      <w:tr>
        <w:trPr>
          <w:trHeight w:val="716"/>
          <w:jc w:val="center"/>
        </w:trPr>
        <w:tc>
          <w:tcPr>
            <w:cnfStyle w:val="001000100000"/>
            <w:tcW w:w="2070" w:type="dxa"/>
            <w:shd w:val="clear" w:color="auto" w:fill="d9d9d9" w:themeFill="background1" w:themeFillShade="d9"/>
          </w:tcPr>
          <w:p>
            <w:pPr>
              <w:tabs>
                <w:tab w:val="left" w:pos="2050"/>
              </w:tabs>
              <w:spacing w:line="240" w:lineRule="auto"/>
              <w:jc w:val="center"/>
              <w:rPr/>
            </w:pPr>
            <w:r>
              <w:t>Module:</w:t>
            </w:r>
          </w:p>
        </w:tc>
        <w:tc>
          <w:tcPr>
            <w:cnfStyle w:val="000000100000"/>
            <w:tcW w:w="3399" w:type="dxa"/>
          </w:tcPr>
          <w:p>
            <w:pPr>
              <w:tabs>
                <w:tab w:val="left" w:pos="2050"/>
              </w:tabs>
              <w:spacing w:line="240" w:lineRule="auto"/>
              <w:jc w:val="center"/>
              <w:rPr/>
            </w:pPr>
            <w:r>
              <w:t>Food &amp; Beverage Operations</w:t>
            </w:r>
          </w:p>
        </w:tc>
        <w:tc>
          <w:tcPr>
            <w:cnfStyle w:val="000000100000"/>
            <w:tcW w:w="2598" w:type="dxa"/>
            <w:shd w:val="clear" w:color="auto" w:fill="d9d9d9" w:themeFill="background1" w:themeFillShade="d9"/>
          </w:tcPr>
          <w:p>
            <w:pPr>
              <w:tabs>
                <w:tab w:val="left" w:pos="2050"/>
              </w:tabs>
              <w:spacing w:line="240" w:lineRule="auto"/>
              <w:jc w:val="center"/>
              <w:rPr/>
            </w:pPr>
            <w:r>
              <w:t xml:space="preserve">Module Level </w:t>
            </w:r>
          </w:p>
        </w:tc>
        <w:tc>
          <w:tcPr>
            <w:cnfStyle w:val="000000100000"/>
            <w:tcW w:w="2603" w:type="dxa"/>
          </w:tcPr>
          <w:p>
            <w:pPr>
              <w:tabs>
                <w:tab w:val="left" w:pos="2050"/>
              </w:tabs>
              <w:spacing w:line="240" w:lineRule="auto"/>
              <w:jc w:val="center"/>
              <w:rPr/>
            </w:pPr>
            <w:r>
              <w:t>4</w:t>
            </w:r>
          </w:p>
        </w:tc>
      </w:tr>
      <w:tr>
        <w:trPr>
          <w:trHeight w:val="707"/>
          <w:jc w:val="center"/>
        </w:trPr>
        <w:tc>
          <w:tcPr>
            <w:cnfStyle w:val="001000010000"/>
            <w:tcW w:w="2070" w:type="dxa"/>
            <w:shd w:val="clear" w:color="auto" w:fill="d9d9d9" w:themeFill="background1" w:themeFillShade="d9"/>
          </w:tcPr>
          <w:p>
            <w:pPr>
              <w:tabs>
                <w:tab w:val="left" w:pos="2050"/>
              </w:tabs>
              <w:spacing w:line="240" w:lineRule="auto"/>
              <w:jc w:val="center"/>
              <w:rPr/>
            </w:pPr>
            <w:r>
              <w:t>Module code:</w:t>
            </w:r>
          </w:p>
        </w:tc>
        <w:tc>
          <w:tcPr>
            <w:cnfStyle w:val="000000010000"/>
            <w:tcW w:w="8600" w:type="dxa"/>
            <w:gridSpan w:val="3"/>
          </w:tcPr>
          <w:p>
            <w:pPr>
              <w:tabs>
                <w:tab w:val="left" w:pos="2050"/>
              </w:tabs>
              <w:spacing w:line="240" w:lineRule="auto"/>
              <w:jc w:val="center"/>
              <w:rPr/>
            </w:pPr>
            <w:r>
              <w:t>BMIH4002</w:t>
            </w:r>
          </w:p>
        </w:tc>
      </w:tr>
      <w:tr>
        <w:trPr>
          <w:trHeight w:val="707"/>
          <w:jc w:val="center"/>
        </w:trPr>
        <w:tc>
          <w:tcPr>
            <w:cnfStyle w:val="001000100000"/>
            <w:tcW w:w="2070" w:type="dxa"/>
            <w:shd w:val="clear" w:color="auto" w:fill="d9d9d9" w:themeFill="background1" w:themeFillShade="d9"/>
          </w:tcPr>
          <w:p>
            <w:pPr>
              <w:tabs>
                <w:tab w:val="left" w:pos="2050"/>
              </w:tabs>
              <w:spacing w:line="240" w:lineRule="auto"/>
              <w:jc w:val="center"/>
              <w:rPr/>
            </w:pPr>
            <w:r>
              <w:t>Lecturers:</w:t>
            </w:r>
          </w:p>
        </w:tc>
        <w:tc>
          <w:tcPr>
            <w:cnfStyle w:val="000000100000"/>
            <w:tcW w:w="8600" w:type="dxa"/>
            <w:gridSpan w:val="3"/>
            <w:shd w:val="clear" w:color="auto" w:fill="auto"/>
          </w:tcPr>
          <w:p>
            <w:pPr>
              <w:tabs>
                <w:tab w:val="left" w:pos="2050"/>
              </w:tabs>
              <w:spacing w:line="240" w:lineRule="auto"/>
              <w:jc w:val="center"/>
              <w:rPr/>
            </w:pPr>
            <w:r>
              <w:rPr>
                <w:bCs/>
              </w:rPr>
              <w:t xml:space="preserve"> Steve Jones, Thomas Cooper</w:t>
            </w:r>
          </w:p>
        </w:tc>
      </w:tr>
      <w:tr>
        <w:trPr>
          <w:trHeight w:val="707"/>
          <w:jc w:val="center"/>
        </w:trPr>
        <w:tc>
          <w:tcPr>
            <w:cnfStyle w:val="001000010000"/>
            <w:tcW w:w="2070" w:type="dxa"/>
            <w:shd w:val="clear" w:color="auto" w:fill="d9d9d9" w:themeFill="background1" w:themeFillShade="d9"/>
          </w:tcPr>
          <w:p>
            <w:pPr>
              <w:tabs>
                <w:tab w:val="left" w:pos="2050"/>
              </w:tabs>
              <w:spacing w:line="240" w:lineRule="auto"/>
              <w:jc w:val="center"/>
              <w:rPr/>
            </w:pPr>
            <w:r>
              <w:t>Assignment Title:</w:t>
            </w:r>
          </w:p>
        </w:tc>
        <w:tc>
          <w:tcPr>
            <w:cnfStyle w:val="000000010000"/>
            <w:tcW w:w="3399" w:type="dxa"/>
          </w:tcPr>
          <w:p>
            <w:pPr>
              <w:tabs>
                <w:tab w:val="left" w:pos="2050"/>
              </w:tabs>
              <w:spacing w:line="240" w:lineRule="auto"/>
              <w:jc w:val="center"/>
              <w:rPr>
                <w:b/>
                <w:bCs/>
              </w:rPr>
            </w:pPr>
            <w:r>
              <w:rPr>
                <w:b/>
                <w:bCs/>
              </w:rPr>
              <w:t>Student Journal</w:t>
            </w:r>
          </w:p>
        </w:tc>
        <w:tc>
          <w:tcPr>
            <w:cnfStyle w:val="000000010000"/>
            <w:tcW w:w="2598" w:type="dxa"/>
            <w:shd w:val="clear" w:color="auto" w:fill="d9d9d9" w:themeFill="background1" w:themeFillShade="d9"/>
          </w:tcPr>
          <w:p>
            <w:pPr>
              <w:tabs>
                <w:tab w:val="left" w:pos="2050"/>
              </w:tabs>
              <w:spacing w:line="240" w:lineRule="auto"/>
              <w:jc w:val="center"/>
              <w:rPr/>
            </w:pPr>
            <w:r>
              <w:t>Assignment No:</w:t>
            </w:r>
          </w:p>
        </w:tc>
        <w:tc>
          <w:tcPr>
            <w:cnfStyle w:val="000000010000"/>
            <w:tcW w:w="2603" w:type="dxa"/>
          </w:tcPr>
          <w:p>
            <w:pPr>
              <w:tabs>
                <w:tab w:val="left" w:pos="2050"/>
              </w:tabs>
              <w:spacing w:line="240" w:lineRule="auto"/>
              <w:jc w:val="center"/>
              <w:rPr/>
            </w:pPr>
            <w:r>
              <w:t xml:space="preserve">1 </w:t>
            </w:r>
          </w:p>
        </w:tc>
      </w:tr>
    </w:tbl>
    <w:p/>
    <w:p/>
    <w:p>
      <w:pPr>
        <w:spacing w:before="0" w:after="160" w:line="259" w:lineRule="auto"/>
        <w:jc w:val="left"/>
        <w:rPr/>
      </w:pPr>
      <w:r>
        <w:rPr/>
        <w:br w:type="page"/>
      </w:r>
    </w:p>
    <w:p>
      <w:pPr>
        <w:pStyle w:val="Heading1"/>
        <w:jc w:val="center"/>
        <w:rPr>
          <w:b w:val="off"/>
          <w:sz w:val="28"/>
        </w:rPr>
      </w:pPr>
      <w:r>
        <w:rPr>
          <w:b w:val="off"/>
          <w:sz w:val="28"/>
        </w:rPr>
        <w:t>“</w:t>
      </w:r>
      <w:r>
        <w:rPr>
          <w:b w:val="off"/>
          <w:sz w:val="28"/>
        </w:rPr>
        <w:t>Personal Reflection on Restaurant Roles &amp; Responsibilities</w:t>
      </w:r>
      <w:r>
        <w:rPr>
          <w:b w:val="off"/>
          <w:sz w:val="28"/>
        </w:rPr>
        <w:t>”</w:t>
      </w:r>
    </w:p>
    <w:p>
      <w:r>
        <w:t>This report is prepared to discuss the restaurant roles &amp; responsibilities on the basis of personal experience. Restaurant is social business that has significant impact on our society &amp; culture. Restaurants can create and establish new food culture in a society which can last</w:t>
      </w:r>
      <w:r>
        <w:t xml:space="preserve"> many centuries</w:t>
      </w:r>
      <w:r>
        <w:t xml:space="preserve"> (Brawley, 2019)</w:t>
      </w:r>
      <w:r>
        <w:t xml:space="preserve">. Restaurants are major part of hospitality industry and creates employment for many people. Therefore, staffs in the restaurants have different roles &amp; responsibilities to play to satisfy the customers and enhance the growth of hospitality industry. I also worked for a restaurant named </w:t>
      </w:r>
      <w:r>
        <w:t>The Ledbury</w:t>
      </w:r>
      <w:r>
        <w:t xml:space="preserve">. </w:t>
      </w:r>
      <w:r>
        <w:t>The Ledbury in London, England is a leading dining restaurant. From 2010 through 2020, it had two Michelin stars.</w:t>
      </w:r>
      <w:r>
        <w:t xml:space="preserve"> I</w:t>
      </w:r>
      <w:r>
        <w:t xml:space="preserve"> had a great experience in there as a line cook.</w:t>
      </w:r>
    </w:p>
    <w:p>
      <w:r>
        <w:t xml:space="preserve">There were 10 line-cooks were there in my time of work. As a line cook our main </w:t>
      </w:r>
      <w:r>
        <w:t>objective is to make the other cooks and chefs' jobs simpler by doing a wide range of tasks</w:t>
      </w:r>
      <w:r>
        <w:t xml:space="preserve">. </w:t>
      </w:r>
      <w:r>
        <w:t>The duties of a line cook include ensuring the efficient functioning of one or more cooking stations</w:t>
      </w:r>
      <w:r>
        <w:t xml:space="preserve"> (Eken, 2017)</w:t>
      </w:r>
      <w:r>
        <w:t>.</w:t>
      </w:r>
      <w:r>
        <w:t xml:space="preserve"> Our responsibilities were c</w:t>
      </w:r>
      <w:r>
        <w:t>leaning, cutting, and arranging ingredients</w:t>
      </w:r>
      <w:r>
        <w:t>; e</w:t>
      </w:r>
      <w:r>
        <w:t>nsuring food &amp; health safety protocol</w:t>
      </w:r>
      <w:r>
        <w:t>; s</w:t>
      </w:r>
      <w:r>
        <w:t>upporting and following the head chef</w:t>
      </w:r>
      <w:r>
        <w:t>. During this time, I learnt a lot about cooking and how different foods are prepared.</w:t>
      </w:r>
      <w:r>
        <w:t xml:space="preserve"> The exceptional </w:t>
      </w:r>
      <w:r>
        <w:t xml:space="preserve">items innovated by the executive chef </w:t>
      </w:r>
      <w:r>
        <w:t>contributes to enhancing service overall and adapting the restaurant's cuisine idea to specific requirements</w:t>
      </w:r>
      <w:r>
        <w:t xml:space="preserve"> (Meyer, 2018)</w:t>
      </w:r>
      <w:r>
        <w:t xml:space="preserve">. </w:t>
      </w:r>
      <w:r>
        <w:t>And he handles the whole kitchen operation, from food prep to plating.</w:t>
      </w:r>
    </w:p>
    <w:p>
      <w:r>
        <w:t xml:space="preserve">The general manager was the most stringent employee at the restaurant. He always kept an eye on us and ensured that we were on task at all times.They are in charge of personnel decisions, such as hiring, firing, induction, oversight, operation, promotion, and community engagement at the restaurant (Fields and Yen, 2020). They have the ability to determine pricing and stock levels for the menu. Because he was the general manager, a great deal </w:t>
      </w:r>
      <w:r>
        <w:t>of responsibility and pressure rested on his shoulders. But our restaurant's Sous Chef was by far the most kind and helpful staff member we had there. The sous chef is the person who works directly under the head chef in the kitchen. When the head chef is absent due to illness or vacation, it is the responsibility of the sous chef to operate the kitchen (Kimes, 2018).</w:t>
      </w:r>
    </w:p>
    <w:p>
      <w:r>
        <w:t>Additionally, the waiters at our restaurant shown a high level of zeal and dedication to their jobs. Waiters are the members of the front-of-house personnel who are responsible for setting the table, taking orders, providing exceptional service, and serving the food and beverages. It is possible for a client to have a positive experience regardless of the waiter's level of ability, and vice versa (Levengood, 2019). The outstanding service provided by our wait staff, the patrons of our restaurant expressed high levels of satisfaction.</w:t>
      </w:r>
    </w:p>
    <w:p>
      <w:r>
        <w:t>The single most valuable thing I picked up throughout my time working at The Ledbury was the fact that the hospitality industry is perpetually fraught with difficulties, and that in order to provide excellent service, a group of dedicated individuals must put in a lot of effort. If they want their company to be successful, managers of restaurants need to be able to think strategically (Silva, 2022). This involves managing staff and finances, defining and executing the strateg</w:t>
      </w:r>
      <w:r>
        <w:t>ic direction of the firm, analys</w:t>
      </w:r>
      <w:r>
        <w:t>ing the results of marketing efforts, and keeping the company's reputation in good standing (Shriber, 2018). In order to achieve this goal, they want to perfect their menu, use cutting-edge restaurant technology, design a warm and inviting atmosphere, and carefully monitor and control their prices.</w:t>
      </w:r>
    </w:p>
    <w:p/>
    <w:p>
      <w:pPr>
        <w:spacing w:before="0" w:after="160" w:line="259" w:lineRule="auto"/>
        <w:jc w:val="left"/>
        <w:rPr/>
      </w:pPr>
      <w:r>
        <w:rPr/>
        <w:br w:type="page"/>
      </w:r>
    </w:p>
    <w:p>
      <w:pPr>
        <w:pStyle w:val="Heading1"/>
        <w:rPr>
          <w:b w:val="off"/>
          <w:sz w:val="28"/>
        </w:rPr>
      </w:pPr>
      <w:r>
        <w:rPr>
          <w:b w:val="off"/>
          <w:sz w:val="28"/>
        </w:rPr>
        <w:t>Reference</w:t>
      </w:r>
    </w:p>
    <w:p>
      <w:r>
        <w:t>Brawley, W., 2019. Restaurant owners uncorked. [Raleigh, N.C.]: Schedulefly.</w:t>
      </w:r>
    </w:p>
    <w:p>
      <w:r>
        <w:t>Eken, R., 2017. Kitchen confidential. Aarhus: Charlotte Fogh Gallery.</w:t>
      </w:r>
    </w:p>
    <w:p>
      <w:r>
        <w:t>Fields, R. and Yen, J., 2020. Restaurant Success by the Numbers. Old Saybrook: Tantor Audio [Imprint].</w:t>
      </w:r>
    </w:p>
    <w:p>
      <w:r>
        <w:t>Ha, J., Park, K. and Park, J., 2016. Which restaurant should I choose? Herd behavior in the restaurant industry. Journal of Foodservice Business Research, 19(4), pp.396-412.</w:t>
      </w:r>
    </w:p>
    <w:p>
      <w:r>
        <w:t>Kimes, S., Chase, R., Choi, S. and Lee, P., 2018. Restaurant Revenue Management. Cornell Hotel and Restaurant Administration Quarterly, 39(3), pp.32-39.</w:t>
      </w:r>
    </w:p>
    <w:p>
      <w:r>
        <w:t>Levengood, M., 2019. The heart of hospitality. Lincoln, Neb.: Back to the Bible.</w:t>
      </w:r>
    </w:p>
    <w:p>
      <w:r>
        <w:t>Meyer, D., 2018. Setting the table. New York: Harper.</w:t>
      </w:r>
    </w:p>
    <w:p>
      <w:pPr>
        <w:rPr>
          <w:rFonts w:cs="Arial"/>
        </w:rPr>
      </w:pPr>
      <w:r>
        <w:rPr>
          <w:rFonts w:cs="Arial"/>
        </w:rPr>
        <w:t>Pabbi, T.</w:t>
      </w:r>
      <w:r>
        <w:rPr>
          <w:rFonts w:cs="Arial"/>
        </w:rPr>
        <w:t xml:space="preserve"> </w:t>
      </w:r>
      <w:r>
        <w:rPr>
          <w:rFonts w:cs="Arial"/>
        </w:rPr>
        <w:t>2018</w:t>
      </w:r>
      <w:bookmarkStart w:id="0" w:name="_GoBack"/>
      <w:bookmarkEnd w:id="0"/>
      <w:r>
        <w:rPr>
          <w:rFonts w:cs="Arial"/>
        </w:rPr>
        <w:t>.</w:t>
      </w:r>
      <w:r>
        <w:rPr>
          <w:rFonts w:cs="Arial"/>
        </w:rPr>
        <w:t xml:space="preserve"> Antecedents of Customer loyalty in Quick Restaurant Sector. </w:t>
      </w:r>
      <w:r>
        <w:rPr>
          <w:rFonts w:cs="Arial"/>
          <w:i/>
          <w:iCs/>
        </w:rPr>
        <w:t>International Journal of Psychosocial Rehabilitation</w:t>
      </w:r>
      <w:r>
        <w:rPr>
          <w:rFonts w:cs="Arial"/>
        </w:rPr>
        <w:t>, 23(4), pp.1639-1650.</w:t>
      </w:r>
    </w:p>
    <w:p>
      <w:r>
        <w:t>Shriber, M., Muller, C. and Inman, C., 2018. Population Changes and Restaurant Success. Cornell Hotel and Restaurant Administration Quarterly, 36(3), pp.43-49.</w:t>
      </w:r>
    </w:p>
    <w:p>
      <w:r>
        <w:t>Silva, K., 2022. How to Rock Restaurant Management. South Carolina: CreateSpace Independent Publishing Platform.</w:t>
      </w:r>
    </w:p>
    <w:sectPr>
      <w:footerReference w:type="default" r:id="rId1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endnote w:type="separator" w:id="0">
    <w:p>
      <w:pPr>
        <w:spacing w:before="0" w:after="0" w:line="240" w:lineRule="auto"/>
        <w:rPr/>
      </w:pPr>
      <w:r>
        <w:rPr/>
        <w:separator/>
      </w:r>
    </w:p>
  </w:endnote>
  <w:endnote w:type="continuationSeparator" w:id="1">
    <w:p>
      <w:pPr>
        <w:spacing w:before="0"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p>
    <w:pPr>
      <w:pStyle w:val="Footer"/>
      <w:jc w:val="center"/>
      <w:rPr/>
    </w:pPr>
    <w:r>
      <w:fldChar w:fldCharType="begin"/>
    </w:r>
    <w:r>
      <w:instrText xml:space="preserve"> PAGE   \* MERGEFORMAT </w:instrText>
    </w:r>
    <w:r>
      <w:fldChar w:fldCharType="separate"/>
    </w:r>
    <w:r>
      <w:t>3</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footnote w:type="separator" w:id="0">
    <w:p>
      <w:pPr>
        <w:spacing w:before="0" w:after="0" w:line="240" w:lineRule="auto"/>
        <w:rPr/>
      </w:pPr>
      <w:r>
        <w:rPr/>
        <w:separator/>
      </w:r>
    </w:p>
  </w:footnote>
  <w:footnote w:type="continuationSeparator" w:id="1">
    <w:p>
      <w:pPr>
        <w:spacing w:before="0"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18A"/>
    <w:rsid w:val="00124723"/>
    <w:rsid w:val="002435D9"/>
    <w:rsid w:val="00255272"/>
    <w:rsid w:val="00302AE9"/>
    <w:rsid w:val="00362BCB"/>
    <w:rsid w:val="004277B1"/>
    <w:rsid w:val="00502611"/>
    <w:rsid w:val="005F151C"/>
    <w:rsid w:val="00620A81"/>
    <w:rsid w:val="00631A2A"/>
    <w:rsid w:val="0074622D"/>
    <w:rsid w:val="0076140A"/>
    <w:rsid w:val="00860AE9"/>
    <w:rsid w:val="00876FE4"/>
    <w:rsid w:val="008A197F"/>
    <w:rsid w:val="009208EF"/>
    <w:rsid w:val="00A22D59"/>
    <w:rsid w:val="00A80503"/>
    <w:rsid w:val="00AA6A58"/>
    <w:rsid w:val="00AF0AFD"/>
    <w:rsid w:val="00BE218A"/>
    <w:rsid w:val="00C11422"/>
    <w:rsid w:val="00CD114A"/>
    <w:rsid w:val="00D77DA9"/>
    <w:rsid w:val="00D80DD0"/>
    <w:rsid w:val="00DB4084"/>
    <w:rsid w:val="00DF3728"/>
    <w:rsid w:val="00E40852"/>
    <w:rsid w:val="00F74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C683E"/>
  <w15:chartTrackingRefBased/>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val="on"/>
    <w:pPr>
      <w:keepNext w:val="on"/>
      <w:keepLines w:val="on"/>
      <w:spacing w:before="240" w:after="240"/>
    </w:pPr>
    <w:rPr>
      <w:rFonts w:cstheme="majorBidi" w:eastAsiaTheme="majorEastAsia"/>
      <w:b/>
      <w:color w:val="000000" w:themeColor="text1"/>
      <w:sz w:val="32"/>
      <w:szCs w:val="3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Heading1Char">
    <w:name w:val="Heading 1 Char"/>
    <w:basedOn w:val="DefaultParagraphFont"/>
    <w:link w:val="Heading1"/>
    <w:uiPriority w:val="9"/>
    <w:rPr>
      <w:rFonts w:ascii="Arial" w:cstheme="majorBidi" w:eastAsiaTheme="majorEastAsia" w:hAnsi="Arial"/>
      <w:b/>
      <w:color w:val="000000" w:themeColor="text1"/>
      <w:sz w:val="32"/>
      <w:szCs w:val="32"/>
    </w:rPr>
  </w:style>
  <w:style w:type="paragraph" w:styleId="Header">
    <w:name w:val="Header"/>
    <w:basedOn w:val="Normal"/>
    <w:link w:val="HeaderChar"/>
    <w:uiPriority w:val="99"/>
    <w:unhideWhenUsed w:val="on"/>
    <w:pPr>
      <w:tabs>
        <w:tab w:val="center" w:pos="4513"/>
        <w:tab w:val="right" w:pos="9026"/>
      </w:tabs>
      <w:spacing w:before="0"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unhideWhenUsed w:val="on"/>
    <w:pPr>
      <w:tabs>
        <w:tab w:val="center" w:pos="4513"/>
        <w:tab w:val="right" w:pos="9026"/>
      </w:tabs>
      <w:spacing w:before="0" w:after="0" w:line="240" w:lineRule="auto"/>
    </w:pPr>
  </w:style>
  <w:style w:type="character" w:customStyle="1" w:styleId="FooterChar">
    <w:name w:val="Footer Char"/>
    <w:basedOn w:val="DefaultParagraphFont"/>
    <w:link w:val="Footer"/>
    <w:uiPriority w:val="9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10" Type="http://schemas.openxmlformats.org/officeDocument/2006/relationships/footer" Target="footer1.xml"/><Relationship Id="rId11" Type="http://schemas.openxmlformats.org/officeDocument/2006/relationships/footer" Target="footer1.xml"/><Relationship Id="rId12" Type="http://schemas.openxmlformats.org/officeDocument/2006/relationships/footer" Target="footer1.xml"/><Relationship Id="rId13" Type="http://schemas.openxmlformats.org/officeDocument/2006/relationships/footer" Target="footer1.xml"/><Relationship Id="rId14" Type="http://schemas.openxmlformats.org/officeDocument/2006/relationships/footer" Target="footer1.xml"/><Relationship Id="rId15" Type="http://schemas.openxmlformats.org/officeDocument/2006/relationships/footer" Target="footer1.xml"/><Relationship Id="rId16" Type="http://schemas.openxmlformats.org/officeDocument/2006/relationships/footer" Target="footer1.xml"/><Relationship Id="rId17" Type="http://schemas.openxmlformats.org/officeDocument/2006/relationships/footer" Target="footer1.xml"/><Relationship Id="rId18" Type="http://schemas.openxmlformats.org/officeDocument/2006/relationships/footer" Target="footer1.xml"/><Relationship Id="rId2" Type="http://schemas.openxmlformats.org/officeDocument/2006/relationships/settings" Target="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9" Type="http://schemas.openxmlformats.org/officeDocument/2006/relationships/footer" Target="footer1.xml"/><Relationship Id="rId3"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Abu sayed</dc:creator>
  <cp:lastModifiedBy>Mohammad Abu sayed</cp:lastModifiedBy>
</cp:coreProperties>
</file>