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2AB61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5D7275B" wp14:editId="5A0DD6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B985D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9F490B" w14:textId="77777777">
        <w:tc>
          <w:tcPr>
            <w:tcW w:w="9922" w:type="dxa"/>
            <w:shd w:val="clear" w:color="auto" w:fill="C0C0C0"/>
          </w:tcPr>
          <w:p w14:paraId="2F3D8836" w14:textId="60CD7E3A" w:rsidR="00681FA9" w:rsidRPr="00A406E5" w:rsidRDefault="00527E60" w:rsidP="00552351">
            <w:pPr>
              <w:pStyle w:val="Heading4"/>
              <w:rPr>
                <w:rFonts w:ascii="Arial" w:hAnsi="Arial" w:cs="Arial"/>
                <w:b/>
              </w:rPr>
            </w:pPr>
            <w:r>
              <w:rPr>
                <w:rFonts w:ascii="Arial" w:hAnsi="Arial" w:cs="Arial"/>
                <w:b/>
              </w:rPr>
              <w:t xml:space="preserve">LEVEL </w:t>
            </w:r>
            <w:r w:rsidR="008E5D77">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7C22B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1A72D9" w14:textId="77777777">
        <w:tc>
          <w:tcPr>
            <w:tcW w:w="2093" w:type="dxa"/>
            <w:shd w:val="pct15" w:color="auto" w:fill="auto"/>
          </w:tcPr>
          <w:p w14:paraId="3F0B94A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53C67B" w14:textId="7B583D9A" w:rsidR="003B3F9D" w:rsidRPr="00A406E5" w:rsidRDefault="00AA1E54" w:rsidP="001E57C1">
            <w:pPr>
              <w:spacing w:before="120" w:after="120"/>
              <w:jc w:val="both"/>
              <w:rPr>
                <w:rFonts w:ascii="Arial" w:hAnsi="Arial" w:cs="Arial"/>
                <w:b/>
                <w:sz w:val="22"/>
                <w:szCs w:val="22"/>
              </w:rPr>
            </w:pPr>
            <w:r>
              <w:rPr>
                <w:rFonts w:ascii="Arial" w:hAnsi="Arial" w:cs="Arial"/>
                <w:b/>
                <w:sz w:val="22"/>
                <w:szCs w:val="22"/>
              </w:rPr>
              <w:t>Beth Robson</w:t>
            </w:r>
          </w:p>
        </w:tc>
        <w:tc>
          <w:tcPr>
            <w:tcW w:w="2268" w:type="dxa"/>
            <w:shd w:val="clear" w:color="auto" w:fill="D9D9D9"/>
          </w:tcPr>
          <w:p w14:paraId="3AF22C6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9E75CF" w14:textId="665CD5B0" w:rsidR="003B3F9D" w:rsidRPr="00A406E5" w:rsidRDefault="00AA1E54" w:rsidP="001E57C1">
            <w:pPr>
              <w:spacing w:before="120" w:after="120"/>
              <w:jc w:val="both"/>
              <w:rPr>
                <w:rFonts w:ascii="Arial" w:hAnsi="Arial" w:cs="Arial"/>
                <w:b/>
                <w:sz w:val="22"/>
                <w:szCs w:val="22"/>
              </w:rPr>
            </w:pPr>
            <w:r>
              <w:rPr>
                <w:rFonts w:ascii="Arial" w:hAnsi="Arial" w:cs="Arial"/>
                <w:b/>
                <w:sz w:val="22"/>
                <w:szCs w:val="22"/>
              </w:rPr>
              <w:t>2008234</w:t>
            </w:r>
          </w:p>
        </w:tc>
      </w:tr>
      <w:tr w:rsidR="00DB116D" w:rsidRPr="00A406E5" w14:paraId="13566279" w14:textId="77777777">
        <w:tc>
          <w:tcPr>
            <w:tcW w:w="2093" w:type="dxa"/>
            <w:shd w:val="pct15" w:color="auto" w:fill="auto"/>
          </w:tcPr>
          <w:p w14:paraId="32B4B0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F6E906" w14:textId="4A076250" w:rsidR="00DB116D" w:rsidRPr="00A406E5" w:rsidRDefault="008E5D77" w:rsidP="00E51AAC">
            <w:pPr>
              <w:spacing w:before="120" w:after="120"/>
              <w:jc w:val="both"/>
              <w:rPr>
                <w:rFonts w:ascii="Arial" w:hAnsi="Arial" w:cs="Arial"/>
                <w:b/>
                <w:sz w:val="22"/>
                <w:szCs w:val="22"/>
              </w:rPr>
            </w:pPr>
            <w:r>
              <w:rPr>
                <w:rFonts w:ascii="Arial" w:hAnsi="Arial" w:cs="Arial"/>
                <w:b/>
                <w:sz w:val="22"/>
                <w:szCs w:val="22"/>
              </w:rPr>
              <w:t>BA Physical Education / BA Outdoor Adventure Education.</w:t>
            </w:r>
          </w:p>
        </w:tc>
      </w:tr>
      <w:tr w:rsidR="008F1308" w:rsidRPr="00A406E5" w14:paraId="44C575E1" w14:textId="77777777">
        <w:tc>
          <w:tcPr>
            <w:tcW w:w="2093" w:type="dxa"/>
            <w:shd w:val="pct15" w:color="auto" w:fill="auto"/>
          </w:tcPr>
          <w:p w14:paraId="740C86E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F9F7E85" w14:textId="146DAA59" w:rsidR="008F1308" w:rsidRPr="00A406E5" w:rsidRDefault="008E5D7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2694259" w14:textId="77777777">
        <w:tc>
          <w:tcPr>
            <w:tcW w:w="2093" w:type="dxa"/>
            <w:shd w:val="pct15" w:color="auto" w:fill="auto"/>
          </w:tcPr>
          <w:p w14:paraId="6648101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9EADB4" w14:textId="1E8FD710" w:rsidR="00B84B5B" w:rsidRPr="00A406E5" w:rsidRDefault="008E5D77" w:rsidP="00152E9D">
            <w:pPr>
              <w:spacing w:before="120" w:after="120"/>
              <w:jc w:val="both"/>
              <w:rPr>
                <w:rFonts w:ascii="Arial" w:hAnsi="Arial" w:cs="Arial"/>
                <w:b/>
                <w:sz w:val="22"/>
                <w:szCs w:val="22"/>
              </w:rPr>
            </w:pPr>
            <w:r>
              <w:rPr>
                <w:rFonts w:ascii="Arial" w:hAnsi="Arial" w:cs="Arial"/>
                <w:b/>
                <w:sz w:val="22"/>
                <w:szCs w:val="22"/>
              </w:rPr>
              <w:t>BMOE4003</w:t>
            </w:r>
          </w:p>
        </w:tc>
        <w:tc>
          <w:tcPr>
            <w:tcW w:w="2268" w:type="dxa"/>
            <w:shd w:val="clear" w:color="auto" w:fill="D9D9D9"/>
          </w:tcPr>
          <w:p w14:paraId="637AC0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3EE1CC" w14:textId="090C9C56" w:rsidR="00B84B5B" w:rsidRPr="00A406E5" w:rsidRDefault="008E5D7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7A279DE" w14:textId="77777777">
        <w:tc>
          <w:tcPr>
            <w:tcW w:w="2093" w:type="dxa"/>
            <w:shd w:val="pct15" w:color="auto" w:fill="auto"/>
          </w:tcPr>
          <w:p w14:paraId="5B2338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854F85"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 xml:space="preserve">Jon Haylock &amp; </w:t>
            </w:r>
          </w:p>
          <w:p w14:paraId="71321357" w14:textId="1D4858FE" w:rsidR="00DB116D" w:rsidRPr="00A406E5" w:rsidRDefault="008E5D77" w:rsidP="008E5D77">
            <w:pPr>
              <w:spacing w:before="120" w:after="120"/>
              <w:jc w:val="both"/>
              <w:rPr>
                <w:rFonts w:ascii="Arial" w:hAnsi="Arial" w:cs="Arial"/>
                <w:b/>
                <w:sz w:val="22"/>
                <w:szCs w:val="22"/>
              </w:rPr>
            </w:pPr>
            <w:r>
              <w:rPr>
                <w:rFonts w:ascii="Arial" w:hAnsi="Arial" w:cs="Arial"/>
                <w:b/>
                <w:sz w:val="22"/>
                <w:szCs w:val="22"/>
              </w:rPr>
              <w:t>Heddwen Davies</w:t>
            </w:r>
          </w:p>
        </w:tc>
        <w:tc>
          <w:tcPr>
            <w:tcW w:w="2268" w:type="dxa"/>
            <w:shd w:val="clear" w:color="auto" w:fill="D9D9D9"/>
          </w:tcPr>
          <w:p w14:paraId="291CE8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1E54A7" w14:textId="1F7ECE33" w:rsidR="005D2397" w:rsidRPr="00A406E5" w:rsidRDefault="008E5D77" w:rsidP="008E5D77">
            <w:pPr>
              <w:spacing w:before="120" w:after="120" w:line="360" w:lineRule="auto"/>
              <w:rPr>
                <w:rFonts w:ascii="Arial" w:hAnsi="Arial" w:cs="Arial"/>
                <w:b/>
                <w:sz w:val="22"/>
                <w:szCs w:val="22"/>
              </w:rPr>
            </w:pPr>
            <w:r>
              <w:rPr>
                <w:rFonts w:ascii="Arial" w:hAnsi="Arial" w:cs="Arial"/>
                <w:b/>
                <w:sz w:val="22"/>
                <w:szCs w:val="22"/>
              </w:rPr>
              <w:t>Jon Haylock &amp; Heddwen Davies</w:t>
            </w:r>
          </w:p>
        </w:tc>
      </w:tr>
      <w:tr w:rsidR="00DB116D" w:rsidRPr="00A406E5" w14:paraId="108480FA" w14:textId="77777777">
        <w:tc>
          <w:tcPr>
            <w:tcW w:w="2093" w:type="dxa"/>
            <w:shd w:val="pct15" w:color="auto" w:fill="auto"/>
          </w:tcPr>
          <w:p w14:paraId="7F29DC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8E3F9E" w14:textId="77777777" w:rsidR="001C3137" w:rsidRDefault="008E5D77" w:rsidP="005D2397">
            <w:pPr>
              <w:pStyle w:val="fixed"/>
              <w:ind w:left="0" w:firstLine="0"/>
              <w:rPr>
                <w:rFonts w:ascii="Arial" w:hAnsi="Arial" w:cs="Arial"/>
                <w:bCs/>
                <w:sz w:val="22"/>
                <w:szCs w:val="22"/>
              </w:rPr>
            </w:pPr>
            <w:r w:rsidRPr="00EB7AB7">
              <w:rPr>
                <w:rFonts w:ascii="Arial" w:hAnsi="Arial" w:cs="Arial"/>
                <w:bCs/>
                <w:sz w:val="22"/>
                <w:szCs w:val="22"/>
              </w:rPr>
              <w:t>Evaluate how adventurous activities contribute to the development of children’s physical literacy.</w:t>
            </w:r>
          </w:p>
          <w:p w14:paraId="7943C99F" w14:textId="4C7E7D00" w:rsidR="008E5D77" w:rsidRPr="00A406E5" w:rsidRDefault="008E5D77" w:rsidP="005D2397">
            <w:pPr>
              <w:pStyle w:val="fixed"/>
              <w:ind w:left="0" w:firstLine="0"/>
              <w:rPr>
                <w:rFonts w:ascii="Arial" w:hAnsi="Arial" w:cs="Arial"/>
                <w:b w:val="0"/>
                <w:sz w:val="22"/>
                <w:szCs w:val="22"/>
              </w:rPr>
            </w:pPr>
          </w:p>
        </w:tc>
        <w:tc>
          <w:tcPr>
            <w:tcW w:w="2268" w:type="dxa"/>
            <w:shd w:val="pct15" w:color="auto" w:fill="auto"/>
          </w:tcPr>
          <w:p w14:paraId="389AC51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4888FD3" w14:textId="7DEF5B17" w:rsidR="00F84052" w:rsidRDefault="008E5D77" w:rsidP="00E51AAC">
            <w:pPr>
              <w:spacing w:before="120" w:after="120"/>
              <w:jc w:val="both"/>
              <w:rPr>
                <w:rFonts w:ascii="Arial" w:hAnsi="Arial" w:cs="Arial"/>
                <w:b/>
                <w:sz w:val="22"/>
                <w:szCs w:val="22"/>
              </w:rPr>
            </w:pPr>
            <w:r>
              <w:rPr>
                <w:rFonts w:ascii="Arial" w:hAnsi="Arial" w:cs="Arial"/>
                <w:b/>
                <w:sz w:val="22"/>
                <w:szCs w:val="22"/>
              </w:rPr>
              <w:t>1,500 words</w:t>
            </w:r>
          </w:p>
          <w:p w14:paraId="44D73E79" w14:textId="35F8996A" w:rsidR="00DB116D" w:rsidRPr="00A406E5" w:rsidRDefault="00F84052" w:rsidP="00E51AAC">
            <w:pPr>
              <w:spacing w:before="120" w:after="120"/>
              <w:jc w:val="both"/>
              <w:rPr>
                <w:rFonts w:ascii="Arial" w:hAnsi="Arial" w:cs="Arial"/>
                <w:b/>
                <w:sz w:val="22"/>
                <w:szCs w:val="22"/>
              </w:rPr>
            </w:pPr>
            <w:r>
              <w:rPr>
                <w:rFonts w:ascii="Arial" w:hAnsi="Arial" w:cs="Arial"/>
                <w:b/>
                <w:sz w:val="22"/>
                <w:szCs w:val="22"/>
              </w:rPr>
              <w:t xml:space="preserve"> </w:t>
            </w:r>
          </w:p>
        </w:tc>
      </w:tr>
      <w:tr w:rsidR="00B84B5B" w:rsidRPr="00A406E5" w14:paraId="713058FC" w14:textId="77777777">
        <w:tc>
          <w:tcPr>
            <w:tcW w:w="2093" w:type="dxa"/>
            <w:shd w:val="pct15" w:color="auto" w:fill="auto"/>
          </w:tcPr>
          <w:p w14:paraId="4654A23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E82541"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 xml:space="preserve">3pm </w:t>
            </w:r>
            <w:proofErr w:type="spellStart"/>
            <w:r>
              <w:rPr>
                <w:rFonts w:ascii="Arial" w:hAnsi="Arial" w:cs="Arial"/>
                <w:b/>
                <w:sz w:val="22"/>
                <w:szCs w:val="22"/>
              </w:rPr>
              <w:t>turnitin</w:t>
            </w:r>
            <w:proofErr w:type="spellEnd"/>
          </w:p>
          <w:p w14:paraId="6352192F" w14:textId="0BEA16EB" w:rsidR="00B84B5B" w:rsidRPr="00A406E5" w:rsidRDefault="008E5D77" w:rsidP="008E5D77">
            <w:pPr>
              <w:spacing w:before="120" w:after="120"/>
              <w:jc w:val="both"/>
              <w:rPr>
                <w:rFonts w:ascii="Arial" w:hAnsi="Arial" w:cs="Arial"/>
                <w:b/>
                <w:sz w:val="22"/>
                <w:szCs w:val="22"/>
              </w:rPr>
            </w:pPr>
            <w:r>
              <w:rPr>
                <w:rFonts w:ascii="Arial" w:hAnsi="Arial" w:cs="Arial"/>
                <w:b/>
                <w:sz w:val="22"/>
                <w:szCs w:val="22"/>
              </w:rPr>
              <w:t>26</w:t>
            </w:r>
            <w:r w:rsidRPr="00EB7AB7">
              <w:rPr>
                <w:rFonts w:ascii="Arial" w:hAnsi="Arial" w:cs="Arial"/>
                <w:b/>
                <w:sz w:val="22"/>
                <w:szCs w:val="22"/>
                <w:vertAlign w:val="superscript"/>
              </w:rPr>
              <w:t>th</w:t>
            </w:r>
            <w:r>
              <w:rPr>
                <w:rFonts w:ascii="Arial" w:hAnsi="Arial" w:cs="Arial"/>
                <w:b/>
                <w:sz w:val="22"/>
                <w:szCs w:val="22"/>
              </w:rPr>
              <w:t xml:space="preserve"> March, 2021</w:t>
            </w:r>
          </w:p>
        </w:tc>
        <w:tc>
          <w:tcPr>
            <w:tcW w:w="2268" w:type="dxa"/>
            <w:shd w:val="pct15" w:color="auto" w:fill="auto"/>
          </w:tcPr>
          <w:p w14:paraId="5F9D0EE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07155B" w14:textId="77777777" w:rsidR="008E5D77" w:rsidRDefault="008E5D77" w:rsidP="008E5D77">
            <w:pPr>
              <w:spacing w:before="120" w:after="120"/>
              <w:jc w:val="both"/>
              <w:rPr>
                <w:rFonts w:ascii="Arial" w:hAnsi="Arial" w:cs="Arial"/>
                <w:b/>
                <w:sz w:val="22"/>
                <w:szCs w:val="22"/>
              </w:rPr>
            </w:pPr>
            <w:r>
              <w:rPr>
                <w:rFonts w:ascii="Arial" w:hAnsi="Arial" w:cs="Arial"/>
                <w:b/>
                <w:sz w:val="22"/>
                <w:szCs w:val="22"/>
              </w:rPr>
              <w:t>3pm Turnitin</w:t>
            </w:r>
          </w:p>
          <w:p w14:paraId="27513378" w14:textId="37CB490F" w:rsidR="00B84B5B" w:rsidRPr="00A406E5" w:rsidRDefault="008E5D77" w:rsidP="008E5D77">
            <w:pPr>
              <w:spacing w:before="120" w:after="120"/>
              <w:rPr>
                <w:rFonts w:ascii="Arial" w:hAnsi="Arial" w:cs="Arial"/>
                <w:b/>
                <w:sz w:val="22"/>
                <w:szCs w:val="22"/>
              </w:rPr>
            </w:pPr>
            <w:r>
              <w:rPr>
                <w:rFonts w:ascii="Arial" w:hAnsi="Arial" w:cs="Arial"/>
                <w:b/>
                <w:sz w:val="22"/>
                <w:szCs w:val="22"/>
              </w:rPr>
              <w:t>23</w:t>
            </w:r>
            <w:r w:rsidRPr="0058264F">
              <w:rPr>
                <w:rFonts w:ascii="Arial" w:hAnsi="Arial" w:cs="Arial"/>
                <w:b/>
                <w:sz w:val="22"/>
                <w:szCs w:val="22"/>
                <w:vertAlign w:val="superscript"/>
              </w:rPr>
              <w:t>rd</w:t>
            </w:r>
            <w:r>
              <w:rPr>
                <w:rFonts w:ascii="Arial" w:hAnsi="Arial" w:cs="Arial"/>
                <w:b/>
                <w:sz w:val="22"/>
                <w:szCs w:val="22"/>
              </w:rPr>
              <w:t xml:space="preserve"> April, 2021</w:t>
            </w:r>
          </w:p>
        </w:tc>
      </w:tr>
      <w:tr w:rsidR="00152E9D" w:rsidRPr="00A406E5" w14:paraId="2B150612" w14:textId="77777777">
        <w:tc>
          <w:tcPr>
            <w:tcW w:w="2093" w:type="dxa"/>
            <w:shd w:val="pct15" w:color="auto" w:fill="auto"/>
          </w:tcPr>
          <w:p w14:paraId="66D2A5F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A350C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1C587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79BB5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584389" w14:textId="77777777">
        <w:tc>
          <w:tcPr>
            <w:tcW w:w="2093" w:type="dxa"/>
            <w:shd w:val="pct15" w:color="auto" w:fill="auto"/>
          </w:tcPr>
          <w:p w14:paraId="6096B7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1CF10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B23A102" w14:textId="77777777" w:rsidR="00A406E5" w:rsidRDefault="00A406E5">
      <w:pPr>
        <w:rPr>
          <w:rFonts w:ascii="Arial" w:hAnsi="Arial" w:cs="Arial"/>
          <w:sz w:val="32"/>
        </w:rPr>
      </w:pPr>
    </w:p>
    <w:p w14:paraId="10C99D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9AED7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9F8BA36" w14:textId="77777777">
        <w:trPr>
          <w:jc w:val="center"/>
        </w:trPr>
        <w:tc>
          <w:tcPr>
            <w:tcW w:w="10670" w:type="dxa"/>
            <w:shd w:val="clear" w:color="auto" w:fill="BFBFBF"/>
          </w:tcPr>
          <w:p w14:paraId="4F94C93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0C5645" w14:textId="77777777" w:rsidR="00152E9D" w:rsidRPr="00A406E5" w:rsidRDefault="00152E9D" w:rsidP="00152E9D">
      <w:pPr>
        <w:rPr>
          <w:rFonts w:ascii="Arial" w:hAnsi="Arial" w:cs="Arial"/>
        </w:rPr>
      </w:pPr>
    </w:p>
    <w:p w14:paraId="52569F2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D02A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575B2B"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FAD2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6E4C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6708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CB4D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3DA253"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95145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E9167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10B3EC" w14:textId="3F55881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D3179C" w14:textId="77777777" w:rsidR="00152E9D" w:rsidRPr="00A406E5" w:rsidRDefault="00152E9D" w:rsidP="00152E9D">
            <w:pPr>
              <w:jc w:val="center"/>
              <w:rPr>
                <w:rFonts w:ascii="Arial" w:hAnsi="Arial" w:cs="Arial"/>
                <w:sz w:val="32"/>
              </w:rPr>
            </w:pPr>
          </w:p>
        </w:tc>
      </w:tr>
      <w:tr w:rsidR="00152E9D" w:rsidRPr="00A406E5" w14:paraId="4D3B39BC" w14:textId="77777777">
        <w:trPr>
          <w:trHeight w:val="450"/>
        </w:trPr>
        <w:tc>
          <w:tcPr>
            <w:tcW w:w="4169" w:type="pct"/>
            <w:vMerge w:val="restart"/>
            <w:tcBorders>
              <w:top w:val="single" w:sz="4" w:space="0" w:color="auto"/>
              <w:left w:val="single" w:sz="4" w:space="0" w:color="auto"/>
              <w:right w:val="single" w:sz="4" w:space="0" w:color="auto"/>
            </w:tcBorders>
          </w:tcPr>
          <w:p w14:paraId="5D891E4C" w14:textId="77777777" w:rsidR="00152E9D" w:rsidRPr="00A406E5" w:rsidRDefault="00152E9D" w:rsidP="00152E9D">
            <w:pPr>
              <w:spacing w:after="120"/>
              <w:rPr>
                <w:rFonts w:ascii="Arial" w:hAnsi="Arial" w:cs="Arial"/>
                <w:sz w:val="14"/>
                <w:szCs w:val="14"/>
              </w:rPr>
            </w:pPr>
          </w:p>
          <w:p w14:paraId="705C22C5" w14:textId="77777777" w:rsidR="00152E9D" w:rsidRPr="00A406E5" w:rsidRDefault="00152E9D" w:rsidP="00152E9D">
            <w:pPr>
              <w:spacing w:after="120"/>
              <w:rPr>
                <w:rFonts w:ascii="Arial" w:hAnsi="Arial" w:cs="Arial"/>
                <w:sz w:val="14"/>
                <w:szCs w:val="14"/>
              </w:rPr>
            </w:pPr>
          </w:p>
          <w:p w14:paraId="19AEE59E" w14:textId="77777777" w:rsidR="00152E9D" w:rsidRPr="00A406E5" w:rsidRDefault="00152E9D" w:rsidP="00152E9D">
            <w:pPr>
              <w:spacing w:after="120"/>
              <w:rPr>
                <w:rFonts w:ascii="Arial" w:hAnsi="Arial" w:cs="Arial"/>
                <w:sz w:val="14"/>
                <w:szCs w:val="14"/>
              </w:rPr>
            </w:pPr>
          </w:p>
          <w:p w14:paraId="65AB9039" w14:textId="77777777" w:rsidR="00152E9D" w:rsidRPr="00A406E5" w:rsidRDefault="00152E9D" w:rsidP="00152E9D">
            <w:pPr>
              <w:spacing w:after="120"/>
              <w:rPr>
                <w:rFonts w:ascii="Arial" w:hAnsi="Arial" w:cs="Arial"/>
                <w:sz w:val="14"/>
                <w:szCs w:val="14"/>
              </w:rPr>
            </w:pPr>
          </w:p>
          <w:p w14:paraId="01C8D2E5" w14:textId="77777777" w:rsidR="00152E9D" w:rsidRPr="00A406E5" w:rsidRDefault="00152E9D" w:rsidP="00152E9D">
            <w:pPr>
              <w:spacing w:after="120"/>
              <w:rPr>
                <w:rFonts w:ascii="Arial" w:hAnsi="Arial" w:cs="Arial"/>
                <w:sz w:val="14"/>
                <w:szCs w:val="14"/>
              </w:rPr>
            </w:pPr>
          </w:p>
          <w:p w14:paraId="104F5C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8F30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451B75" w14:textId="77777777" w:rsidR="00152E9D" w:rsidRPr="00A406E5" w:rsidRDefault="00152E9D" w:rsidP="00152E9D">
            <w:pPr>
              <w:jc w:val="center"/>
              <w:rPr>
                <w:rFonts w:ascii="Arial" w:hAnsi="Arial" w:cs="Arial"/>
                <w:sz w:val="32"/>
              </w:rPr>
            </w:pPr>
          </w:p>
        </w:tc>
      </w:tr>
      <w:tr w:rsidR="00152E9D" w:rsidRPr="00A406E5" w14:paraId="7BE318D0" w14:textId="77777777">
        <w:trPr>
          <w:trHeight w:val="451"/>
        </w:trPr>
        <w:tc>
          <w:tcPr>
            <w:tcW w:w="4169" w:type="pct"/>
            <w:vMerge/>
            <w:tcBorders>
              <w:left w:val="single" w:sz="4" w:space="0" w:color="auto"/>
              <w:bottom w:val="single" w:sz="4" w:space="0" w:color="auto"/>
              <w:right w:val="single" w:sz="4" w:space="0" w:color="auto"/>
            </w:tcBorders>
          </w:tcPr>
          <w:p w14:paraId="7422C0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296B8" w14:textId="01492C7D" w:rsidR="00152E9D" w:rsidRPr="00A406E5" w:rsidRDefault="008E5D7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CD091A" w14:textId="77777777" w:rsidR="00152E9D" w:rsidRPr="00A406E5" w:rsidRDefault="00152E9D" w:rsidP="00152E9D">
            <w:pPr>
              <w:jc w:val="center"/>
              <w:rPr>
                <w:rFonts w:ascii="Arial" w:hAnsi="Arial" w:cs="Arial"/>
                <w:sz w:val="32"/>
              </w:rPr>
            </w:pPr>
          </w:p>
        </w:tc>
      </w:tr>
      <w:tr w:rsidR="00152E9D" w:rsidRPr="00A406E5" w14:paraId="35BE24F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23BD2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1125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CE3096" w14:textId="2A1598B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AB067" w14:textId="77777777" w:rsidR="00152E9D" w:rsidRPr="00A406E5" w:rsidRDefault="00152E9D" w:rsidP="00152E9D">
            <w:pPr>
              <w:jc w:val="center"/>
              <w:rPr>
                <w:rFonts w:ascii="Arial" w:hAnsi="Arial" w:cs="Arial"/>
                <w:sz w:val="32"/>
              </w:rPr>
            </w:pPr>
          </w:p>
        </w:tc>
      </w:tr>
      <w:tr w:rsidR="00152E9D" w:rsidRPr="00A406E5" w14:paraId="04F45546" w14:textId="77777777">
        <w:trPr>
          <w:trHeight w:val="450"/>
        </w:trPr>
        <w:tc>
          <w:tcPr>
            <w:tcW w:w="4169" w:type="pct"/>
            <w:vMerge w:val="restart"/>
            <w:tcBorders>
              <w:top w:val="single" w:sz="4" w:space="0" w:color="auto"/>
              <w:left w:val="single" w:sz="4" w:space="0" w:color="auto"/>
              <w:right w:val="single" w:sz="4" w:space="0" w:color="auto"/>
            </w:tcBorders>
          </w:tcPr>
          <w:p w14:paraId="5A9C6DB2" w14:textId="77777777" w:rsidR="00152E9D" w:rsidRPr="00A406E5" w:rsidRDefault="00152E9D" w:rsidP="00152E9D">
            <w:pPr>
              <w:spacing w:after="120"/>
              <w:rPr>
                <w:rFonts w:ascii="Arial" w:hAnsi="Arial" w:cs="Arial"/>
                <w:sz w:val="14"/>
                <w:szCs w:val="14"/>
              </w:rPr>
            </w:pPr>
          </w:p>
          <w:p w14:paraId="3E292353" w14:textId="77777777" w:rsidR="00152E9D" w:rsidRPr="00A406E5" w:rsidRDefault="00152E9D" w:rsidP="00152E9D">
            <w:pPr>
              <w:spacing w:after="120"/>
              <w:rPr>
                <w:rFonts w:ascii="Arial" w:hAnsi="Arial" w:cs="Arial"/>
                <w:sz w:val="14"/>
                <w:szCs w:val="14"/>
              </w:rPr>
            </w:pPr>
          </w:p>
          <w:p w14:paraId="4B3D02F0" w14:textId="77777777" w:rsidR="00152E9D" w:rsidRPr="00A406E5" w:rsidRDefault="00152E9D" w:rsidP="00152E9D">
            <w:pPr>
              <w:spacing w:after="120"/>
              <w:rPr>
                <w:rFonts w:ascii="Arial" w:hAnsi="Arial" w:cs="Arial"/>
                <w:sz w:val="14"/>
                <w:szCs w:val="14"/>
              </w:rPr>
            </w:pPr>
          </w:p>
          <w:p w14:paraId="7EA69E94" w14:textId="77777777" w:rsidR="00152E9D" w:rsidRPr="00A406E5" w:rsidRDefault="00152E9D" w:rsidP="00152E9D">
            <w:pPr>
              <w:spacing w:after="120"/>
              <w:rPr>
                <w:rFonts w:ascii="Arial" w:hAnsi="Arial" w:cs="Arial"/>
                <w:sz w:val="14"/>
                <w:szCs w:val="14"/>
              </w:rPr>
            </w:pPr>
          </w:p>
          <w:p w14:paraId="591E9B76" w14:textId="77777777" w:rsidR="00152E9D" w:rsidRPr="00A406E5" w:rsidRDefault="00152E9D" w:rsidP="00152E9D">
            <w:pPr>
              <w:spacing w:after="120"/>
              <w:rPr>
                <w:rFonts w:ascii="Arial" w:hAnsi="Arial" w:cs="Arial"/>
                <w:sz w:val="14"/>
                <w:szCs w:val="14"/>
              </w:rPr>
            </w:pPr>
          </w:p>
          <w:p w14:paraId="063ED5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A10F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DD9D9C" w14:textId="77777777" w:rsidR="00152E9D" w:rsidRPr="00A406E5" w:rsidRDefault="00152E9D" w:rsidP="00152E9D">
            <w:pPr>
              <w:jc w:val="center"/>
              <w:rPr>
                <w:rFonts w:ascii="Arial" w:hAnsi="Arial" w:cs="Arial"/>
                <w:sz w:val="32"/>
              </w:rPr>
            </w:pPr>
          </w:p>
        </w:tc>
      </w:tr>
      <w:tr w:rsidR="00152E9D" w:rsidRPr="00A406E5" w14:paraId="0FB0841A" w14:textId="77777777">
        <w:trPr>
          <w:trHeight w:val="451"/>
        </w:trPr>
        <w:tc>
          <w:tcPr>
            <w:tcW w:w="4169" w:type="pct"/>
            <w:vMerge/>
            <w:tcBorders>
              <w:left w:val="single" w:sz="4" w:space="0" w:color="auto"/>
              <w:bottom w:val="single" w:sz="4" w:space="0" w:color="auto"/>
              <w:right w:val="single" w:sz="4" w:space="0" w:color="auto"/>
            </w:tcBorders>
          </w:tcPr>
          <w:p w14:paraId="2C780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624DD2" w14:textId="7A22AC0D"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502538" w14:textId="77777777" w:rsidR="00152E9D" w:rsidRPr="00A406E5" w:rsidRDefault="00152E9D" w:rsidP="00152E9D">
            <w:pPr>
              <w:jc w:val="center"/>
              <w:rPr>
                <w:rFonts w:ascii="Arial" w:hAnsi="Arial" w:cs="Arial"/>
                <w:sz w:val="32"/>
              </w:rPr>
            </w:pPr>
          </w:p>
        </w:tc>
      </w:tr>
      <w:tr w:rsidR="00152E9D" w:rsidRPr="00A406E5" w14:paraId="0B487C9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1C89A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CCF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23AEE" w14:textId="5043726B"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2B96E5" w14:textId="77777777" w:rsidR="00152E9D" w:rsidRPr="00A406E5" w:rsidRDefault="00152E9D" w:rsidP="00152E9D">
            <w:pPr>
              <w:jc w:val="center"/>
              <w:rPr>
                <w:rFonts w:ascii="Arial" w:hAnsi="Arial" w:cs="Arial"/>
                <w:sz w:val="32"/>
              </w:rPr>
            </w:pPr>
          </w:p>
        </w:tc>
      </w:tr>
      <w:tr w:rsidR="00152E9D" w:rsidRPr="00A406E5" w14:paraId="1628F7AB" w14:textId="77777777">
        <w:trPr>
          <w:trHeight w:val="450"/>
        </w:trPr>
        <w:tc>
          <w:tcPr>
            <w:tcW w:w="4169" w:type="pct"/>
            <w:vMerge w:val="restart"/>
            <w:tcBorders>
              <w:top w:val="single" w:sz="4" w:space="0" w:color="auto"/>
              <w:left w:val="single" w:sz="4" w:space="0" w:color="auto"/>
              <w:right w:val="single" w:sz="4" w:space="0" w:color="auto"/>
            </w:tcBorders>
          </w:tcPr>
          <w:p w14:paraId="76E0D644" w14:textId="77777777" w:rsidR="00152E9D" w:rsidRPr="00A406E5" w:rsidRDefault="00152E9D" w:rsidP="00152E9D">
            <w:pPr>
              <w:spacing w:after="120"/>
              <w:rPr>
                <w:rFonts w:ascii="Arial" w:hAnsi="Arial" w:cs="Arial"/>
                <w:sz w:val="14"/>
                <w:szCs w:val="14"/>
              </w:rPr>
            </w:pPr>
          </w:p>
          <w:p w14:paraId="2A88E2FE" w14:textId="77777777" w:rsidR="00152E9D" w:rsidRPr="00A406E5" w:rsidRDefault="00152E9D" w:rsidP="00152E9D">
            <w:pPr>
              <w:spacing w:after="120"/>
              <w:rPr>
                <w:rFonts w:ascii="Arial" w:hAnsi="Arial" w:cs="Arial"/>
                <w:sz w:val="14"/>
                <w:szCs w:val="14"/>
              </w:rPr>
            </w:pPr>
          </w:p>
          <w:p w14:paraId="60790084" w14:textId="77777777" w:rsidR="00152E9D" w:rsidRPr="00A406E5" w:rsidRDefault="00152E9D" w:rsidP="00152E9D">
            <w:pPr>
              <w:spacing w:after="120"/>
              <w:rPr>
                <w:rFonts w:ascii="Arial" w:hAnsi="Arial" w:cs="Arial"/>
                <w:sz w:val="14"/>
                <w:szCs w:val="14"/>
              </w:rPr>
            </w:pPr>
          </w:p>
          <w:p w14:paraId="1D15A46B" w14:textId="77777777" w:rsidR="00152E9D" w:rsidRPr="00A406E5" w:rsidRDefault="00152E9D" w:rsidP="00152E9D">
            <w:pPr>
              <w:spacing w:after="120"/>
              <w:rPr>
                <w:rFonts w:ascii="Arial" w:hAnsi="Arial" w:cs="Arial"/>
                <w:sz w:val="14"/>
                <w:szCs w:val="14"/>
              </w:rPr>
            </w:pPr>
          </w:p>
          <w:p w14:paraId="625155E4" w14:textId="77777777" w:rsidR="00152E9D" w:rsidRPr="00A406E5" w:rsidRDefault="00152E9D" w:rsidP="00152E9D">
            <w:pPr>
              <w:spacing w:after="120"/>
              <w:rPr>
                <w:rFonts w:ascii="Arial" w:hAnsi="Arial" w:cs="Arial"/>
                <w:sz w:val="14"/>
                <w:szCs w:val="14"/>
              </w:rPr>
            </w:pPr>
          </w:p>
          <w:p w14:paraId="6558E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BFF3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38458" w14:textId="77777777" w:rsidR="00152E9D" w:rsidRPr="00A406E5" w:rsidRDefault="00152E9D" w:rsidP="00152E9D">
            <w:pPr>
              <w:jc w:val="center"/>
              <w:rPr>
                <w:rFonts w:ascii="Arial" w:hAnsi="Arial" w:cs="Arial"/>
                <w:sz w:val="32"/>
              </w:rPr>
            </w:pPr>
          </w:p>
        </w:tc>
      </w:tr>
      <w:tr w:rsidR="00152E9D" w:rsidRPr="00A406E5" w14:paraId="1FC4D170" w14:textId="77777777">
        <w:trPr>
          <w:trHeight w:val="451"/>
        </w:trPr>
        <w:tc>
          <w:tcPr>
            <w:tcW w:w="4169" w:type="pct"/>
            <w:vMerge/>
            <w:tcBorders>
              <w:left w:val="single" w:sz="4" w:space="0" w:color="auto"/>
              <w:bottom w:val="single" w:sz="4" w:space="0" w:color="auto"/>
              <w:right w:val="single" w:sz="4" w:space="0" w:color="auto"/>
            </w:tcBorders>
          </w:tcPr>
          <w:p w14:paraId="3CB20A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8BC5F" w14:textId="78C816F7"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6F3805" w14:textId="77777777" w:rsidR="00152E9D" w:rsidRPr="00A406E5" w:rsidRDefault="00152E9D" w:rsidP="00152E9D">
            <w:pPr>
              <w:jc w:val="center"/>
              <w:rPr>
                <w:rFonts w:ascii="Arial" w:hAnsi="Arial" w:cs="Arial"/>
                <w:sz w:val="32"/>
              </w:rPr>
            </w:pPr>
          </w:p>
        </w:tc>
      </w:tr>
      <w:tr w:rsidR="00152E9D" w:rsidRPr="00A406E5" w14:paraId="3492ABC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CA383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17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1A7CB1" w14:textId="1DA9A44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E702F" w14:textId="77777777" w:rsidR="00152E9D" w:rsidRPr="00A406E5" w:rsidRDefault="00152E9D" w:rsidP="00152E9D">
            <w:pPr>
              <w:jc w:val="center"/>
              <w:rPr>
                <w:rFonts w:ascii="Arial" w:hAnsi="Arial" w:cs="Arial"/>
                <w:sz w:val="32"/>
              </w:rPr>
            </w:pPr>
          </w:p>
        </w:tc>
      </w:tr>
      <w:tr w:rsidR="00152E9D" w:rsidRPr="00A406E5" w14:paraId="3244D256" w14:textId="77777777">
        <w:trPr>
          <w:trHeight w:val="451"/>
        </w:trPr>
        <w:tc>
          <w:tcPr>
            <w:tcW w:w="4169" w:type="pct"/>
            <w:vMerge w:val="restart"/>
            <w:tcBorders>
              <w:top w:val="single" w:sz="4" w:space="0" w:color="auto"/>
              <w:left w:val="single" w:sz="4" w:space="0" w:color="auto"/>
              <w:right w:val="single" w:sz="4" w:space="0" w:color="auto"/>
            </w:tcBorders>
          </w:tcPr>
          <w:p w14:paraId="79D45F3B" w14:textId="77777777" w:rsidR="00152E9D" w:rsidRPr="00A406E5" w:rsidRDefault="00152E9D" w:rsidP="00152E9D">
            <w:pPr>
              <w:spacing w:after="120"/>
              <w:rPr>
                <w:rFonts w:ascii="Arial" w:hAnsi="Arial" w:cs="Arial"/>
                <w:sz w:val="14"/>
                <w:szCs w:val="14"/>
              </w:rPr>
            </w:pPr>
          </w:p>
          <w:p w14:paraId="63566340" w14:textId="77777777" w:rsidR="00152E9D" w:rsidRPr="00A406E5" w:rsidRDefault="00152E9D" w:rsidP="00152E9D">
            <w:pPr>
              <w:spacing w:after="120"/>
              <w:rPr>
                <w:rFonts w:ascii="Arial" w:hAnsi="Arial" w:cs="Arial"/>
                <w:sz w:val="14"/>
                <w:szCs w:val="14"/>
              </w:rPr>
            </w:pPr>
          </w:p>
          <w:p w14:paraId="042A822B" w14:textId="77777777" w:rsidR="00152E9D" w:rsidRPr="00A406E5" w:rsidRDefault="00152E9D" w:rsidP="00152E9D">
            <w:pPr>
              <w:spacing w:after="120"/>
              <w:rPr>
                <w:rFonts w:ascii="Arial" w:hAnsi="Arial" w:cs="Arial"/>
                <w:sz w:val="14"/>
                <w:szCs w:val="14"/>
              </w:rPr>
            </w:pPr>
          </w:p>
          <w:p w14:paraId="6DDA33E1" w14:textId="77777777" w:rsidR="00152E9D" w:rsidRPr="00A406E5" w:rsidRDefault="00152E9D" w:rsidP="00152E9D">
            <w:pPr>
              <w:spacing w:after="120"/>
              <w:rPr>
                <w:rFonts w:ascii="Arial" w:hAnsi="Arial" w:cs="Arial"/>
                <w:sz w:val="14"/>
                <w:szCs w:val="14"/>
              </w:rPr>
            </w:pPr>
          </w:p>
          <w:p w14:paraId="670542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DC2E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FD7380" w14:textId="77777777" w:rsidR="00152E9D" w:rsidRPr="00A406E5" w:rsidRDefault="00152E9D" w:rsidP="00152E9D">
            <w:pPr>
              <w:jc w:val="center"/>
              <w:rPr>
                <w:rFonts w:ascii="Arial" w:hAnsi="Arial" w:cs="Arial"/>
                <w:sz w:val="32"/>
              </w:rPr>
            </w:pPr>
          </w:p>
        </w:tc>
      </w:tr>
      <w:tr w:rsidR="00152E9D" w:rsidRPr="00A406E5" w14:paraId="216F3C7D" w14:textId="77777777">
        <w:trPr>
          <w:trHeight w:val="450"/>
        </w:trPr>
        <w:tc>
          <w:tcPr>
            <w:tcW w:w="4169" w:type="pct"/>
            <w:vMerge/>
            <w:tcBorders>
              <w:left w:val="single" w:sz="4" w:space="0" w:color="auto"/>
              <w:bottom w:val="single" w:sz="4" w:space="0" w:color="auto"/>
              <w:right w:val="single" w:sz="4" w:space="0" w:color="auto"/>
            </w:tcBorders>
          </w:tcPr>
          <w:p w14:paraId="154609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81ECF" w14:textId="5CBE06AE" w:rsidR="00152E9D" w:rsidRPr="00A406E5" w:rsidRDefault="008E5D7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022C86A" w14:textId="77777777" w:rsidR="00152E9D" w:rsidRPr="00A406E5" w:rsidRDefault="00152E9D" w:rsidP="00152E9D">
            <w:pPr>
              <w:jc w:val="center"/>
              <w:rPr>
                <w:rFonts w:ascii="Arial" w:hAnsi="Arial" w:cs="Arial"/>
                <w:sz w:val="32"/>
              </w:rPr>
            </w:pPr>
          </w:p>
        </w:tc>
      </w:tr>
      <w:tr w:rsidR="00152E9D" w:rsidRPr="00A406E5" w14:paraId="78282D2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37040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72FD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840D78" w14:textId="4891837D"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57A0E" w14:textId="77777777" w:rsidR="00152E9D" w:rsidRPr="00A406E5" w:rsidRDefault="00152E9D" w:rsidP="00152E9D">
            <w:pPr>
              <w:jc w:val="center"/>
              <w:rPr>
                <w:rFonts w:ascii="Arial" w:hAnsi="Arial" w:cs="Arial"/>
                <w:sz w:val="32"/>
              </w:rPr>
            </w:pPr>
          </w:p>
        </w:tc>
      </w:tr>
      <w:tr w:rsidR="00152E9D" w:rsidRPr="00A406E5" w14:paraId="524963E4" w14:textId="77777777">
        <w:trPr>
          <w:trHeight w:val="451"/>
        </w:trPr>
        <w:tc>
          <w:tcPr>
            <w:tcW w:w="4169" w:type="pct"/>
            <w:vMerge w:val="restart"/>
            <w:tcBorders>
              <w:top w:val="single" w:sz="4" w:space="0" w:color="auto"/>
              <w:left w:val="single" w:sz="4" w:space="0" w:color="auto"/>
              <w:right w:val="single" w:sz="4" w:space="0" w:color="auto"/>
            </w:tcBorders>
          </w:tcPr>
          <w:p w14:paraId="3859D2C4" w14:textId="77777777" w:rsidR="00152E9D" w:rsidRPr="00A406E5" w:rsidRDefault="00152E9D" w:rsidP="00152E9D">
            <w:pPr>
              <w:spacing w:after="120"/>
              <w:rPr>
                <w:rFonts w:ascii="Arial" w:hAnsi="Arial" w:cs="Arial"/>
                <w:sz w:val="14"/>
                <w:szCs w:val="14"/>
              </w:rPr>
            </w:pPr>
          </w:p>
          <w:p w14:paraId="68F784B0" w14:textId="77777777" w:rsidR="00152E9D" w:rsidRPr="00A406E5" w:rsidRDefault="00152E9D" w:rsidP="00152E9D">
            <w:pPr>
              <w:spacing w:after="120"/>
              <w:rPr>
                <w:rFonts w:ascii="Arial" w:hAnsi="Arial" w:cs="Arial"/>
                <w:sz w:val="14"/>
                <w:szCs w:val="14"/>
              </w:rPr>
            </w:pPr>
          </w:p>
          <w:p w14:paraId="7AAA4BD2" w14:textId="77777777" w:rsidR="00152E9D" w:rsidRPr="00A406E5" w:rsidRDefault="00152E9D" w:rsidP="00152E9D">
            <w:pPr>
              <w:spacing w:after="120"/>
              <w:rPr>
                <w:rFonts w:ascii="Arial" w:hAnsi="Arial" w:cs="Arial"/>
                <w:sz w:val="14"/>
                <w:szCs w:val="14"/>
              </w:rPr>
            </w:pPr>
          </w:p>
          <w:p w14:paraId="722BA9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0347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D519BD" w14:textId="77777777" w:rsidR="00152E9D" w:rsidRPr="00A406E5" w:rsidRDefault="00152E9D" w:rsidP="00152E9D">
            <w:pPr>
              <w:jc w:val="center"/>
              <w:rPr>
                <w:rFonts w:ascii="Arial" w:hAnsi="Arial" w:cs="Arial"/>
                <w:sz w:val="32"/>
              </w:rPr>
            </w:pPr>
          </w:p>
        </w:tc>
      </w:tr>
      <w:tr w:rsidR="00152E9D" w:rsidRPr="00A406E5" w14:paraId="19DF6E92" w14:textId="77777777">
        <w:trPr>
          <w:trHeight w:val="450"/>
        </w:trPr>
        <w:tc>
          <w:tcPr>
            <w:tcW w:w="4169" w:type="pct"/>
            <w:vMerge/>
            <w:tcBorders>
              <w:left w:val="single" w:sz="4" w:space="0" w:color="auto"/>
              <w:bottom w:val="single" w:sz="4" w:space="0" w:color="auto"/>
              <w:right w:val="single" w:sz="4" w:space="0" w:color="auto"/>
            </w:tcBorders>
          </w:tcPr>
          <w:p w14:paraId="648A01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45631" w14:textId="58180FD4"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31B502C" w14:textId="77777777" w:rsidR="00152E9D" w:rsidRPr="00A406E5" w:rsidRDefault="00152E9D" w:rsidP="00152E9D">
            <w:pPr>
              <w:jc w:val="center"/>
              <w:rPr>
                <w:rFonts w:ascii="Arial" w:hAnsi="Arial" w:cs="Arial"/>
                <w:sz w:val="32"/>
              </w:rPr>
            </w:pPr>
          </w:p>
        </w:tc>
      </w:tr>
    </w:tbl>
    <w:p w14:paraId="2BA18E90" w14:textId="77777777" w:rsidR="00152E9D" w:rsidRPr="00A406E5" w:rsidRDefault="00152E9D" w:rsidP="00D528DF">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1CE43" w14:textId="77777777">
        <w:trPr>
          <w:cantSplit/>
        </w:trPr>
        <w:tc>
          <w:tcPr>
            <w:tcW w:w="6062" w:type="dxa"/>
            <w:vMerge w:val="restart"/>
            <w:shd w:val="pct15" w:color="auto" w:fill="auto"/>
            <w:vAlign w:val="center"/>
          </w:tcPr>
          <w:p w14:paraId="6FE6F4A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4418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70FB3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9CE7B2" w14:textId="77777777">
        <w:trPr>
          <w:cantSplit/>
        </w:trPr>
        <w:tc>
          <w:tcPr>
            <w:tcW w:w="6062" w:type="dxa"/>
            <w:vMerge/>
            <w:vAlign w:val="bottom"/>
          </w:tcPr>
          <w:p w14:paraId="4132A832" w14:textId="77777777" w:rsidR="00152E9D" w:rsidRPr="00A406E5" w:rsidRDefault="00152E9D" w:rsidP="00152E9D">
            <w:pPr>
              <w:rPr>
                <w:rFonts w:ascii="Arial" w:hAnsi="Arial" w:cs="Arial"/>
              </w:rPr>
            </w:pPr>
          </w:p>
        </w:tc>
        <w:tc>
          <w:tcPr>
            <w:tcW w:w="2903" w:type="dxa"/>
            <w:vAlign w:val="bottom"/>
          </w:tcPr>
          <w:p w14:paraId="4F6B67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6B6B3B" w14:textId="77777777" w:rsidR="00152E9D" w:rsidRPr="00A406E5" w:rsidRDefault="00152E9D" w:rsidP="00152E9D">
            <w:pPr>
              <w:jc w:val="center"/>
              <w:rPr>
                <w:rFonts w:ascii="Arial" w:hAnsi="Arial" w:cs="Arial"/>
                <w:sz w:val="12"/>
                <w:szCs w:val="12"/>
              </w:rPr>
            </w:pPr>
          </w:p>
        </w:tc>
        <w:tc>
          <w:tcPr>
            <w:tcW w:w="1060" w:type="dxa"/>
            <w:vMerge/>
            <w:vAlign w:val="bottom"/>
          </w:tcPr>
          <w:p w14:paraId="41FD9DD6" w14:textId="77777777" w:rsidR="00152E9D" w:rsidRPr="00A406E5" w:rsidRDefault="00152E9D" w:rsidP="0037301C">
            <w:pPr>
              <w:ind w:leftChars="71" w:left="142"/>
              <w:rPr>
                <w:rFonts w:ascii="Arial" w:hAnsi="Arial" w:cs="Arial"/>
              </w:rPr>
            </w:pPr>
          </w:p>
        </w:tc>
      </w:tr>
    </w:tbl>
    <w:p w14:paraId="6DE73ADD" w14:textId="127EA365" w:rsidR="00D528DF" w:rsidRDefault="00D528DF">
      <w:pPr>
        <w:rPr>
          <w:rFonts w:ascii="Arial" w:hAnsi="Arial" w:cs="Arial"/>
          <w:b/>
        </w:rPr>
      </w:pPr>
    </w:p>
    <w:p w14:paraId="1F4F2718" w14:textId="3A9B8F8C" w:rsidR="00AA1E54" w:rsidRDefault="00AA1E54">
      <w:pPr>
        <w:rPr>
          <w:rFonts w:ascii="Arial" w:hAnsi="Arial" w:cs="Arial"/>
          <w:b/>
        </w:rPr>
      </w:pPr>
    </w:p>
    <w:p w14:paraId="7CDEC0CD" w14:textId="08977B9A" w:rsidR="00AA1E54" w:rsidRDefault="00AA1E54">
      <w:pPr>
        <w:rPr>
          <w:rFonts w:ascii="Arial" w:hAnsi="Arial" w:cs="Arial"/>
          <w:b/>
        </w:rPr>
      </w:pPr>
    </w:p>
    <w:p w14:paraId="6B65B571" w14:textId="77777777" w:rsidR="004B7E51" w:rsidRPr="004B7E51" w:rsidRDefault="004B7E51" w:rsidP="004B7E51">
      <w:pPr>
        <w:spacing w:after="160" w:line="259" w:lineRule="auto"/>
        <w:rPr>
          <w:rFonts w:eastAsia="Calibri"/>
          <w:b/>
          <w:sz w:val="24"/>
          <w:szCs w:val="24"/>
          <w:u w:val="single"/>
          <w:lang w:eastAsia="en-US"/>
        </w:rPr>
      </w:pPr>
      <w:r w:rsidRPr="004B7E51">
        <w:rPr>
          <w:rFonts w:eastAsia="Calibri"/>
          <w:b/>
          <w:sz w:val="24"/>
          <w:szCs w:val="24"/>
          <w:u w:val="single"/>
          <w:lang w:eastAsia="en-US"/>
        </w:rPr>
        <w:lastRenderedPageBreak/>
        <w:t>Evaluate how adventurous activities contribute to the development of children’s physical literacy.</w:t>
      </w:r>
    </w:p>
    <w:p w14:paraId="37EE944E" w14:textId="7197E12E"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 xml:space="preserve">Physical literacy is a concept most notably discussed by Whitehead. The idea of physical literacy comes from monist and holistic routes (Whitehead, 2013, </w:t>
      </w:r>
      <w:proofErr w:type="gramStart"/>
      <w:r w:rsidRPr="004B7E51">
        <w:rPr>
          <w:rFonts w:eastAsia="Calibri"/>
          <w:sz w:val="24"/>
          <w:szCs w:val="24"/>
          <w:lang w:eastAsia="en-US"/>
        </w:rPr>
        <w:t>p.38)(</w:t>
      </w:r>
      <w:proofErr w:type="spellStart"/>
      <w:proofErr w:type="gramEnd"/>
      <w:r w:rsidRPr="004B7E51">
        <w:rPr>
          <w:rFonts w:eastAsia="Calibri"/>
          <w:sz w:val="24"/>
          <w:szCs w:val="24"/>
          <w:lang w:eastAsia="en-US"/>
        </w:rPr>
        <w:t>Jurbala</w:t>
      </w:r>
      <w:proofErr w:type="spellEnd"/>
      <w:r w:rsidRPr="004B7E51">
        <w:rPr>
          <w:rFonts w:eastAsia="Calibri"/>
          <w:sz w:val="24"/>
          <w:szCs w:val="24"/>
          <w:lang w:eastAsia="en-US"/>
        </w:rPr>
        <w:t xml:space="preserve">, 2015, p.377). The monist and holistic idea is that the mind and body are connected, and can’t be separated (Whitehead, 2013, </w:t>
      </w:r>
      <w:proofErr w:type="gramStart"/>
      <w:r w:rsidRPr="004B7E51">
        <w:rPr>
          <w:rFonts w:eastAsia="Calibri"/>
          <w:sz w:val="24"/>
          <w:szCs w:val="24"/>
          <w:lang w:eastAsia="en-US"/>
        </w:rPr>
        <w:t>p.38)(</w:t>
      </w:r>
      <w:proofErr w:type="spellStart"/>
      <w:proofErr w:type="gramEnd"/>
      <w:r w:rsidRPr="004B7E51">
        <w:rPr>
          <w:rFonts w:eastAsia="Calibri"/>
          <w:sz w:val="24"/>
          <w:szCs w:val="24"/>
          <w:lang w:eastAsia="en-US"/>
        </w:rPr>
        <w:t>Jurbala</w:t>
      </w:r>
      <w:proofErr w:type="spellEnd"/>
      <w:r w:rsidRPr="004B7E51">
        <w:rPr>
          <w:rFonts w:eastAsia="Calibri"/>
          <w:sz w:val="24"/>
          <w:szCs w:val="24"/>
          <w:lang w:eastAsia="en-US"/>
        </w:rPr>
        <w:t xml:space="preserve">, 2015, p.369). This can then be referred to as human embodiment as a state of being united in body and mind (Whitehead, 2013) For example negative emotions can affect an individual’s physical performance (Ewert and Sibthorp, 2014, p.82). This essay will discuss the role of adventure activities, and outdoor adventure education in the growth of children’s physical literacy, </w:t>
      </w:r>
      <w:proofErr w:type="gramStart"/>
      <w:r w:rsidRPr="004B7E51">
        <w:rPr>
          <w:rFonts w:eastAsia="Calibri"/>
          <w:sz w:val="24"/>
          <w:szCs w:val="24"/>
          <w:lang w:eastAsia="en-US"/>
        </w:rPr>
        <w:t>through the use of</w:t>
      </w:r>
      <w:proofErr w:type="gramEnd"/>
      <w:r w:rsidRPr="004B7E51">
        <w:rPr>
          <w:rFonts w:eastAsia="Calibri"/>
          <w:sz w:val="24"/>
          <w:szCs w:val="24"/>
          <w:lang w:eastAsia="en-US"/>
        </w:rPr>
        <w:t xml:space="preserve"> base skills, interaction with the world, individually tailored approach </w:t>
      </w:r>
      <w:r w:rsidR="00957B74" w:rsidRPr="004B7E51">
        <w:rPr>
          <w:rFonts w:eastAsia="Calibri"/>
          <w:sz w:val="24"/>
          <w:szCs w:val="24"/>
          <w:lang w:eastAsia="en-US"/>
        </w:rPr>
        <w:t>and</w:t>
      </w:r>
      <w:r w:rsidRPr="004B7E51">
        <w:rPr>
          <w:rFonts w:eastAsia="Calibri"/>
          <w:sz w:val="24"/>
          <w:szCs w:val="24"/>
          <w:lang w:eastAsia="en-US"/>
        </w:rPr>
        <w:t xml:space="preserve"> experiential learning.</w:t>
      </w:r>
    </w:p>
    <w:p w14:paraId="56BC4FAC"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Outdoor adventure education (OAE) tends to be holistic focussing first on basic skills that can then be developed (Ewert and Sibthorp, 2014, p.90). These basic skills can be referred to as fundamental motor skills (FMS) (</w:t>
      </w:r>
      <w:proofErr w:type="spellStart"/>
      <w:r w:rsidRPr="004B7E51">
        <w:rPr>
          <w:rFonts w:eastAsia="Calibri"/>
          <w:sz w:val="24"/>
          <w:szCs w:val="24"/>
          <w:lang w:eastAsia="en-US"/>
        </w:rPr>
        <w:t>Jurbala</w:t>
      </w:r>
      <w:proofErr w:type="spellEnd"/>
      <w:r w:rsidRPr="004B7E51">
        <w:rPr>
          <w:rFonts w:eastAsia="Calibri"/>
          <w:sz w:val="24"/>
          <w:szCs w:val="24"/>
          <w:lang w:eastAsia="en-US"/>
        </w:rPr>
        <w:t>, 2015, p.377). FMS form the base of an active lifestyle (</w:t>
      </w:r>
      <w:proofErr w:type="spellStart"/>
      <w:r w:rsidRPr="004B7E51">
        <w:rPr>
          <w:rFonts w:eastAsia="Calibri"/>
          <w:sz w:val="24"/>
          <w:szCs w:val="24"/>
          <w:lang w:eastAsia="en-US"/>
        </w:rPr>
        <w:t>Lubans</w:t>
      </w:r>
      <w:proofErr w:type="spellEnd"/>
      <w:r w:rsidRPr="004B7E51">
        <w:rPr>
          <w:rFonts w:eastAsia="Calibri"/>
          <w:sz w:val="24"/>
          <w:szCs w:val="24"/>
          <w:lang w:eastAsia="en-US"/>
        </w:rPr>
        <w:t xml:space="preserve"> et al, 2010, p.1019-1020) and physical literacy, with exercise as a lifelong habit (Whitehead, 2013, p.41). Adventurous activities can help to provide a range of activities that can give children a wide grounding of skills (Killingbeck et al, 2007, p.21). This base can then be used to engage in a variety of physical activities (</w:t>
      </w:r>
      <w:proofErr w:type="spellStart"/>
      <w:r w:rsidRPr="004B7E51">
        <w:rPr>
          <w:rFonts w:eastAsia="Calibri"/>
          <w:sz w:val="24"/>
          <w:szCs w:val="24"/>
          <w:lang w:eastAsia="en-US"/>
        </w:rPr>
        <w:t>Jurbala</w:t>
      </w:r>
      <w:proofErr w:type="spellEnd"/>
      <w:r w:rsidRPr="004B7E51">
        <w:rPr>
          <w:rFonts w:eastAsia="Calibri"/>
          <w:sz w:val="24"/>
          <w:szCs w:val="24"/>
          <w:lang w:eastAsia="en-US"/>
        </w:rPr>
        <w:t>, 2015, p.370). FMS includes the ABC (agility, balance, and co-ordination) movement skills.  It is important for these skills to be taught young (</w:t>
      </w:r>
      <w:proofErr w:type="spellStart"/>
      <w:r w:rsidRPr="004B7E51">
        <w:rPr>
          <w:rFonts w:eastAsia="Calibri"/>
          <w:sz w:val="24"/>
          <w:szCs w:val="24"/>
          <w:lang w:eastAsia="en-US"/>
        </w:rPr>
        <w:t>Lubans</w:t>
      </w:r>
      <w:proofErr w:type="spellEnd"/>
      <w:r w:rsidRPr="004B7E51">
        <w:rPr>
          <w:rFonts w:eastAsia="Calibri"/>
          <w:sz w:val="24"/>
          <w:szCs w:val="24"/>
          <w:lang w:eastAsia="en-US"/>
        </w:rPr>
        <w:t xml:space="preserve"> et at, 2010, p.1033) as the neurological pathways formed in childhood </w:t>
      </w:r>
      <w:proofErr w:type="gramStart"/>
      <w:r w:rsidRPr="004B7E51">
        <w:rPr>
          <w:rFonts w:eastAsia="Calibri"/>
          <w:sz w:val="24"/>
          <w:szCs w:val="24"/>
          <w:lang w:eastAsia="en-US"/>
        </w:rPr>
        <w:t>can’t</w:t>
      </w:r>
      <w:proofErr w:type="gramEnd"/>
      <w:r w:rsidRPr="004B7E51">
        <w:rPr>
          <w:rFonts w:eastAsia="Calibri"/>
          <w:sz w:val="24"/>
          <w:szCs w:val="24"/>
          <w:lang w:eastAsia="en-US"/>
        </w:rPr>
        <w:t xml:space="preserve"> be formed post puberty (Rawlinson, 2019). In rock climbing all the ABCs combined with strength, are required even at a very basic level (Killingbeck et al, 2007, p.21). Climbing requires counterbalance and body tension to maintain a good centre of gravity on the wall (Killingbeck et al, 2007, p.21), making climbing an ideal activity to help children to become aware of themselves in their surroundings. Proficient climbers and kayakers adapt their body movement to meet challenges (Killingbeck et al, 2007, p.23). This can be referred to as tacit knowledge, so </w:t>
      </w:r>
      <w:proofErr w:type="gramStart"/>
      <w:r w:rsidRPr="004B7E51">
        <w:rPr>
          <w:rFonts w:eastAsia="Calibri"/>
          <w:sz w:val="24"/>
          <w:szCs w:val="24"/>
          <w:lang w:eastAsia="en-US"/>
        </w:rPr>
        <w:t>it’s</w:t>
      </w:r>
      <w:proofErr w:type="gramEnd"/>
      <w:r w:rsidRPr="004B7E51">
        <w:rPr>
          <w:rFonts w:eastAsia="Calibri"/>
          <w:sz w:val="24"/>
          <w:szCs w:val="24"/>
          <w:lang w:eastAsia="en-US"/>
        </w:rPr>
        <w:t xml:space="preserve"> rarely articulated (Whitehead, 2013, p.40). All adventure activities require some of these base skills in a fun and enjoyable way, helping to provide children with a good base for their physical literacy (Hodgson and Berry, 2011, p.33). It is important for these skills to be taught and reinforced in children (Gallahue and Ozmun and Goodway, 2012, p.241).</w:t>
      </w:r>
    </w:p>
    <w:p w14:paraId="11496370" w14:textId="522B594B"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There is a connection to the world and individual’s interaction with the world (Whitehead, 2013, p.39). Wattchow and Brown (2011, p.52) state that life loses meaning when people lose connection with where they are. Whitehead (2013, p.40) indicated that the world should be viewed from the embodied being. The idea being that people shape places and places shape people (</w:t>
      </w:r>
      <w:proofErr w:type="spellStart"/>
      <w:r w:rsidRPr="004B7E51">
        <w:rPr>
          <w:rFonts w:eastAsia="Calibri"/>
          <w:sz w:val="24"/>
          <w:szCs w:val="24"/>
          <w:lang w:eastAsia="en-US"/>
        </w:rPr>
        <w:t>Whattchow</w:t>
      </w:r>
      <w:proofErr w:type="spellEnd"/>
      <w:r w:rsidRPr="004B7E51">
        <w:rPr>
          <w:rFonts w:eastAsia="Calibri"/>
          <w:sz w:val="24"/>
          <w:szCs w:val="24"/>
          <w:lang w:eastAsia="en-US"/>
        </w:rPr>
        <w:t xml:space="preserve"> and Brown, 2011). People interact with the world (Whitehead, 2013, p.39) enabling skills to be achieved. Interaction with the environment is known as affordances. Priest et al (2014, p.101) state that affordances are the “Action possibilities the environment offers the animal” (quote Gibson).  With the increase of “overparenting” and advancement in technology, children are losing their imagination and ability to entertain themselves </w:t>
      </w:r>
      <w:r w:rsidR="00A36A8D">
        <w:rPr>
          <w:rFonts w:eastAsia="Calibri"/>
          <w:sz w:val="24"/>
          <w:szCs w:val="24"/>
          <w:lang w:eastAsia="en-US"/>
        </w:rPr>
        <w:t>(</w:t>
      </w:r>
      <w:proofErr w:type="spellStart"/>
      <w:r w:rsidR="00A36A8D">
        <w:rPr>
          <w:rFonts w:eastAsia="Calibri"/>
          <w:sz w:val="24"/>
          <w:szCs w:val="24"/>
          <w:lang w:eastAsia="en-US"/>
        </w:rPr>
        <w:t>Mcburnie</w:t>
      </w:r>
      <w:proofErr w:type="spellEnd"/>
      <w:r w:rsidR="00402674" w:rsidRPr="00B91B77">
        <w:rPr>
          <w:rFonts w:eastAsia="Calibri"/>
          <w:sz w:val="24"/>
          <w:szCs w:val="24"/>
          <w:lang w:eastAsia="en-US"/>
        </w:rPr>
        <w:t xml:space="preserve"> 2014,</w:t>
      </w:r>
      <w:r w:rsidR="00A36A8D">
        <w:rPr>
          <w:rFonts w:eastAsia="Calibri"/>
          <w:sz w:val="24"/>
          <w:szCs w:val="24"/>
          <w:lang w:eastAsia="en-US"/>
        </w:rPr>
        <w:t xml:space="preserve"> p.25</w:t>
      </w:r>
      <w:r w:rsidR="003C3863">
        <w:rPr>
          <w:rFonts w:eastAsia="Calibri"/>
          <w:sz w:val="24"/>
          <w:szCs w:val="24"/>
          <w:lang w:eastAsia="en-US"/>
        </w:rPr>
        <w:t>),</w:t>
      </w:r>
      <w:r w:rsidRPr="004B7E51">
        <w:rPr>
          <w:rFonts w:eastAsia="Calibri"/>
          <w:sz w:val="24"/>
          <w:szCs w:val="24"/>
          <w:lang w:eastAsia="en-US"/>
        </w:rPr>
        <w:t xml:space="preserve"> combined with the removal of adventure and challenge from playgrounds (Gill, 2010, p.20), is limiting their ability to recognise affordances. Adventure activities play a key role in helping children to realise the affordances of the environment around them. Adventure activities tend to be unique and varying (Killingbeck et al, 2007, p.21), providing something new and exciting (Beames and Mackie and Atencio, 2019, p.33). The wide range of environments that adventure activities can take part in promotes exploration (Killingbeck et al, 2007, p.21), leading to the discovery of affordances. Going to a new environment can help children to form a fresh perspective (Hodgson and Berry, 2011, p.32), and engage in their physical literacy from the affordances they discover. Children should be encouraged to go outside more (</w:t>
      </w:r>
      <w:proofErr w:type="spellStart"/>
      <w:r w:rsidRPr="004B7E51">
        <w:rPr>
          <w:rFonts w:eastAsia="Calibri"/>
          <w:sz w:val="24"/>
          <w:szCs w:val="24"/>
          <w:lang w:eastAsia="en-US"/>
        </w:rPr>
        <w:t>Mcburnie</w:t>
      </w:r>
      <w:proofErr w:type="spellEnd"/>
      <w:r w:rsidRPr="004B7E51">
        <w:rPr>
          <w:rFonts w:eastAsia="Calibri"/>
          <w:sz w:val="24"/>
          <w:szCs w:val="24"/>
          <w:lang w:eastAsia="en-US"/>
        </w:rPr>
        <w:t>,</w:t>
      </w:r>
      <w:r w:rsidR="003C3863">
        <w:rPr>
          <w:rFonts w:eastAsia="Calibri"/>
          <w:sz w:val="24"/>
          <w:szCs w:val="24"/>
          <w:lang w:eastAsia="en-US"/>
        </w:rPr>
        <w:t xml:space="preserve"> 2014,</w:t>
      </w:r>
      <w:r w:rsidRPr="004B7E51">
        <w:rPr>
          <w:rFonts w:eastAsia="Calibri"/>
          <w:sz w:val="24"/>
          <w:szCs w:val="24"/>
          <w:lang w:eastAsia="en-US"/>
        </w:rPr>
        <w:t xml:space="preserve"> p.25) to discover the affordances available to them. Outdoor adventure activities provide good motivation for getting outside and for appreciating the affordances and skills available (Killingbeck et al, 2007, p.23) (Ewert and Sibthorp, 2014, p.137).</w:t>
      </w:r>
    </w:p>
    <w:p w14:paraId="47786D05"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 xml:space="preserve">For physical literacy to be a lifelong process, children need to be able to take responsibility for their own learning. To do this each child needs to be viewed as an individual (Whitehead, 2013, p.45) and to be included. Outdoor adventure activities naturally include all (Hodgson and Berry, 2011, p.40) and aim to </w:t>
      </w:r>
      <w:r w:rsidRPr="004B7E51">
        <w:rPr>
          <w:rFonts w:eastAsia="Calibri"/>
          <w:sz w:val="24"/>
          <w:szCs w:val="24"/>
          <w:lang w:eastAsia="en-US"/>
        </w:rPr>
        <w:lastRenderedPageBreak/>
        <w:t xml:space="preserve">look to the needs of the individual (Hodgson and Berry, 2011, p.39). Yet logistic such as large group sizes and staff with limited skill, make it difficult to plan for the needs of the participant (Hodgson and Berry, 2011, p.24-25). This can reduce the impact on all participants physical literacy. For good delivery of physical literacy children’s progress should be looked at individually (Whitehead, 2013, p.45). The climbing NICAS program is very good for looking at children’s progress individually while increasing their physical literacy. For </w:t>
      </w:r>
      <w:proofErr w:type="gramStart"/>
      <w:r w:rsidRPr="004B7E51">
        <w:rPr>
          <w:rFonts w:eastAsia="Calibri"/>
          <w:sz w:val="24"/>
          <w:szCs w:val="24"/>
          <w:lang w:eastAsia="en-US"/>
        </w:rPr>
        <w:t>example</w:t>
      </w:r>
      <w:proofErr w:type="gramEnd"/>
      <w:r w:rsidRPr="004B7E51">
        <w:rPr>
          <w:rFonts w:eastAsia="Calibri"/>
          <w:sz w:val="24"/>
          <w:szCs w:val="24"/>
          <w:lang w:eastAsia="en-US"/>
        </w:rPr>
        <w:t xml:space="preserve"> the NICAS (National indoor climbing award schemes) program covers 5 levels, to move up a level, children must first demonstrate completion of a relevant set of skills laid out (NICAS, 2017). This is working on a principle of self-assessment, important for establishing physical literacy as a lifelong personal journey (Whitehead, 2013, p.47). It is important for children to take part in their own learning and for that to be encouraged by those facilitating adventurous activities (Whitehead, 2013, p.47). Within OAE, facilitators guide participants to find solutions to challenges for themselves (Ewert and Sibthorp, 2014, p.54), with autonomous activities being valued (Hodgson and Berry, 2011, p.30). A good example of adventure activity would be team building with children working our problems to solutions for themselves. However, withing team building activities some children may be left out by the rest of the group, limiting the effectiveness for all children. There is a need to design each activity to the skills you are targeting for each individual (Ewert and Sibthorp, 2014, p.11), to meet their physical literacy needs.</w:t>
      </w:r>
    </w:p>
    <w:p w14:paraId="71FB2E88"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When delivering adventure activities for physical literacy it is important to be sensitive to each child’s background (Whitehead, 2013, p.45). The physical literacy skills delivered within schools may be the only opportunity for children to develop their physical literacy (Whitehead, 2013, p.44). There are some children who are given many opportunities outside of school, while others have none. In response to closure of many outdoor centres due to the pandemic, Save Outdoor Education (2021) wrote:</w:t>
      </w:r>
    </w:p>
    <w:p w14:paraId="4C350FD1" w14:textId="77777777" w:rsidR="004B7E51" w:rsidRPr="004B7E51" w:rsidRDefault="004B7E51" w:rsidP="004B7E51">
      <w:pPr>
        <w:spacing w:after="160" w:line="259" w:lineRule="auto"/>
        <w:ind w:left="720"/>
        <w:rPr>
          <w:rFonts w:eastAsia="Calibri"/>
          <w:sz w:val="24"/>
          <w:szCs w:val="24"/>
          <w:lang w:eastAsia="en-US"/>
        </w:rPr>
      </w:pPr>
      <w:r w:rsidRPr="004B7E51">
        <w:rPr>
          <w:rFonts w:eastAsia="Calibri"/>
          <w:sz w:val="24"/>
          <w:szCs w:val="24"/>
          <w:lang w:eastAsia="en-US"/>
        </w:rPr>
        <w:t>Not all children are fortunate enough to have parents or family friends who can introduce them to the huge benefits of learning through the outdoors and connecting with the natural world. For many children, attending an outdoor education residential centre provides these life-enriching experiences and is an unforgettable highlight of their school years. (Save Outdoor Education, 2021)</w:t>
      </w:r>
    </w:p>
    <w:p w14:paraId="2AAC9ADF"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While this is written in the context of centre closures it can be applied to children’s general exposure to adventure activity. Taking part in adventure activities help children to understand their own abilities for themselves (Ewert and Sibthorp, 2014, p.132-133), important in building confidence and enjoyment in physical activity (Gill, 2010, p.22). Unfortunately, limited resources within schools limits the availability of adventure activities within schools themselves (Hodgson and Berry, 2011).</w:t>
      </w:r>
    </w:p>
    <w:p w14:paraId="3ABE1D9A" w14:textId="77777777" w:rsidR="004B7E51" w:rsidRPr="004B7E51" w:rsidRDefault="004B7E51" w:rsidP="004B7E51">
      <w:pPr>
        <w:spacing w:after="160" w:line="259" w:lineRule="auto"/>
        <w:rPr>
          <w:rFonts w:eastAsia="Calibri"/>
          <w:sz w:val="24"/>
          <w:szCs w:val="24"/>
          <w:lang w:eastAsia="en-US"/>
        </w:rPr>
      </w:pPr>
    </w:p>
    <w:p w14:paraId="2A826674"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 xml:space="preserve">People are changed by, and learn from the experiences that they have (Whitehead, 2013, p.40) (Beardy and Wilson, 2002, </w:t>
      </w:r>
      <w:proofErr w:type="gramStart"/>
      <w:r w:rsidRPr="004B7E51">
        <w:rPr>
          <w:rFonts w:eastAsia="Calibri"/>
          <w:sz w:val="24"/>
          <w:szCs w:val="24"/>
          <w:lang w:eastAsia="en-US"/>
        </w:rPr>
        <w:t>p.1)(</w:t>
      </w:r>
      <w:proofErr w:type="gramEnd"/>
      <w:r w:rsidRPr="004B7E51">
        <w:rPr>
          <w:rFonts w:eastAsia="Calibri"/>
          <w:sz w:val="24"/>
          <w:szCs w:val="24"/>
          <w:lang w:eastAsia="en-US"/>
        </w:rPr>
        <w:t xml:space="preserve">Kolb, 1984, p.3), and the world around them (whitehead, 2013, p.39), which can affect their physical literacy. Central to OAE is experiential learning, which involves the whole person (Beady and Wilson, 2002, p.2) (Ewert and Sibthorp, 2014, p.37), known as active learning (Ewert and Sibthorp, 2014, p.37). In experiential learning, theory and practice is combined (Kolb, 1984, p.9), particularly important within physical literacy as children need to feel a skill not just be told about how it works (Whitehead, 2013). When learning the base movements in adventure activity, such as climbing, problems can be identified and learned from (Beady and Wilson, 2002, p.25) and improve a child’s lifelong physical literacy. The physical literacy skills learned should be supported by reflection and critical analysis, central to experiential learning (Ewert and Sibthorp, 2014, </w:t>
      </w:r>
      <w:proofErr w:type="gramStart"/>
      <w:r w:rsidRPr="004B7E51">
        <w:rPr>
          <w:rFonts w:eastAsia="Calibri"/>
          <w:sz w:val="24"/>
          <w:szCs w:val="24"/>
          <w:lang w:eastAsia="en-US"/>
        </w:rPr>
        <w:t>p.7)(</w:t>
      </w:r>
      <w:proofErr w:type="gramEnd"/>
      <w:r w:rsidRPr="004B7E51">
        <w:rPr>
          <w:rFonts w:eastAsia="Calibri"/>
          <w:sz w:val="24"/>
          <w:szCs w:val="24"/>
          <w:lang w:eastAsia="en-US"/>
        </w:rPr>
        <w:t xml:space="preserve">Kolb, 1984). As physical literacy is an individual process it is important for each adventure activity to be viewed as a personal experience (Ewert and Sibthorp, 2014, p.8). Learning in this way should encourage children to learn naturally from their experiences and affordances (Ewert and Sibthorp, 2014, </w:t>
      </w:r>
      <w:proofErr w:type="gramStart"/>
      <w:r w:rsidRPr="004B7E51">
        <w:rPr>
          <w:rFonts w:eastAsia="Calibri"/>
          <w:sz w:val="24"/>
          <w:szCs w:val="24"/>
          <w:lang w:eastAsia="en-US"/>
        </w:rPr>
        <w:t>p.8)(</w:t>
      </w:r>
      <w:proofErr w:type="gramEnd"/>
      <w:r w:rsidRPr="004B7E51">
        <w:rPr>
          <w:rFonts w:eastAsia="Calibri"/>
          <w:sz w:val="24"/>
          <w:szCs w:val="24"/>
          <w:lang w:eastAsia="en-US"/>
        </w:rPr>
        <w:t xml:space="preserve">Wattchow and Brown, 2011, p.179), encouraging their lifelong engagement with physical literacy. </w:t>
      </w:r>
    </w:p>
    <w:p w14:paraId="67A12AE2"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 xml:space="preserve">There are many transferable lifelong benefits from engagement in physical literacy through adventure activities (Killingbeck et al, 2007, p.21). These include many health benefits (Killingbeck et al, 2007, p.23), </w:t>
      </w:r>
      <w:r w:rsidRPr="004B7E51">
        <w:rPr>
          <w:rFonts w:eastAsia="Calibri"/>
          <w:sz w:val="24"/>
          <w:szCs w:val="24"/>
          <w:lang w:eastAsia="en-US"/>
        </w:rPr>
        <w:lastRenderedPageBreak/>
        <w:t>for physical and mental health. OAE is connected to healthy living (Hodgson and Berry, 2011, p1). Engaging in lifelong activities (Killingbeck et al, 2007, p.23) and promoting embodied health knowledge (Whitehead, 2013, p.42), is something that can begin from taking part in adventurous activities. Engaging in physical activities lowers weight (</w:t>
      </w:r>
      <w:proofErr w:type="spellStart"/>
      <w:r w:rsidRPr="004B7E51">
        <w:rPr>
          <w:rFonts w:eastAsia="Calibri"/>
          <w:sz w:val="24"/>
          <w:szCs w:val="24"/>
          <w:lang w:eastAsia="en-US"/>
        </w:rPr>
        <w:t>Lubans</w:t>
      </w:r>
      <w:proofErr w:type="spellEnd"/>
      <w:r w:rsidRPr="004B7E51">
        <w:rPr>
          <w:rFonts w:eastAsia="Calibri"/>
          <w:sz w:val="24"/>
          <w:szCs w:val="24"/>
          <w:lang w:eastAsia="en-US"/>
        </w:rPr>
        <w:t xml:space="preserve"> et al, 2010, p.1031). By simply engaging children with FMS their lifelong engagement with physical literacy and embodied health can be improved, helping them to live longer and healthier lives. </w:t>
      </w:r>
      <w:proofErr w:type="spellStart"/>
      <w:r w:rsidRPr="004B7E51">
        <w:rPr>
          <w:rFonts w:eastAsia="Calibri"/>
          <w:sz w:val="24"/>
          <w:szCs w:val="24"/>
          <w:lang w:eastAsia="en-US"/>
        </w:rPr>
        <w:t>Jurbala</w:t>
      </w:r>
      <w:proofErr w:type="spellEnd"/>
      <w:r w:rsidRPr="004B7E51">
        <w:rPr>
          <w:rFonts w:eastAsia="Calibri"/>
          <w:sz w:val="24"/>
          <w:szCs w:val="24"/>
          <w:lang w:eastAsia="en-US"/>
        </w:rPr>
        <w:t xml:space="preserve"> (2015, p.371) suggests that there is a relationship between fitness and motor skills, highlighting the importance of engagement in base skills. As previously discussed, these skills can be introduced through adventurous activities. The early development of these skills should encourage children to continue to engage with physical activity throughout their lives (</w:t>
      </w:r>
      <w:proofErr w:type="spellStart"/>
      <w:r w:rsidRPr="004B7E51">
        <w:rPr>
          <w:rFonts w:eastAsia="Calibri"/>
          <w:sz w:val="24"/>
          <w:szCs w:val="24"/>
          <w:lang w:eastAsia="en-US"/>
        </w:rPr>
        <w:t>Jurbala</w:t>
      </w:r>
      <w:proofErr w:type="spellEnd"/>
      <w:r w:rsidRPr="004B7E51">
        <w:rPr>
          <w:rFonts w:eastAsia="Calibri"/>
          <w:sz w:val="24"/>
          <w:szCs w:val="24"/>
          <w:lang w:eastAsia="en-US"/>
        </w:rPr>
        <w:t>, 2015, p.377). Adventure activities can offer an alternative physical activity for those who may not enjoy the traditional team sports. Unfortunately, involvement can be limited (Killingbeck et al, 2007, p.24), and if can be difficult to make adventurous activities accessible to all children (Beames and Mackie and Atencio, 2019, p.5) (Ewert and Sibthorp, 2014, p.11). It is therefore important for schools to provide for those children who may not be given opportunities in other areas of their life (</w:t>
      </w:r>
      <w:proofErr w:type="spellStart"/>
      <w:r w:rsidRPr="004B7E51">
        <w:rPr>
          <w:rFonts w:eastAsia="Calibri"/>
          <w:sz w:val="24"/>
          <w:szCs w:val="24"/>
          <w:lang w:eastAsia="en-US"/>
        </w:rPr>
        <w:t>Lubans</w:t>
      </w:r>
      <w:proofErr w:type="spellEnd"/>
      <w:r w:rsidRPr="004B7E51">
        <w:rPr>
          <w:rFonts w:eastAsia="Calibri"/>
          <w:sz w:val="24"/>
          <w:szCs w:val="24"/>
          <w:lang w:eastAsia="en-US"/>
        </w:rPr>
        <w:t xml:space="preserve"> et al, 2010, p.1033).</w:t>
      </w:r>
    </w:p>
    <w:p w14:paraId="2CF70987" w14:textId="77777777" w:rsidR="004B7E51" w:rsidRPr="004B7E51" w:rsidRDefault="004B7E51" w:rsidP="004B7E51">
      <w:pPr>
        <w:spacing w:after="160" w:line="259" w:lineRule="auto"/>
        <w:rPr>
          <w:rFonts w:eastAsia="Calibri"/>
          <w:b/>
          <w:bCs/>
          <w:sz w:val="24"/>
          <w:szCs w:val="24"/>
          <w:u w:val="single"/>
          <w:lang w:eastAsia="en-US"/>
        </w:rPr>
      </w:pPr>
      <w:r w:rsidRPr="004B7E51">
        <w:rPr>
          <w:rFonts w:eastAsia="Calibri"/>
          <w:b/>
          <w:bCs/>
          <w:sz w:val="24"/>
          <w:szCs w:val="24"/>
          <w:u w:val="single"/>
          <w:lang w:eastAsia="en-US"/>
        </w:rPr>
        <w:t xml:space="preserve">Reference List </w:t>
      </w:r>
    </w:p>
    <w:p w14:paraId="1C354953" w14:textId="77777777" w:rsidR="004B7E51" w:rsidRPr="004B7E51" w:rsidRDefault="004B7E51" w:rsidP="004B7E51">
      <w:pPr>
        <w:spacing w:after="160" w:line="259" w:lineRule="auto"/>
        <w:rPr>
          <w:rFonts w:eastAsia="Calibri"/>
          <w:i/>
          <w:iCs/>
          <w:sz w:val="24"/>
          <w:szCs w:val="24"/>
          <w:lang w:eastAsia="en-US"/>
        </w:rPr>
      </w:pPr>
      <w:r w:rsidRPr="004B7E51">
        <w:rPr>
          <w:rFonts w:eastAsia="Calibri"/>
          <w:sz w:val="24"/>
          <w:szCs w:val="24"/>
          <w:lang w:eastAsia="en-US"/>
        </w:rPr>
        <w:t xml:space="preserve">Beardy, C. and Wilson, J. P. (2002) </w:t>
      </w:r>
      <w:r w:rsidRPr="004B7E51">
        <w:rPr>
          <w:rFonts w:eastAsia="Calibri"/>
          <w:i/>
          <w:iCs/>
          <w:sz w:val="24"/>
          <w:szCs w:val="24"/>
          <w:lang w:eastAsia="en-US"/>
        </w:rPr>
        <w:t>The power of experiential learning: a handbook for trainers and educators</w:t>
      </w:r>
      <w:r w:rsidRPr="004B7E51">
        <w:rPr>
          <w:rFonts w:eastAsia="Calibri"/>
          <w:sz w:val="24"/>
          <w:szCs w:val="24"/>
          <w:lang w:eastAsia="en-US"/>
        </w:rPr>
        <w:t>. 2</w:t>
      </w:r>
      <w:r w:rsidRPr="004B7E51">
        <w:rPr>
          <w:rFonts w:eastAsia="Calibri"/>
          <w:sz w:val="24"/>
          <w:szCs w:val="24"/>
          <w:vertAlign w:val="superscript"/>
          <w:lang w:eastAsia="en-US"/>
        </w:rPr>
        <w:t>nd</w:t>
      </w:r>
      <w:r w:rsidRPr="004B7E51">
        <w:rPr>
          <w:rFonts w:eastAsia="Calibri"/>
          <w:sz w:val="24"/>
          <w:szCs w:val="24"/>
          <w:lang w:eastAsia="en-US"/>
        </w:rPr>
        <w:t xml:space="preserve"> edition. London: Kogan page limited </w:t>
      </w:r>
      <w:r w:rsidRPr="004B7E51">
        <w:rPr>
          <w:rFonts w:eastAsia="Calibri"/>
          <w:i/>
          <w:iCs/>
          <w:sz w:val="24"/>
          <w:szCs w:val="24"/>
          <w:lang w:eastAsia="en-US"/>
        </w:rPr>
        <w:t xml:space="preserve"> </w:t>
      </w:r>
    </w:p>
    <w:p w14:paraId="434AC15B"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Ewert, A.W</w:t>
      </w:r>
      <w:proofErr w:type="gramStart"/>
      <w:r w:rsidRPr="004B7E51">
        <w:rPr>
          <w:rFonts w:eastAsia="Calibri"/>
          <w:sz w:val="24"/>
          <w:szCs w:val="24"/>
          <w:lang w:eastAsia="en-US"/>
        </w:rPr>
        <w:t>,  and</w:t>
      </w:r>
      <w:proofErr w:type="gramEnd"/>
      <w:r w:rsidRPr="004B7E51">
        <w:rPr>
          <w:rFonts w:eastAsia="Calibri"/>
          <w:sz w:val="24"/>
          <w:szCs w:val="24"/>
          <w:lang w:eastAsia="en-US"/>
        </w:rPr>
        <w:t xml:space="preserve"> Sibthorp, J. (2014) </w:t>
      </w:r>
      <w:r w:rsidRPr="004B7E51">
        <w:rPr>
          <w:rFonts w:eastAsia="Calibri"/>
          <w:i/>
          <w:iCs/>
          <w:sz w:val="24"/>
          <w:szCs w:val="24"/>
          <w:lang w:eastAsia="en-US"/>
        </w:rPr>
        <w:t xml:space="preserve">Outdoor adventure education: foundations theory and research </w:t>
      </w:r>
      <w:r w:rsidRPr="004B7E51">
        <w:rPr>
          <w:rFonts w:eastAsia="Calibri"/>
          <w:sz w:val="24"/>
          <w:szCs w:val="24"/>
          <w:lang w:eastAsia="en-US"/>
        </w:rPr>
        <w:t xml:space="preserve">Leeds: Human </w:t>
      </w:r>
      <w:proofErr w:type="spellStart"/>
      <w:r w:rsidRPr="004B7E51">
        <w:rPr>
          <w:rFonts w:eastAsia="Calibri"/>
          <w:sz w:val="24"/>
          <w:szCs w:val="24"/>
          <w:lang w:eastAsia="en-US"/>
        </w:rPr>
        <w:t>Kenetics</w:t>
      </w:r>
      <w:proofErr w:type="spellEnd"/>
      <w:r w:rsidRPr="004B7E51">
        <w:rPr>
          <w:rFonts w:eastAsia="Calibri"/>
          <w:sz w:val="24"/>
          <w:szCs w:val="24"/>
          <w:lang w:eastAsia="en-US"/>
        </w:rPr>
        <w:t xml:space="preserve"> </w:t>
      </w:r>
    </w:p>
    <w:p w14:paraId="25E88F7C" w14:textId="77777777" w:rsidR="004B7E51" w:rsidRPr="004B7E51" w:rsidRDefault="004B7E51" w:rsidP="004B7E51">
      <w:pPr>
        <w:spacing w:after="160" w:line="259" w:lineRule="auto"/>
        <w:rPr>
          <w:rFonts w:eastAsia="Calibri"/>
          <w:color w:val="000000"/>
          <w:sz w:val="24"/>
          <w:szCs w:val="24"/>
          <w:shd w:val="clear" w:color="auto" w:fill="FFFFFF"/>
          <w:lang w:eastAsia="en-US"/>
        </w:rPr>
      </w:pPr>
      <w:r w:rsidRPr="004B7E51">
        <w:rPr>
          <w:rFonts w:eastAsia="Calibri"/>
          <w:color w:val="000000"/>
          <w:sz w:val="24"/>
          <w:szCs w:val="24"/>
          <w:shd w:val="clear" w:color="auto" w:fill="FFFFFF"/>
          <w:lang w:eastAsia="en-US"/>
        </w:rPr>
        <w:t>Gallahue, D. and Ozmun, J. and Goodway, J. (2012) </w:t>
      </w:r>
      <w:r w:rsidRPr="004B7E51">
        <w:rPr>
          <w:rFonts w:eastAsia="Calibri"/>
          <w:i/>
          <w:iCs/>
          <w:color w:val="000000"/>
          <w:sz w:val="24"/>
          <w:szCs w:val="24"/>
          <w:shd w:val="clear" w:color="auto" w:fill="FFFFFF"/>
          <w:lang w:eastAsia="en-US"/>
        </w:rPr>
        <w:t>Understanding Motor Development: Infants, Children, Adolescents, Adults. </w:t>
      </w:r>
      <w:r w:rsidRPr="004B7E51">
        <w:rPr>
          <w:rFonts w:eastAsia="Calibri"/>
          <w:color w:val="000000"/>
          <w:sz w:val="24"/>
          <w:szCs w:val="24"/>
          <w:shd w:val="clear" w:color="auto" w:fill="FFFFFF"/>
          <w:lang w:eastAsia="en-US"/>
        </w:rPr>
        <w:t>7th Ed. New York: McGraw-Hill Education</w:t>
      </w:r>
    </w:p>
    <w:p w14:paraId="65D55033" w14:textId="77777777" w:rsidR="004B7E51" w:rsidRPr="004B7E51" w:rsidRDefault="004B7E51" w:rsidP="004B7E51">
      <w:pPr>
        <w:spacing w:after="160" w:line="259" w:lineRule="auto"/>
        <w:rPr>
          <w:rFonts w:eastAsia="Calibri"/>
          <w:color w:val="000000"/>
          <w:sz w:val="24"/>
          <w:szCs w:val="24"/>
          <w:shd w:val="clear" w:color="auto" w:fill="FFFFFF"/>
          <w:lang w:eastAsia="en-US"/>
        </w:rPr>
      </w:pPr>
      <w:r w:rsidRPr="004B7E51">
        <w:rPr>
          <w:rFonts w:eastAsia="Calibri"/>
          <w:color w:val="000000"/>
          <w:sz w:val="24"/>
          <w:szCs w:val="24"/>
          <w:shd w:val="clear" w:color="auto" w:fill="FFFFFF"/>
          <w:lang w:eastAsia="en-US"/>
        </w:rPr>
        <w:t xml:space="preserve">Gill, T. (2010) </w:t>
      </w:r>
      <w:r w:rsidRPr="004B7E51">
        <w:rPr>
          <w:rFonts w:eastAsia="Calibri"/>
          <w:i/>
          <w:iCs/>
          <w:color w:val="000000"/>
          <w:sz w:val="24"/>
          <w:szCs w:val="24"/>
          <w:shd w:val="clear" w:color="auto" w:fill="FFFFFF"/>
          <w:lang w:eastAsia="en-US"/>
        </w:rPr>
        <w:t xml:space="preserve">Nothing ventured: </w:t>
      </w:r>
      <w:proofErr w:type="spellStart"/>
      <w:r w:rsidRPr="004B7E51">
        <w:rPr>
          <w:rFonts w:eastAsia="Calibri"/>
          <w:i/>
          <w:iCs/>
          <w:color w:val="000000"/>
          <w:sz w:val="24"/>
          <w:szCs w:val="24"/>
          <w:shd w:val="clear" w:color="auto" w:fill="FFFFFF"/>
          <w:lang w:eastAsia="en-US"/>
        </w:rPr>
        <w:t>Blancing</w:t>
      </w:r>
      <w:proofErr w:type="spellEnd"/>
      <w:r w:rsidRPr="004B7E51">
        <w:rPr>
          <w:rFonts w:eastAsia="Calibri"/>
          <w:i/>
          <w:iCs/>
          <w:color w:val="000000"/>
          <w:sz w:val="24"/>
          <w:szCs w:val="24"/>
          <w:shd w:val="clear" w:color="auto" w:fill="FFFFFF"/>
          <w:lang w:eastAsia="en-US"/>
        </w:rPr>
        <w:t xml:space="preserve"> risks and benefits in the outdoors. </w:t>
      </w:r>
      <w:r w:rsidRPr="004B7E51">
        <w:rPr>
          <w:rFonts w:eastAsia="Calibri"/>
          <w:color w:val="000000"/>
          <w:sz w:val="24"/>
          <w:szCs w:val="24"/>
          <w:shd w:val="clear" w:color="auto" w:fill="FFFFFF"/>
          <w:lang w:eastAsia="en-US"/>
        </w:rPr>
        <w:t>English Outdoor council</w:t>
      </w:r>
    </w:p>
    <w:p w14:paraId="4372B1A8" w14:textId="77777777" w:rsidR="004B7E51" w:rsidRPr="004B7E51" w:rsidRDefault="004B7E51" w:rsidP="004B7E51">
      <w:pPr>
        <w:spacing w:after="160" w:line="259" w:lineRule="auto"/>
        <w:rPr>
          <w:rFonts w:eastAsia="Calibri"/>
          <w:sz w:val="24"/>
          <w:szCs w:val="24"/>
          <w:lang w:eastAsia="en-US"/>
        </w:rPr>
      </w:pPr>
      <w:r w:rsidRPr="004B7E51">
        <w:rPr>
          <w:rFonts w:eastAsia="Calibri"/>
          <w:color w:val="000000"/>
          <w:sz w:val="24"/>
          <w:szCs w:val="24"/>
          <w:shd w:val="clear" w:color="auto" w:fill="FFFFFF"/>
          <w:lang w:eastAsia="en-US"/>
        </w:rPr>
        <w:t xml:space="preserve">Hodgson, C. and Berry, M. (2011) </w:t>
      </w:r>
      <w:r w:rsidRPr="004B7E51">
        <w:rPr>
          <w:rFonts w:eastAsia="Calibri"/>
          <w:i/>
          <w:iCs/>
          <w:color w:val="000000"/>
          <w:sz w:val="24"/>
          <w:szCs w:val="24"/>
          <w:shd w:val="clear" w:color="auto" w:fill="FFFFFF"/>
          <w:lang w:eastAsia="en-US"/>
        </w:rPr>
        <w:t xml:space="preserve">Adventure education: An introduction. </w:t>
      </w:r>
      <w:r w:rsidRPr="004B7E51">
        <w:rPr>
          <w:rFonts w:eastAsia="Calibri"/>
          <w:color w:val="000000"/>
          <w:sz w:val="24"/>
          <w:szCs w:val="24"/>
          <w:shd w:val="clear" w:color="auto" w:fill="FFFFFF"/>
          <w:lang w:eastAsia="en-US"/>
        </w:rPr>
        <w:t xml:space="preserve">New york: Routledge </w:t>
      </w:r>
    </w:p>
    <w:p w14:paraId="221660E9" w14:textId="77777777" w:rsidR="004B7E51" w:rsidRPr="004B7E51" w:rsidRDefault="004B7E51" w:rsidP="004B7E51">
      <w:pPr>
        <w:spacing w:after="160" w:line="259" w:lineRule="auto"/>
        <w:rPr>
          <w:rFonts w:eastAsia="Calibri"/>
          <w:sz w:val="24"/>
          <w:szCs w:val="24"/>
          <w:lang w:eastAsia="en-US"/>
        </w:rPr>
      </w:pPr>
      <w:proofErr w:type="spellStart"/>
      <w:r w:rsidRPr="004B7E51">
        <w:rPr>
          <w:rFonts w:eastAsia="Calibri"/>
          <w:sz w:val="24"/>
          <w:szCs w:val="24"/>
          <w:lang w:eastAsia="en-US"/>
        </w:rPr>
        <w:t>Jurbala</w:t>
      </w:r>
      <w:proofErr w:type="spellEnd"/>
      <w:r w:rsidRPr="004B7E51">
        <w:rPr>
          <w:rFonts w:eastAsia="Calibri"/>
          <w:sz w:val="24"/>
          <w:szCs w:val="24"/>
          <w:lang w:eastAsia="en-US"/>
        </w:rPr>
        <w:t xml:space="preserve">, P. (2015) ‘What is physical literacy, really?’ </w:t>
      </w:r>
      <w:r w:rsidRPr="004B7E51">
        <w:rPr>
          <w:rFonts w:eastAsia="Calibri"/>
          <w:i/>
          <w:iCs/>
          <w:sz w:val="24"/>
          <w:szCs w:val="24"/>
          <w:lang w:eastAsia="en-US"/>
        </w:rPr>
        <w:t xml:space="preserve">Quest, </w:t>
      </w:r>
      <w:r w:rsidRPr="004B7E51">
        <w:rPr>
          <w:rFonts w:eastAsia="Calibri"/>
          <w:sz w:val="24"/>
          <w:szCs w:val="24"/>
          <w:lang w:eastAsia="en-US"/>
        </w:rPr>
        <w:t>67(41), PP.367-383. DOI: 10,1080/00336297.2015.1084341</w:t>
      </w:r>
    </w:p>
    <w:p w14:paraId="4F908D2E"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 xml:space="preserve">Killingbeck, m. et al. (2007) ‘Physical education and physical literacy’ </w:t>
      </w:r>
      <w:r w:rsidRPr="004B7E51">
        <w:rPr>
          <w:rFonts w:eastAsia="Calibri"/>
          <w:i/>
          <w:iCs/>
          <w:sz w:val="24"/>
          <w:szCs w:val="24"/>
          <w:lang w:eastAsia="en-US"/>
        </w:rPr>
        <w:t xml:space="preserve">Physical education matters summer 2007, </w:t>
      </w:r>
      <w:r w:rsidRPr="004B7E51">
        <w:rPr>
          <w:rFonts w:eastAsia="Calibri"/>
          <w:sz w:val="24"/>
          <w:szCs w:val="24"/>
          <w:lang w:eastAsia="en-US"/>
        </w:rPr>
        <w:t>PP.20-24</w:t>
      </w:r>
    </w:p>
    <w:p w14:paraId="778502F0"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 xml:space="preserve">Kolb, D. A. (1984) </w:t>
      </w:r>
      <w:r w:rsidRPr="004B7E51">
        <w:rPr>
          <w:rFonts w:eastAsia="Calibri"/>
          <w:i/>
          <w:iCs/>
          <w:sz w:val="24"/>
          <w:szCs w:val="24"/>
          <w:lang w:eastAsia="en-US"/>
        </w:rPr>
        <w:t xml:space="preserve">Experiential learning: Experience as the source of learning and development. </w:t>
      </w:r>
      <w:r w:rsidRPr="004B7E51">
        <w:rPr>
          <w:rFonts w:eastAsia="Calibri"/>
          <w:sz w:val="24"/>
          <w:szCs w:val="24"/>
          <w:lang w:eastAsia="en-US"/>
        </w:rPr>
        <w:t>London: Prentice Hall international</w:t>
      </w:r>
    </w:p>
    <w:p w14:paraId="44CE9A3D" w14:textId="25117002" w:rsidR="004B7E51" w:rsidRDefault="004B7E51" w:rsidP="004B7E51">
      <w:pPr>
        <w:spacing w:after="160" w:line="259" w:lineRule="auto"/>
        <w:rPr>
          <w:rFonts w:eastAsia="Calibri"/>
          <w:sz w:val="24"/>
          <w:szCs w:val="24"/>
          <w:lang w:eastAsia="en-US"/>
        </w:rPr>
      </w:pPr>
      <w:proofErr w:type="spellStart"/>
      <w:r w:rsidRPr="004B7E51">
        <w:rPr>
          <w:rFonts w:eastAsia="Calibri"/>
          <w:sz w:val="24"/>
          <w:szCs w:val="24"/>
          <w:lang w:eastAsia="en-US"/>
        </w:rPr>
        <w:t>Lubans</w:t>
      </w:r>
      <w:proofErr w:type="spellEnd"/>
      <w:r w:rsidRPr="004B7E51">
        <w:rPr>
          <w:rFonts w:eastAsia="Calibri"/>
          <w:sz w:val="24"/>
          <w:szCs w:val="24"/>
          <w:lang w:eastAsia="en-US"/>
        </w:rPr>
        <w:t xml:space="preserve"> et al, (2010) ‘Fundamental movement skills in children and adolescents: review of associated health benefits’ </w:t>
      </w:r>
      <w:r w:rsidRPr="004B7E51">
        <w:rPr>
          <w:rFonts w:eastAsia="Calibri"/>
          <w:i/>
          <w:iCs/>
          <w:sz w:val="24"/>
          <w:szCs w:val="24"/>
          <w:lang w:eastAsia="en-US"/>
        </w:rPr>
        <w:t xml:space="preserve">Sports medicine (Auckland), </w:t>
      </w:r>
      <w:r w:rsidRPr="004B7E51">
        <w:rPr>
          <w:rFonts w:eastAsia="Calibri"/>
          <w:sz w:val="24"/>
          <w:szCs w:val="24"/>
          <w:lang w:eastAsia="en-US"/>
        </w:rPr>
        <w:t>40(12), PP.109-1035. DOI:10.2165/11536850-000000000-00000</w:t>
      </w:r>
    </w:p>
    <w:p w14:paraId="2902CF4D" w14:textId="1A8D5C7E" w:rsidR="00011EC8" w:rsidRPr="004B7E51" w:rsidRDefault="00011EC8" w:rsidP="004B7E51">
      <w:pPr>
        <w:spacing w:after="160" w:line="259" w:lineRule="auto"/>
        <w:rPr>
          <w:rFonts w:eastAsia="Calibri"/>
          <w:sz w:val="24"/>
          <w:szCs w:val="24"/>
          <w:lang w:eastAsia="en-US"/>
        </w:rPr>
      </w:pPr>
      <w:proofErr w:type="spellStart"/>
      <w:r>
        <w:rPr>
          <w:rFonts w:eastAsia="Calibri"/>
          <w:sz w:val="24"/>
          <w:szCs w:val="24"/>
          <w:lang w:eastAsia="en-US"/>
        </w:rPr>
        <w:t>M</w:t>
      </w:r>
      <w:r w:rsidR="00D718B3">
        <w:rPr>
          <w:rFonts w:eastAsia="Calibri"/>
          <w:sz w:val="24"/>
          <w:szCs w:val="24"/>
          <w:lang w:eastAsia="en-US"/>
        </w:rPr>
        <w:t>cburnie</w:t>
      </w:r>
      <w:proofErr w:type="spellEnd"/>
      <w:r w:rsidR="00D718B3">
        <w:rPr>
          <w:rFonts w:eastAsia="Calibri"/>
          <w:sz w:val="24"/>
          <w:szCs w:val="24"/>
          <w:lang w:eastAsia="en-US"/>
        </w:rPr>
        <w:t>, K (</w:t>
      </w:r>
      <w:r w:rsidR="00F53D4C">
        <w:rPr>
          <w:rFonts w:eastAsia="Calibri"/>
          <w:sz w:val="24"/>
          <w:szCs w:val="24"/>
          <w:lang w:eastAsia="en-US"/>
        </w:rPr>
        <w:t>2014</w:t>
      </w:r>
      <w:r w:rsidR="00D718B3">
        <w:rPr>
          <w:rFonts w:eastAsia="Calibri"/>
          <w:sz w:val="24"/>
          <w:szCs w:val="24"/>
          <w:lang w:eastAsia="en-US"/>
        </w:rPr>
        <w:t>)</w:t>
      </w:r>
      <w:r w:rsidR="00AC7C85">
        <w:rPr>
          <w:rFonts w:eastAsia="Calibri"/>
          <w:sz w:val="24"/>
          <w:szCs w:val="24"/>
          <w:lang w:eastAsia="en-US"/>
        </w:rPr>
        <w:t xml:space="preserve">’cotton wool kids’ </w:t>
      </w:r>
      <w:r w:rsidR="00AC7C85">
        <w:rPr>
          <w:rFonts w:eastAsia="Calibri"/>
          <w:i/>
          <w:iCs/>
          <w:sz w:val="24"/>
          <w:szCs w:val="24"/>
          <w:lang w:eastAsia="en-US"/>
        </w:rPr>
        <w:t xml:space="preserve">Australian education leader, </w:t>
      </w:r>
      <w:r w:rsidR="00D67E0D">
        <w:rPr>
          <w:rFonts w:eastAsia="Calibri"/>
          <w:sz w:val="24"/>
          <w:szCs w:val="24"/>
          <w:lang w:eastAsia="en-US"/>
        </w:rPr>
        <w:t>36(4) PP.24-25</w:t>
      </w:r>
    </w:p>
    <w:p w14:paraId="44FFE31D"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 xml:space="preserve">NICAS, (2017) </w:t>
      </w:r>
      <w:r w:rsidRPr="004B7E51">
        <w:rPr>
          <w:rFonts w:eastAsia="Calibri"/>
          <w:i/>
          <w:iCs/>
          <w:sz w:val="24"/>
          <w:szCs w:val="24"/>
          <w:lang w:eastAsia="en-US"/>
        </w:rPr>
        <w:t xml:space="preserve">Centre handbook. </w:t>
      </w:r>
      <w:r w:rsidRPr="004B7E51">
        <w:rPr>
          <w:rFonts w:eastAsia="Calibri"/>
          <w:sz w:val="24"/>
          <w:szCs w:val="24"/>
          <w:lang w:eastAsia="en-US"/>
        </w:rPr>
        <w:t>ABC Traing trust</w:t>
      </w:r>
    </w:p>
    <w:p w14:paraId="27B897EB" w14:textId="77777777" w:rsidR="004B7E51" w:rsidRPr="004B7E51" w:rsidRDefault="004B7E51" w:rsidP="004B7E51">
      <w:pPr>
        <w:spacing w:after="160" w:line="259" w:lineRule="auto"/>
        <w:rPr>
          <w:rFonts w:eastAsia="Calibri"/>
          <w:i/>
          <w:iCs/>
          <w:sz w:val="24"/>
          <w:szCs w:val="24"/>
          <w:lang w:eastAsia="en-US"/>
        </w:rPr>
      </w:pPr>
      <w:proofErr w:type="spellStart"/>
      <w:r w:rsidRPr="004B7E51">
        <w:rPr>
          <w:rFonts w:eastAsia="Calibri"/>
          <w:sz w:val="24"/>
          <w:szCs w:val="24"/>
          <w:lang w:eastAsia="en-US"/>
        </w:rPr>
        <w:t>Prieste</w:t>
      </w:r>
      <w:proofErr w:type="spellEnd"/>
      <w:r w:rsidRPr="004B7E51">
        <w:rPr>
          <w:rFonts w:eastAsia="Calibri"/>
          <w:sz w:val="24"/>
          <w:szCs w:val="24"/>
          <w:lang w:eastAsia="en-US"/>
        </w:rPr>
        <w:t xml:space="preserve"> et al. (2014) ‘Affordances in a simple playscape: Are children attracted to challenge affordances’ </w:t>
      </w:r>
      <w:r w:rsidRPr="004B7E51">
        <w:rPr>
          <w:rFonts w:eastAsia="Calibri"/>
          <w:i/>
          <w:iCs/>
          <w:sz w:val="24"/>
          <w:szCs w:val="24"/>
          <w:lang w:eastAsia="en-US"/>
        </w:rPr>
        <w:t>Journal of environmental psychology.</w:t>
      </w:r>
      <w:r w:rsidRPr="004B7E51">
        <w:rPr>
          <w:rFonts w:eastAsia="Calibri"/>
          <w:sz w:val="24"/>
          <w:szCs w:val="24"/>
          <w:lang w:eastAsia="en-US"/>
        </w:rPr>
        <w:t>41, PP. 101-111. URL: http.//dx.doi.org/10.1016/J.Jeunp.2014.11.011</w:t>
      </w:r>
      <w:r w:rsidRPr="004B7E51">
        <w:rPr>
          <w:rFonts w:eastAsia="Calibri"/>
          <w:i/>
          <w:iCs/>
          <w:sz w:val="24"/>
          <w:szCs w:val="24"/>
          <w:lang w:eastAsia="en-US"/>
        </w:rPr>
        <w:t xml:space="preserve"> </w:t>
      </w:r>
    </w:p>
    <w:p w14:paraId="6FA8D7AD"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 xml:space="preserve">Rawlinson, S. (2019) Fundamentals of climbing. Rock UK Summit centre </w:t>
      </w:r>
    </w:p>
    <w:p w14:paraId="3B6708BA"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 xml:space="preserve">Save Outdoor Education (2021) [Facebook] 3 March. Available at: </w:t>
      </w:r>
      <w:hyperlink r:id="rId10" w:history="1">
        <w:r w:rsidRPr="004B7E51">
          <w:rPr>
            <w:rFonts w:eastAsia="Calibri"/>
            <w:color w:val="0563C1"/>
            <w:sz w:val="24"/>
            <w:szCs w:val="24"/>
            <w:u w:val="single"/>
            <w:lang w:eastAsia="en-US"/>
          </w:rPr>
          <w:t>https://www.facebook.com/saveoutdoored/photos/239243627862315</w:t>
        </w:r>
      </w:hyperlink>
      <w:r w:rsidRPr="004B7E51">
        <w:rPr>
          <w:rFonts w:eastAsia="Calibri"/>
          <w:sz w:val="24"/>
          <w:szCs w:val="24"/>
          <w:lang w:eastAsia="en-US"/>
        </w:rPr>
        <w:t xml:space="preserve"> (Accessed: 19 March 2021)</w:t>
      </w:r>
    </w:p>
    <w:p w14:paraId="7AC68B3A" w14:textId="77777777" w:rsidR="004B7E51" w:rsidRPr="004B7E51" w:rsidRDefault="004B7E51" w:rsidP="004B7E51">
      <w:pPr>
        <w:spacing w:after="160" w:line="259" w:lineRule="auto"/>
        <w:rPr>
          <w:rFonts w:eastAsia="Calibri"/>
          <w:sz w:val="24"/>
          <w:szCs w:val="24"/>
          <w:lang w:eastAsia="en-US"/>
        </w:rPr>
      </w:pPr>
      <w:r w:rsidRPr="004B7E51">
        <w:rPr>
          <w:rFonts w:eastAsia="Calibri"/>
          <w:sz w:val="24"/>
          <w:szCs w:val="24"/>
          <w:lang w:eastAsia="en-US"/>
        </w:rPr>
        <w:t xml:space="preserve">Wattchow, B. and Brown, M. (2011) </w:t>
      </w:r>
      <w:r w:rsidRPr="004B7E51">
        <w:rPr>
          <w:rFonts w:eastAsia="Calibri"/>
          <w:i/>
          <w:iCs/>
          <w:sz w:val="24"/>
          <w:szCs w:val="24"/>
          <w:lang w:eastAsia="en-US"/>
        </w:rPr>
        <w:t xml:space="preserve">A pedagogy of place: outdoor education for a changing world. </w:t>
      </w:r>
      <w:r w:rsidRPr="004B7E51">
        <w:rPr>
          <w:rFonts w:eastAsia="Calibri"/>
          <w:sz w:val="24"/>
          <w:szCs w:val="24"/>
          <w:lang w:eastAsia="en-US"/>
        </w:rPr>
        <w:t>Clayton, Victoria: Manash university publishing</w:t>
      </w:r>
    </w:p>
    <w:p w14:paraId="41683E90" w14:textId="77777777" w:rsidR="00F53D4C" w:rsidRPr="00F53D4C" w:rsidRDefault="00F53D4C" w:rsidP="00F53D4C">
      <w:pPr>
        <w:rPr>
          <w:rFonts w:ascii="Cambria" w:hAnsi="Cambria"/>
          <w:color w:val="000000"/>
          <w:sz w:val="24"/>
          <w:szCs w:val="24"/>
          <w:shd w:val="clear" w:color="auto" w:fill="FFFFFF"/>
        </w:rPr>
      </w:pPr>
      <w:r w:rsidRPr="00F53D4C">
        <w:rPr>
          <w:rFonts w:ascii="Cambria" w:hAnsi="Cambria"/>
          <w:color w:val="000000"/>
          <w:sz w:val="24"/>
          <w:szCs w:val="24"/>
          <w:shd w:val="clear" w:color="auto" w:fill="FFFFFF"/>
        </w:rPr>
        <w:t xml:space="preserve">Whitehead, M. (2013) </w:t>
      </w:r>
      <w:proofErr w:type="gramStart"/>
      <w:r w:rsidRPr="00F53D4C">
        <w:rPr>
          <w:rFonts w:ascii="Cambria" w:hAnsi="Cambria"/>
          <w:color w:val="000000"/>
          <w:sz w:val="24"/>
          <w:szCs w:val="24"/>
          <w:shd w:val="clear" w:color="auto" w:fill="FFFFFF"/>
        </w:rPr>
        <w:t>‘ What</w:t>
      </w:r>
      <w:proofErr w:type="gramEnd"/>
      <w:r w:rsidRPr="00F53D4C">
        <w:rPr>
          <w:rFonts w:ascii="Cambria" w:hAnsi="Cambria"/>
          <w:color w:val="000000"/>
          <w:sz w:val="24"/>
          <w:szCs w:val="24"/>
          <w:shd w:val="clear" w:color="auto" w:fill="FFFFFF"/>
        </w:rPr>
        <w:t xml:space="preserve"> is physical literacy and how does it impact on physical education?’, in Capel, S. and Whitehead, M.  </w:t>
      </w:r>
      <w:r w:rsidRPr="00F53D4C">
        <w:rPr>
          <w:rFonts w:ascii="Cambria" w:hAnsi="Cambria"/>
          <w:i/>
          <w:iCs/>
          <w:color w:val="000000"/>
          <w:sz w:val="24"/>
          <w:szCs w:val="24"/>
          <w:shd w:val="clear" w:color="auto" w:fill="FFFFFF"/>
        </w:rPr>
        <w:t>Debates in Physical Education</w:t>
      </w:r>
      <w:r w:rsidRPr="00F53D4C">
        <w:rPr>
          <w:rFonts w:ascii="Cambria" w:hAnsi="Cambria"/>
          <w:color w:val="000000"/>
          <w:sz w:val="24"/>
          <w:szCs w:val="24"/>
          <w:shd w:val="clear" w:color="auto" w:fill="FFFFFF"/>
        </w:rPr>
        <w:t xml:space="preserve">. Oxon: Routledge.  </w:t>
      </w:r>
    </w:p>
    <w:p w14:paraId="5E7C571D" w14:textId="77777777" w:rsidR="001E6243" w:rsidRPr="00F66489" w:rsidRDefault="001E6243">
      <w:pPr>
        <w:rPr>
          <w:rFonts w:ascii="Arial" w:hAnsi="Arial" w:cs="Arial"/>
          <w:b/>
        </w:rPr>
      </w:pPr>
    </w:p>
    <w:sectPr w:rsidR="001E6243" w:rsidRPr="00F66489" w:rsidSect="00DB04D8">
      <w:footerReference w:type="default" r:id="rId11"/>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514A6A" w14:textId="77777777" w:rsidR="00510957" w:rsidRDefault="00510957">
      <w:r>
        <w:separator/>
      </w:r>
    </w:p>
  </w:endnote>
  <w:endnote w:type="continuationSeparator" w:id="0">
    <w:p w14:paraId="03304453" w14:textId="77777777" w:rsidR="00510957" w:rsidRDefault="005109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C5DD82" w14:textId="77777777" w:rsidR="00EF0C7A" w:rsidRDefault="00EF0C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DC6A79" w14:textId="77777777" w:rsidR="00510957" w:rsidRDefault="00510957">
      <w:r>
        <w:separator/>
      </w:r>
    </w:p>
  </w:footnote>
  <w:footnote w:type="continuationSeparator" w:id="0">
    <w:p w14:paraId="50A75ED5" w14:textId="77777777" w:rsidR="00510957" w:rsidRDefault="005109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F5F0E"/>
    <w:multiLevelType w:val="hybridMultilevel"/>
    <w:tmpl w:val="BE6CF03E"/>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787710"/>
    <w:multiLevelType w:val="hybridMultilevel"/>
    <w:tmpl w:val="CA4416C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BC"/>
    <w:rsid w:val="0001107A"/>
    <w:rsid w:val="00011666"/>
    <w:rsid w:val="00011EC8"/>
    <w:rsid w:val="00026B02"/>
    <w:rsid w:val="0003275A"/>
    <w:rsid w:val="00042179"/>
    <w:rsid w:val="000822E5"/>
    <w:rsid w:val="00091132"/>
    <w:rsid w:val="000971FC"/>
    <w:rsid w:val="000A2A3A"/>
    <w:rsid w:val="000A492A"/>
    <w:rsid w:val="000B47EB"/>
    <w:rsid w:val="000C7136"/>
    <w:rsid w:val="000D2F80"/>
    <w:rsid w:val="000E413A"/>
    <w:rsid w:val="000F34C9"/>
    <w:rsid w:val="000F5AA3"/>
    <w:rsid w:val="00100396"/>
    <w:rsid w:val="00100B5C"/>
    <w:rsid w:val="0010751B"/>
    <w:rsid w:val="001106E9"/>
    <w:rsid w:val="00124CA5"/>
    <w:rsid w:val="00134F77"/>
    <w:rsid w:val="001430A7"/>
    <w:rsid w:val="00152E9D"/>
    <w:rsid w:val="00154487"/>
    <w:rsid w:val="0017512A"/>
    <w:rsid w:val="00196958"/>
    <w:rsid w:val="001A1E39"/>
    <w:rsid w:val="001A24F3"/>
    <w:rsid w:val="001B405C"/>
    <w:rsid w:val="001B5F45"/>
    <w:rsid w:val="001C3137"/>
    <w:rsid w:val="001D2269"/>
    <w:rsid w:val="001E1050"/>
    <w:rsid w:val="001E1E1F"/>
    <w:rsid w:val="001E2007"/>
    <w:rsid w:val="001E57C1"/>
    <w:rsid w:val="001E6243"/>
    <w:rsid w:val="001F07EF"/>
    <w:rsid w:val="001F50B6"/>
    <w:rsid w:val="001F6D7A"/>
    <w:rsid w:val="00225061"/>
    <w:rsid w:val="0022746E"/>
    <w:rsid w:val="00235F71"/>
    <w:rsid w:val="002444CA"/>
    <w:rsid w:val="00260DE6"/>
    <w:rsid w:val="00273FEE"/>
    <w:rsid w:val="0028204E"/>
    <w:rsid w:val="0028591B"/>
    <w:rsid w:val="002878BF"/>
    <w:rsid w:val="00291841"/>
    <w:rsid w:val="002C449B"/>
    <w:rsid w:val="002C6040"/>
    <w:rsid w:val="002D5B3F"/>
    <w:rsid w:val="002D6A76"/>
    <w:rsid w:val="002E272E"/>
    <w:rsid w:val="002F2788"/>
    <w:rsid w:val="002F5778"/>
    <w:rsid w:val="0030053D"/>
    <w:rsid w:val="003064CC"/>
    <w:rsid w:val="003223E0"/>
    <w:rsid w:val="003274AD"/>
    <w:rsid w:val="00330D88"/>
    <w:rsid w:val="00352C4A"/>
    <w:rsid w:val="003564A0"/>
    <w:rsid w:val="00362560"/>
    <w:rsid w:val="00362A38"/>
    <w:rsid w:val="00370F74"/>
    <w:rsid w:val="0037301C"/>
    <w:rsid w:val="003732FD"/>
    <w:rsid w:val="00373C82"/>
    <w:rsid w:val="003753B2"/>
    <w:rsid w:val="00376559"/>
    <w:rsid w:val="00382BAA"/>
    <w:rsid w:val="00384D73"/>
    <w:rsid w:val="00393EB6"/>
    <w:rsid w:val="003A3CE5"/>
    <w:rsid w:val="003A43DC"/>
    <w:rsid w:val="003B366F"/>
    <w:rsid w:val="003B3F9D"/>
    <w:rsid w:val="003B6C95"/>
    <w:rsid w:val="003C3863"/>
    <w:rsid w:val="003E5751"/>
    <w:rsid w:val="003F41A9"/>
    <w:rsid w:val="00402674"/>
    <w:rsid w:val="004046A9"/>
    <w:rsid w:val="00404C50"/>
    <w:rsid w:val="00423934"/>
    <w:rsid w:val="004250A0"/>
    <w:rsid w:val="00426244"/>
    <w:rsid w:val="00440F9B"/>
    <w:rsid w:val="00451810"/>
    <w:rsid w:val="00463B98"/>
    <w:rsid w:val="004700BA"/>
    <w:rsid w:val="00470A38"/>
    <w:rsid w:val="00477880"/>
    <w:rsid w:val="004874DE"/>
    <w:rsid w:val="004B5334"/>
    <w:rsid w:val="004B6C14"/>
    <w:rsid w:val="004B7E51"/>
    <w:rsid w:val="004D54AD"/>
    <w:rsid w:val="004D5E9B"/>
    <w:rsid w:val="004D63D9"/>
    <w:rsid w:val="004E6585"/>
    <w:rsid w:val="0050249F"/>
    <w:rsid w:val="00510957"/>
    <w:rsid w:val="00524566"/>
    <w:rsid w:val="00527E60"/>
    <w:rsid w:val="00530BEF"/>
    <w:rsid w:val="00552351"/>
    <w:rsid w:val="00561F00"/>
    <w:rsid w:val="00562C4E"/>
    <w:rsid w:val="00562DEC"/>
    <w:rsid w:val="00576AB4"/>
    <w:rsid w:val="00577917"/>
    <w:rsid w:val="00590667"/>
    <w:rsid w:val="005969E2"/>
    <w:rsid w:val="005A1689"/>
    <w:rsid w:val="005A201E"/>
    <w:rsid w:val="005A6342"/>
    <w:rsid w:val="005B61CD"/>
    <w:rsid w:val="005C5D1A"/>
    <w:rsid w:val="005D1D58"/>
    <w:rsid w:val="005D2397"/>
    <w:rsid w:val="005D432C"/>
    <w:rsid w:val="005E285E"/>
    <w:rsid w:val="005E72F8"/>
    <w:rsid w:val="005F0579"/>
    <w:rsid w:val="005F3A53"/>
    <w:rsid w:val="005F7F12"/>
    <w:rsid w:val="006062A3"/>
    <w:rsid w:val="00610E08"/>
    <w:rsid w:val="006140BF"/>
    <w:rsid w:val="006161BE"/>
    <w:rsid w:val="00617A62"/>
    <w:rsid w:val="00620787"/>
    <w:rsid w:val="0062243C"/>
    <w:rsid w:val="00632434"/>
    <w:rsid w:val="0063478F"/>
    <w:rsid w:val="006379DF"/>
    <w:rsid w:val="00644256"/>
    <w:rsid w:val="00654942"/>
    <w:rsid w:val="00661D6F"/>
    <w:rsid w:val="006628E9"/>
    <w:rsid w:val="0066725E"/>
    <w:rsid w:val="006716C7"/>
    <w:rsid w:val="00680026"/>
    <w:rsid w:val="00681208"/>
    <w:rsid w:val="00681FA9"/>
    <w:rsid w:val="006828F8"/>
    <w:rsid w:val="00683D4E"/>
    <w:rsid w:val="00691EA9"/>
    <w:rsid w:val="006934D4"/>
    <w:rsid w:val="00695BBA"/>
    <w:rsid w:val="006A6DC3"/>
    <w:rsid w:val="006B1F24"/>
    <w:rsid w:val="006B71D8"/>
    <w:rsid w:val="006B7C7E"/>
    <w:rsid w:val="006D49ED"/>
    <w:rsid w:val="006D55CE"/>
    <w:rsid w:val="006D637A"/>
    <w:rsid w:val="006D6F24"/>
    <w:rsid w:val="006F0F95"/>
    <w:rsid w:val="006F45BF"/>
    <w:rsid w:val="006F60E0"/>
    <w:rsid w:val="00702F71"/>
    <w:rsid w:val="00723454"/>
    <w:rsid w:val="007366DF"/>
    <w:rsid w:val="00750BB2"/>
    <w:rsid w:val="00757839"/>
    <w:rsid w:val="00770C81"/>
    <w:rsid w:val="0078769F"/>
    <w:rsid w:val="00791024"/>
    <w:rsid w:val="00793F0A"/>
    <w:rsid w:val="007A2657"/>
    <w:rsid w:val="007C682C"/>
    <w:rsid w:val="007D2385"/>
    <w:rsid w:val="007D7110"/>
    <w:rsid w:val="007E2790"/>
    <w:rsid w:val="007F214F"/>
    <w:rsid w:val="00800069"/>
    <w:rsid w:val="00802DD3"/>
    <w:rsid w:val="008042F0"/>
    <w:rsid w:val="0082007A"/>
    <w:rsid w:val="008310A0"/>
    <w:rsid w:val="00835D29"/>
    <w:rsid w:val="00842E7F"/>
    <w:rsid w:val="00852933"/>
    <w:rsid w:val="0085631D"/>
    <w:rsid w:val="008566E5"/>
    <w:rsid w:val="008566FE"/>
    <w:rsid w:val="00865B46"/>
    <w:rsid w:val="00896134"/>
    <w:rsid w:val="008A62BC"/>
    <w:rsid w:val="008B43E7"/>
    <w:rsid w:val="008B71C5"/>
    <w:rsid w:val="008D763F"/>
    <w:rsid w:val="008E5D77"/>
    <w:rsid w:val="008F036F"/>
    <w:rsid w:val="008F1308"/>
    <w:rsid w:val="008F78C2"/>
    <w:rsid w:val="00904568"/>
    <w:rsid w:val="00910078"/>
    <w:rsid w:val="00911394"/>
    <w:rsid w:val="00923EF2"/>
    <w:rsid w:val="00926D25"/>
    <w:rsid w:val="00926E9D"/>
    <w:rsid w:val="009315A0"/>
    <w:rsid w:val="00932C6E"/>
    <w:rsid w:val="00933F10"/>
    <w:rsid w:val="009433C5"/>
    <w:rsid w:val="00957B74"/>
    <w:rsid w:val="00965881"/>
    <w:rsid w:val="009871FF"/>
    <w:rsid w:val="00990799"/>
    <w:rsid w:val="00995D51"/>
    <w:rsid w:val="009A0631"/>
    <w:rsid w:val="009B10ED"/>
    <w:rsid w:val="009D3EA4"/>
    <w:rsid w:val="009D649C"/>
    <w:rsid w:val="009E4BC1"/>
    <w:rsid w:val="009F1269"/>
    <w:rsid w:val="009F5CB2"/>
    <w:rsid w:val="00A03BB8"/>
    <w:rsid w:val="00A16E98"/>
    <w:rsid w:val="00A255FA"/>
    <w:rsid w:val="00A3505D"/>
    <w:rsid w:val="00A36A8D"/>
    <w:rsid w:val="00A4036F"/>
    <w:rsid w:val="00A406E5"/>
    <w:rsid w:val="00A4641C"/>
    <w:rsid w:val="00A53CB0"/>
    <w:rsid w:val="00A55876"/>
    <w:rsid w:val="00A60240"/>
    <w:rsid w:val="00A60C16"/>
    <w:rsid w:val="00A663BC"/>
    <w:rsid w:val="00A67FB1"/>
    <w:rsid w:val="00A703E2"/>
    <w:rsid w:val="00A85BFE"/>
    <w:rsid w:val="00A95B7B"/>
    <w:rsid w:val="00AA1E54"/>
    <w:rsid w:val="00AB6FE7"/>
    <w:rsid w:val="00AB7AD7"/>
    <w:rsid w:val="00AC7C85"/>
    <w:rsid w:val="00AD2430"/>
    <w:rsid w:val="00AE41A6"/>
    <w:rsid w:val="00AF0E34"/>
    <w:rsid w:val="00AF271D"/>
    <w:rsid w:val="00AF3EE5"/>
    <w:rsid w:val="00AF56C2"/>
    <w:rsid w:val="00B004E6"/>
    <w:rsid w:val="00B0744D"/>
    <w:rsid w:val="00B50EA8"/>
    <w:rsid w:val="00B64082"/>
    <w:rsid w:val="00B72325"/>
    <w:rsid w:val="00B81AD3"/>
    <w:rsid w:val="00B829D8"/>
    <w:rsid w:val="00B84414"/>
    <w:rsid w:val="00B84B5B"/>
    <w:rsid w:val="00B86446"/>
    <w:rsid w:val="00B91B77"/>
    <w:rsid w:val="00BA1176"/>
    <w:rsid w:val="00BD038D"/>
    <w:rsid w:val="00BE0B01"/>
    <w:rsid w:val="00BE79C7"/>
    <w:rsid w:val="00BF3CB5"/>
    <w:rsid w:val="00BF716D"/>
    <w:rsid w:val="00C01A3F"/>
    <w:rsid w:val="00C073F1"/>
    <w:rsid w:val="00C11E26"/>
    <w:rsid w:val="00C1285B"/>
    <w:rsid w:val="00C1361B"/>
    <w:rsid w:val="00C1364C"/>
    <w:rsid w:val="00C14E1F"/>
    <w:rsid w:val="00C315AF"/>
    <w:rsid w:val="00C36D9A"/>
    <w:rsid w:val="00C44A72"/>
    <w:rsid w:val="00C61FC2"/>
    <w:rsid w:val="00C705F9"/>
    <w:rsid w:val="00C8080C"/>
    <w:rsid w:val="00C80F0F"/>
    <w:rsid w:val="00C8667A"/>
    <w:rsid w:val="00C93A0A"/>
    <w:rsid w:val="00C93BCB"/>
    <w:rsid w:val="00CC241A"/>
    <w:rsid w:val="00CC4C34"/>
    <w:rsid w:val="00CD10D5"/>
    <w:rsid w:val="00CD1617"/>
    <w:rsid w:val="00CD2D34"/>
    <w:rsid w:val="00CE4035"/>
    <w:rsid w:val="00CE65AB"/>
    <w:rsid w:val="00CF4266"/>
    <w:rsid w:val="00D22D9C"/>
    <w:rsid w:val="00D241F1"/>
    <w:rsid w:val="00D275CB"/>
    <w:rsid w:val="00D30DFA"/>
    <w:rsid w:val="00D318C6"/>
    <w:rsid w:val="00D463A5"/>
    <w:rsid w:val="00D46727"/>
    <w:rsid w:val="00D4710D"/>
    <w:rsid w:val="00D47D25"/>
    <w:rsid w:val="00D528DF"/>
    <w:rsid w:val="00D61AB8"/>
    <w:rsid w:val="00D62ACD"/>
    <w:rsid w:val="00D64DD8"/>
    <w:rsid w:val="00D67E0D"/>
    <w:rsid w:val="00D718B3"/>
    <w:rsid w:val="00D93615"/>
    <w:rsid w:val="00DA36EE"/>
    <w:rsid w:val="00DB04D8"/>
    <w:rsid w:val="00DB0B22"/>
    <w:rsid w:val="00DB116D"/>
    <w:rsid w:val="00DC76FF"/>
    <w:rsid w:val="00DD17CC"/>
    <w:rsid w:val="00DE217A"/>
    <w:rsid w:val="00DF321B"/>
    <w:rsid w:val="00E230E0"/>
    <w:rsid w:val="00E27F15"/>
    <w:rsid w:val="00E31FE1"/>
    <w:rsid w:val="00E50700"/>
    <w:rsid w:val="00E51AAC"/>
    <w:rsid w:val="00E52864"/>
    <w:rsid w:val="00E66CC0"/>
    <w:rsid w:val="00E728A9"/>
    <w:rsid w:val="00E807D9"/>
    <w:rsid w:val="00EA0F4E"/>
    <w:rsid w:val="00EA295B"/>
    <w:rsid w:val="00EA3B9B"/>
    <w:rsid w:val="00EA6801"/>
    <w:rsid w:val="00EB4F96"/>
    <w:rsid w:val="00ED04F9"/>
    <w:rsid w:val="00ED7072"/>
    <w:rsid w:val="00EE3132"/>
    <w:rsid w:val="00EE3D9D"/>
    <w:rsid w:val="00EE4E0E"/>
    <w:rsid w:val="00EE6F25"/>
    <w:rsid w:val="00EF0C7A"/>
    <w:rsid w:val="00F02126"/>
    <w:rsid w:val="00F03D85"/>
    <w:rsid w:val="00F07C8C"/>
    <w:rsid w:val="00F249F1"/>
    <w:rsid w:val="00F25B9D"/>
    <w:rsid w:val="00F2664E"/>
    <w:rsid w:val="00F31163"/>
    <w:rsid w:val="00F31C04"/>
    <w:rsid w:val="00F438F1"/>
    <w:rsid w:val="00F442A7"/>
    <w:rsid w:val="00F53D4C"/>
    <w:rsid w:val="00F57A89"/>
    <w:rsid w:val="00F61A20"/>
    <w:rsid w:val="00F63DD9"/>
    <w:rsid w:val="00F66489"/>
    <w:rsid w:val="00F67644"/>
    <w:rsid w:val="00F8381F"/>
    <w:rsid w:val="00F84052"/>
    <w:rsid w:val="00F87EA0"/>
    <w:rsid w:val="00FA04CD"/>
    <w:rsid w:val="00FA25F5"/>
    <w:rsid w:val="00FA2810"/>
    <w:rsid w:val="00FA68F8"/>
    <w:rsid w:val="00FB1DC0"/>
    <w:rsid w:val="00FB3B4E"/>
    <w:rsid w:val="00FB4521"/>
    <w:rsid w:val="00FB4F84"/>
    <w:rsid w:val="00FB5CF8"/>
    <w:rsid w:val="00FE1E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177B"/>
  <w15:docId w15:val="{9B7414DB-CCE0-C04F-9EB0-B50F4C7F6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7301C"/>
    <w:rPr>
      <w:lang w:eastAsia="en-GB"/>
    </w:rPr>
  </w:style>
  <w:style w:type="paragraph" w:styleId="Heading1">
    <w:name w:val="heading 1"/>
    <w:basedOn w:val="Normal"/>
    <w:next w:val="Normal"/>
    <w:qFormat/>
    <w:rsid w:val="003730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301C"/>
    <w:pPr>
      <w:keepNext/>
      <w:jc w:val="both"/>
      <w:outlineLvl w:val="1"/>
    </w:pPr>
    <w:rPr>
      <w:b/>
      <w:sz w:val="24"/>
    </w:rPr>
  </w:style>
  <w:style w:type="paragraph" w:styleId="Heading3">
    <w:name w:val="heading 3"/>
    <w:basedOn w:val="Normal"/>
    <w:next w:val="Normal"/>
    <w:qFormat/>
    <w:rsid w:val="0037301C"/>
    <w:pPr>
      <w:keepNext/>
      <w:jc w:val="center"/>
      <w:outlineLvl w:val="2"/>
    </w:pPr>
    <w:rPr>
      <w:b/>
      <w:sz w:val="24"/>
    </w:rPr>
  </w:style>
  <w:style w:type="paragraph" w:styleId="Heading4">
    <w:name w:val="heading 4"/>
    <w:basedOn w:val="Normal"/>
    <w:next w:val="Normal"/>
    <w:qFormat/>
    <w:rsid w:val="003730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7301C"/>
    <w:pPr>
      <w:tabs>
        <w:tab w:val="center" w:pos="4153"/>
        <w:tab w:val="right" w:pos="8306"/>
      </w:tabs>
    </w:pPr>
  </w:style>
  <w:style w:type="paragraph" w:styleId="Footer">
    <w:name w:val="footer"/>
    <w:basedOn w:val="Normal"/>
    <w:link w:val="FooterChar"/>
    <w:uiPriority w:val="99"/>
    <w:rsid w:val="003730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8405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basedOn w:val="DefaultParagraphFont"/>
    <w:link w:val="bullet"/>
    <w:rsid w:val="00F84052"/>
    <w:rPr>
      <w:rFonts w:ascii="Arial" w:hAnsi="Arial"/>
      <w:sz w:val="22"/>
      <w:lang w:eastAsia="en-GB"/>
    </w:rPr>
  </w:style>
  <w:style w:type="paragraph" w:customStyle="1" w:styleId="fixed">
    <w:name w:val="fixed"/>
    <w:link w:val="fixedChar"/>
    <w:rsid w:val="0010751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0751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04733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facebook.com/saveoutdoored/photos/239243627862315"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D7220-CC2C-8E4D-A145-3839C66BF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6</Pages>
  <Words>2380</Words>
  <Characters>13571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15920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Beth</cp:lastModifiedBy>
  <cp:revision>2</cp:revision>
  <cp:lastPrinted>2018-09-26T13:53:00Z</cp:lastPrinted>
  <dcterms:created xsi:type="dcterms:W3CDTF">2021-03-22T14:40:00Z</dcterms:created>
  <dcterms:modified xsi:type="dcterms:W3CDTF">2021-03-22T14:40:00Z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