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6948399"/>
        <w:docPartObj>
          <w:docPartGallery w:val="Cover Pages"/>
          <w:docPartUnique/>
        </w:docPartObj>
      </w:sdtPr>
      <w:sdtEndPr/>
      <w:sdtContent>
        <w:p w:rsidR="00967367" w:rsidRDefault="00967367"/>
        <w:p w:rsidR="00967367" w:rsidRDefault="00395E1F">
          <w:r>
            <w:rPr>
              <w:noProof/>
            </w:rPr>
            <w:pict>
              <v:rect id="Правоъгълник 148" o:spid="_x0000_s1032" style="position:absolute;margin-left:0;margin-top:0;width:273.75pt;height:142.55pt;z-index:251663360;visibility:visible;mso-wrap-style:square;mso-width-percent:1000;mso-height-percent:0;mso-wrap-distance-left:0;mso-wrap-distance-top:28.8pt;mso-wrap-distance-right:0;mso-wrap-distance-bottom:28.8pt;mso-position-horizontal:center;mso-position-horizontal-relative:margin;mso-position-vertical:bottom;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" filled="f" stroked="f" strokeweight="2pt">
                <v:textbox style="mso-fit-shape-to-text:t" inset="0,0,0,0">
                  <w:txbxContent>
                    <w:p w:rsidR="00967367" w:rsidRPr="00967367" w:rsidRDefault="00967367" w:rsidP="00967367">
                      <w:pPr>
                        <w:jc w:val="center"/>
                        <w:rPr>
                          <w:rFonts w:ascii="Arial" w:hAnsi="Arial" w:cs="Arial"/>
                          <w:b/>
                          <w:bCs/>
                          <w:color w:val="002060"/>
                          <w:sz w:val="28"/>
                          <w:szCs w:val="28"/>
                        </w:rPr>
                      </w:pPr>
                      <w:r w:rsidRPr="00967367">
                        <w:rPr>
                          <w:rFonts w:ascii="Arial" w:hAnsi="Arial" w:cs="Arial"/>
                          <w:b/>
                          <w:bCs/>
                          <w:color w:val="002060"/>
                          <w:sz w:val="28"/>
                          <w:szCs w:val="28"/>
                        </w:rPr>
                        <w:t>Student name: Stilyana Filipova Mincheva</w:t>
                      </w:r>
                    </w:p>
                    <w:p w:rsidR="00967367" w:rsidRPr="00967367" w:rsidRDefault="00967367" w:rsidP="00967367">
                      <w:pPr>
                        <w:jc w:val="center"/>
                        <w:rPr>
                          <w:color w:val="4F81BD" w:themeColor="accent1"/>
                          <w:sz w:val="28"/>
                          <w:szCs w:val="28"/>
                        </w:rPr>
                      </w:pPr>
                      <w:r w:rsidRPr="00967367">
                        <w:rPr>
                          <w:rFonts w:ascii="Arial" w:hAnsi="Arial" w:cs="Arial"/>
                          <w:b/>
                          <w:bCs/>
                          <w:color w:val="002060"/>
                          <w:sz w:val="28"/>
                          <w:szCs w:val="28"/>
                        </w:rPr>
                        <w:t>Student number: 1816276</w:t>
                      </w:r>
                    </w:p>
                  </w:txbxContent>
                </v:textbox>
                <w10:wrap type="topAndBottom" anchorx="margin" anchory="margin"/>
              </v:rect>
            </w:pict>
          </w:r>
          <w:r>
            <w:rPr>
              <w:noProof/>
            </w:rPr>
            <w:pict>
              <v:shapetype id="_x0000_t202" coordsize="21600,21600" o:spt="202" path="m,l,21600r21600,l21600,xe">
                <v:stroke joinstyle="miter"/>
                <v:path gradientshapeok="t" o:connecttype="rect"/>
              </v:shapetype>
              <v:shape id="Текстово поле 129" o:spid="_x0000_s1027" type="#_x0000_t202" style="position:absolute;margin-left:292.05pt;margin-top:665.85pt;width:11.2pt;height:21.1pt;z-index:251661312;visibility:visible;mso-height-percent:0;mso-wrap-distance-left:9pt;mso-wrap-distance-top:0;mso-wrap-distance-right:9pt;mso-wrap-distance-bottom:0;mso-position-horizontal-relative:page;mso-position-vertical-relative:page;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" filled="f" stroked="f" strokeweight=".5pt">
                <v:textbox style="mso-fit-shape-to-text:t" inset="1in,0,86.4pt,0">
                  <w:txbxContent>
                    <w:p w:rsidR="00967367" w:rsidRDefault="00967367">
                      <w:pPr>
                        <w:pStyle w:val="a3"/>
                        <w:spacing w:before="40" w:after="40"/>
                        <w:rPr>
                          <w:caps/>
                          <w:color w:val="4F81BD" w:themeColor="accent1"/>
                          <w:sz w:val="28"/>
                          <w:szCs w:val="28"/>
                        </w:rPr>
                      </w:pPr>
                    </w:p>
                  </w:txbxContent>
                </v:textbox>
                <w10:wrap type="square" anchorx="page" anchory="page"/>
              </v:shape>
            </w:pict>
          </w:r>
          <w:r>
            <w:rPr>
              <w:noProof/>
            </w:rPr>
            <w:pict>
              <v:group id="Група 125"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">
                <o:lock v:ext="edit" aspectratio="t"/>
                <v:shape id="Свободна форма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rsidR="00967367" w:rsidRDefault="00395E1F" w:rsidP="00967367">
                        <w:pPr>
                          <w:jc w:val="center"/>
                          <w:rPr>
                            <w:rFonts w:ascii="Arial" w:eastAsia="Cambria" w:hAnsi="Arial" w:cs="Arial"/>
                            <w:b/>
                            <w:bCs/>
                            <w:color w:val="FFFFFF" w:themeColor="background1"/>
                            <w:sz w:val="44"/>
                            <w:szCs w:val="44"/>
                          </w:rPr>
                        </w:pPr>
                        <w:sdt>
                          <w:sdtPr>
                            <w:rPr>
                              <w:rFonts w:ascii="Arial" w:hAnsi="Arial" w:cs="Arial"/>
                              <w:b/>
                              <w:bCs/>
                              <w:color w:val="FFFFFF" w:themeColor="background1"/>
                              <w:sz w:val="44"/>
                              <w:szCs w:val="44"/>
                            </w:rPr>
                            <w:alias w:val="Заглавие"/>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67367" w:rsidRPr="00967367">
                              <w:rPr>
                                <w:rFonts w:ascii="Arial" w:hAnsi="Arial" w:cs="Arial"/>
                                <w:b/>
                                <w:bCs/>
                                <w:color w:val="FFFFFF" w:themeColor="background1"/>
                                <w:sz w:val="44"/>
                                <w:szCs w:val="44"/>
                              </w:rPr>
                              <w:t>Assignment title: Ratio</w:t>
                            </w:r>
                          </w:sdtContent>
                        </w:sdt>
                        <w:r w:rsidR="00967367" w:rsidRPr="00967367">
                          <w:rPr>
                            <w:rFonts w:ascii="Arial" w:hAnsi="Arial" w:cs="Arial"/>
                            <w:b/>
                            <w:bCs/>
                            <w:color w:val="FFFFFF" w:themeColor="background1"/>
                            <w:sz w:val="44"/>
                            <w:szCs w:val="44"/>
                          </w:rPr>
                          <w:t xml:space="preserve"> analysis</w:t>
                        </w:r>
                        <w:r w:rsidR="00967367" w:rsidRPr="00967367">
                          <w:rPr>
                            <w:rFonts w:ascii="Arial" w:eastAsia="Cambria" w:hAnsi="Arial" w:cs="Arial"/>
                            <w:b/>
                            <w:bCs/>
                            <w:color w:val="FFFFFF" w:themeColor="background1"/>
                            <w:sz w:val="44"/>
                            <w:szCs w:val="44"/>
                          </w:rPr>
                          <w:t xml:space="preserve"> </w:t>
                        </w:r>
                      </w:p>
                      <w:p w:rsidR="00E667B7" w:rsidRDefault="00E667B7" w:rsidP="00967367">
                        <w:pPr>
                          <w:jc w:val="center"/>
                          <w:rPr>
                            <w:rFonts w:ascii="Arial" w:eastAsia="Cambria" w:hAnsi="Arial" w:cs="Arial"/>
                            <w:b/>
                            <w:bCs/>
                            <w:color w:val="FFFFFF" w:themeColor="background1"/>
                            <w:sz w:val="44"/>
                            <w:szCs w:val="44"/>
                          </w:rPr>
                        </w:pPr>
                        <w:r>
                          <w:rPr>
                            <w:rFonts w:ascii="Arial" w:eastAsia="Cambria" w:hAnsi="Arial" w:cs="Arial"/>
                            <w:b/>
                            <w:bCs/>
                            <w:color w:val="FFFFFF" w:themeColor="background1"/>
                            <w:sz w:val="44"/>
                            <w:szCs w:val="44"/>
                          </w:rPr>
                          <w:t>Company name: Rangemaster plc</w:t>
                        </w:r>
                      </w:p>
                      <w:p w:rsidR="004D372C" w:rsidRDefault="006C5862" w:rsidP="00967367">
                        <w:pPr>
                          <w:jc w:val="center"/>
                          <w:rPr>
                            <w:rFonts w:ascii="Arial" w:eastAsia="Cambria" w:hAnsi="Arial" w:cs="Arial"/>
                            <w:b/>
                            <w:bCs/>
                            <w:color w:val="FFFFFF" w:themeColor="background1"/>
                            <w:sz w:val="44"/>
                            <w:szCs w:val="44"/>
                          </w:rPr>
                        </w:pPr>
                        <w:r>
                          <w:rPr>
                            <w:rFonts w:ascii="Arial" w:eastAsia="Cambria" w:hAnsi="Arial" w:cs="Arial"/>
                            <w:b/>
                            <w:bCs/>
                            <w:color w:val="FFFFFF" w:themeColor="background1"/>
                            <w:sz w:val="44"/>
                            <w:szCs w:val="44"/>
                          </w:rPr>
                          <w:t>20</w:t>
                        </w:r>
                        <w:r w:rsidR="004D372C">
                          <w:rPr>
                            <w:rFonts w:ascii="Arial" w:eastAsia="Cambria" w:hAnsi="Arial" w:cs="Arial"/>
                            <w:b/>
                            <w:bCs/>
                            <w:color w:val="FFFFFF" w:themeColor="background1"/>
                            <w:sz w:val="44"/>
                            <w:szCs w:val="44"/>
                          </w:rPr>
                          <w:t>.03.2020</w:t>
                        </w:r>
                      </w:p>
                      <w:p w:rsidR="00E667B7" w:rsidRPr="00967367" w:rsidRDefault="00E667B7" w:rsidP="00967367">
                        <w:pPr>
                          <w:jc w:val="center"/>
                          <w:rPr>
                            <w:rFonts w:ascii="Arial" w:eastAsia="Cambria" w:hAnsi="Arial" w:cs="Arial"/>
                            <w:b/>
                            <w:bCs/>
                            <w:color w:val="FFFFFF" w:themeColor="background1"/>
                            <w:sz w:val="44"/>
                            <w:szCs w:val="44"/>
                          </w:rPr>
                        </w:pPr>
                      </w:p>
                      <w:p w:rsidR="00967367" w:rsidRDefault="00967367" w:rsidP="00967367">
                        <w:pPr>
                          <w:jc w:val="center"/>
                          <w:rPr>
                            <w:rFonts w:ascii="Arial" w:eastAsia="Cambria" w:hAnsi="Arial" w:cs="Arial"/>
                            <w:b/>
                            <w:bCs/>
                            <w:color w:val="FFFFFF" w:themeColor="background1"/>
                            <w:sz w:val="36"/>
                            <w:szCs w:val="36"/>
                          </w:rPr>
                        </w:pPr>
                      </w:p>
                      <w:p w:rsidR="00967367" w:rsidRDefault="00967367" w:rsidP="00967367">
                        <w:pPr>
                          <w:jc w:val="center"/>
                          <w:rPr>
                            <w:rFonts w:ascii="Arial" w:eastAsia="Cambria" w:hAnsi="Arial" w:cs="Arial"/>
                            <w:b/>
                            <w:bCs/>
                            <w:color w:val="FFFFFF" w:themeColor="background1"/>
                            <w:sz w:val="36"/>
                            <w:szCs w:val="36"/>
                          </w:rPr>
                        </w:pPr>
                      </w:p>
                      <w:p w:rsidR="00967367" w:rsidRPr="00967367" w:rsidRDefault="00967367" w:rsidP="00967367">
                        <w:pPr>
                          <w:jc w:val="center"/>
                          <w:rPr>
                            <w:rFonts w:ascii="Arial" w:eastAsia="Cambria" w:hAnsi="Arial" w:cs="Arial"/>
                            <w:b/>
                            <w:color w:val="FFFFFF" w:themeColor="background1"/>
                            <w:sz w:val="36"/>
                            <w:szCs w:val="36"/>
                          </w:rPr>
                        </w:pPr>
                        <w:r w:rsidRPr="00967367">
                          <w:rPr>
                            <w:rFonts w:ascii="Arial" w:eastAsia="Cambria" w:hAnsi="Arial" w:cs="Arial"/>
                            <w:b/>
                            <w:bCs/>
                            <w:color w:val="FFFFFF" w:themeColor="background1"/>
                            <w:sz w:val="36"/>
                            <w:szCs w:val="36"/>
                          </w:rPr>
                          <w:t>Programme: BA International</w:t>
                        </w:r>
                        <w:r w:rsidRPr="00967367">
                          <w:rPr>
                            <w:rFonts w:ascii="Arial" w:eastAsia="Cambria" w:hAnsi="Arial" w:cs="Arial"/>
                            <w:b/>
                            <w:color w:val="FFFFFF" w:themeColor="background1"/>
                            <w:sz w:val="36"/>
                            <w:szCs w:val="36"/>
                          </w:rPr>
                          <w:t xml:space="preserve"> Hotel Management</w:t>
                        </w:r>
                      </w:p>
                      <w:p w:rsidR="00967367" w:rsidRPr="00967367" w:rsidRDefault="00967367" w:rsidP="00967367">
                        <w:pPr>
                          <w:spacing w:line="256" w:lineRule="auto"/>
                          <w:jc w:val="center"/>
                          <w:rPr>
                            <w:rFonts w:ascii="Arial" w:eastAsia="Cambria" w:hAnsi="Arial" w:cs="Arial"/>
                            <w:b/>
                            <w:color w:val="FFFFFF" w:themeColor="background1"/>
                            <w:sz w:val="36"/>
                            <w:szCs w:val="36"/>
                          </w:rPr>
                        </w:pPr>
                        <w:r w:rsidRPr="00967367">
                          <w:rPr>
                            <w:rFonts w:ascii="Arial" w:eastAsia="Cambria" w:hAnsi="Arial" w:cs="Arial"/>
                            <w:b/>
                            <w:color w:val="FFFFFF" w:themeColor="background1"/>
                            <w:sz w:val="36"/>
                            <w:szCs w:val="36"/>
                          </w:rPr>
                          <w:t>Module: Financial Management for the Hotel Industry</w:t>
                        </w:r>
                      </w:p>
                      <w:p w:rsidR="00967367" w:rsidRPr="00967367" w:rsidRDefault="00967367" w:rsidP="00967367">
                        <w:pPr>
                          <w:spacing w:line="256" w:lineRule="auto"/>
                          <w:jc w:val="center"/>
                          <w:rPr>
                            <w:rFonts w:ascii="Arial" w:eastAsia="Cambria" w:hAnsi="Arial" w:cs="Arial"/>
                            <w:b/>
                            <w:color w:val="FFFFFF" w:themeColor="background1"/>
                            <w:sz w:val="36"/>
                            <w:szCs w:val="36"/>
                          </w:rPr>
                        </w:pPr>
                        <w:r w:rsidRPr="00967367">
                          <w:rPr>
                            <w:rFonts w:ascii="Arial" w:eastAsia="Cambria" w:hAnsi="Arial" w:cs="Arial"/>
                            <w:b/>
                            <w:color w:val="FFFFFF" w:themeColor="background1"/>
                            <w:sz w:val="36"/>
                            <w:szCs w:val="36"/>
                          </w:rPr>
                          <w:t>Module code: M5X01922</w:t>
                        </w:r>
                      </w:p>
                      <w:p w:rsidR="00967367" w:rsidRPr="00967367" w:rsidRDefault="00967367" w:rsidP="00967367">
                        <w:pPr>
                          <w:spacing w:line="256" w:lineRule="auto"/>
                          <w:jc w:val="center"/>
                          <w:rPr>
                            <w:rFonts w:ascii="Arial" w:eastAsia="Calibri" w:hAnsi="Arial" w:cs="Arial"/>
                            <w:color w:val="FFFFFF" w:themeColor="background1"/>
                            <w:sz w:val="36"/>
                            <w:szCs w:val="36"/>
                          </w:rPr>
                        </w:pPr>
                        <w:r w:rsidRPr="00967367">
                          <w:rPr>
                            <w:rFonts w:ascii="Arial" w:eastAsia="Cambria" w:hAnsi="Arial" w:cs="Arial"/>
                            <w:b/>
                            <w:color w:val="FFFFFF" w:themeColor="background1"/>
                            <w:sz w:val="36"/>
                            <w:szCs w:val="36"/>
                          </w:rPr>
                          <w:t xml:space="preserve">Lecturer: </w:t>
                        </w:r>
                        <w:r>
                          <w:rPr>
                            <w:rFonts w:ascii="Arial" w:eastAsia="Cambria" w:hAnsi="Arial" w:cs="Arial"/>
                            <w:b/>
                            <w:color w:val="FFFFFF" w:themeColor="background1"/>
                            <w:sz w:val="36"/>
                            <w:szCs w:val="36"/>
                          </w:rPr>
                          <w:t>Dr</w:t>
                        </w:r>
                        <w:r w:rsidRPr="00967367">
                          <w:rPr>
                            <w:rFonts w:ascii="Arial" w:eastAsia="Cambria" w:hAnsi="Arial" w:cs="Arial"/>
                            <w:b/>
                            <w:color w:val="FFFFFF" w:themeColor="background1"/>
                            <w:sz w:val="36"/>
                            <w:szCs w:val="36"/>
                          </w:rPr>
                          <w:t xml:space="preserve"> David Jenkins</w:t>
                        </w:r>
                      </w:p>
                      <w:p w:rsidR="00967367" w:rsidRDefault="00967367">
                        <w:pPr>
                          <w:rPr>
                            <w:color w:val="FFFFFF" w:themeColor="background1"/>
                            <w:sz w:val="72"/>
                            <w:szCs w:val="72"/>
                          </w:rPr>
                        </w:pPr>
                      </w:p>
                    </w:txbxContent>
                  </v:textbox>
                </v:shape>
                <v:shape id="Свободна форма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v:rect id="Правоъгълник 130" o:spid="_x0000_s1026" style="position:absolute;margin-left:-48.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" fillcolor="#4f81bd [3204]" stroked="f" strokeweight="2pt">
                <o:lock v:ext="edit" aspectratio="t"/>
                <v:textbox inset="3.6pt,,3.6pt">
                  <w:txbxContent>
                    <w:sdt>
                      <w:sdtPr>
                        <w:rPr>
                          <w:color w:val="FFFFFF" w:themeColor="background1"/>
                          <w:sz w:val="24"/>
                          <w:szCs w:val="24"/>
                        </w:rPr>
                        <w:alias w:val="Година"/>
                        <w:tag w:val=""/>
                        <w:id w:val="1595126926"/>
                        <w:dataBinding w:prefixMappings="xmlns:ns0='http://schemas.microsoft.com/office/2006/coverPageProps' " w:xpath="/ns0:CoverPageProperties[1]/ns0:PublishDate[1]" w:storeItemID="{55AF091B-3C7A-41E3-B477-F2FDAA23CFDA}"/>
                        <w:date w:fullDate="2020-03-15T00:00:00Z">
                          <w:dateFormat w:val="yyyy"/>
                          <w:lid w:val="bg-BG"/>
                          <w:storeMappedDataAs w:val="dateTime"/>
                          <w:calendar w:val="gregorian"/>
                        </w:date>
                      </w:sdtPr>
                      <w:sdtEndPr/>
                      <w:sdtContent>
                        <w:p w:rsidR="00967367" w:rsidRDefault="00E667B7">
                          <w:pPr>
                            <w:pStyle w:val="a3"/>
                            <w:jc w:val="right"/>
                            <w:rPr>
                              <w:color w:val="FFFFFF" w:themeColor="background1"/>
                              <w:sz w:val="24"/>
                              <w:szCs w:val="24"/>
                            </w:rPr>
                          </w:pPr>
                          <w:r>
                            <w:rPr>
                              <w:color w:val="FFFFFF" w:themeColor="background1"/>
                              <w:sz w:val="24"/>
                              <w:szCs w:val="24"/>
                              <w:lang w:val="bg-BG"/>
                            </w:rPr>
                            <w:t>2020</w:t>
                          </w:r>
                        </w:p>
                      </w:sdtContent>
                    </w:sdt>
                  </w:txbxContent>
                </v:textbox>
                <w10:wrap anchorx="margin" anchory="page"/>
              </v:rect>
            </w:pict>
          </w:r>
          <w:r w:rsidR="00967367">
            <w:br w:type="page"/>
          </w:r>
        </w:p>
      </w:sdtContent>
    </w:sdt>
    <w:p w:rsidR="00A8182A" w:rsidRDefault="00A8182A" w:rsidP="007E5262">
      <w:pPr>
        <w:pStyle w:val="a9"/>
        <w:rPr>
          <w:rFonts w:ascii="Arial" w:hAnsi="Arial" w:cs="Arial"/>
          <w:b/>
          <w:bCs/>
          <w:sz w:val="24"/>
          <w:szCs w:val="24"/>
        </w:rPr>
      </w:pPr>
    </w:p>
    <w:p w:rsidR="007E5262" w:rsidRPr="00AA53A3" w:rsidRDefault="007E5262" w:rsidP="00A8182A">
      <w:pPr>
        <w:pStyle w:val="a9"/>
        <w:jc w:val="center"/>
        <w:rPr>
          <w:rFonts w:ascii="Arial" w:hAnsi="Arial" w:cs="Arial"/>
          <w:b/>
          <w:bCs/>
          <w:sz w:val="24"/>
          <w:szCs w:val="24"/>
        </w:rPr>
      </w:pPr>
      <w:r w:rsidRPr="00AA53A3">
        <w:rPr>
          <w:rFonts w:ascii="Arial" w:hAnsi="Arial" w:cs="Arial"/>
          <w:b/>
          <w:bCs/>
          <w:sz w:val="24"/>
          <w:szCs w:val="24"/>
        </w:rPr>
        <w:t>Executive summary</w:t>
      </w:r>
    </w:p>
    <w:p w:rsidR="00745005" w:rsidRDefault="00745005" w:rsidP="00A8182A">
      <w:pPr>
        <w:pStyle w:val="a9"/>
        <w:jc w:val="center"/>
        <w:rPr>
          <w:rFonts w:ascii="Arial" w:hAnsi="Arial" w:cs="Arial"/>
          <w:b/>
          <w:bCs/>
          <w:sz w:val="24"/>
          <w:szCs w:val="24"/>
        </w:rPr>
      </w:pPr>
    </w:p>
    <w:p w:rsidR="001408E5" w:rsidRPr="00AA53A3" w:rsidRDefault="001408E5" w:rsidP="00A8182A">
      <w:pPr>
        <w:pStyle w:val="a9"/>
        <w:jc w:val="center"/>
        <w:rPr>
          <w:rFonts w:ascii="Arial" w:hAnsi="Arial" w:cs="Arial"/>
          <w:b/>
          <w:bCs/>
          <w:sz w:val="24"/>
          <w:szCs w:val="24"/>
        </w:rPr>
      </w:pPr>
    </w:p>
    <w:p w:rsidR="007E5262" w:rsidRPr="00AA53A3" w:rsidRDefault="007E5262" w:rsidP="007E5262">
      <w:pPr>
        <w:pStyle w:val="a9"/>
        <w:rPr>
          <w:rFonts w:ascii="Arial" w:hAnsi="Arial" w:cs="Arial"/>
          <w:sz w:val="24"/>
          <w:szCs w:val="24"/>
        </w:rPr>
      </w:pPr>
    </w:p>
    <w:p w:rsidR="007E5262" w:rsidRPr="00912610" w:rsidRDefault="007E5262" w:rsidP="00912610">
      <w:pPr>
        <w:rPr>
          <w:rFonts w:ascii="Arial" w:hAnsi="Arial" w:cs="Arial"/>
          <w:sz w:val="24"/>
          <w:szCs w:val="24"/>
        </w:rPr>
      </w:pPr>
      <w:r w:rsidRPr="00912610">
        <w:rPr>
          <w:rFonts w:ascii="Arial" w:hAnsi="Arial" w:cs="Arial"/>
          <w:sz w:val="24"/>
          <w:szCs w:val="24"/>
        </w:rPr>
        <w:t xml:space="preserve"> In this assignment, I will analyse the company Rangemaster plc based on a report in which I will use different types of ratio analysis to try to create a clear picture of the financial development of the company.</w:t>
      </w:r>
    </w:p>
    <w:p w:rsidR="007E5262" w:rsidRPr="00912610" w:rsidRDefault="007E5262" w:rsidP="00912610">
      <w:pPr>
        <w:rPr>
          <w:rFonts w:ascii="Arial" w:hAnsi="Arial" w:cs="Arial"/>
          <w:sz w:val="24"/>
          <w:szCs w:val="24"/>
        </w:rPr>
      </w:pPr>
      <w:r w:rsidRPr="00912610">
        <w:rPr>
          <w:rFonts w:ascii="Arial" w:hAnsi="Arial" w:cs="Arial"/>
          <w:sz w:val="24"/>
          <w:szCs w:val="24"/>
        </w:rPr>
        <w:t>Financial ratios are mathematical comparisons of accounts or categories of financial statements. These relationships between the accounts in the financial statements help investors, creditors, and the internal management of the company understand how well the business is doing and the areas that need improvement.</w:t>
      </w:r>
    </w:p>
    <w:p w:rsidR="007E5262" w:rsidRPr="00912610" w:rsidRDefault="007E5262" w:rsidP="00912610">
      <w:pPr>
        <w:rPr>
          <w:rFonts w:ascii="Arial" w:hAnsi="Arial" w:cs="Arial"/>
          <w:sz w:val="24"/>
          <w:szCs w:val="24"/>
        </w:rPr>
      </w:pPr>
      <w:r w:rsidRPr="00912610">
        <w:rPr>
          <w:rFonts w:ascii="Arial" w:hAnsi="Arial" w:cs="Arial"/>
          <w:sz w:val="24"/>
          <w:szCs w:val="24"/>
        </w:rPr>
        <w:t xml:space="preserve"> Financial ratios are the most common and widespread tools used to analyse the financial condition of a business. The coefficients are easy to understand and easy to calculate. They can also be used to compare different companies in different industries. Odds are just a rough estimate of your financial position and performance. They allow us to compare and analyse companies in the large and small industries to identify their strengths and weaknesses. Financial ratios are often divided into seven main categories: liquidity, solvency, efficiency, profitability, market prospects, investment leverage and coverage. In this report, I will try to </w:t>
      </w:r>
      <w:r w:rsidR="00A8182A" w:rsidRPr="00912610">
        <w:rPr>
          <w:rFonts w:ascii="Arial" w:hAnsi="Arial" w:cs="Arial"/>
          <w:sz w:val="24"/>
          <w:szCs w:val="24"/>
        </w:rPr>
        <w:t xml:space="preserve">explain five </w:t>
      </w:r>
      <w:r w:rsidRPr="00912610">
        <w:rPr>
          <w:rFonts w:ascii="Arial" w:hAnsi="Arial" w:cs="Arial"/>
          <w:sz w:val="24"/>
          <w:szCs w:val="24"/>
        </w:rPr>
        <w:t xml:space="preserve">different </w:t>
      </w:r>
      <w:r w:rsidR="00A8182A" w:rsidRPr="00912610">
        <w:rPr>
          <w:rFonts w:ascii="Arial" w:hAnsi="Arial" w:cs="Arial"/>
          <w:sz w:val="24"/>
          <w:szCs w:val="24"/>
        </w:rPr>
        <w:t xml:space="preserve">groups of </w:t>
      </w:r>
      <w:r w:rsidRPr="00912610">
        <w:rPr>
          <w:rFonts w:ascii="Arial" w:hAnsi="Arial" w:cs="Arial"/>
          <w:sz w:val="24"/>
          <w:szCs w:val="24"/>
        </w:rPr>
        <w:t>ratio</w:t>
      </w:r>
      <w:r w:rsidR="00A8182A" w:rsidRPr="00912610">
        <w:rPr>
          <w:rFonts w:ascii="Arial" w:hAnsi="Arial" w:cs="Arial"/>
          <w:sz w:val="24"/>
          <w:szCs w:val="24"/>
        </w:rPr>
        <w:t xml:space="preserve"> liquidity, efficiency, profitability, capital structure and investment</w:t>
      </w:r>
      <w:r w:rsidRPr="00912610">
        <w:rPr>
          <w:rFonts w:ascii="Arial" w:hAnsi="Arial" w:cs="Arial"/>
          <w:sz w:val="24"/>
          <w:szCs w:val="24"/>
        </w:rPr>
        <w:t xml:space="preserve"> to describe the status of the company.</w:t>
      </w:r>
    </w:p>
    <w:p w:rsidR="007E5262" w:rsidRPr="00AA53A3" w:rsidRDefault="007E5262" w:rsidP="007E5262">
      <w:pPr>
        <w:pStyle w:val="a9"/>
        <w:rPr>
          <w:rFonts w:ascii="Arial" w:hAnsi="Arial" w:cs="Arial"/>
          <w:sz w:val="24"/>
          <w:szCs w:val="24"/>
        </w:rPr>
      </w:pPr>
    </w:p>
    <w:p w:rsidR="007E5262" w:rsidRPr="00AA53A3" w:rsidRDefault="007E5262" w:rsidP="00967367">
      <w:pPr>
        <w:jc w:val="center"/>
        <w:rPr>
          <w:rFonts w:ascii="Arial" w:hAnsi="Arial" w:cs="Arial"/>
          <w:sz w:val="28"/>
          <w:szCs w:val="28"/>
        </w:rPr>
      </w:pPr>
    </w:p>
    <w:p w:rsidR="007E5262" w:rsidRPr="00AA53A3" w:rsidRDefault="007E5262"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7E5262" w:rsidRPr="00AA53A3" w:rsidRDefault="007E5262" w:rsidP="00967367">
      <w:pPr>
        <w:jc w:val="center"/>
        <w:rPr>
          <w:rFonts w:ascii="Arial" w:hAnsi="Arial" w:cs="Arial"/>
          <w:sz w:val="28"/>
          <w:szCs w:val="28"/>
        </w:rPr>
      </w:pPr>
    </w:p>
    <w:p w:rsidR="00A8182A" w:rsidRPr="00AA53A3" w:rsidRDefault="00A8182A" w:rsidP="00967367">
      <w:pPr>
        <w:jc w:val="center"/>
        <w:rPr>
          <w:rFonts w:ascii="Arial" w:hAnsi="Arial" w:cs="Arial"/>
          <w:sz w:val="28"/>
          <w:szCs w:val="28"/>
        </w:rPr>
      </w:pPr>
    </w:p>
    <w:p w:rsidR="005B483F" w:rsidRPr="00AA53A3" w:rsidRDefault="00967367" w:rsidP="00967367">
      <w:pPr>
        <w:jc w:val="center"/>
        <w:rPr>
          <w:rFonts w:ascii="Arial" w:hAnsi="Arial" w:cs="Arial"/>
          <w:sz w:val="28"/>
          <w:szCs w:val="28"/>
        </w:rPr>
      </w:pPr>
      <w:r w:rsidRPr="00AA53A3">
        <w:rPr>
          <w:rFonts w:ascii="Arial" w:hAnsi="Arial" w:cs="Arial"/>
          <w:b/>
          <w:bCs/>
          <w:sz w:val="24"/>
          <w:szCs w:val="24"/>
        </w:rPr>
        <w:t>Table of content</w:t>
      </w:r>
      <w:r w:rsidRPr="00AA53A3">
        <w:rPr>
          <w:rFonts w:ascii="Arial" w:hAnsi="Arial" w:cs="Arial"/>
          <w:sz w:val="28"/>
          <w:szCs w:val="28"/>
        </w:rPr>
        <w:t>:</w:t>
      </w:r>
    </w:p>
    <w:p w:rsidR="00967367" w:rsidRPr="00AA53A3" w:rsidRDefault="00967367" w:rsidP="00967367">
      <w:pPr>
        <w:rPr>
          <w:rFonts w:ascii="Arial" w:hAnsi="Arial" w:cs="Arial"/>
          <w:sz w:val="24"/>
          <w:szCs w:val="24"/>
        </w:rPr>
      </w:pPr>
    </w:p>
    <w:p w:rsidR="00967367" w:rsidRPr="00AA53A3" w:rsidRDefault="00967367" w:rsidP="00E667B7">
      <w:pPr>
        <w:pStyle w:val="a9"/>
        <w:numPr>
          <w:ilvl w:val="0"/>
          <w:numId w:val="1"/>
        </w:numPr>
        <w:rPr>
          <w:rFonts w:ascii="Arial" w:hAnsi="Arial" w:cs="Arial"/>
          <w:sz w:val="24"/>
          <w:szCs w:val="24"/>
        </w:rPr>
      </w:pPr>
      <w:r w:rsidRPr="00AA53A3">
        <w:rPr>
          <w:rFonts w:ascii="Arial" w:hAnsi="Arial" w:cs="Arial"/>
          <w:sz w:val="24"/>
          <w:szCs w:val="24"/>
        </w:rPr>
        <w:t>Executive</w:t>
      </w:r>
      <w:r w:rsidR="00E667B7" w:rsidRPr="00AA53A3">
        <w:rPr>
          <w:rFonts w:ascii="Arial" w:hAnsi="Arial" w:cs="Arial"/>
          <w:sz w:val="24"/>
          <w:szCs w:val="24"/>
        </w:rPr>
        <w:t xml:space="preserve"> Summary</w:t>
      </w:r>
    </w:p>
    <w:p w:rsidR="00A8182A" w:rsidRPr="00AA53A3" w:rsidRDefault="00A8182A" w:rsidP="00E667B7">
      <w:pPr>
        <w:pStyle w:val="a9"/>
        <w:numPr>
          <w:ilvl w:val="0"/>
          <w:numId w:val="1"/>
        </w:numPr>
        <w:rPr>
          <w:rFonts w:ascii="Arial" w:hAnsi="Arial" w:cs="Arial"/>
          <w:sz w:val="24"/>
          <w:szCs w:val="24"/>
        </w:rPr>
      </w:pPr>
      <w:r w:rsidRPr="00AA53A3">
        <w:rPr>
          <w:rFonts w:ascii="Arial" w:hAnsi="Arial" w:cs="Arial"/>
          <w:sz w:val="24"/>
          <w:szCs w:val="24"/>
        </w:rPr>
        <w:t>Table of content</w:t>
      </w:r>
    </w:p>
    <w:p w:rsidR="00A8182A" w:rsidRPr="00AA53A3" w:rsidRDefault="00A8182A" w:rsidP="00E667B7">
      <w:pPr>
        <w:pStyle w:val="a9"/>
        <w:numPr>
          <w:ilvl w:val="0"/>
          <w:numId w:val="1"/>
        </w:numPr>
        <w:rPr>
          <w:rFonts w:ascii="Arial" w:hAnsi="Arial" w:cs="Arial"/>
          <w:sz w:val="24"/>
          <w:szCs w:val="24"/>
        </w:rPr>
      </w:pPr>
      <w:r w:rsidRPr="00AA53A3">
        <w:rPr>
          <w:rFonts w:ascii="Arial" w:hAnsi="Arial" w:cs="Arial"/>
          <w:sz w:val="24"/>
          <w:szCs w:val="24"/>
        </w:rPr>
        <w:t>Introduction</w:t>
      </w:r>
    </w:p>
    <w:p w:rsidR="00E667B7" w:rsidRPr="00AA53A3" w:rsidRDefault="00E667B7" w:rsidP="00E667B7">
      <w:pPr>
        <w:pStyle w:val="a9"/>
        <w:numPr>
          <w:ilvl w:val="0"/>
          <w:numId w:val="1"/>
        </w:numPr>
        <w:rPr>
          <w:rFonts w:ascii="Arial" w:hAnsi="Arial" w:cs="Arial"/>
          <w:sz w:val="24"/>
          <w:szCs w:val="24"/>
        </w:rPr>
      </w:pPr>
      <w:r w:rsidRPr="00AA53A3">
        <w:rPr>
          <w:rFonts w:ascii="Arial" w:hAnsi="Arial" w:cs="Arial"/>
          <w:sz w:val="24"/>
          <w:szCs w:val="24"/>
        </w:rPr>
        <w:t>Summary table</w:t>
      </w:r>
    </w:p>
    <w:p w:rsidR="00E667B7" w:rsidRPr="00AA53A3" w:rsidRDefault="00E667B7" w:rsidP="00E667B7">
      <w:pPr>
        <w:pStyle w:val="a9"/>
        <w:numPr>
          <w:ilvl w:val="0"/>
          <w:numId w:val="1"/>
        </w:numPr>
        <w:rPr>
          <w:rFonts w:ascii="Arial" w:hAnsi="Arial" w:cs="Arial"/>
          <w:sz w:val="24"/>
          <w:szCs w:val="24"/>
        </w:rPr>
      </w:pPr>
      <w:r w:rsidRPr="00AA53A3">
        <w:rPr>
          <w:rFonts w:ascii="Arial" w:hAnsi="Arial" w:cs="Arial"/>
          <w:sz w:val="24"/>
          <w:szCs w:val="24"/>
        </w:rPr>
        <w:t>Analysis</w:t>
      </w:r>
      <w:r w:rsidR="004D372C" w:rsidRPr="00AA53A3">
        <w:rPr>
          <w:rFonts w:ascii="Arial" w:hAnsi="Arial" w:cs="Arial"/>
          <w:sz w:val="24"/>
          <w:szCs w:val="24"/>
        </w:rPr>
        <w:t>: Liquidity; Efficiency; Capital structure; Investment, Profitability</w:t>
      </w:r>
    </w:p>
    <w:p w:rsidR="00E667B7" w:rsidRDefault="00E667B7" w:rsidP="00E667B7">
      <w:pPr>
        <w:pStyle w:val="a9"/>
        <w:numPr>
          <w:ilvl w:val="0"/>
          <w:numId w:val="1"/>
        </w:numPr>
        <w:rPr>
          <w:rFonts w:ascii="Arial" w:hAnsi="Arial" w:cs="Arial"/>
          <w:sz w:val="24"/>
          <w:szCs w:val="24"/>
        </w:rPr>
      </w:pPr>
      <w:r w:rsidRPr="00AA53A3">
        <w:rPr>
          <w:rFonts w:ascii="Arial" w:hAnsi="Arial" w:cs="Arial"/>
          <w:sz w:val="24"/>
          <w:szCs w:val="24"/>
        </w:rPr>
        <w:t>Conclusion</w:t>
      </w:r>
    </w:p>
    <w:p w:rsidR="001408E5" w:rsidRPr="00AA53A3" w:rsidRDefault="001408E5" w:rsidP="00E667B7">
      <w:pPr>
        <w:pStyle w:val="a9"/>
        <w:numPr>
          <w:ilvl w:val="0"/>
          <w:numId w:val="1"/>
        </w:numPr>
        <w:rPr>
          <w:rFonts w:ascii="Arial" w:hAnsi="Arial" w:cs="Arial"/>
          <w:sz w:val="24"/>
          <w:szCs w:val="24"/>
        </w:rPr>
      </w:pPr>
      <w:r>
        <w:rPr>
          <w:rFonts w:ascii="Arial" w:hAnsi="Arial" w:cs="Arial"/>
          <w:sz w:val="24"/>
          <w:szCs w:val="24"/>
        </w:rPr>
        <w:t>References</w:t>
      </w: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217144" w:rsidRPr="00AA53A3" w:rsidRDefault="00217144" w:rsidP="006F56A5">
      <w:pPr>
        <w:pStyle w:val="a9"/>
        <w:rPr>
          <w:rFonts w:ascii="Arial" w:hAnsi="Arial" w:cs="Arial"/>
          <w:sz w:val="24"/>
          <w:szCs w:val="24"/>
        </w:rPr>
      </w:pPr>
    </w:p>
    <w:p w:rsidR="00217144" w:rsidRPr="00AA53A3" w:rsidRDefault="00217144" w:rsidP="006F56A5">
      <w:pPr>
        <w:pStyle w:val="a9"/>
        <w:rPr>
          <w:rFonts w:ascii="Arial" w:hAnsi="Arial" w:cs="Arial"/>
          <w:sz w:val="24"/>
          <w:szCs w:val="24"/>
        </w:rPr>
      </w:pPr>
    </w:p>
    <w:p w:rsidR="00D64FAE" w:rsidRPr="00AA53A3" w:rsidRDefault="00D64FAE" w:rsidP="00217144">
      <w:pPr>
        <w:pStyle w:val="a9"/>
        <w:jc w:val="center"/>
        <w:rPr>
          <w:rFonts w:ascii="Arial" w:hAnsi="Arial" w:cs="Arial"/>
          <w:b/>
          <w:bCs/>
          <w:sz w:val="24"/>
          <w:szCs w:val="24"/>
        </w:rPr>
      </w:pPr>
    </w:p>
    <w:p w:rsidR="00D64FAE" w:rsidRPr="00AA53A3" w:rsidRDefault="00D64FAE" w:rsidP="00217144">
      <w:pPr>
        <w:pStyle w:val="a9"/>
        <w:jc w:val="center"/>
        <w:rPr>
          <w:rFonts w:ascii="Arial" w:hAnsi="Arial" w:cs="Arial"/>
          <w:b/>
          <w:bCs/>
          <w:sz w:val="24"/>
          <w:szCs w:val="24"/>
        </w:rPr>
      </w:pPr>
    </w:p>
    <w:p w:rsidR="00217144" w:rsidRPr="00AA53A3" w:rsidRDefault="00217144" w:rsidP="00217144">
      <w:pPr>
        <w:pStyle w:val="a9"/>
        <w:jc w:val="center"/>
        <w:rPr>
          <w:rFonts w:ascii="Arial" w:hAnsi="Arial" w:cs="Arial"/>
          <w:b/>
          <w:bCs/>
          <w:sz w:val="24"/>
          <w:szCs w:val="24"/>
        </w:rPr>
      </w:pPr>
      <w:r w:rsidRPr="00AA53A3">
        <w:rPr>
          <w:rFonts w:ascii="Arial" w:hAnsi="Arial" w:cs="Arial"/>
          <w:b/>
          <w:bCs/>
          <w:sz w:val="24"/>
          <w:szCs w:val="24"/>
        </w:rPr>
        <w:t>Introduction</w:t>
      </w:r>
    </w:p>
    <w:p w:rsidR="00217144" w:rsidRPr="00AA53A3" w:rsidRDefault="00217144" w:rsidP="00217144">
      <w:pPr>
        <w:pStyle w:val="a9"/>
        <w:jc w:val="center"/>
        <w:rPr>
          <w:rFonts w:ascii="Arial" w:hAnsi="Arial" w:cs="Arial"/>
          <w:b/>
          <w:bCs/>
          <w:sz w:val="24"/>
          <w:szCs w:val="24"/>
        </w:rPr>
      </w:pPr>
    </w:p>
    <w:p w:rsidR="00217144" w:rsidRPr="00AA53A3" w:rsidRDefault="00217144" w:rsidP="00217144">
      <w:pPr>
        <w:pStyle w:val="a9"/>
        <w:jc w:val="center"/>
        <w:rPr>
          <w:rFonts w:ascii="Arial" w:hAnsi="Arial" w:cs="Arial"/>
          <w:b/>
          <w:bCs/>
          <w:sz w:val="24"/>
          <w:szCs w:val="24"/>
        </w:rPr>
      </w:pPr>
    </w:p>
    <w:p w:rsidR="00B359D4" w:rsidRPr="00912610" w:rsidRDefault="00B359D4" w:rsidP="00912610">
      <w:pPr>
        <w:rPr>
          <w:rFonts w:ascii="Arial" w:hAnsi="Arial" w:cs="Arial"/>
          <w:sz w:val="24"/>
          <w:szCs w:val="24"/>
        </w:rPr>
      </w:pPr>
      <w:r w:rsidRPr="00912610">
        <w:rPr>
          <w:rFonts w:ascii="Arial" w:hAnsi="Arial" w:cs="Arial"/>
          <w:sz w:val="24"/>
          <w:szCs w:val="24"/>
        </w:rPr>
        <w:t xml:space="preserve">The purpose of financial analysis is to diagnose the information contained in the financial statements in order to evaluate the profitability and financial stability of the company. The financial analyst analyses the financial statements with various analysis tools before commenting on the financial position or weaknesses of the entity. The analysis and interpretation of the financial statements are essential to unravel the mystery behind the figures in the financial statements. The analysis of the financial statements is an attempt to determine the significance and significance of the financial statement data </w:t>
      </w:r>
      <w:r w:rsidR="00745005" w:rsidRPr="00912610">
        <w:rPr>
          <w:rFonts w:ascii="Arial" w:hAnsi="Arial" w:cs="Arial"/>
          <w:sz w:val="24"/>
          <w:szCs w:val="24"/>
        </w:rPr>
        <w:t>to</w:t>
      </w:r>
      <w:r w:rsidRPr="00912610">
        <w:rPr>
          <w:rFonts w:ascii="Arial" w:hAnsi="Arial" w:cs="Arial"/>
          <w:sz w:val="24"/>
          <w:szCs w:val="24"/>
        </w:rPr>
        <w:t xml:space="preserve"> predict future earnings, the ability to pay interest and maturities (both current and long-term) and the profitability of a sound dividend policy</w:t>
      </w:r>
      <w:r w:rsidR="006B36B9" w:rsidRPr="00912610">
        <w:rPr>
          <w:rFonts w:ascii="Arial" w:hAnsi="Arial" w:cs="Arial"/>
          <w:sz w:val="24"/>
          <w:szCs w:val="24"/>
        </w:rPr>
        <w:t>.</w:t>
      </w:r>
    </w:p>
    <w:p w:rsidR="006F56A5" w:rsidRPr="00912610" w:rsidRDefault="00B359D4" w:rsidP="00912610">
      <w:pPr>
        <w:rPr>
          <w:rFonts w:ascii="Arial" w:hAnsi="Arial" w:cs="Arial"/>
          <w:sz w:val="24"/>
          <w:szCs w:val="24"/>
        </w:rPr>
      </w:pPr>
      <w:bookmarkStart w:id="0" w:name="_GoBack"/>
      <w:bookmarkEnd w:id="0"/>
      <w:r w:rsidRPr="00912610">
        <w:rPr>
          <w:rFonts w:ascii="Arial" w:hAnsi="Arial" w:cs="Arial"/>
          <w:sz w:val="24"/>
          <w:szCs w:val="24"/>
        </w:rPr>
        <w:t>The term "analysis of financial statements" includes both "analysis" and "interpretation". Therefore, a distinction must be made between the two terms. The term "analysis" is used to mean simplification of financial data by methodically classifying the data presented in the financial statements; the term "interpretation" means to explain the meaning of financial data. The two terms are interrelated and complementary and any other analysis is useless without interpretation, and interpretation without analysis is difficult or even impossible.</w:t>
      </w:r>
    </w:p>
    <w:p w:rsidR="006F56A5" w:rsidRPr="00AA53A3" w:rsidRDefault="006F56A5" w:rsidP="006F56A5">
      <w:pPr>
        <w:pStyle w:val="a9"/>
        <w:rPr>
          <w:rFonts w:ascii="Arial" w:hAnsi="Arial" w:cs="Arial"/>
          <w:sz w:val="24"/>
          <w:szCs w:val="24"/>
        </w:rPr>
      </w:pPr>
    </w:p>
    <w:p w:rsidR="006F56A5" w:rsidRPr="00AA53A3" w:rsidRDefault="006F56A5" w:rsidP="006F56A5">
      <w:pPr>
        <w:pStyle w:val="a9"/>
        <w:rPr>
          <w:rFonts w:ascii="Arial" w:hAnsi="Arial" w:cs="Arial"/>
          <w:sz w:val="24"/>
          <w:szCs w:val="24"/>
        </w:rPr>
      </w:pPr>
    </w:p>
    <w:p w:rsidR="00A541D9" w:rsidRPr="00AA53A3" w:rsidRDefault="00A541D9"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D64FAE" w:rsidRPr="00AA53A3" w:rsidRDefault="00D64FAE"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E62217" w:rsidRPr="00AA53A3" w:rsidRDefault="00E62217" w:rsidP="006F56A5">
      <w:pPr>
        <w:pStyle w:val="a9"/>
        <w:rPr>
          <w:rFonts w:ascii="Arial" w:hAnsi="Arial" w:cs="Arial"/>
          <w:sz w:val="24"/>
          <w:szCs w:val="24"/>
        </w:rPr>
      </w:pPr>
    </w:p>
    <w:p w:rsidR="00A541D9" w:rsidRPr="00AA53A3" w:rsidRDefault="00A541D9" w:rsidP="006F56A5">
      <w:pPr>
        <w:pStyle w:val="a9"/>
        <w:rPr>
          <w:rFonts w:ascii="Arial" w:hAnsi="Arial" w:cs="Arial"/>
          <w:sz w:val="24"/>
          <w:szCs w:val="24"/>
        </w:rPr>
      </w:pPr>
    </w:p>
    <w:p w:rsidR="00A541D9" w:rsidRPr="00AA53A3" w:rsidRDefault="00A541D9" w:rsidP="00E62217">
      <w:pPr>
        <w:pStyle w:val="a9"/>
        <w:jc w:val="center"/>
        <w:rPr>
          <w:rFonts w:ascii="Arial" w:hAnsi="Arial" w:cs="Arial"/>
          <w:b/>
          <w:bCs/>
          <w:sz w:val="24"/>
          <w:szCs w:val="24"/>
        </w:rPr>
      </w:pPr>
      <w:r w:rsidRPr="00AA53A3">
        <w:rPr>
          <w:rFonts w:ascii="Arial" w:hAnsi="Arial" w:cs="Arial"/>
          <w:b/>
          <w:bCs/>
          <w:sz w:val="24"/>
          <w:szCs w:val="24"/>
        </w:rPr>
        <w:t>Summary table</w:t>
      </w:r>
    </w:p>
    <w:p w:rsidR="00A541D9" w:rsidRPr="00AA53A3" w:rsidRDefault="00A541D9" w:rsidP="006F56A5">
      <w:pPr>
        <w:pStyle w:val="a9"/>
        <w:rPr>
          <w:rFonts w:ascii="Arial" w:hAnsi="Arial" w:cs="Arial"/>
          <w:sz w:val="24"/>
          <w:szCs w:val="24"/>
        </w:rPr>
      </w:pPr>
    </w:p>
    <w:p w:rsidR="006C5862" w:rsidRPr="006C5862" w:rsidRDefault="00A541D9" w:rsidP="006F56A5">
      <w:pPr>
        <w:pStyle w:val="a9"/>
        <w:rPr>
          <w:rFonts w:ascii="Arial" w:hAnsi="Arial" w:cs="Arial"/>
        </w:rPr>
      </w:pPr>
      <w:r w:rsidRPr="00AA53A3">
        <w:lastRenderedPageBreak/>
        <w:fldChar w:fldCharType="begin"/>
      </w:r>
      <w:r w:rsidRPr="00AA53A3">
        <w:instrText xml:space="preserve"> LINK </w:instrText>
      </w:r>
      <w:r w:rsidR="006C5862">
        <w:instrText xml:space="preserve">Excel.Sheet.12 "C:\\Users\\acer\\Documents\\Exel Finance Ratio Rangemaster plc.xlsx" ratio!R68C1:R85C5 </w:instrText>
      </w:r>
      <w:r w:rsidRPr="00AA53A3">
        <w:instrText xml:space="preserve">\a \f 4 \h  \* MERGEFORMAT </w:instrText>
      </w:r>
      <w:r w:rsidR="006C5862" w:rsidRPr="00AA53A3">
        <w:fldChar w:fldCharType="separate"/>
      </w:r>
    </w:p>
    <w:tbl>
      <w:tblPr>
        <w:tblW w:w="9356" w:type="dxa"/>
        <w:tblInd w:w="108" w:type="dxa"/>
        <w:tblLook w:val="04A0" w:firstRow="1" w:lastRow="0" w:firstColumn="1" w:lastColumn="0" w:noHBand="0" w:noVBand="1"/>
      </w:tblPr>
      <w:tblGrid>
        <w:gridCol w:w="3334"/>
        <w:gridCol w:w="1395"/>
        <w:gridCol w:w="1365"/>
        <w:gridCol w:w="1421"/>
        <w:gridCol w:w="1841"/>
      </w:tblGrid>
      <w:tr w:rsidR="006C5862" w:rsidRPr="006C5862" w:rsidTr="006C5862">
        <w:trPr>
          <w:divId w:val="1774474542"/>
          <w:trHeight w:val="1035"/>
        </w:trPr>
        <w:tc>
          <w:tcPr>
            <w:tcW w:w="33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RATIO</w:t>
            </w:r>
          </w:p>
        </w:tc>
        <w:tc>
          <w:tcPr>
            <w:tcW w:w="1395" w:type="dxa"/>
            <w:tcBorders>
              <w:top w:val="single" w:sz="4" w:space="0" w:color="auto"/>
              <w:left w:val="nil"/>
              <w:bottom w:val="nil"/>
              <w:right w:val="single" w:sz="4" w:space="0" w:color="auto"/>
            </w:tcBorders>
            <w:shd w:val="clear" w:color="auto" w:fill="auto"/>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2019</w:t>
            </w:r>
          </w:p>
        </w:tc>
        <w:tc>
          <w:tcPr>
            <w:tcW w:w="1365" w:type="dxa"/>
            <w:tcBorders>
              <w:top w:val="single" w:sz="4" w:space="0" w:color="auto"/>
              <w:left w:val="nil"/>
              <w:bottom w:val="nil"/>
              <w:right w:val="single" w:sz="4" w:space="0" w:color="auto"/>
            </w:tcBorders>
            <w:shd w:val="clear" w:color="auto" w:fill="auto"/>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2018</w:t>
            </w:r>
          </w:p>
        </w:tc>
        <w:tc>
          <w:tcPr>
            <w:tcW w:w="1421" w:type="dxa"/>
            <w:tcBorders>
              <w:top w:val="single" w:sz="4" w:space="0" w:color="auto"/>
              <w:left w:val="nil"/>
              <w:bottom w:val="nil"/>
              <w:right w:val="single" w:sz="4" w:space="0" w:color="auto"/>
            </w:tcBorders>
            <w:shd w:val="clear" w:color="auto" w:fill="auto"/>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Absolute difference</w:t>
            </w:r>
          </w:p>
        </w:tc>
        <w:tc>
          <w:tcPr>
            <w:tcW w:w="1841" w:type="dxa"/>
            <w:tcBorders>
              <w:top w:val="single" w:sz="4" w:space="0" w:color="auto"/>
              <w:left w:val="nil"/>
              <w:bottom w:val="nil"/>
              <w:right w:val="single" w:sz="4" w:space="0" w:color="auto"/>
            </w:tcBorders>
            <w:shd w:val="clear" w:color="auto" w:fill="auto"/>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Relative  (performance) Difference</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ROCE</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13.92%</w:t>
            </w:r>
          </w:p>
        </w:tc>
        <w:tc>
          <w:tcPr>
            <w:tcW w:w="1365" w:type="dxa"/>
            <w:tcBorders>
              <w:top w:val="single" w:sz="4" w:space="0" w:color="auto"/>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15.21%</w:t>
            </w:r>
          </w:p>
        </w:tc>
        <w:tc>
          <w:tcPr>
            <w:tcW w:w="1421" w:type="dxa"/>
            <w:tcBorders>
              <w:top w:val="single" w:sz="4" w:space="0" w:color="auto"/>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8.48%</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-8.48%</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Asset Turnover</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1.83p</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1.73p</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0.1p</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5.86%</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Gross Profit Margin</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26.80%</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26.81%</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0.05%</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-0.05%</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Net operating Profit Margin</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7.60%</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8.79%</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13.55%</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-13.55%</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Inventory days</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73.8 days</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75.63 days</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1.83 days</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-2.42%</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Non-Current Asset Turnover</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2.89p</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2.50p</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0.39p</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15.61%</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Current Ratio</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1.89 times</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1.83 times</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0.06 times</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3.63%</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Acid Test or Quick Ratio</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1.23 times</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1.12 times</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0.11 times</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9.77%</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Creditors days</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86.76 days</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84.4 days</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2.36 days</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2.80%</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Debtor Days</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59.86 days</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60.97 days</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1.11 days</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-1.82%</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Gearing 1</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199.48%</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221.47%</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9.93%</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-9.93%</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Gearing 2</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66.61%</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68.89%</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3.32%</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-3.32%</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Interest Cover</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12 times</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8.2 times</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3.8 times</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46.34%</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Earnings per Share</w:t>
            </w:r>
            <w:r>
              <w:rPr>
                <w:rFonts w:ascii="Arial" w:eastAsia="Times New Roman" w:hAnsi="Arial" w:cs="Arial"/>
                <w:b/>
                <w:bCs/>
                <w:color w:val="000000"/>
                <w:lang w:eastAsia="en-GB"/>
              </w:rPr>
              <w:t xml:space="preserve"> </w:t>
            </w:r>
            <w:r w:rsidRPr="006C5862">
              <w:rPr>
                <w:rFonts w:ascii="Arial" w:eastAsia="Times New Roman" w:hAnsi="Arial" w:cs="Arial"/>
                <w:b/>
                <w:bCs/>
                <w:color w:val="000000"/>
                <w:lang w:eastAsia="en-GB"/>
              </w:rPr>
              <w:t>(EPS)</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63p</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51p</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12p</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23.53%</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Price Earnings Ratio</w:t>
            </w:r>
            <w:r>
              <w:rPr>
                <w:rFonts w:ascii="Arial" w:eastAsia="Times New Roman" w:hAnsi="Arial" w:cs="Arial"/>
                <w:b/>
                <w:bCs/>
                <w:color w:val="000000"/>
                <w:lang w:eastAsia="en-GB"/>
              </w:rPr>
              <w:t xml:space="preserve"> </w:t>
            </w:r>
            <w:r w:rsidRPr="006C5862">
              <w:rPr>
                <w:rFonts w:ascii="Arial" w:eastAsia="Times New Roman" w:hAnsi="Arial" w:cs="Arial"/>
                <w:b/>
                <w:bCs/>
                <w:color w:val="000000"/>
                <w:lang w:eastAsia="en-GB"/>
              </w:rPr>
              <w:t>(P/E)</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5.56 year</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5.39 year</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0.17year</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3.03%</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Dividends per Share</w:t>
            </w:r>
            <w:r>
              <w:rPr>
                <w:rFonts w:ascii="Arial" w:eastAsia="Times New Roman" w:hAnsi="Arial" w:cs="Arial"/>
                <w:b/>
                <w:bCs/>
                <w:color w:val="000000"/>
                <w:lang w:eastAsia="en-GB"/>
              </w:rPr>
              <w:t xml:space="preserve"> </w:t>
            </w:r>
            <w:r w:rsidRPr="006C5862">
              <w:rPr>
                <w:rFonts w:ascii="Arial" w:eastAsia="Times New Roman" w:hAnsi="Arial" w:cs="Arial"/>
                <w:b/>
                <w:bCs/>
                <w:color w:val="000000"/>
                <w:lang w:eastAsia="en-GB"/>
              </w:rPr>
              <w:t>(DPS)</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33,000p</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30,000p</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3p</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10%</w:t>
            </w:r>
          </w:p>
        </w:tc>
      </w:tr>
      <w:tr w:rsidR="006C5862" w:rsidRPr="006C5862" w:rsidTr="006C5862">
        <w:trPr>
          <w:divId w:val="1774474542"/>
          <w:trHeight w:val="315"/>
        </w:trPr>
        <w:tc>
          <w:tcPr>
            <w:tcW w:w="3334" w:type="dxa"/>
            <w:tcBorders>
              <w:top w:val="nil"/>
              <w:left w:val="single" w:sz="4" w:space="0" w:color="auto"/>
              <w:bottom w:val="single" w:sz="4" w:space="0" w:color="auto"/>
              <w:right w:val="nil"/>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 xml:space="preserve">Dividend Percentage </w:t>
            </w:r>
            <w:r w:rsidRPr="006C5862">
              <w:rPr>
                <w:rFonts w:ascii="Arial" w:eastAsia="Times New Roman" w:hAnsi="Arial" w:cs="Arial"/>
                <w:b/>
                <w:bCs/>
                <w:color w:val="000000"/>
                <w:lang w:eastAsia="en-GB"/>
              </w:rPr>
              <w:t>Playout</w:t>
            </w:r>
          </w:p>
        </w:tc>
        <w:tc>
          <w:tcPr>
            <w:tcW w:w="1395" w:type="dxa"/>
            <w:tcBorders>
              <w:top w:val="nil"/>
              <w:left w:val="single" w:sz="4" w:space="0" w:color="auto"/>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52,38 %</w:t>
            </w:r>
          </w:p>
        </w:tc>
        <w:tc>
          <w:tcPr>
            <w:tcW w:w="1365"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58,82%</w:t>
            </w:r>
          </w:p>
        </w:tc>
        <w:tc>
          <w:tcPr>
            <w:tcW w:w="1421" w:type="dxa"/>
            <w:tcBorders>
              <w:top w:val="nil"/>
              <w:left w:val="nil"/>
              <w:bottom w:val="single" w:sz="4" w:space="0" w:color="auto"/>
              <w:right w:val="single" w:sz="4" w:space="0" w:color="auto"/>
            </w:tcBorders>
            <w:shd w:val="clear" w:color="auto" w:fill="auto"/>
            <w:noWrap/>
            <w:vAlign w:val="bottom"/>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10.95%</w:t>
            </w:r>
          </w:p>
        </w:tc>
        <w:tc>
          <w:tcPr>
            <w:tcW w:w="1841" w:type="dxa"/>
            <w:tcBorders>
              <w:top w:val="nil"/>
              <w:left w:val="nil"/>
              <w:bottom w:val="single" w:sz="4" w:space="0" w:color="auto"/>
              <w:right w:val="single" w:sz="4" w:space="0" w:color="auto"/>
            </w:tcBorders>
            <w:shd w:val="clear" w:color="auto" w:fill="auto"/>
            <w:noWrap/>
            <w:vAlign w:val="center"/>
            <w:hideMark/>
          </w:tcPr>
          <w:p w:rsidR="006C5862" w:rsidRPr="006C5862" w:rsidRDefault="006C5862" w:rsidP="006C5862">
            <w:pPr>
              <w:spacing w:after="0" w:line="240" w:lineRule="auto"/>
              <w:jc w:val="center"/>
              <w:rPr>
                <w:rFonts w:ascii="Arial" w:eastAsia="Times New Roman" w:hAnsi="Arial" w:cs="Arial"/>
                <w:b/>
                <w:bCs/>
                <w:color w:val="000000"/>
                <w:lang w:eastAsia="en-GB"/>
              </w:rPr>
            </w:pPr>
            <w:r w:rsidRPr="006C5862">
              <w:rPr>
                <w:rFonts w:ascii="Arial" w:eastAsia="Times New Roman" w:hAnsi="Arial" w:cs="Arial"/>
                <w:b/>
                <w:bCs/>
                <w:color w:val="000000"/>
                <w:lang w:eastAsia="en-GB"/>
              </w:rPr>
              <w:t>-10.95%</w:t>
            </w:r>
          </w:p>
        </w:tc>
      </w:tr>
    </w:tbl>
    <w:p w:rsidR="00A541D9" w:rsidRPr="00AA53A3" w:rsidRDefault="00A541D9" w:rsidP="006F56A5">
      <w:pPr>
        <w:pStyle w:val="a9"/>
        <w:rPr>
          <w:rFonts w:ascii="Arial" w:hAnsi="Arial" w:cs="Arial"/>
          <w:lang w:val="bg-BG"/>
        </w:rPr>
      </w:pPr>
      <w:r w:rsidRPr="00AA53A3">
        <w:rPr>
          <w:rFonts w:ascii="Arial" w:hAnsi="Arial" w:cs="Arial"/>
        </w:rPr>
        <w:fldChar w:fldCharType="end"/>
      </w:r>
    </w:p>
    <w:p w:rsidR="008653AC" w:rsidRPr="00AA53A3" w:rsidRDefault="008653AC" w:rsidP="006F56A5">
      <w:pPr>
        <w:pStyle w:val="a9"/>
        <w:rPr>
          <w:rFonts w:ascii="Arial" w:hAnsi="Arial" w:cs="Arial"/>
          <w:lang w:val="bg-BG"/>
        </w:rPr>
      </w:pPr>
    </w:p>
    <w:p w:rsidR="008653AC" w:rsidRPr="00AA53A3" w:rsidRDefault="008653AC"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D64FAE" w:rsidRDefault="00D64FAE" w:rsidP="006F56A5">
      <w:pPr>
        <w:pStyle w:val="a9"/>
        <w:rPr>
          <w:rFonts w:ascii="Arial" w:hAnsi="Arial" w:cs="Arial"/>
          <w:lang w:val="bg-BG"/>
        </w:rPr>
      </w:pPr>
    </w:p>
    <w:p w:rsidR="001408E5" w:rsidRDefault="001408E5" w:rsidP="006F56A5">
      <w:pPr>
        <w:pStyle w:val="a9"/>
        <w:rPr>
          <w:rFonts w:ascii="Arial" w:hAnsi="Arial" w:cs="Arial"/>
          <w:lang w:val="bg-BG"/>
        </w:rPr>
      </w:pPr>
    </w:p>
    <w:p w:rsidR="001408E5" w:rsidRDefault="001408E5" w:rsidP="006F56A5">
      <w:pPr>
        <w:pStyle w:val="a9"/>
        <w:rPr>
          <w:rFonts w:ascii="Arial" w:hAnsi="Arial" w:cs="Arial"/>
          <w:lang w:val="bg-BG"/>
        </w:rPr>
      </w:pPr>
    </w:p>
    <w:p w:rsidR="001408E5" w:rsidRDefault="001408E5" w:rsidP="006F56A5">
      <w:pPr>
        <w:pStyle w:val="a9"/>
        <w:rPr>
          <w:rFonts w:ascii="Arial" w:hAnsi="Arial" w:cs="Arial"/>
          <w:lang w:val="bg-BG"/>
        </w:rPr>
      </w:pPr>
    </w:p>
    <w:p w:rsidR="001408E5" w:rsidRDefault="001408E5" w:rsidP="006F56A5">
      <w:pPr>
        <w:pStyle w:val="a9"/>
        <w:rPr>
          <w:rFonts w:ascii="Arial" w:hAnsi="Arial" w:cs="Arial"/>
          <w:lang w:val="bg-BG"/>
        </w:rPr>
      </w:pPr>
    </w:p>
    <w:p w:rsidR="001408E5" w:rsidRPr="00AA53A3" w:rsidRDefault="001408E5" w:rsidP="006F56A5">
      <w:pPr>
        <w:pStyle w:val="a9"/>
        <w:rPr>
          <w:rFonts w:ascii="Arial" w:hAnsi="Arial" w:cs="Arial"/>
          <w:lang w:val="bg-BG"/>
        </w:rPr>
      </w:pPr>
    </w:p>
    <w:p w:rsidR="00D64FAE" w:rsidRPr="00AA53A3" w:rsidRDefault="00D64FAE" w:rsidP="006F56A5">
      <w:pPr>
        <w:pStyle w:val="a9"/>
        <w:rPr>
          <w:rFonts w:ascii="Arial" w:hAnsi="Arial" w:cs="Arial"/>
          <w:lang w:val="bg-BG"/>
        </w:rPr>
      </w:pPr>
    </w:p>
    <w:p w:rsidR="008653AC" w:rsidRPr="00AA53A3" w:rsidRDefault="008653AC" w:rsidP="008653AC">
      <w:pPr>
        <w:pStyle w:val="a9"/>
        <w:jc w:val="center"/>
        <w:rPr>
          <w:rFonts w:ascii="Arial" w:hAnsi="Arial" w:cs="Arial"/>
          <w:b/>
          <w:bCs/>
          <w:sz w:val="24"/>
          <w:szCs w:val="24"/>
        </w:rPr>
      </w:pPr>
      <w:r w:rsidRPr="00AA53A3">
        <w:rPr>
          <w:rFonts w:ascii="Arial" w:hAnsi="Arial" w:cs="Arial"/>
          <w:b/>
          <w:bCs/>
          <w:sz w:val="24"/>
          <w:szCs w:val="24"/>
        </w:rPr>
        <w:t>Analysis</w:t>
      </w:r>
    </w:p>
    <w:p w:rsidR="008653AC" w:rsidRPr="00AA53A3" w:rsidRDefault="008653AC" w:rsidP="008653AC">
      <w:pPr>
        <w:pStyle w:val="a9"/>
        <w:jc w:val="center"/>
        <w:rPr>
          <w:rFonts w:ascii="Arial" w:hAnsi="Arial" w:cs="Arial"/>
          <w:b/>
          <w:bCs/>
          <w:sz w:val="24"/>
          <w:szCs w:val="24"/>
        </w:rPr>
      </w:pPr>
    </w:p>
    <w:p w:rsidR="008653AC" w:rsidRPr="00AA53A3" w:rsidRDefault="008653AC" w:rsidP="008653AC">
      <w:pPr>
        <w:pStyle w:val="a9"/>
        <w:jc w:val="center"/>
        <w:rPr>
          <w:rFonts w:ascii="Arial" w:hAnsi="Arial" w:cs="Arial"/>
          <w:b/>
          <w:bCs/>
          <w:sz w:val="24"/>
          <w:szCs w:val="24"/>
        </w:rPr>
      </w:pPr>
    </w:p>
    <w:p w:rsidR="008653AC" w:rsidRPr="00912610" w:rsidRDefault="008653AC" w:rsidP="00912610">
      <w:pPr>
        <w:rPr>
          <w:rFonts w:ascii="Arial" w:hAnsi="Arial" w:cs="Arial"/>
        </w:rPr>
      </w:pPr>
      <w:r w:rsidRPr="00912610">
        <w:rPr>
          <w:rFonts w:ascii="Arial" w:hAnsi="Arial" w:cs="Arial"/>
        </w:rPr>
        <w:t xml:space="preserve">The ratio analysis is based on the fact that a single accounting figure by itself may notcommunicate any meaningful information but when expressed as a relative to some other figure, it </w:t>
      </w:r>
      <w:r w:rsidRPr="00912610">
        <w:rPr>
          <w:rFonts w:ascii="Arial" w:hAnsi="Arial" w:cs="Arial"/>
        </w:rPr>
        <w:lastRenderedPageBreak/>
        <w:t>may definitely provide some significant information the relationship between two or more accounting figure</w:t>
      </w:r>
      <w:r w:rsidR="006B36B9" w:rsidRPr="00912610">
        <w:rPr>
          <w:rFonts w:ascii="Arial" w:hAnsi="Arial" w:cs="Arial"/>
        </w:rPr>
        <w:t xml:space="preserve"> </w:t>
      </w:r>
      <w:r w:rsidRPr="00912610">
        <w:rPr>
          <w:rFonts w:ascii="Arial" w:hAnsi="Arial" w:cs="Arial"/>
        </w:rPr>
        <w:t>groups is called a financial ratio helps to express the relationship between two accounting figures in such a way that users can draw conclusions about the performance, strengths and weakness of a firm. Financial ratios can be classified according to the information they provide. The following types of ratios frequently are used</w:t>
      </w:r>
    </w:p>
    <w:p w:rsidR="008653AC" w:rsidRPr="00AA53A3" w:rsidRDefault="008653AC" w:rsidP="008653AC">
      <w:pPr>
        <w:pStyle w:val="a9"/>
        <w:rPr>
          <w:rFonts w:ascii="Arial" w:hAnsi="Arial" w:cs="Arial"/>
        </w:rPr>
      </w:pPr>
    </w:p>
    <w:p w:rsidR="008653AC" w:rsidRPr="00912610" w:rsidRDefault="008653AC" w:rsidP="00912610">
      <w:pPr>
        <w:rPr>
          <w:rFonts w:ascii="Arial" w:hAnsi="Arial" w:cs="Arial"/>
        </w:rPr>
      </w:pPr>
      <w:r w:rsidRPr="00912610">
        <w:rPr>
          <w:rFonts w:ascii="Arial" w:hAnsi="Arial" w:cs="Arial"/>
        </w:rPr>
        <w:t>Classification of ratios:</w:t>
      </w:r>
    </w:p>
    <w:p w:rsidR="008653AC" w:rsidRPr="00AA53A3" w:rsidRDefault="008653AC" w:rsidP="008653AC">
      <w:pPr>
        <w:pStyle w:val="a9"/>
        <w:rPr>
          <w:rFonts w:ascii="Arial" w:hAnsi="Arial" w:cs="Arial"/>
        </w:rPr>
      </w:pPr>
    </w:p>
    <w:p w:rsidR="008653AC" w:rsidRPr="00AA53A3" w:rsidRDefault="008653AC" w:rsidP="008653AC">
      <w:pPr>
        <w:pStyle w:val="a9"/>
        <w:numPr>
          <w:ilvl w:val="0"/>
          <w:numId w:val="4"/>
        </w:numPr>
        <w:rPr>
          <w:rFonts w:ascii="Arial" w:hAnsi="Arial" w:cs="Arial"/>
          <w:lang w:val="bg-BG"/>
        </w:rPr>
      </w:pPr>
      <w:r w:rsidRPr="00AA53A3">
        <w:rPr>
          <w:rFonts w:ascii="Arial" w:hAnsi="Arial" w:cs="Arial"/>
        </w:rPr>
        <w:t>Liquidity ratios.</w:t>
      </w:r>
    </w:p>
    <w:p w:rsidR="008653AC" w:rsidRPr="008E1111" w:rsidRDefault="008653AC" w:rsidP="008653AC">
      <w:pPr>
        <w:pStyle w:val="a9"/>
        <w:numPr>
          <w:ilvl w:val="0"/>
          <w:numId w:val="4"/>
        </w:numPr>
        <w:rPr>
          <w:rFonts w:ascii="Arial" w:hAnsi="Arial" w:cs="Arial"/>
          <w:lang w:val="bg-BG"/>
        </w:rPr>
      </w:pPr>
      <w:bookmarkStart w:id="1" w:name="_Hlk35554692"/>
      <w:r w:rsidRPr="00AA53A3">
        <w:rPr>
          <w:rFonts w:ascii="Arial" w:hAnsi="Arial" w:cs="Arial"/>
        </w:rPr>
        <w:t>Profitability ratio</w:t>
      </w:r>
    </w:p>
    <w:p w:rsidR="008E1111" w:rsidRDefault="003B7EBB" w:rsidP="008E1111">
      <w:pPr>
        <w:pStyle w:val="a9"/>
        <w:numPr>
          <w:ilvl w:val="0"/>
          <w:numId w:val="4"/>
        </w:numPr>
        <w:rPr>
          <w:rFonts w:ascii="Arial" w:hAnsi="Arial" w:cs="Arial"/>
        </w:rPr>
      </w:pPr>
      <w:bookmarkStart w:id="2" w:name="_Hlk35552243"/>
      <w:bookmarkEnd w:id="1"/>
      <w:r>
        <w:rPr>
          <w:rFonts w:ascii="Arial" w:hAnsi="Arial" w:cs="Arial"/>
        </w:rPr>
        <w:t>Investment ratio</w:t>
      </w:r>
    </w:p>
    <w:p w:rsidR="003B7EBB" w:rsidRPr="00AA53A3" w:rsidRDefault="003B7EBB" w:rsidP="008E1111">
      <w:pPr>
        <w:pStyle w:val="a9"/>
        <w:numPr>
          <w:ilvl w:val="0"/>
          <w:numId w:val="4"/>
        </w:numPr>
        <w:rPr>
          <w:rFonts w:ascii="Arial" w:hAnsi="Arial" w:cs="Arial"/>
        </w:rPr>
      </w:pPr>
      <w:r>
        <w:rPr>
          <w:rFonts w:ascii="Arial" w:hAnsi="Arial" w:cs="Arial"/>
        </w:rPr>
        <w:t>Efficiency ratio</w:t>
      </w:r>
    </w:p>
    <w:bookmarkEnd w:id="2"/>
    <w:p w:rsidR="008E1111" w:rsidRPr="00AA53A3" w:rsidRDefault="008E1111" w:rsidP="008E1111">
      <w:pPr>
        <w:pStyle w:val="a9"/>
        <w:ind w:left="1080"/>
        <w:rPr>
          <w:rFonts w:ascii="Arial" w:hAnsi="Arial" w:cs="Arial"/>
          <w:lang w:val="bg-BG"/>
        </w:rPr>
      </w:pPr>
    </w:p>
    <w:p w:rsidR="008653AC" w:rsidRPr="00AA53A3" w:rsidRDefault="008653AC" w:rsidP="008653AC">
      <w:pPr>
        <w:pStyle w:val="a9"/>
        <w:rPr>
          <w:rFonts w:ascii="Arial" w:hAnsi="Arial" w:cs="Arial"/>
          <w:lang w:val="bg-BG"/>
        </w:rPr>
      </w:pPr>
    </w:p>
    <w:p w:rsidR="002E0CCF" w:rsidRPr="00AA53A3" w:rsidRDefault="00D64FAE" w:rsidP="008653AC">
      <w:pPr>
        <w:rPr>
          <w:rFonts w:ascii="Arial" w:hAnsi="Arial" w:cs="Arial"/>
        </w:rPr>
      </w:pPr>
      <w:r w:rsidRPr="00AA53A3">
        <w:rPr>
          <w:rFonts w:ascii="Arial" w:hAnsi="Arial" w:cs="Arial"/>
        </w:rPr>
        <w:t>Before moving on to the analysis of specific ratios, we need to review the company. In this report we look at Rangemaster plc, which is a manufacturing company that manufactures and supplies catering machines for hotels, restaurants and public houses in the United Kingdom (United Kingdom). All purchases and sales are made on a credit basis. We also have a statement of financial position and statement of comprehensive income for the two years 2019 and 2018, respectively. Given the company's financial results, we can make an initial analysis of the status and development trends of the company experienced during this period.</w:t>
      </w:r>
      <w:r w:rsidR="002E0CCF" w:rsidRPr="00AA53A3">
        <w:rPr>
          <w:rFonts w:ascii="Arial" w:hAnsi="Arial" w:cs="Arial"/>
        </w:rPr>
        <w:t xml:space="preserve"> </w:t>
      </w:r>
    </w:p>
    <w:p w:rsidR="008653AC" w:rsidRPr="00AA53A3" w:rsidRDefault="002E0CCF" w:rsidP="008653AC">
      <w:pPr>
        <w:rPr>
          <w:rFonts w:ascii="Arial" w:hAnsi="Arial" w:cs="Arial"/>
        </w:rPr>
      </w:pPr>
      <w:r w:rsidRPr="00AA53A3">
        <w:rPr>
          <w:rFonts w:ascii="Arial" w:hAnsi="Arial" w:cs="Arial"/>
        </w:rPr>
        <w:t>To begin with, consider the sales that the company has made in these years: in 2019, we have a significant increase in sales values ​​by 450 million or 9.89% (5000 million) more than in the previous year (4,550 million). This shows a stable development of the company. At the same time we have to look at the gross profit for the same period, again there is a tendency to increase the profit by 120 million</w:t>
      </w:r>
      <w:r w:rsidR="00CD600E">
        <w:rPr>
          <w:rFonts w:ascii="Arial" w:hAnsi="Arial" w:cs="Arial"/>
        </w:rPr>
        <w:t>,</w:t>
      </w:r>
      <w:r w:rsidRPr="00AA53A3">
        <w:rPr>
          <w:rFonts w:ascii="Arial" w:hAnsi="Arial" w:cs="Arial"/>
        </w:rPr>
        <w:t xml:space="preserve"> in 2018 it was 1.220 million, and in 2019 it is already 1.340 million, which indicates a good market position and a good corporate strategy in sales .</w:t>
      </w:r>
    </w:p>
    <w:p w:rsidR="002E0CCF" w:rsidRDefault="001306CF" w:rsidP="008653AC">
      <w:pPr>
        <w:rPr>
          <w:rFonts w:ascii="Arial" w:hAnsi="Arial" w:cs="Arial"/>
        </w:rPr>
      </w:pPr>
      <w:r w:rsidRPr="00AA53A3">
        <w:rPr>
          <w:rFonts w:ascii="Arial" w:hAnsi="Arial" w:cs="Arial"/>
        </w:rPr>
        <w:t xml:space="preserve">At the same time, looking at operating profit, we can say that it dropped by 20 million or -5%, in 2018 it was 400 million and in 2019 it was only 380 million, which shows that working capital the company has decreased. The reasons for this can be found in the other data in the reports provided. </w:t>
      </w:r>
      <w:r w:rsidR="00CD600E">
        <w:rPr>
          <w:rFonts w:ascii="Arial" w:hAnsi="Arial" w:cs="Arial"/>
        </w:rPr>
        <w:t>A</w:t>
      </w:r>
      <w:r w:rsidRPr="00AA53A3">
        <w:rPr>
          <w:rFonts w:ascii="Arial" w:hAnsi="Arial" w:cs="Arial"/>
        </w:rPr>
        <w:t xml:space="preserve">s part of this we can point out the increase in fees paid by the company in 2019-250 million compared to 2018-210 million, also the company's inventory increased from 690 million in 2018 to 740 million in 2019, is 50 million more or 7.25%. Trade receivables and cash </w:t>
      </w:r>
      <w:r w:rsidR="00CD600E">
        <w:rPr>
          <w:rFonts w:ascii="Arial" w:hAnsi="Arial" w:cs="Arial"/>
        </w:rPr>
        <w:t xml:space="preserve">in bank </w:t>
      </w:r>
      <w:r w:rsidRPr="00AA53A3">
        <w:rPr>
          <w:rFonts w:ascii="Arial" w:hAnsi="Arial" w:cs="Arial"/>
        </w:rPr>
        <w:t xml:space="preserve">and cash are increasing, </w:t>
      </w:r>
      <w:r w:rsidR="001408E5" w:rsidRPr="00AA53A3">
        <w:rPr>
          <w:rFonts w:ascii="Arial" w:hAnsi="Arial" w:cs="Arial"/>
        </w:rPr>
        <w:t>i.e.</w:t>
      </w:r>
      <w:r w:rsidRPr="00AA53A3">
        <w:rPr>
          <w:rFonts w:ascii="Arial" w:hAnsi="Arial" w:cs="Arial"/>
        </w:rPr>
        <w:t xml:space="preserve"> all current and non-current assets are increasing, which may indicate a rather good company policy for investing money in long- and short-term assets.</w:t>
      </w:r>
      <w:r w:rsidR="00AA53A3" w:rsidRPr="00AA53A3">
        <w:rPr>
          <w:rFonts w:ascii="Arial" w:hAnsi="Arial" w:cs="Arial"/>
        </w:rPr>
        <w:t xml:space="preserve"> Compared to the previous year, in 2019 the company has long-term liabilities with 200 million less or -20% (2019-800 million, 2018 - 1000 million). Also, trade liabilities worth 2019 from 870 million and in 2018 from 770 million to 100 million or 12.99%. All this speaks to the company's good financial position and stability in the market in 2019.</w:t>
      </w:r>
    </w:p>
    <w:p w:rsidR="001408E5" w:rsidRDefault="001408E5" w:rsidP="008653AC">
      <w:pPr>
        <w:rPr>
          <w:rFonts w:ascii="Arial" w:hAnsi="Arial" w:cs="Arial"/>
        </w:rPr>
      </w:pPr>
      <w:r w:rsidRPr="001408E5">
        <w:rPr>
          <w:rFonts w:ascii="Arial" w:hAnsi="Arial" w:cs="Arial"/>
        </w:rPr>
        <w:t xml:space="preserve">Now it has to come out with a </w:t>
      </w:r>
      <w:r>
        <w:rPr>
          <w:rFonts w:ascii="Arial" w:hAnsi="Arial" w:cs="Arial"/>
        </w:rPr>
        <w:t xml:space="preserve">financial </w:t>
      </w:r>
      <w:r w:rsidRPr="001408E5">
        <w:rPr>
          <w:rFonts w:ascii="Arial" w:hAnsi="Arial" w:cs="Arial"/>
        </w:rPr>
        <w:t>ratio analysis in detail to show in detail the status of the company, whether it is good to invest in it, whether it is developing well and what are the trends for long-term and stable development.</w:t>
      </w:r>
    </w:p>
    <w:p w:rsidR="005F6D62" w:rsidRDefault="005F6D62" w:rsidP="008653AC">
      <w:pPr>
        <w:rPr>
          <w:rFonts w:ascii="Arial" w:hAnsi="Arial" w:cs="Arial"/>
        </w:rPr>
      </w:pPr>
    </w:p>
    <w:p w:rsidR="006C5862" w:rsidRPr="00AA53A3" w:rsidRDefault="006C5862" w:rsidP="008653AC">
      <w:pPr>
        <w:rPr>
          <w:rFonts w:ascii="Arial" w:hAnsi="Arial" w:cs="Arial"/>
        </w:rPr>
      </w:pPr>
    </w:p>
    <w:p w:rsidR="008653AC" w:rsidRDefault="007745DA" w:rsidP="001408E5">
      <w:pPr>
        <w:jc w:val="center"/>
        <w:rPr>
          <w:rFonts w:ascii="Arial" w:hAnsi="Arial" w:cs="Arial"/>
          <w:b/>
          <w:bCs/>
        </w:rPr>
      </w:pPr>
      <w:r w:rsidRPr="001408E5">
        <w:rPr>
          <w:rFonts w:ascii="Arial" w:hAnsi="Arial" w:cs="Arial"/>
          <w:b/>
          <w:bCs/>
        </w:rPr>
        <w:lastRenderedPageBreak/>
        <w:t>Liquidity ratio</w:t>
      </w:r>
    </w:p>
    <w:p w:rsidR="001408E5" w:rsidRPr="001408E5" w:rsidRDefault="001408E5" w:rsidP="001408E5">
      <w:pPr>
        <w:jc w:val="center"/>
        <w:rPr>
          <w:rFonts w:ascii="Arial" w:hAnsi="Arial" w:cs="Arial"/>
          <w:b/>
          <w:bCs/>
        </w:rPr>
      </w:pPr>
    </w:p>
    <w:p w:rsidR="006B36B9" w:rsidRPr="00AA53A3" w:rsidRDefault="006B36B9" w:rsidP="00D64FAE">
      <w:pPr>
        <w:jc w:val="both"/>
        <w:rPr>
          <w:rFonts w:ascii="Arial" w:hAnsi="Arial" w:cs="Arial"/>
        </w:rPr>
      </w:pPr>
      <w:r w:rsidRPr="00AA53A3">
        <w:rPr>
          <w:rFonts w:ascii="Arial" w:hAnsi="Arial" w:cs="Arial"/>
        </w:rPr>
        <w:t>Liquidity ratios analyse the ability of a company to pay off both its current liabilities as they become due as well as their long-term liabilities as they become current. In other words, these ratios show the cash levels of a company and the ability to turn other assets into cash to pay off liabilities and other current obligations.</w:t>
      </w:r>
    </w:p>
    <w:p w:rsidR="008653AC" w:rsidRPr="00AA53A3" w:rsidRDefault="008653AC" w:rsidP="00D64FAE">
      <w:pPr>
        <w:jc w:val="both"/>
        <w:rPr>
          <w:rFonts w:ascii="Arial" w:hAnsi="Arial" w:cs="Arial"/>
        </w:rPr>
      </w:pPr>
    </w:p>
    <w:p w:rsidR="008653AC" w:rsidRPr="00AA53A3" w:rsidRDefault="008653AC" w:rsidP="00D64FAE">
      <w:pPr>
        <w:jc w:val="both"/>
        <w:rPr>
          <w:rFonts w:ascii="Arial" w:hAnsi="Arial" w:cs="Arial"/>
        </w:rPr>
      </w:pPr>
      <w:r w:rsidRPr="00AA53A3">
        <w:rPr>
          <w:rFonts w:ascii="Arial" w:hAnsi="Arial" w:cs="Arial"/>
          <w:b/>
          <w:bCs/>
        </w:rPr>
        <w:t>Current ratio:</w:t>
      </w:r>
    </w:p>
    <w:p w:rsidR="008653AC" w:rsidRDefault="001408E5" w:rsidP="00D64FAE">
      <w:pPr>
        <w:jc w:val="both"/>
        <w:rPr>
          <w:rFonts w:ascii="Arial" w:hAnsi="Arial" w:cs="Arial"/>
        </w:rPr>
      </w:pPr>
      <w:r>
        <w:rPr>
          <w:rFonts w:ascii="Arial" w:hAnsi="Arial" w:cs="Arial"/>
        </w:rPr>
        <w:t>T</w:t>
      </w:r>
      <w:r w:rsidR="008653AC" w:rsidRPr="00AA53A3">
        <w:rPr>
          <w:rFonts w:ascii="Arial" w:hAnsi="Arial" w:cs="Arial"/>
        </w:rPr>
        <w:t>his ratio indicates the extent to which current liabilities are covered by</w:t>
      </w:r>
      <w:r>
        <w:rPr>
          <w:rFonts w:ascii="Arial" w:hAnsi="Arial" w:cs="Arial"/>
        </w:rPr>
        <w:t xml:space="preserve"> </w:t>
      </w:r>
      <w:r w:rsidR="008653AC" w:rsidRPr="00AA53A3">
        <w:rPr>
          <w:rFonts w:ascii="Arial" w:hAnsi="Arial" w:cs="Arial"/>
        </w:rPr>
        <w:t xml:space="preserve">those assets expected to be converted to cash </w:t>
      </w:r>
      <w:r w:rsidRPr="00AA53A3">
        <w:rPr>
          <w:rFonts w:ascii="Arial" w:hAnsi="Arial" w:cs="Arial"/>
        </w:rPr>
        <w:t>soon</w:t>
      </w:r>
      <w:r w:rsidR="008653AC" w:rsidRPr="00AA53A3">
        <w:rPr>
          <w:rFonts w:ascii="Arial" w:hAnsi="Arial" w:cs="Arial"/>
        </w:rPr>
        <w:t xml:space="preserve">. </w:t>
      </w:r>
      <w:r>
        <w:rPr>
          <w:rFonts w:ascii="Arial" w:hAnsi="Arial" w:cs="Arial"/>
        </w:rPr>
        <w:t>c</w:t>
      </w:r>
      <w:r w:rsidR="008653AC" w:rsidRPr="00AA53A3">
        <w:rPr>
          <w:rFonts w:ascii="Arial" w:hAnsi="Arial" w:cs="Arial"/>
        </w:rPr>
        <w:t>urrent assets normally</w:t>
      </w:r>
      <w:r>
        <w:rPr>
          <w:rFonts w:ascii="Arial" w:hAnsi="Arial" w:cs="Arial"/>
        </w:rPr>
        <w:t xml:space="preserve"> </w:t>
      </w:r>
      <w:r w:rsidR="008653AC" w:rsidRPr="00AA53A3">
        <w:rPr>
          <w:rFonts w:ascii="Arial" w:hAnsi="Arial" w:cs="Arial"/>
        </w:rPr>
        <w:t xml:space="preserve">include cash, marketable securities and accounts receivables. </w:t>
      </w:r>
      <w:r>
        <w:rPr>
          <w:rFonts w:ascii="Arial" w:hAnsi="Arial" w:cs="Arial"/>
        </w:rPr>
        <w:t>C</w:t>
      </w:r>
      <w:r w:rsidR="008653AC" w:rsidRPr="00AA53A3">
        <w:rPr>
          <w:rFonts w:ascii="Arial" w:hAnsi="Arial" w:cs="Arial"/>
        </w:rPr>
        <w:t>urrent liabilities consist of accounts payable, short</w:t>
      </w:r>
      <w:r>
        <w:rPr>
          <w:rFonts w:ascii="Arial" w:hAnsi="Arial" w:cs="Arial"/>
        </w:rPr>
        <w:t xml:space="preserve"> </w:t>
      </w:r>
      <w:r w:rsidR="008653AC" w:rsidRPr="00AA53A3">
        <w:rPr>
          <w:rFonts w:ascii="Arial" w:hAnsi="Arial" w:cs="Arial"/>
        </w:rPr>
        <w:t>(term notes payable, current maturities of long</w:t>
      </w:r>
      <w:r>
        <w:rPr>
          <w:rFonts w:ascii="Arial" w:hAnsi="Arial" w:cs="Arial"/>
        </w:rPr>
        <w:t xml:space="preserve"> </w:t>
      </w:r>
      <w:r w:rsidR="008653AC" w:rsidRPr="00AA53A3">
        <w:rPr>
          <w:rFonts w:ascii="Arial" w:hAnsi="Arial" w:cs="Arial"/>
        </w:rPr>
        <w:t>(term debt, accrued</w:t>
      </w:r>
      <w:r>
        <w:rPr>
          <w:rFonts w:ascii="Arial" w:hAnsi="Arial" w:cs="Arial"/>
        </w:rPr>
        <w:t xml:space="preserve"> </w:t>
      </w:r>
      <w:r w:rsidR="008653AC" w:rsidRPr="00AA53A3">
        <w:rPr>
          <w:rFonts w:ascii="Arial" w:hAnsi="Arial" w:cs="Arial"/>
        </w:rPr>
        <w:t xml:space="preserve">taxes, and other accrued expenses </w:t>
      </w:r>
      <w:r>
        <w:rPr>
          <w:rFonts w:ascii="Arial" w:hAnsi="Arial" w:cs="Arial"/>
        </w:rPr>
        <w:t>(</w:t>
      </w:r>
      <w:r w:rsidR="008653AC" w:rsidRPr="00AA53A3">
        <w:rPr>
          <w:rFonts w:ascii="Arial" w:hAnsi="Arial" w:cs="Arial"/>
        </w:rPr>
        <w:t>principally wages</w:t>
      </w:r>
      <w:r>
        <w:rPr>
          <w:rFonts w:ascii="Arial" w:hAnsi="Arial" w:cs="Arial"/>
        </w:rPr>
        <w:t>).</w:t>
      </w:r>
    </w:p>
    <w:p w:rsidR="008653AC" w:rsidRDefault="001408E5" w:rsidP="008653AC">
      <w:pPr>
        <w:rPr>
          <w:rFonts w:ascii="Arial" w:hAnsi="Arial" w:cs="Arial"/>
        </w:rPr>
      </w:pPr>
      <w:r w:rsidRPr="001408E5">
        <w:rPr>
          <w:rFonts w:ascii="Arial" w:hAnsi="Arial" w:cs="Arial"/>
        </w:rPr>
        <w:t>The current ratio helps investors and creditors understand the liquidity of a company and how easily that company will be able to pay off its current liabilities. This ratio expresses a firm’s current debt in terms of current assets. So,</w:t>
      </w:r>
      <w:r w:rsidR="00226E5F">
        <w:rPr>
          <w:rFonts w:ascii="Arial" w:hAnsi="Arial" w:cs="Arial"/>
        </w:rPr>
        <w:t xml:space="preserve"> </w:t>
      </w:r>
      <w:r>
        <w:rPr>
          <w:rFonts w:ascii="Arial" w:hAnsi="Arial" w:cs="Arial"/>
        </w:rPr>
        <w:t>according to our example</w:t>
      </w:r>
      <w:r w:rsidRPr="001408E5">
        <w:rPr>
          <w:rFonts w:ascii="Arial" w:hAnsi="Arial" w:cs="Arial"/>
        </w:rPr>
        <w:t xml:space="preserve"> a current ratio</w:t>
      </w:r>
      <w:r w:rsidR="00744548">
        <w:rPr>
          <w:rFonts w:ascii="Arial" w:hAnsi="Arial" w:cs="Arial"/>
        </w:rPr>
        <w:t xml:space="preserve"> in 2019 is 1.89 times, and in 2018 is 1.83 times or current ratio relevant difference</w:t>
      </w:r>
      <w:r w:rsidRPr="001408E5">
        <w:rPr>
          <w:rFonts w:ascii="Arial" w:hAnsi="Arial" w:cs="Arial"/>
        </w:rPr>
        <w:t xml:space="preserve"> of </w:t>
      </w:r>
      <w:r>
        <w:rPr>
          <w:rFonts w:ascii="Arial" w:hAnsi="Arial" w:cs="Arial"/>
        </w:rPr>
        <w:t>3.63%</w:t>
      </w:r>
      <w:r w:rsidRPr="001408E5">
        <w:rPr>
          <w:rFonts w:ascii="Arial" w:hAnsi="Arial" w:cs="Arial"/>
        </w:rPr>
        <w:t xml:space="preserve"> would mean that the company has </w:t>
      </w:r>
      <w:r w:rsidR="00226E5F">
        <w:rPr>
          <w:rFonts w:ascii="Arial" w:hAnsi="Arial" w:cs="Arial"/>
        </w:rPr>
        <w:t>3.63</w:t>
      </w:r>
      <w:r w:rsidRPr="001408E5">
        <w:rPr>
          <w:rFonts w:ascii="Arial" w:hAnsi="Arial" w:cs="Arial"/>
        </w:rPr>
        <w:t xml:space="preserve"> times more current assets than current liabilities</w:t>
      </w:r>
      <w:r w:rsidR="00744548">
        <w:rPr>
          <w:rFonts w:ascii="Arial" w:hAnsi="Arial" w:cs="Arial"/>
        </w:rPr>
        <w:t xml:space="preserve"> in 2019</w:t>
      </w:r>
      <w:r w:rsidRPr="001408E5">
        <w:rPr>
          <w:rFonts w:ascii="Arial" w:hAnsi="Arial" w:cs="Arial"/>
        </w:rPr>
        <w:t>.</w:t>
      </w:r>
      <w:r w:rsidR="00226E5F">
        <w:rPr>
          <w:rFonts w:ascii="Arial" w:hAnsi="Arial" w:cs="Arial"/>
        </w:rPr>
        <w:t xml:space="preserve"> </w:t>
      </w:r>
      <w:r w:rsidR="00226E5F" w:rsidRPr="00226E5F">
        <w:rPr>
          <w:rFonts w:ascii="Arial" w:hAnsi="Arial" w:cs="Arial"/>
        </w:rPr>
        <w:t>A higher current ratio is always more favourable than a lower current ratio because it shows the company can more easily make current debt payments.</w:t>
      </w:r>
    </w:p>
    <w:p w:rsidR="00CD600E" w:rsidRPr="00CD600E" w:rsidRDefault="00CD600E" w:rsidP="008653AC">
      <w:pPr>
        <w:rPr>
          <w:rFonts w:ascii="Arial" w:hAnsi="Arial" w:cs="Arial"/>
          <w:b/>
          <w:bCs/>
          <w:lang w:val="bg-BG"/>
        </w:rPr>
      </w:pPr>
      <w:r w:rsidRPr="00CD600E">
        <w:rPr>
          <w:rFonts w:ascii="Arial" w:hAnsi="Arial" w:cs="Arial"/>
          <w:b/>
          <w:bCs/>
        </w:rPr>
        <w:t>Quick ratio</w:t>
      </w:r>
      <w:r>
        <w:rPr>
          <w:rFonts w:ascii="Arial" w:hAnsi="Arial" w:cs="Arial"/>
          <w:b/>
          <w:bCs/>
        </w:rPr>
        <w:t>:</w:t>
      </w:r>
    </w:p>
    <w:p w:rsidR="00B1120F" w:rsidRPr="00B1120F" w:rsidRDefault="00B1120F" w:rsidP="00B1120F">
      <w:pPr>
        <w:rPr>
          <w:rFonts w:ascii="Arial" w:hAnsi="Arial" w:cs="Arial"/>
        </w:rPr>
      </w:pPr>
      <w:r w:rsidRPr="00B1120F">
        <w:rPr>
          <w:rFonts w:ascii="Arial" w:hAnsi="Arial" w:cs="Arial"/>
        </w:rPr>
        <w:t>A quick ratio or acid test is a liquidity ratio that measures a company's ability to pay its current liabilities when they are due only to fast assets. Fast assets are current assets that can be converted into cash within 90 days or in the short term. Cash, cash equivalents, short-term investments or tradable securities and current receivables are considered current assets. The acid test ratio measures a company's liquidity by showing its ability to pay its current liabilities with fast assets. If a company has fast enough assets to cover its current total liabilities, the company will be able to pay off its liabilities without having to sell off its long-term assets. Because most businesses use their long-term assets to generate revenue, the sale of these capital assets will not only hurt the company but will also show investors that current operations do not generate enough profits to pay off current liabilities.</w:t>
      </w:r>
    </w:p>
    <w:p w:rsidR="00B1120F" w:rsidRPr="00B1120F" w:rsidRDefault="00B1120F" w:rsidP="00B1120F">
      <w:pPr>
        <w:rPr>
          <w:rFonts w:ascii="Arial" w:hAnsi="Arial" w:cs="Arial"/>
        </w:rPr>
      </w:pPr>
      <w:r w:rsidRPr="00B1120F">
        <w:rPr>
          <w:rFonts w:ascii="Arial" w:hAnsi="Arial" w:cs="Arial"/>
        </w:rPr>
        <w:t>Higher quick ratios are more favourable to companies as they show that there are faster assets than current liabilities. In our case, Rangemaster plc has a quick ratio of 1.23 for 2019 and 1.12 for 2018, which</w:t>
      </w:r>
      <w:r>
        <w:rPr>
          <w:rFonts w:ascii="Arial" w:hAnsi="Arial" w:cs="Arial"/>
        </w:rPr>
        <w:t xml:space="preserve"> </w:t>
      </w:r>
      <w:r w:rsidRPr="00B1120F">
        <w:rPr>
          <w:rFonts w:ascii="Arial" w:hAnsi="Arial" w:cs="Arial"/>
        </w:rPr>
        <w:t>shows that fast assets are close to current company assets. It also shows that the company can pay off its current liabilities without selling long-term assets.</w:t>
      </w:r>
    </w:p>
    <w:p w:rsidR="00A735BB" w:rsidRPr="00B1120F" w:rsidRDefault="00B1120F" w:rsidP="00B1120F">
      <w:pPr>
        <w:rPr>
          <w:rFonts w:ascii="Arial" w:hAnsi="Arial" w:cs="Arial"/>
        </w:rPr>
      </w:pPr>
      <w:r w:rsidRPr="00B1120F">
        <w:rPr>
          <w:rFonts w:ascii="Arial" w:hAnsi="Arial" w:cs="Arial"/>
        </w:rPr>
        <w:t>Obviously, as the ratio increases, so does the company's liquidity. More assets will be easily converted into cash if needed. This is a good sign for investors, but an even better sign for lenders because lenders want to know that they will be paid on time.</w:t>
      </w:r>
    </w:p>
    <w:p w:rsidR="001408E5" w:rsidRDefault="001408E5" w:rsidP="008653AC">
      <w:pPr>
        <w:rPr>
          <w:rFonts w:ascii="Arial" w:hAnsi="Arial" w:cs="Arial"/>
          <w:lang w:val="bg-BG"/>
        </w:rPr>
      </w:pPr>
    </w:p>
    <w:p w:rsidR="001408E5" w:rsidRDefault="00B1120F" w:rsidP="008653AC">
      <w:pPr>
        <w:rPr>
          <w:rFonts w:ascii="Arial" w:hAnsi="Arial" w:cs="Arial"/>
          <w:b/>
          <w:bCs/>
        </w:rPr>
      </w:pPr>
      <w:r w:rsidRPr="00E119DB">
        <w:rPr>
          <w:rFonts w:ascii="Arial" w:hAnsi="Arial" w:cs="Arial"/>
          <w:b/>
          <w:bCs/>
        </w:rPr>
        <w:t>Debtors collection period:</w:t>
      </w:r>
    </w:p>
    <w:p w:rsidR="00F6182C" w:rsidRDefault="00F6182C" w:rsidP="008653AC">
      <w:pPr>
        <w:rPr>
          <w:rFonts w:ascii="Arial" w:hAnsi="Arial" w:cs="Arial"/>
          <w:b/>
          <w:bCs/>
        </w:rPr>
      </w:pPr>
    </w:p>
    <w:p w:rsidR="00075686" w:rsidRPr="00075686" w:rsidRDefault="00075686" w:rsidP="00075686">
      <w:pPr>
        <w:rPr>
          <w:rFonts w:ascii="Arial" w:hAnsi="Arial" w:cs="Arial"/>
        </w:rPr>
      </w:pPr>
      <w:r w:rsidRPr="00075686">
        <w:rPr>
          <w:rFonts w:ascii="Arial" w:hAnsi="Arial" w:cs="Arial"/>
        </w:rPr>
        <w:t>The creditors</w:t>
      </w:r>
      <w:r>
        <w:rPr>
          <w:rFonts w:ascii="Arial" w:hAnsi="Arial" w:cs="Arial"/>
        </w:rPr>
        <w:t xml:space="preserve"> days</w:t>
      </w:r>
      <w:r w:rsidRPr="00075686">
        <w:rPr>
          <w:rFonts w:ascii="Arial" w:hAnsi="Arial" w:cs="Arial"/>
        </w:rPr>
        <w:t xml:space="preserve"> estimate the average time it takes a business to settle its debts with commercial suppliers. The ratio is a useful indicator when it comes to assessing the liquidity </w:t>
      </w:r>
      <w:r w:rsidRPr="00075686">
        <w:rPr>
          <w:rFonts w:ascii="Arial" w:hAnsi="Arial" w:cs="Arial"/>
        </w:rPr>
        <w:lastRenderedPageBreak/>
        <w:t>position of a business. In general, a business that wants to maximize its cash flow should take as long as possible to pay its bills. In our case, the company has 86.76 days for 2019 and 84.40 days for 2018 to pay its bills, which is a good indicator of business.</w:t>
      </w:r>
    </w:p>
    <w:p w:rsidR="00075686" w:rsidRDefault="00075686" w:rsidP="00075686">
      <w:pPr>
        <w:rPr>
          <w:rFonts w:ascii="Arial" w:hAnsi="Arial" w:cs="Arial"/>
        </w:rPr>
      </w:pPr>
      <w:r w:rsidRPr="00075686">
        <w:rPr>
          <w:rFonts w:ascii="Arial" w:hAnsi="Arial" w:cs="Arial"/>
        </w:rPr>
        <w:t>The ratio of the debtor's days (or trade receivables) is also related to liquidity. The ratio focuses on the time it takes for commercial debtors to handle their accounts. The ratio indicates whether debtors are allowed excessive credit.</w:t>
      </w:r>
      <w:r>
        <w:rPr>
          <w:rFonts w:ascii="Arial" w:hAnsi="Arial" w:cs="Arial"/>
        </w:rPr>
        <w:t xml:space="preserve"> </w:t>
      </w:r>
      <w:r w:rsidRPr="00075686">
        <w:rPr>
          <w:rFonts w:ascii="Arial" w:hAnsi="Arial" w:cs="Arial"/>
        </w:rPr>
        <w:t xml:space="preserve">A high figure (higher than the industry average) may indicate common problems with debt collection or financial standing of large clients. Effective and timely collection of customer debt is a vital part of cash flow management, so this ratio is closely monitored in many businesses. </w:t>
      </w:r>
    </w:p>
    <w:p w:rsidR="00075686" w:rsidRPr="00075686" w:rsidRDefault="00075686" w:rsidP="00075686">
      <w:pPr>
        <w:rPr>
          <w:rFonts w:ascii="Arial" w:hAnsi="Arial" w:cs="Arial"/>
        </w:rPr>
      </w:pPr>
      <w:r w:rsidRPr="00075686">
        <w:rPr>
          <w:rFonts w:ascii="Arial" w:hAnsi="Arial" w:cs="Arial"/>
        </w:rPr>
        <w:t xml:space="preserve">In our case, Rangemaster </w:t>
      </w:r>
      <w:r>
        <w:rPr>
          <w:rFonts w:ascii="Arial" w:hAnsi="Arial" w:cs="Arial"/>
        </w:rPr>
        <w:t xml:space="preserve">plc </w:t>
      </w:r>
      <w:r w:rsidRPr="00075686">
        <w:rPr>
          <w:rFonts w:ascii="Arial" w:hAnsi="Arial" w:cs="Arial"/>
        </w:rPr>
        <w:t>receives its receivables on average 59.86 days in 2019 and 60.97 days in 2018, which indicates that in 2019 the company was able to recover its claims faster than the previous year. The average time customers spend paying their bills varies across industries, although the common complaint is that trade debtors take too much time to pay in almost every market.</w:t>
      </w:r>
    </w:p>
    <w:p w:rsidR="00075686" w:rsidRPr="00075686" w:rsidRDefault="00075686" w:rsidP="00075686">
      <w:pPr>
        <w:rPr>
          <w:rFonts w:ascii="Arial" w:hAnsi="Arial" w:cs="Arial"/>
        </w:rPr>
      </w:pPr>
      <w:r w:rsidRPr="00075686">
        <w:rPr>
          <w:rFonts w:ascii="Arial" w:hAnsi="Arial" w:cs="Arial"/>
        </w:rPr>
        <w:t>Factors to consider when interpreting a debtor's days are:</w:t>
      </w:r>
    </w:p>
    <w:p w:rsidR="00075686" w:rsidRPr="00075686" w:rsidRDefault="00075686" w:rsidP="00075686">
      <w:pPr>
        <w:rPr>
          <w:rFonts w:ascii="Arial" w:hAnsi="Arial" w:cs="Arial"/>
        </w:rPr>
      </w:pPr>
      <w:r w:rsidRPr="00075686">
        <w:rPr>
          <w:rFonts w:ascii="Arial" w:hAnsi="Arial" w:cs="Arial"/>
        </w:rPr>
        <w:t>Debtors' average days should be considered. In some industries, it is simply assumed that the credit that can be used is 45 days or 60 days or whatever everyone (or wants) looks like everyone else.</w:t>
      </w:r>
    </w:p>
    <w:p w:rsidR="00075686" w:rsidRPr="00075686" w:rsidRDefault="00075686" w:rsidP="00075686">
      <w:pPr>
        <w:rPr>
          <w:rFonts w:ascii="Arial" w:hAnsi="Arial" w:cs="Arial"/>
        </w:rPr>
      </w:pPr>
      <w:r w:rsidRPr="00075686">
        <w:rPr>
          <w:rFonts w:ascii="Arial" w:hAnsi="Arial" w:cs="Arial"/>
        </w:rPr>
        <w:t>A business can determine, through its terms and conditions of sale, how long customers can officially take.</w:t>
      </w:r>
    </w:p>
    <w:p w:rsidR="001408E5" w:rsidRDefault="00075686" w:rsidP="00075686">
      <w:pPr>
        <w:rPr>
          <w:rFonts w:ascii="Arial" w:hAnsi="Arial" w:cs="Arial"/>
        </w:rPr>
      </w:pPr>
      <w:r w:rsidRPr="00075686">
        <w:rPr>
          <w:rFonts w:ascii="Arial" w:hAnsi="Arial" w:cs="Arial"/>
        </w:rPr>
        <w:t>There are several actions that businesses can take to reduce a debtor's days, including offering incentives for early payment or invoicing.</w:t>
      </w:r>
    </w:p>
    <w:p w:rsidR="00075686" w:rsidRDefault="00075686" w:rsidP="00075686">
      <w:pPr>
        <w:rPr>
          <w:rFonts w:ascii="Arial" w:hAnsi="Arial" w:cs="Arial"/>
        </w:rPr>
      </w:pPr>
    </w:p>
    <w:p w:rsidR="006C5862" w:rsidRDefault="006C5862" w:rsidP="003B7EBB">
      <w:pPr>
        <w:jc w:val="center"/>
        <w:rPr>
          <w:rFonts w:ascii="Arial" w:hAnsi="Arial" w:cs="Arial"/>
          <w:b/>
          <w:bCs/>
        </w:rPr>
      </w:pPr>
    </w:p>
    <w:p w:rsidR="006C5862" w:rsidRDefault="006C5862" w:rsidP="003B7EBB">
      <w:pPr>
        <w:jc w:val="center"/>
        <w:rPr>
          <w:rFonts w:ascii="Arial" w:hAnsi="Arial" w:cs="Arial"/>
          <w:b/>
          <w:bCs/>
        </w:rPr>
      </w:pPr>
    </w:p>
    <w:p w:rsidR="003B7EBB" w:rsidRDefault="003B7EBB" w:rsidP="003B7EBB">
      <w:pPr>
        <w:jc w:val="center"/>
        <w:rPr>
          <w:rFonts w:ascii="Arial" w:hAnsi="Arial" w:cs="Arial"/>
          <w:b/>
          <w:bCs/>
        </w:rPr>
      </w:pPr>
      <w:r w:rsidRPr="003B7EBB">
        <w:rPr>
          <w:rFonts w:ascii="Arial" w:hAnsi="Arial" w:cs="Arial"/>
          <w:b/>
          <w:bCs/>
        </w:rPr>
        <w:t>Profitability ratio</w:t>
      </w:r>
      <w:r>
        <w:rPr>
          <w:rFonts w:ascii="Arial" w:hAnsi="Arial" w:cs="Arial"/>
          <w:b/>
          <w:bCs/>
        </w:rPr>
        <w:t>:</w:t>
      </w:r>
    </w:p>
    <w:p w:rsidR="006C5862" w:rsidRDefault="006C5862" w:rsidP="003B7EBB">
      <w:pPr>
        <w:jc w:val="center"/>
        <w:rPr>
          <w:rFonts w:ascii="Arial" w:hAnsi="Arial" w:cs="Arial"/>
          <w:b/>
          <w:bCs/>
        </w:rPr>
      </w:pPr>
    </w:p>
    <w:p w:rsidR="006C5862" w:rsidRDefault="006C5862" w:rsidP="006C5862">
      <w:pPr>
        <w:rPr>
          <w:rFonts w:ascii="Arial" w:hAnsi="Arial" w:cs="Arial"/>
          <w:b/>
          <w:bCs/>
        </w:rPr>
      </w:pPr>
      <w:r w:rsidRPr="006C5862">
        <w:rPr>
          <w:rFonts w:ascii="Arial" w:hAnsi="Arial" w:cs="Arial"/>
        </w:rPr>
        <w:t>Profitability ratios compare income statement accounts and categories to show a company’s ability to generate profits from its operations. Profitability ratios focus on a company’s return on investment in inventory and other assets. These ratios basically show how well companies can achieve profits from their operations</w:t>
      </w:r>
      <w:r w:rsidRPr="006C5862">
        <w:rPr>
          <w:rFonts w:ascii="Arial" w:hAnsi="Arial" w:cs="Arial"/>
          <w:b/>
          <w:bCs/>
        </w:rPr>
        <w:t>.</w:t>
      </w:r>
    </w:p>
    <w:p w:rsidR="006C5862" w:rsidRDefault="006C5862" w:rsidP="003B7EBB">
      <w:pPr>
        <w:jc w:val="center"/>
        <w:rPr>
          <w:rFonts w:ascii="Arial" w:hAnsi="Arial" w:cs="Arial"/>
          <w:b/>
          <w:bCs/>
        </w:rPr>
      </w:pPr>
    </w:p>
    <w:p w:rsidR="008653AC" w:rsidRPr="00F6182C" w:rsidRDefault="003B7EBB" w:rsidP="003B7EBB">
      <w:pPr>
        <w:rPr>
          <w:rFonts w:ascii="Arial" w:hAnsi="Arial" w:cs="Arial"/>
          <w:b/>
          <w:bCs/>
        </w:rPr>
      </w:pPr>
      <w:r w:rsidRPr="00F6182C">
        <w:rPr>
          <w:rFonts w:ascii="Arial" w:hAnsi="Arial" w:cs="Arial"/>
          <w:b/>
          <w:bCs/>
        </w:rPr>
        <w:t>ROCE (return on capital employed) ratio</w:t>
      </w:r>
      <w:r w:rsidR="0029319E" w:rsidRPr="00F6182C">
        <w:rPr>
          <w:rFonts w:ascii="Arial" w:hAnsi="Arial" w:cs="Arial"/>
          <w:b/>
          <w:bCs/>
        </w:rPr>
        <w:t>:</w:t>
      </w:r>
    </w:p>
    <w:p w:rsidR="0029319E" w:rsidRDefault="0029319E" w:rsidP="003B7EBB">
      <w:pPr>
        <w:rPr>
          <w:rFonts w:ascii="Arial" w:hAnsi="Arial" w:cs="Arial"/>
        </w:rPr>
      </w:pPr>
      <w:r w:rsidRPr="0029319E">
        <w:rPr>
          <w:rFonts w:ascii="Arial" w:hAnsi="Arial" w:cs="Arial"/>
        </w:rPr>
        <w:t>Return on capital employed or ROCE is a profitability ratio that measures how efficiently a company can generate profits from its capital employed by comparing net operating profit to capital employed. In other words, return on capital employed shows investors how many dollars in profits each dollar of capital employed generates</w:t>
      </w:r>
      <w:r>
        <w:rPr>
          <w:rFonts w:ascii="Arial" w:hAnsi="Arial" w:cs="Arial"/>
        </w:rPr>
        <w:t>.</w:t>
      </w:r>
    </w:p>
    <w:p w:rsidR="0029319E" w:rsidRPr="003B7EBB" w:rsidRDefault="0029319E" w:rsidP="003B7EBB">
      <w:pPr>
        <w:rPr>
          <w:rFonts w:ascii="Arial" w:hAnsi="Arial" w:cs="Arial"/>
        </w:rPr>
      </w:pPr>
      <w:r w:rsidRPr="0029319E">
        <w:rPr>
          <w:rFonts w:ascii="Arial" w:hAnsi="Arial" w:cs="Arial"/>
        </w:rPr>
        <w:t xml:space="preserve">The return on capital employed ratio shows how much profit each dollar of employed capital generates. Obviously, a higher ratio would be more </w:t>
      </w:r>
      <w:r w:rsidRPr="0029319E">
        <w:rPr>
          <w:rFonts w:ascii="Arial" w:hAnsi="Arial" w:cs="Arial"/>
        </w:rPr>
        <w:t>favourable</w:t>
      </w:r>
      <w:r w:rsidRPr="0029319E">
        <w:rPr>
          <w:rFonts w:ascii="Arial" w:hAnsi="Arial" w:cs="Arial"/>
        </w:rPr>
        <w:t xml:space="preserve"> because it means that more dollars of profits are generated by each dollar of capital employed.</w:t>
      </w:r>
      <w:r w:rsidRPr="0029319E">
        <w:rPr>
          <w:rFonts w:ascii="Arial" w:hAnsi="Arial" w:cs="Arial"/>
          <w:color w:val="747A87"/>
          <w:sz w:val="27"/>
          <w:szCs w:val="27"/>
          <w:shd w:val="clear" w:color="auto" w:fill="FFFFFF"/>
        </w:rPr>
        <w:t xml:space="preserve"> </w:t>
      </w:r>
      <w:r w:rsidRPr="0029319E">
        <w:rPr>
          <w:rFonts w:ascii="Arial" w:hAnsi="Arial" w:cs="Arial"/>
        </w:rPr>
        <w:t xml:space="preserve">For instance, a return of </w:t>
      </w:r>
      <w:r w:rsidRPr="0029319E">
        <w:rPr>
          <w:rFonts w:ascii="Arial" w:hAnsi="Arial" w:cs="Arial"/>
        </w:rPr>
        <w:lastRenderedPageBreak/>
        <w:t>.2 indicates that for every dollar invested in capital employed, the company made 20 cents of profits.</w:t>
      </w:r>
    </w:p>
    <w:p w:rsidR="0029319E" w:rsidRPr="00F6182C" w:rsidRDefault="003B7EBB" w:rsidP="003B7EBB">
      <w:pPr>
        <w:rPr>
          <w:rFonts w:ascii="Arial" w:hAnsi="Arial" w:cs="Arial"/>
          <w:b/>
          <w:bCs/>
          <w:color w:val="747A87"/>
          <w:sz w:val="27"/>
          <w:szCs w:val="27"/>
          <w:shd w:val="clear" w:color="auto" w:fill="FFFFFF"/>
        </w:rPr>
      </w:pPr>
      <w:r w:rsidRPr="00F6182C">
        <w:rPr>
          <w:rFonts w:ascii="Arial" w:hAnsi="Arial" w:cs="Arial"/>
          <w:b/>
          <w:bCs/>
        </w:rPr>
        <w:t>Asset turnover</w:t>
      </w:r>
      <w:r w:rsidR="0029319E" w:rsidRPr="00F6182C">
        <w:rPr>
          <w:rFonts w:ascii="Arial" w:hAnsi="Arial" w:cs="Arial"/>
          <w:b/>
          <w:bCs/>
        </w:rPr>
        <w:t>:</w:t>
      </w:r>
      <w:r w:rsidR="0029319E" w:rsidRPr="00F6182C">
        <w:rPr>
          <w:rFonts w:ascii="Arial" w:hAnsi="Arial" w:cs="Arial"/>
          <w:b/>
          <w:bCs/>
          <w:color w:val="747A87"/>
          <w:sz w:val="27"/>
          <w:szCs w:val="27"/>
          <w:shd w:val="clear" w:color="auto" w:fill="FFFFFF"/>
        </w:rPr>
        <w:t xml:space="preserve"> </w:t>
      </w:r>
    </w:p>
    <w:p w:rsidR="003B7EBB" w:rsidRDefault="0029319E" w:rsidP="003B7EBB">
      <w:pPr>
        <w:rPr>
          <w:rFonts w:ascii="Arial" w:hAnsi="Arial" w:cs="Arial"/>
        </w:rPr>
      </w:pPr>
      <w:r w:rsidRPr="0029319E">
        <w:rPr>
          <w:rFonts w:ascii="Arial" w:hAnsi="Arial" w:cs="Arial"/>
        </w:rPr>
        <w:t>The return on assets ratio, often called the return on total assets, is a profitability ratio that measures the net income produced by total assets during a period by comparing net income to the average total assets. In other words, the return on assets ratio or ROA measures how efficiently a company can manage its assets to produce profits during a period.</w:t>
      </w:r>
    </w:p>
    <w:p w:rsidR="0029319E" w:rsidRPr="0029319E" w:rsidRDefault="0029319E" w:rsidP="0029319E">
      <w:pPr>
        <w:rPr>
          <w:rFonts w:ascii="Arial" w:hAnsi="Arial" w:cs="Arial"/>
        </w:rPr>
      </w:pPr>
      <w:r w:rsidRPr="0029319E">
        <w:rPr>
          <w:rFonts w:ascii="Arial" w:hAnsi="Arial" w:cs="Arial"/>
        </w:rPr>
        <w:t>Since all assets are either funded by equity or debt, some investors try to disregard the costs of acquiring the assets in the return calculation by adding back interest expense in the formula.</w:t>
      </w:r>
    </w:p>
    <w:p w:rsidR="0029319E" w:rsidRPr="0029319E" w:rsidRDefault="0029319E" w:rsidP="0029319E">
      <w:pPr>
        <w:rPr>
          <w:rFonts w:ascii="Arial" w:hAnsi="Arial" w:cs="Arial"/>
        </w:rPr>
      </w:pPr>
      <w:r w:rsidRPr="0029319E">
        <w:rPr>
          <w:rFonts w:ascii="Arial" w:hAnsi="Arial" w:cs="Arial"/>
        </w:rPr>
        <w:t xml:space="preserve">It only makes sense that a higher ratio is more </w:t>
      </w:r>
      <w:r w:rsidRPr="0029319E">
        <w:rPr>
          <w:rFonts w:ascii="Arial" w:hAnsi="Arial" w:cs="Arial"/>
        </w:rPr>
        <w:t>favourable</w:t>
      </w:r>
      <w:r w:rsidRPr="0029319E">
        <w:rPr>
          <w:rFonts w:ascii="Arial" w:hAnsi="Arial" w:cs="Arial"/>
        </w:rPr>
        <w:t xml:space="preserve"> to investors because it shows that the company is more effectively managing its assets to produce greater amounts of net income. A positive ROA ratio usually indicates an upward profit trend as well. ROA is most useful for comparing companies in the same industry as different industries use assets differently. For instance, construction companies use large, expensive equipment while software companies use computers and servers.</w:t>
      </w:r>
    </w:p>
    <w:p w:rsidR="0029319E" w:rsidRDefault="0029319E" w:rsidP="003B7EBB">
      <w:pPr>
        <w:rPr>
          <w:rFonts w:ascii="Arial" w:hAnsi="Arial" w:cs="Arial"/>
        </w:rPr>
      </w:pPr>
    </w:p>
    <w:p w:rsidR="0029319E" w:rsidRPr="003B7EBB" w:rsidRDefault="0029319E" w:rsidP="003B7EBB">
      <w:pPr>
        <w:rPr>
          <w:rFonts w:ascii="Arial" w:hAnsi="Arial" w:cs="Arial"/>
        </w:rPr>
      </w:pPr>
    </w:p>
    <w:p w:rsidR="0029319E" w:rsidRPr="00F6182C" w:rsidRDefault="003B7EBB" w:rsidP="003B7EBB">
      <w:pPr>
        <w:rPr>
          <w:rFonts w:ascii="Arial" w:hAnsi="Arial" w:cs="Arial"/>
          <w:b/>
          <w:bCs/>
          <w:color w:val="747A87"/>
          <w:sz w:val="27"/>
          <w:szCs w:val="27"/>
          <w:shd w:val="clear" w:color="auto" w:fill="FFFFFF"/>
        </w:rPr>
      </w:pPr>
      <w:r w:rsidRPr="00F6182C">
        <w:rPr>
          <w:rFonts w:ascii="Arial" w:hAnsi="Arial" w:cs="Arial"/>
          <w:b/>
          <w:bCs/>
        </w:rPr>
        <w:t>Gross Profit Margin</w:t>
      </w:r>
      <w:r w:rsidR="0029319E" w:rsidRPr="00F6182C">
        <w:rPr>
          <w:rFonts w:ascii="Arial" w:hAnsi="Arial" w:cs="Arial"/>
          <w:b/>
          <w:bCs/>
        </w:rPr>
        <w:t>:</w:t>
      </w:r>
      <w:r w:rsidR="0029319E" w:rsidRPr="00F6182C">
        <w:rPr>
          <w:rFonts w:ascii="Arial" w:hAnsi="Arial" w:cs="Arial"/>
          <w:b/>
          <w:bCs/>
          <w:color w:val="747A87"/>
          <w:sz w:val="27"/>
          <w:szCs w:val="27"/>
          <w:shd w:val="clear" w:color="auto" w:fill="FFFFFF"/>
        </w:rPr>
        <w:t xml:space="preserve"> </w:t>
      </w:r>
    </w:p>
    <w:p w:rsidR="0029319E" w:rsidRPr="0029319E" w:rsidRDefault="0029319E" w:rsidP="0029319E">
      <w:pPr>
        <w:rPr>
          <w:rFonts w:ascii="Arial" w:hAnsi="Arial" w:cs="Arial"/>
        </w:rPr>
      </w:pPr>
      <w:r w:rsidRPr="0029319E">
        <w:rPr>
          <w:rFonts w:ascii="Arial" w:hAnsi="Arial" w:cs="Arial"/>
        </w:rPr>
        <w:t>Gross margin ratio is a </w:t>
      </w:r>
      <w:r>
        <w:rPr>
          <w:rFonts w:ascii="Arial" w:hAnsi="Arial" w:cs="Arial"/>
        </w:rPr>
        <w:t xml:space="preserve">profitability ratio </w:t>
      </w:r>
      <w:r w:rsidRPr="0029319E">
        <w:rPr>
          <w:rFonts w:ascii="Arial" w:hAnsi="Arial" w:cs="Arial"/>
        </w:rPr>
        <w:t xml:space="preserve">that compares the gross margin of a business to the net sales. This ratio measures how profitable a company sells its inventory or merchandise. In other words, the gross profit ratio is essentially the percentage </w:t>
      </w:r>
      <w:r w:rsidRPr="0029319E">
        <w:rPr>
          <w:rFonts w:ascii="Arial" w:hAnsi="Arial" w:cs="Arial"/>
        </w:rPr>
        <w:t>mark up</w:t>
      </w:r>
      <w:r w:rsidRPr="0029319E">
        <w:rPr>
          <w:rFonts w:ascii="Arial" w:hAnsi="Arial" w:cs="Arial"/>
        </w:rPr>
        <w:t xml:space="preserve"> on merchandise from its cost. This is the pure profit from the sale of inventory that can go to paying operating expenses.</w:t>
      </w:r>
      <w:r w:rsidRPr="0029319E">
        <w:rPr>
          <w:rFonts w:ascii="Arial" w:eastAsia="Times New Roman" w:hAnsi="Arial" w:cs="Arial"/>
          <w:color w:val="747A87"/>
          <w:sz w:val="27"/>
          <w:szCs w:val="27"/>
        </w:rPr>
        <w:t xml:space="preserve"> </w:t>
      </w:r>
      <w:r w:rsidRPr="0029319E">
        <w:rPr>
          <w:rFonts w:ascii="Arial" w:hAnsi="Arial" w:cs="Arial"/>
        </w:rPr>
        <w:t xml:space="preserve">Gross margin ratio is a profitability ratio that measures how profitable a company can sell its inventory. It only makes sense that higher ratios are more </w:t>
      </w:r>
      <w:r w:rsidR="00912610" w:rsidRPr="0029319E">
        <w:rPr>
          <w:rFonts w:ascii="Arial" w:hAnsi="Arial" w:cs="Arial"/>
        </w:rPr>
        <w:t>favourable</w:t>
      </w:r>
      <w:r w:rsidRPr="0029319E">
        <w:rPr>
          <w:rFonts w:ascii="Arial" w:hAnsi="Arial" w:cs="Arial"/>
        </w:rPr>
        <w:t>. Higher ratios mean the company is selling their inventory at a higher profit percentage.</w:t>
      </w:r>
    </w:p>
    <w:p w:rsidR="0029319E" w:rsidRPr="0029319E" w:rsidRDefault="0029319E" w:rsidP="0029319E">
      <w:pPr>
        <w:rPr>
          <w:rFonts w:ascii="Arial" w:hAnsi="Arial" w:cs="Arial"/>
        </w:rPr>
      </w:pPr>
      <w:r w:rsidRPr="0029319E">
        <w:rPr>
          <w:rFonts w:ascii="Arial" w:hAnsi="Arial" w:cs="Arial"/>
        </w:rPr>
        <w:t>High ratios can typically be achieved by two ways. One way is to buy inventory very cheap. If retailers can get a big </w:t>
      </w:r>
      <w:r>
        <w:rPr>
          <w:rFonts w:ascii="Arial" w:hAnsi="Arial" w:cs="Arial"/>
        </w:rPr>
        <w:t>purchase discount</w:t>
      </w:r>
      <w:r w:rsidRPr="0029319E">
        <w:rPr>
          <w:rFonts w:ascii="Arial" w:hAnsi="Arial" w:cs="Arial"/>
        </w:rPr>
        <w:t> when they buy their inventory from the </w:t>
      </w:r>
      <w:r>
        <w:rPr>
          <w:rFonts w:ascii="Arial" w:hAnsi="Arial" w:cs="Arial"/>
        </w:rPr>
        <w:t xml:space="preserve">manufacturer </w:t>
      </w:r>
      <w:r w:rsidRPr="0029319E">
        <w:rPr>
          <w:rFonts w:ascii="Arial" w:hAnsi="Arial" w:cs="Arial"/>
        </w:rPr>
        <w:t>or wholesaler, their gross margin will be higher because their costs are down.</w:t>
      </w:r>
    </w:p>
    <w:p w:rsidR="003B7EBB" w:rsidRPr="003B7EBB" w:rsidRDefault="003B7EBB" w:rsidP="003B7EBB">
      <w:pPr>
        <w:rPr>
          <w:rFonts w:ascii="Arial" w:hAnsi="Arial" w:cs="Arial"/>
        </w:rPr>
      </w:pPr>
    </w:p>
    <w:p w:rsidR="00992052" w:rsidRDefault="003B7EBB" w:rsidP="003B7EBB">
      <w:pPr>
        <w:rPr>
          <w:rFonts w:ascii="Open Sans" w:hAnsi="Open Sans" w:cs="Open Sans"/>
          <w:color w:val="676767"/>
          <w:sz w:val="27"/>
          <w:szCs w:val="27"/>
          <w:shd w:val="clear" w:color="auto" w:fill="F8F9FA"/>
        </w:rPr>
      </w:pPr>
      <w:r w:rsidRPr="00F6182C">
        <w:rPr>
          <w:rFonts w:ascii="Arial" w:hAnsi="Arial" w:cs="Arial"/>
          <w:b/>
          <w:bCs/>
        </w:rPr>
        <w:t>Net operating profit margin</w:t>
      </w:r>
      <w:r w:rsidR="0029319E" w:rsidRPr="00F6182C">
        <w:rPr>
          <w:rFonts w:ascii="Arial" w:hAnsi="Arial" w:cs="Arial"/>
          <w:b/>
          <w:bCs/>
        </w:rPr>
        <w:t>:</w:t>
      </w:r>
      <w:r w:rsidR="00992052" w:rsidRPr="00992052">
        <w:rPr>
          <w:rFonts w:ascii="Open Sans" w:hAnsi="Open Sans" w:cs="Open Sans"/>
          <w:color w:val="676767"/>
          <w:sz w:val="27"/>
          <w:szCs w:val="27"/>
          <w:shd w:val="clear" w:color="auto" w:fill="F8F9FA"/>
        </w:rPr>
        <w:t xml:space="preserve"> </w:t>
      </w:r>
    </w:p>
    <w:p w:rsidR="003B7EBB" w:rsidRPr="00992052" w:rsidRDefault="00992052" w:rsidP="003B7EBB">
      <w:pPr>
        <w:rPr>
          <w:rFonts w:ascii="Arial" w:hAnsi="Arial" w:cs="Arial"/>
        </w:rPr>
      </w:pPr>
      <w:r w:rsidRPr="00992052">
        <w:rPr>
          <w:rFonts w:ascii="Arial" w:hAnsi="Arial" w:cs="Arial"/>
        </w:rPr>
        <w:t>Net Profit Margin (also known as “Profit Margin” or “Net Profit Margin Ratio”) is a </w:t>
      </w:r>
      <w:r w:rsidRPr="00992052">
        <w:rPr>
          <w:rFonts w:ascii="Arial" w:hAnsi="Arial" w:cs="Arial"/>
        </w:rPr>
        <w:t>finan</w:t>
      </w:r>
      <w:r>
        <w:rPr>
          <w:rFonts w:ascii="Arial" w:hAnsi="Arial" w:cs="Arial"/>
        </w:rPr>
        <w:t>cial ratio</w:t>
      </w:r>
      <w:r w:rsidRPr="00992052">
        <w:rPr>
          <w:rFonts w:ascii="Arial" w:hAnsi="Arial" w:cs="Arial"/>
        </w:rPr>
        <w:t> used to calculate the percentage of profit a company produces from its total revenue. It measures the amount of net profit a company obtains per dollar of revenue gained</w:t>
      </w:r>
      <w:r>
        <w:rPr>
          <w:rFonts w:ascii="Arial" w:hAnsi="Arial" w:cs="Arial"/>
        </w:rPr>
        <w:t>.</w:t>
      </w:r>
    </w:p>
    <w:p w:rsidR="003B7EBB" w:rsidRDefault="003B7EBB" w:rsidP="006F56A5">
      <w:pPr>
        <w:pStyle w:val="a9"/>
        <w:rPr>
          <w:rFonts w:ascii="Arial" w:hAnsi="Arial" w:cs="Arial"/>
        </w:rPr>
      </w:pPr>
    </w:p>
    <w:p w:rsidR="009954C2" w:rsidRDefault="009954C2" w:rsidP="003B7EBB">
      <w:pPr>
        <w:pStyle w:val="a9"/>
        <w:jc w:val="center"/>
        <w:rPr>
          <w:rFonts w:ascii="Arial" w:hAnsi="Arial" w:cs="Arial"/>
          <w:b/>
          <w:bCs/>
        </w:rPr>
      </w:pPr>
    </w:p>
    <w:p w:rsidR="00912610" w:rsidRDefault="00912610" w:rsidP="003B7EBB">
      <w:pPr>
        <w:pStyle w:val="a9"/>
        <w:jc w:val="center"/>
        <w:rPr>
          <w:rFonts w:ascii="Arial" w:hAnsi="Arial" w:cs="Arial"/>
          <w:b/>
          <w:bCs/>
        </w:rPr>
      </w:pPr>
    </w:p>
    <w:p w:rsidR="003B7EBB" w:rsidRDefault="003B7EBB" w:rsidP="003B7EBB">
      <w:pPr>
        <w:pStyle w:val="a9"/>
        <w:jc w:val="center"/>
        <w:rPr>
          <w:rFonts w:ascii="Arial" w:hAnsi="Arial" w:cs="Arial"/>
          <w:b/>
          <w:bCs/>
        </w:rPr>
      </w:pPr>
      <w:r w:rsidRPr="003B7EBB">
        <w:rPr>
          <w:rFonts w:ascii="Arial" w:hAnsi="Arial" w:cs="Arial"/>
          <w:b/>
          <w:bCs/>
        </w:rPr>
        <w:t>Investment ratio</w:t>
      </w:r>
    </w:p>
    <w:p w:rsidR="00F6182C" w:rsidRDefault="00F6182C" w:rsidP="003B7EBB">
      <w:pPr>
        <w:pStyle w:val="a9"/>
        <w:jc w:val="center"/>
        <w:rPr>
          <w:rFonts w:ascii="Arial" w:hAnsi="Arial" w:cs="Arial"/>
          <w:b/>
          <w:bCs/>
        </w:rPr>
      </w:pPr>
    </w:p>
    <w:p w:rsidR="009954C2" w:rsidRDefault="009954C2" w:rsidP="003B7EBB">
      <w:pPr>
        <w:pStyle w:val="a9"/>
        <w:jc w:val="center"/>
        <w:rPr>
          <w:rFonts w:ascii="Arial" w:hAnsi="Arial" w:cs="Arial"/>
          <w:b/>
          <w:bCs/>
        </w:rPr>
      </w:pPr>
    </w:p>
    <w:p w:rsidR="003B7EBB" w:rsidRPr="00F6182C" w:rsidRDefault="009954C2" w:rsidP="00F6182C">
      <w:pPr>
        <w:rPr>
          <w:rFonts w:ascii="Arial" w:hAnsi="Arial" w:cs="Arial"/>
        </w:rPr>
      </w:pPr>
      <w:r w:rsidRPr="00F6182C">
        <w:rPr>
          <w:rFonts w:ascii="Arial" w:hAnsi="Arial" w:cs="Arial"/>
        </w:rPr>
        <w:t>Earnings</w:t>
      </w:r>
      <w:r w:rsidR="003B7EBB" w:rsidRPr="00F6182C">
        <w:rPr>
          <w:rFonts w:ascii="Arial" w:hAnsi="Arial" w:cs="Arial"/>
        </w:rPr>
        <w:t xml:space="preserve"> per share</w:t>
      </w:r>
      <w:r w:rsidR="0029319E" w:rsidRPr="00F6182C">
        <w:rPr>
          <w:rFonts w:ascii="Arial" w:hAnsi="Arial" w:cs="Arial"/>
        </w:rPr>
        <w:t xml:space="preserve"> </w:t>
      </w:r>
      <w:r w:rsidR="0029319E" w:rsidRPr="00F6182C">
        <w:rPr>
          <w:rFonts w:ascii="Arial" w:hAnsi="Arial" w:cs="Arial"/>
        </w:rPr>
        <w:t xml:space="preserve">Earning per share (EPS), also called net income per share, is </w:t>
      </w:r>
      <w:r w:rsidR="00F6182C" w:rsidRPr="00F6182C">
        <w:rPr>
          <w:rFonts w:ascii="Arial" w:hAnsi="Arial" w:cs="Arial"/>
        </w:rPr>
        <w:t>a market prospect ratio</w:t>
      </w:r>
      <w:r w:rsidR="0029319E" w:rsidRPr="00F6182C">
        <w:rPr>
          <w:rFonts w:ascii="Arial" w:hAnsi="Arial" w:cs="Arial"/>
        </w:rPr>
        <w:t xml:space="preserve"> that measures the amount of net income earned per share of stock </w:t>
      </w:r>
      <w:r w:rsidR="0029319E" w:rsidRPr="00F6182C">
        <w:rPr>
          <w:rFonts w:ascii="Arial" w:hAnsi="Arial" w:cs="Arial"/>
        </w:rPr>
        <w:lastRenderedPageBreak/>
        <w:t xml:space="preserve">outstanding. In other words, this is the amount of money each share of stock would receive if </w:t>
      </w:r>
      <w:r w:rsidR="00F6182C" w:rsidRPr="00F6182C">
        <w:rPr>
          <w:rFonts w:ascii="Arial" w:hAnsi="Arial" w:cs="Arial"/>
        </w:rPr>
        <w:t>all</w:t>
      </w:r>
      <w:r w:rsidR="0029319E" w:rsidRPr="00F6182C">
        <w:rPr>
          <w:rFonts w:ascii="Arial" w:hAnsi="Arial" w:cs="Arial"/>
        </w:rPr>
        <w:t xml:space="preserve"> the profits were distributed to the outstanding shares at the end of the year.</w:t>
      </w:r>
    </w:p>
    <w:p w:rsidR="00F6182C" w:rsidRPr="00F6182C" w:rsidRDefault="00F6182C" w:rsidP="00F6182C">
      <w:pPr>
        <w:rPr>
          <w:rFonts w:ascii="Arial" w:hAnsi="Arial" w:cs="Arial"/>
        </w:rPr>
      </w:pPr>
      <w:r w:rsidRPr="00F6182C">
        <w:rPr>
          <w:rFonts w:ascii="Arial" w:hAnsi="Arial" w:cs="Arial"/>
        </w:rPr>
        <w:t>Earnings</w:t>
      </w:r>
      <w:r w:rsidRPr="00F6182C">
        <w:rPr>
          <w:rFonts w:ascii="Arial" w:hAnsi="Arial" w:cs="Arial"/>
        </w:rPr>
        <w:t xml:space="preserve"> per share is the same as any profitability or market prospect ratio. Higher earnings per share is always better than a lower ratio because this means the company is more profitable and the company has more profits to distribute to its shareholders.</w:t>
      </w:r>
    </w:p>
    <w:p w:rsidR="00F6182C" w:rsidRPr="00F6182C" w:rsidRDefault="00F6182C" w:rsidP="00F6182C">
      <w:pPr>
        <w:rPr>
          <w:rFonts w:ascii="Arial" w:hAnsi="Arial" w:cs="Arial"/>
        </w:rPr>
      </w:pPr>
      <w:r w:rsidRPr="00F6182C">
        <w:rPr>
          <w:rFonts w:ascii="Arial" w:hAnsi="Arial" w:cs="Arial"/>
        </w:rPr>
        <w:t>Although many investors don’t pay much attention to the EPS, a higher earnings per share ratio often makes the stock price of a company rise. Since so many things can manipulate this ratio, investors tend to look at it but don’t let it influence their decisions drastically.</w:t>
      </w:r>
    </w:p>
    <w:p w:rsidR="0029319E" w:rsidRPr="009954C2" w:rsidRDefault="0029319E" w:rsidP="009954C2">
      <w:pPr>
        <w:pStyle w:val="a9"/>
        <w:rPr>
          <w:rFonts w:ascii="Arial" w:hAnsi="Arial" w:cs="Arial"/>
        </w:rPr>
      </w:pPr>
    </w:p>
    <w:p w:rsidR="003B7EBB" w:rsidRPr="00F6182C" w:rsidRDefault="003B7EBB" w:rsidP="00F6182C">
      <w:pPr>
        <w:rPr>
          <w:rFonts w:ascii="Arial" w:hAnsi="Arial" w:cs="Arial"/>
          <w:b/>
          <w:bCs/>
        </w:rPr>
      </w:pPr>
      <w:r w:rsidRPr="00F6182C">
        <w:rPr>
          <w:rFonts w:ascii="Arial" w:hAnsi="Arial" w:cs="Arial"/>
          <w:b/>
          <w:bCs/>
        </w:rPr>
        <w:t xml:space="preserve">Price </w:t>
      </w:r>
      <w:r w:rsidR="009954C2" w:rsidRPr="00F6182C">
        <w:rPr>
          <w:rFonts w:ascii="Arial" w:hAnsi="Arial" w:cs="Arial"/>
          <w:b/>
          <w:bCs/>
        </w:rPr>
        <w:t>earnings</w:t>
      </w:r>
      <w:r w:rsidRPr="00F6182C">
        <w:rPr>
          <w:rFonts w:ascii="Arial" w:hAnsi="Arial" w:cs="Arial"/>
          <w:b/>
          <w:bCs/>
        </w:rPr>
        <w:t xml:space="preserve"> ratio</w:t>
      </w:r>
    </w:p>
    <w:p w:rsidR="00F6182C" w:rsidRDefault="00F6182C" w:rsidP="009954C2">
      <w:pPr>
        <w:pStyle w:val="a9"/>
        <w:rPr>
          <w:rFonts w:ascii="Arial" w:hAnsi="Arial" w:cs="Arial"/>
        </w:rPr>
      </w:pPr>
    </w:p>
    <w:p w:rsidR="00F6182C" w:rsidRPr="00F6182C" w:rsidRDefault="00F6182C" w:rsidP="00F6182C">
      <w:pPr>
        <w:rPr>
          <w:rFonts w:ascii="Arial" w:hAnsi="Arial" w:cs="Arial"/>
        </w:rPr>
      </w:pPr>
      <w:r w:rsidRPr="00F6182C">
        <w:rPr>
          <w:rFonts w:ascii="Arial" w:hAnsi="Arial" w:cs="Arial"/>
        </w:rPr>
        <w:t>The price earnings ratio, often called the P/E ratio or price to earnings ratio, is a market prospect ratio that calculates the market value of a stock relative to its earnings by comparing the market price per share by the earnings per share. In other words, the price earnings ratio shows what the market is willing to pay for a stock based on its current earnings</w:t>
      </w:r>
      <w:r w:rsidRPr="00F6182C">
        <w:rPr>
          <w:rFonts w:ascii="Arial" w:hAnsi="Arial" w:cs="Arial"/>
        </w:rPr>
        <w:t>.</w:t>
      </w:r>
    </w:p>
    <w:p w:rsidR="00F6182C" w:rsidRPr="00F6182C" w:rsidRDefault="00F6182C" w:rsidP="00F6182C">
      <w:pPr>
        <w:rPr>
          <w:rFonts w:ascii="Arial" w:hAnsi="Arial" w:cs="Arial"/>
        </w:rPr>
      </w:pPr>
      <w:r w:rsidRPr="00F6182C">
        <w:rPr>
          <w:rFonts w:ascii="Arial" w:hAnsi="Arial" w:cs="Arial"/>
        </w:rPr>
        <w:t>The price to earnings ratio indicates the expected price of a share based on its earnings. As a company’s earnings per share being to rise, so does their market value per share. A company with a high P/E ratio usually indicated positive future performance and investors are willing to pay more for this company’s shares.</w:t>
      </w:r>
    </w:p>
    <w:p w:rsidR="00F6182C" w:rsidRPr="00F6182C" w:rsidRDefault="00F6182C" w:rsidP="00F6182C">
      <w:pPr>
        <w:rPr>
          <w:rFonts w:ascii="Arial" w:hAnsi="Arial" w:cs="Arial"/>
        </w:rPr>
      </w:pPr>
      <w:r w:rsidRPr="00F6182C">
        <w:rPr>
          <w:rFonts w:ascii="Arial" w:hAnsi="Arial" w:cs="Arial"/>
        </w:rPr>
        <w:t>A company with a lower ratio, on the other hand, is usually an indication of poor current and future performance. This could prove to be a poor investment.</w:t>
      </w:r>
    </w:p>
    <w:p w:rsidR="00F6182C" w:rsidRPr="009954C2" w:rsidRDefault="00F6182C" w:rsidP="009954C2">
      <w:pPr>
        <w:pStyle w:val="a9"/>
        <w:rPr>
          <w:rFonts w:ascii="Arial" w:hAnsi="Arial" w:cs="Arial"/>
        </w:rPr>
      </w:pPr>
    </w:p>
    <w:p w:rsidR="003B7EBB" w:rsidRPr="00F6182C" w:rsidRDefault="009954C2" w:rsidP="00F6182C">
      <w:pPr>
        <w:rPr>
          <w:rFonts w:ascii="Arial" w:hAnsi="Arial" w:cs="Arial"/>
          <w:b/>
          <w:bCs/>
        </w:rPr>
      </w:pPr>
      <w:r w:rsidRPr="00F6182C">
        <w:rPr>
          <w:rFonts w:ascii="Arial" w:hAnsi="Arial" w:cs="Arial"/>
          <w:b/>
          <w:bCs/>
        </w:rPr>
        <w:t>Dividends</w:t>
      </w:r>
      <w:r w:rsidR="003B7EBB" w:rsidRPr="00F6182C">
        <w:rPr>
          <w:rFonts w:ascii="Arial" w:hAnsi="Arial" w:cs="Arial"/>
          <w:b/>
          <w:bCs/>
        </w:rPr>
        <w:t xml:space="preserve"> per share</w:t>
      </w:r>
      <w:r w:rsidR="00F6182C" w:rsidRPr="00F6182C">
        <w:rPr>
          <w:rFonts w:ascii="Arial" w:hAnsi="Arial" w:cs="Arial"/>
          <w:b/>
          <w:bCs/>
        </w:rPr>
        <w:t>:</w:t>
      </w:r>
    </w:p>
    <w:p w:rsidR="00F6182C" w:rsidRPr="00F6182C" w:rsidRDefault="00F6182C" w:rsidP="009954C2">
      <w:pPr>
        <w:pStyle w:val="a9"/>
        <w:rPr>
          <w:rFonts w:ascii="Arial" w:hAnsi="Arial" w:cs="Arial"/>
          <w:b/>
          <w:bCs/>
        </w:rPr>
      </w:pPr>
    </w:p>
    <w:p w:rsidR="00F6182C" w:rsidRPr="00F6182C" w:rsidRDefault="00F6182C" w:rsidP="00F6182C">
      <w:pPr>
        <w:rPr>
          <w:rFonts w:ascii="Arial" w:hAnsi="Arial" w:cs="Arial"/>
        </w:rPr>
      </w:pPr>
      <w:r w:rsidRPr="00F6182C">
        <w:rPr>
          <w:rFonts w:ascii="Arial" w:hAnsi="Arial" w:cs="Arial"/>
        </w:rPr>
        <w:t>D</w:t>
      </w:r>
      <w:r w:rsidRPr="00F6182C">
        <w:rPr>
          <w:rFonts w:ascii="Arial" w:hAnsi="Arial" w:cs="Arial"/>
        </w:rPr>
        <w:t>ividend Per Share (DPS) is the total amount of </w:t>
      </w:r>
      <w:r w:rsidRPr="00F6182C">
        <w:rPr>
          <w:rFonts w:ascii="Arial" w:hAnsi="Arial" w:cs="Arial"/>
        </w:rPr>
        <w:t>dividends</w:t>
      </w:r>
      <w:r w:rsidRPr="00F6182C">
        <w:rPr>
          <w:rFonts w:ascii="Arial" w:hAnsi="Arial" w:cs="Arial"/>
        </w:rPr>
        <w:t> attributed to each individual </w:t>
      </w:r>
      <w:r w:rsidRPr="00F6182C">
        <w:rPr>
          <w:rFonts w:ascii="Arial" w:hAnsi="Arial" w:cs="Arial"/>
        </w:rPr>
        <w:t>share outstanding</w:t>
      </w:r>
      <w:r w:rsidRPr="00F6182C">
        <w:rPr>
          <w:rFonts w:ascii="Arial" w:hAnsi="Arial" w:cs="Arial"/>
        </w:rPr>
        <w:t> of a company.  Calculating the dividend per share allows an investor to determine how much income from the company he or she will receive on a per-share basis.  Dividends are usually a cash payment paid to the investors in a company, although there are other types of payment that can be received (discussed below).</w:t>
      </w:r>
    </w:p>
    <w:p w:rsidR="00F6182C" w:rsidRPr="00F6182C" w:rsidRDefault="00F6182C" w:rsidP="00F6182C">
      <w:pPr>
        <w:pStyle w:val="a9"/>
        <w:rPr>
          <w:rFonts w:ascii="Arial" w:hAnsi="Arial" w:cs="Arial"/>
        </w:rPr>
      </w:pPr>
      <w:r w:rsidRPr="00F6182C">
        <w:rPr>
          <w:rFonts w:ascii="Arial" w:hAnsi="Arial" w:cs="Arial"/>
        </w:rPr>
        <w:t> </w:t>
      </w:r>
    </w:p>
    <w:p w:rsidR="00F6182C" w:rsidRDefault="00F6182C" w:rsidP="009954C2">
      <w:pPr>
        <w:pStyle w:val="a9"/>
        <w:rPr>
          <w:rFonts w:ascii="Arial" w:hAnsi="Arial" w:cs="Arial"/>
        </w:rPr>
      </w:pPr>
    </w:p>
    <w:p w:rsidR="00F6182C" w:rsidRPr="009954C2" w:rsidRDefault="00F6182C" w:rsidP="009954C2">
      <w:pPr>
        <w:pStyle w:val="a9"/>
        <w:rPr>
          <w:rFonts w:ascii="Arial" w:hAnsi="Arial" w:cs="Arial"/>
        </w:rPr>
      </w:pPr>
    </w:p>
    <w:p w:rsidR="009954C2" w:rsidRDefault="009954C2" w:rsidP="003B7EBB">
      <w:pPr>
        <w:pStyle w:val="a9"/>
        <w:jc w:val="center"/>
        <w:rPr>
          <w:rFonts w:ascii="Arial" w:hAnsi="Arial" w:cs="Arial"/>
          <w:b/>
          <w:bCs/>
        </w:rPr>
      </w:pPr>
    </w:p>
    <w:p w:rsidR="009954C2" w:rsidRDefault="009954C2" w:rsidP="003B7EBB">
      <w:pPr>
        <w:pStyle w:val="a9"/>
        <w:jc w:val="center"/>
        <w:rPr>
          <w:rFonts w:ascii="Arial" w:hAnsi="Arial" w:cs="Arial"/>
          <w:b/>
          <w:bCs/>
        </w:rPr>
      </w:pPr>
      <w:r>
        <w:rPr>
          <w:rFonts w:ascii="Arial" w:hAnsi="Arial" w:cs="Arial"/>
          <w:b/>
          <w:bCs/>
        </w:rPr>
        <w:t>Capital structure</w:t>
      </w:r>
    </w:p>
    <w:p w:rsidR="00992052" w:rsidRDefault="00992052" w:rsidP="003B7EBB">
      <w:pPr>
        <w:pStyle w:val="a9"/>
        <w:jc w:val="center"/>
        <w:rPr>
          <w:rFonts w:ascii="Arial" w:hAnsi="Arial" w:cs="Arial"/>
          <w:b/>
          <w:bCs/>
        </w:rPr>
      </w:pPr>
    </w:p>
    <w:p w:rsidR="009954C2" w:rsidRPr="00992052" w:rsidRDefault="00992052" w:rsidP="00992052">
      <w:pPr>
        <w:rPr>
          <w:rFonts w:ascii="Arial" w:hAnsi="Arial" w:cs="Arial"/>
        </w:rPr>
      </w:pPr>
      <w:r w:rsidRPr="00992052">
        <w:rPr>
          <w:rFonts w:ascii="Arial" w:hAnsi="Arial" w:cs="Arial"/>
        </w:rPr>
        <w:t>Capital structure refers to a company's outstanding debt and equity. It allows a firm to understand what kind of funding the company uses to finance its overall activities and growth. In other words, it shows the proportions of senior debt, subordinated debt and equity (common or preferred) in the funding</w:t>
      </w:r>
    </w:p>
    <w:p w:rsidR="009954C2" w:rsidRPr="003B7EBB" w:rsidRDefault="009954C2" w:rsidP="003B7EBB">
      <w:pPr>
        <w:pStyle w:val="a9"/>
        <w:jc w:val="center"/>
        <w:rPr>
          <w:rFonts w:ascii="Arial" w:hAnsi="Arial" w:cs="Arial"/>
          <w:b/>
          <w:bCs/>
        </w:rPr>
      </w:pPr>
    </w:p>
    <w:p w:rsidR="009954C2" w:rsidRDefault="009954C2" w:rsidP="008653AC">
      <w:pPr>
        <w:pStyle w:val="a9"/>
        <w:jc w:val="center"/>
        <w:rPr>
          <w:rFonts w:ascii="Arial" w:hAnsi="Arial" w:cs="Arial"/>
          <w:b/>
          <w:bCs/>
          <w:sz w:val="24"/>
          <w:szCs w:val="24"/>
        </w:rPr>
      </w:pPr>
    </w:p>
    <w:p w:rsidR="00A735BB" w:rsidRPr="00AA53A3" w:rsidRDefault="00A735BB" w:rsidP="006F56A5">
      <w:pPr>
        <w:pStyle w:val="a9"/>
        <w:rPr>
          <w:rFonts w:ascii="Arial" w:hAnsi="Arial" w:cs="Arial"/>
        </w:rPr>
      </w:pPr>
    </w:p>
    <w:p w:rsidR="00A735BB" w:rsidRPr="00AA53A3" w:rsidRDefault="00A735BB" w:rsidP="006F56A5">
      <w:pPr>
        <w:pStyle w:val="a9"/>
        <w:rPr>
          <w:rFonts w:ascii="Arial" w:hAnsi="Arial" w:cs="Arial"/>
        </w:rPr>
      </w:pPr>
    </w:p>
    <w:p w:rsidR="006C5862" w:rsidRPr="00F6182C" w:rsidRDefault="006C5862" w:rsidP="00F6182C">
      <w:pPr>
        <w:pStyle w:val="a9"/>
        <w:jc w:val="center"/>
        <w:rPr>
          <w:rFonts w:ascii="Arial" w:hAnsi="Arial" w:cs="Arial"/>
          <w:b/>
          <w:bCs/>
        </w:rPr>
      </w:pPr>
      <w:r w:rsidRPr="006C5862">
        <w:rPr>
          <w:rFonts w:ascii="Arial" w:hAnsi="Arial" w:cs="Arial"/>
          <w:b/>
          <w:bCs/>
        </w:rPr>
        <w:t>Financial Leverage ratios:</w:t>
      </w:r>
    </w:p>
    <w:p w:rsidR="00F6182C" w:rsidRPr="006C5862" w:rsidRDefault="00F6182C" w:rsidP="006C5862">
      <w:pPr>
        <w:pStyle w:val="a9"/>
        <w:rPr>
          <w:rFonts w:ascii="Arial" w:hAnsi="Arial" w:cs="Arial"/>
        </w:rPr>
      </w:pPr>
    </w:p>
    <w:p w:rsidR="006C5862" w:rsidRDefault="006C5862" w:rsidP="00992052">
      <w:pPr>
        <w:rPr>
          <w:rFonts w:ascii="Arial" w:hAnsi="Arial" w:cs="Arial"/>
        </w:rPr>
      </w:pPr>
      <w:r w:rsidRPr="00F6182C">
        <w:rPr>
          <w:rFonts w:ascii="Arial" w:hAnsi="Arial" w:cs="Arial"/>
        </w:rPr>
        <w:t xml:space="preserve">An organisation can finance its asset by its own investment or from a </w:t>
      </w:r>
      <w:r w:rsidRPr="00F6182C">
        <w:rPr>
          <w:rFonts w:ascii="Arial" w:hAnsi="Arial" w:cs="Arial"/>
        </w:rPr>
        <w:t>debtor</w:t>
      </w:r>
      <w:r w:rsidRPr="00F6182C">
        <w:rPr>
          <w:rFonts w:ascii="Arial" w:hAnsi="Arial" w:cs="Arial"/>
        </w:rPr>
        <w:t>.  Financing with organisations owe equity involve less risk then using debt for an asset. Because debt legally obligates the company to pay interest and repay the principals as promised. According to Prithvi Srestha, (2017) in order to avoid risk an organisation should finance their equity for an asset at initial stage.</w:t>
      </w:r>
      <w:r w:rsidRPr="006C5862">
        <w:rPr>
          <w:rFonts w:ascii="Arial" w:hAnsi="Arial" w:cs="Arial"/>
        </w:rPr>
        <w:t> </w:t>
      </w:r>
      <w:r w:rsidR="00992052">
        <w:rPr>
          <w:rFonts w:ascii="Arial" w:hAnsi="Arial" w:cs="Arial"/>
        </w:rPr>
        <w:t>I</w:t>
      </w:r>
      <w:r w:rsidRPr="00F6182C">
        <w:rPr>
          <w:rFonts w:ascii="Arial" w:hAnsi="Arial" w:cs="Arial"/>
        </w:rPr>
        <w:t xml:space="preserve">n this course of </w:t>
      </w:r>
      <w:r w:rsidRPr="00F6182C">
        <w:rPr>
          <w:rFonts w:ascii="Arial" w:hAnsi="Arial" w:cs="Arial"/>
        </w:rPr>
        <w:t>study,</w:t>
      </w:r>
      <w:r w:rsidRPr="00F6182C">
        <w:rPr>
          <w:rFonts w:ascii="Arial" w:hAnsi="Arial" w:cs="Arial"/>
        </w:rPr>
        <w:t xml:space="preserve"> it proves that, with the help of effective management the organisation </w:t>
      </w:r>
      <w:r w:rsidR="00F6182C" w:rsidRPr="00F6182C">
        <w:rPr>
          <w:rFonts w:ascii="Arial" w:hAnsi="Arial" w:cs="Arial"/>
        </w:rPr>
        <w:t>manages</w:t>
      </w:r>
      <w:r w:rsidRPr="00F6182C">
        <w:rPr>
          <w:rFonts w:ascii="Arial" w:hAnsi="Arial" w:cs="Arial"/>
        </w:rPr>
        <w:t xml:space="preserve"> to increase receivable day by 2.80% the 2018 which leads them to pay to their payables before times in order to gain reliability. And which by 2019 they are able to pay -1.82 days before 2018. Which is a good sign for the management as well as for the company. As the figure of inventory day is lower </w:t>
      </w:r>
      <w:r w:rsidRPr="00F6182C">
        <w:rPr>
          <w:rFonts w:ascii="Arial" w:hAnsi="Arial" w:cs="Arial"/>
        </w:rPr>
        <w:t>than</w:t>
      </w:r>
      <w:r w:rsidRPr="00F6182C">
        <w:rPr>
          <w:rFonts w:ascii="Arial" w:hAnsi="Arial" w:cs="Arial"/>
        </w:rPr>
        <w:t xml:space="preserve"> 2018 in </w:t>
      </w:r>
      <w:r w:rsidRPr="00F6182C">
        <w:rPr>
          <w:rFonts w:ascii="Arial" w:hAnsi="Arial" w:cs="Arial"/>
        </w:rPr>
        <w:t>2019,</w:t>
      </w:r>
      <w:r w:rsidRPr="00F6182C">
        <w:rPr>
          <w:rFonts w:ascii="Arial" w:hAnsi="Arial" w:cs="Arial"/>
        </w:rPr>
        <w:t xml:space="preserve"> we can easily clarify that the company holding its stock less time period then before and it -2.42 days less the 2018. Which means the organisations operation is faster </w:t>
      </w:r>
      <w:r w:rsidRPr="00F6182C">
        <w:rPr>
          <w:rFonts w:ascii="Arial" w:hAnsi="Arial" w:cs="Arial"/>
        </w:rPr>
        <w:t>than</w:t>
      </w:r>
      <w:r w:rsidRPr="00F6182C">
        <w:rPr>
          <w:rFonts w:ascii="Arial" w:hAnsi="Arial" w:cs="Arial"/>
        </w:rPr>
        <w:t xml:space="preserve"> </w:t>
      </w:r>
      <w:r w:rsidRPr="00F6182C">
        <w:rPr>
          <w:rFonts w:ascii="Arial" w:hAnsi="Arial" w:cs="Arial"/>
        </w:rPr>
        <w:t>2018?</w:t>
      </w:r>
    </w:p>
    <w:p w:rsidR="00992052" w:rsidRPr="00992052" w:rsidRDefault="00992052" w:rsidP="00992052">
      <w:pPr>
        <w:rPr>
          <w:rFonts w:ascii="Arial" w:hAnsi="Arial" w:cs="Arial"/>
        </w:rPr>
      </w:pPr>
      <w:r w:rsidRPr="00992052">
        <w:rPr>
          <w:rFonts w:ascii="Arial" w:hAnsi="Arial" w:cs="Arial"/>
        </w:rPr>
        <w:t xml:space="preserve">Financial leverage ratios measure a company's total debt load and compare it with its assets or equity. This shows how much of the company's assets belong to shareholders and not to creditors. When the shareholders own most of the assets, the company is considered to have less resources. When the creditors own most of the assets, the company is considered highly used. </w:t>
      </w:r>
      <w:r w:rsidRPr="00992052">
        <w:rPr>
          <w:rFonts w:ascii="Arial" w:hAnsi="Arial" w:cs="Arial"/>
        </w:rPr>
        <w:t>All</w:t>
      </w:r>
      <w:r w:rsidRPr="00992052">
        <w:rPr>
          <w:rFonts w:ascii="Arial" w:hAnsi="Arial" w:cs="Arial"/>
        </w:rPr>
        <w:t xml:space="preserve"> these metrics are important for investors to understand how risky a company's capital structure is and whether it's worth investing in it.</w:t>
      </w:r>
    </w:p>
    <w:p w:rsidR="00992052" w:rsidRPr="00992052" w:rsidRDefault="00992052" w:rsidP="00992052">
      <w:pPr>
        <w:rPr>
          <w:rFonts w:ascii="Arial" w:hAnsi="Arial" w:cs="Arial"/>
        </w:rPr>
      </w:pPr>
      <w:r w:rsidRPr="00992052">
        <w:rPr>
          <w:rFonts w:ascii="Arial" w:hAnsi="Arial" w:cs="Arial"/>
        </w:rPr>
        <w:t>A debt ratio is a solvency ratio that measures an entity's total liabilities as a percentage of its total assets. In a sense, the debt ratio shows the ability of the company to pay its debts with its assets. In other words, it shows how much assets a company needs to sell in order to pay off all its liabilities.</w:t>
      </w:r>
    </w:p>
    <w:p w:rsidR="00992052" w:rsidRPr="00F6182C" w:rsidRDefault="00992052" w:rsidP="00992052">
      <w:pPr>
        <w:rPr>
          <w:rFonts w:ascii="Arial" w:hAnsi="Arial" w:cs="Arial"/>
        </w:rPr>
      </w:pPr>
      <w:r w:rsidRPr="00992052">
        <w:rPr>
          <w:rFonts w:ascii="Arial" w:hAnsi="Arial" w:cs="Arial"/>
        </w:rPr>
        <w:t xml:space="preserve">This ratio measures the financial leverage of a company. Companies with higher liability levels than assets </w:t>
      </w:r>
      <w:r w:rsidRPr="00992052">
        <w:rPr>
          <w:rFonts w:ascii="Arial" w:hAnsi="Arial" w:cs="Arial"/>
        </w:rPr>
        <w:t>are</w:t>
      </w:r>
      <w:r w:rsidRPr="00992052">
        <w:rPr>
          <w:rFonts w:ascii="Arial" w:hAnsi="Arial" w:cs="Arial"/>
        </w:rPr>
        <w:t xml:space="preserve"> highly attracted and riskier for lenders.</w:t>
      </w:r>
    </w:p>
    <w:p w:rsidR="006C5862" w:rsidRPr="006C5862" w:rsidRDefault="006C5862" w:rsidP="006C5862">
      <w:pPr>
        <w:pStyle w:val="a9"/>
        <w:rPr>
          <w:rFonts w:ascii="Arial" w:hAnsi="Arial" w:cs="Arial"/>
        </w:rPr>
      </w:pPr>
      <w:r w:rsidRPr="006C5862">
        <w:rPr>
          <w:rFonts w:ascii="Arial" w:hAnsi="Arial" w:cs="Arial"/>
        </w:rPr>
        <w:t> </w:t>
      </w:r>
    </w:p>
    <w:p w:rsidR="006C5862" w:rsidRPr="006C5862" w:rsidRDefault="006C5862" w:rsidP="006C5862">
      <w:pPr>
        <w:pStyle w:val="a9"/>
        <w:rPr>
          <w:rFonts w:ascii="Arial" w:hAnsi="Arial" w:cs="Arial"/>
        </w:rPr>
      </w:pPr>
      <w:r w:rsidRPr="006C5862">
        <w:rPr>
          <w:rFonts w:ascii="Arial" w:hAnsi="Arial" w:cs="Arial"/>
        </w:rPr>
        <w:t> </w:t>
      </w:r>
    </w:p>
    <w:p w:rsidR="006C5862" w:rsidRPr="006C5862" w:rsidRDefault="006C5862" w:rsidP="006C5862">
      <w:pPr>
        <w:pStyle w:val="a9"/>
        <w:rPr>
          <w:rFonts w:ascii="Arial" w:hAnsi="Arial" w:cs="Arial"/>
        </w:rPr>
      </w:pPr>
      <w:r w:rsidRPr="006C5862">
        <w:rPr>
          <w:rFonts w:ascii="Arial" w:hAnsi="Arial" w:cs="Arial"/>
        </w:rPr>
        <w:t> </w:t>
      </w:r>
    </w:p>
    <w:p w:rsidR="006C5862" w:rsidRPr="006C5862" w:rsidRDefault="006C5862" w:rsidP="006C5862">
      <w:pPr>
        <w:pStyle w:val="a9"/>
        <w:rPr>
          <w:rFonts w:ascii="Arial" w:hAnsi="Arial" w:cs="Arial"/>
        </w:rPr>
      </w:pPr>
    </w:p>
    <w:p w:rsidR="006C5862" w:rsidRPr="006C5862" w:rsidRDefault="006C5862" w:rsidP="006C5862">
      <w:pPr>
        <w:pStyle w:val="a9"/>
        <w:rPr>
          <w:rFonts w:ascii="Arial" w:hAnsi="Arial" w:cs="Arial"/>
        </w:rPr>
      </w:pPr>
      <w:r w:rsidRPr="006C5862">
        <w:rPr>
          <w:rFonts w:ascii="Arial" w:hAnsi="Arial" w:cs="Arial"/>
        </w:rPr>
        <w:t> </w:t>
      </w:r>
    </w:p>
    <w:p w:rsidR="006C5862" w:rsidRDefault="006C5862" w:rsidP="006C5862">
      <w:pPr>
        <w:pStyle w:val="a9"/>
        <w:jc w:val="center"/>
        <w:rPr>
          <w:rFonts w:ascii="Arial" w:hAnsi="Arial" w:cs="Arial"/>
          <w:b/>
          <w:bCs/>
        </w:rPr>
      </w:pPr>
    </w:p>
    <w:p w:rsidR="006C5862" w:rsidRDefault="006C5862" w:rsidP="006C5862">
      <w:pPr>
        <w:pStyle w:val="a9"/>
        <w:jc w:val="center"/>
        <w:rPr>
          <w:rFonts w:ascii="Arial" w:hAnsi="Arial" w:cs="Arial"/>
          <w:b/>
          <w:bCs/>
        </w:rPr>
      </w:pPr>
    </w:p>
    <w:p w:rsidR="006C5862" w:rsidRDefault="006C5862" w:rsidP="006C5862">
      <w:pPr>
        <w:pStyle w:val="a9"/>
        <w:jc w:val="center"/>
        <w:rPr>
          <w:rFonts w:ascii="Arial" w:hAnsi="Arial" w:cs="Arial"/>
          <w:b/>
          <w:bCs/>
        </w:rPr>
      </w:pPr>
    </w:p>
    <w:p w:rsidR="00992052" w:rsidRDefault="00992052" w:rsidP="006C5862">
      <w:pPr>
        <w:pStyle w:val="a9"/>
        <w:jc w:val="center"/>
        <w:rPr>
          <w:rFonts w:ascii="Arial" w:hAnsi="Arial" w:cs="Arial"/>
          <w:b/>
          <w:bCs/>
        </w:rPr>
      </w:pPr>
    </w:p>
    <w:p w:rsidR="00992052" w:rsidRDefault="00992052" w:rsidP="006C5862">
      <w:pPr>
        <w:pStyle w:val="a9"/>
        <w:jc w:val="center"/>
        <w:rPr>
          <w:rFonts w:ascii="Arial" w:hAnsi="Arial" w:cs="Arial"/>
          <w:b/>
          <w:bCs/>
        </w:rPr>
      </w:pPr>
    </w:p>
    <w:p w:rsidR="00992052" w:rsidRDefault="00992052" w:rsidP="006C5862">
      <w:pPr>
        <w:pStyle w:val="a9"/>
        <w:jc w:val="center"/>
        <w:rPr>
          <w:rFonts w:ascii="Arial" w:hAnsi="Arial" w:cs="Arial"/>
          <w:b/>
          <w:bCs/>
        </w:rPr>
      </w:pPr>
    </w:p>
    <w:p w:rsidR="006C5862" w:rsidRDefault="006C5862" w:rsidP="006C5862">
      <w:pPr>
        <w:pStyle w:val="a9"/>
        <w:jc w:val="center"/>
        <w:rPr>
          <w:rFonts w:ascii="Arial" w:hAnsi="Arial" w:cs="Arial"/>
          <w:b/>
          <w:bCs/>
        </w:rPr>
      </w:pPr>
      <w:r w:rsidRPr="006C5862">
        <w:rPr>
          <w:rFonts w:ascii="Arial" w:hAnsi="Arial" w:cs="Arial"/>
          <w:b/>
          <w:bCs/>
        </w:rPr>
        <w:t>Recommendation:</w:t>
      </w:r>
    </w:p>
    <w:p w:rsidR="006C5862" w:rsidRPr="006C5862" w:rsidRDefault="006C5862" w:rsidP="006C5862">
      <w:pPr>
        <w:pStyle w:val="a9"/>
        <w:jc w:val="center"/>
        <w:rPr>
          <w:rFonts w:ascii="Arial" w:hAnsi="Arial" w:cs="Arial"/>
          <w:b/>
          <w:bCs/>
        </w:rPr>
      </w:pPr>
    </w:p>
    <w:p w:rsidR="006C5862" w:rsidRPr="00992052" w:rsidRDefault="006C5862" w:rsidP="00992052">
      <w:pPr>
        <w:rPr>
          <w:rFonts w:ascii="Arial" w:hAnsi="Arial" w:cs="Arial"/>
        </w:rPr>
      </w:pPr>
      <w:r w:rsidRPr="00992052">
        <w:rPr>
          <w:rFonts w:ascii="Arial" w:hAnsi="Arial" w:cs="Arial"/>
        </w:rPr>
        <w:t xml:space="preserve">After seeing the illustration of ratio analysis of  Rangemaster plc, The  company that manufactures and supplies catering machines for hotels, restaurants and public houses in the United Kingdom (United Kingdom) it can be said that the organisation has stablished a competitive position in the market, with the strength of it excellent management. Who are buying more Asset in order to increase future </w:t>
      </w:r>
      <w:r w:rsidR="00992052" w:rsidRPr="00992052">
        <w:rPr>
          <w:rFonts w:ascii="Arial" w:hAnsi="Arial" w:cs="Arial"/>
        </w:rPr>
        <w:t>revenue?</w:t>
      </w:r>
      <w:r w:rsidRPr="00992052">
        <w:rPr>
          <w:rFonts w:ascii="Arial" w:hAnsi="Arial" w:cs="Arial"/>
        </w:rPr>
        <w:t xml:space="preserve"> The effective management system </w:t>
      </w:r>
      <w:r w:rsidR="00992052" w:rsidRPr="00992052">
        <w:rPr>
          <w:rFonts w:ascii="Arial" w:hAnsi="Arial" w:cs="Arial"/>
        </w:rPr>
        <w:t>reduces</w:t>
      </w:r>
      <w:r w:rsidRPr="00992052">
        <w:rPr>
          <w:rFonts w:ascii="Arial" w:hAnsi="Arial" w:cs="Arial"/>
        </w:rPr>
        <w:t xml:space="preserve"> the inventory days by reducing the price of product in order to make a stable position in the competitive market. The organisations gross profit as well as net profit went </w:t>
      </w:r>
      <w:r w:rsidRPr="00992052">
        <w:rPr>
          <w:rFonts w:ascii="Arial" w:hAnsi="Arial" w:cs="Arial"/>
        </w:rPr>
        <w:lastRenderedPageBreak/>
        <w:t xml:space="preserve">down because of the investment on its asset. The management has </w:t>
      </w:r>
      <w:r w:rsidR="00992052" w:rsidRPr="00992052">
        <w:rPr>
          <w:rFonts w:ascii="Arial" w:hAnsi="Arial" w:cs="Arial"/>
        </w:rPr>
        <w:t>increased</w:t>
      </w:r>
      <w:r w:rsidRPr="00992052">
        <w:rPr>
          <w:rFonts w:ascii="Arial" w:hAnsi="Arial" w:cs="Arial"/>
        </w:rPr>
        <w:t xml:space="preserve"> the creditors day which leads them to pay to their debtors on time. As a </w:t>
      </w:r>
      <w:r w:rsidR="00992052" w:rsidRPr="00992052">
        <w:rPr>
          <w:rFonts w:ascii="Arial" w:hAnsi="Arial" w:cs="Arial"/>
        </w:rPr>
        <w:t>result,</w:t>
      </w:r>
      <w:r w:rsidRPr="00992052">
        <w:rPr>
          <w:rFonts w:ascii="Arial" w:hAnsi="Arial" w:cs="Arial"/>
        </w:rPr>
        <w:t xml:space="preserve"> the company covers the interest 3.8 times better </w:t>
      </w:r>
      <w:r w:rsidR="00992052" w:rsidRPr="00992052">
        <w:rPr>
          <w:rFonts w:ascii="Arial" w:hAnsi="Arial" w:cs="Arial"/>
        </w:rPr>
        <w:t>than</w:t>
      </w:r>
      <w:r w:rsidRPr="00992052">
        <w:rPr>
          <w:rFonts w:ascii="Arial" w:hAnsi="Arial" w:cs="Arial"/>
        </w:rPr>
        <w:t xml:space="preserve"> before. The organisation is </w:t>
      </w:r>
      <w:r w:rsidR="00992052" w:rsidRPr="00992052">
        <w:rPr>
          <w:rFonts w:ascii="Arial" w:hAnsi="Arial" w:cs="Arial"/>
        </w:rPr>
        <w:t>operating so</w:t>
      </w:r>
      <w:r w:rsidRPr="00992052">
        <w:rPr>
          <w:rFonts w:ascii="Arial" w:hAnsi="Arial" w:cs="Arial"/>
        </w:rPr>
        <w:t xml:space="preserve"> far so good. But next year, it would be even challenging for them in order to generate more profit and reduce the cost. The management should be focusing on operation. If the operation goes as smooth as it is then </w:t>
      </w:r>
      <w:r w:rsidR="00992052" w:rsidRPr="00992052">
        <w:rPr>
          <w:rFonts w:ascii="Arial" w:hAnsi="Arial" w:cs="Arial"/>
        </w:rPr>
        <w:t>there,</w:t>
      </w:r>
      <w:r w:rsidRPr="00992052">
        <w:rPr>
          <w:rFonts w:ascii="Arial" w:hAnsi="Arial" w:cs="Arial"/>
        </w:rPr>
        <w:t xml:space="preserve"> I will be no problem. As the gearing is decreased, the management should focus onto take the benefit. Although some management practice thought against gearing, but the organisation is already purchasing all of their item on credit. That means the management agreed in gearing, therefore they should focus on for taking well advantage of the opportunity.  The management have to be very careful as they will have no chance to make any mistake. Its only because stakeholder’s will have more expectation to the management for next year.</w:t>
      </w:r>
    </w:p>
    <w:p w:rsidR="006C5862" w:rsidRPr="006C5862" w:rsidRDefault="006C5862" w:rsidP="006C5862">
      <w:pPr>
        <w:pStyle w:val="a9"/>
        <w:rPr>
          <w:rFonts w:ascii="Arial" w:hAnsi="Arial" w:cs="Arial"/>
        </w:rPr>
      </w:pPr>
      <w:r w:rsidRPr="006C5862">
        <w:rPr>
          <w:rFonts w:ascii="Arial" w:hAnsi="Arial" w:cs="Arial"/>
        </w:rPr>
        <w:t> </w:t>
      </w:r>
    </w:p>
    <w:p w:rsidR="006C5862" w:rsidRPr="006C5862" w:rsidRDefault="006C5862" w:rsidP="006C5862">
      <w:pPr>
        <w:pStyle w:val="a9"/>
        <w:rPr>
          <w:rFonts w:ascii="Arial" w:hAnsi="Arial" w:cs="Arial"/>
        </w:rPr>
      </w:pPr>
      <w:r w:rsidRPr="006C5862">
        <w:rPr>
          <w:rFonts w:ascii="Arial" w:hAnsi="Arial" w:cs="Arial"/>
        </w:rPr>
        <w:t> </w:t>
      </w:r>
    </w:p>
    <w:p w:rsidR="006C5862" w:rsidRPr="006C5862" w:rsidRDefault="006C5862" w:rsidP="006C5862">
      <w:pPr>
        <w:pStyle w:val="a9"/>
        <w:rPr>
          <w:rFonts w:ascii="Arial" w:hAnsi="Arial" w:cs="Arial"/>
        </w:rPr>
      </w:pPr>
      <w:r w:rsidRPr="006C5862">
        <w:rPr>
          <w:rFonts w:ascii="Arial" w:hAnsi="Arial" w:cs="Arial"/>
        </w:rPr>
        <w:t> </w:t>
      </w:r>
    </w:p>
    <w:p w:rsidR="006C5862" w:rsidRDefault="006C5862" w:rsidP="006C5862">
      <w:pPr>
        <w:pStyle w:val="a9"/>
        <w:rPr>
          <w:rFonts w:ascii="Arial" w:hAnsi="Arial" w:cs="Arial"/>
        </w:rPr>
      </w:pPr>
      <w:r w:rsidRPr="006C5862">
        <w:rPr>
          <w:rFonts w:ascii="Arial" w:hAnsi="Arial" w:cs="Arial"/>
        </w:rPr>
        <w:t> </w:t>
      </w:r>
    </w:p>
    <w:p w:rsidR="00992052" w:rsidRDefault="00992052" w:rsidP="006C5862">
      <w:pPr>
        <w:pStyle w:val="a9"/>
        <w:rPr>
          <w:rFonts w:ascii="Arial" w:hAnsi="Arial" w:cs="Arial"/>
        </w:rPr>
      </w:pPr>
    </w:p>
    <w:p w:rsidR="00992052" w:rsidRPr="006C5862" w:rsidRDefault="00992052" w:rsidP="006C5862">
      <w:pPr>
        <w:pStyle w:val="a9"/>
        <w:rPr>
          <w:rFonts w:ascii="Arial" w:hAnsi="Arial" w:cs="Arial"/>
        </w:rPr>
      </w:pPr>
    </w:p>
    <w:p w:rsidR="006C5862" w:rsidRPr="006C5862" w:rsidRDefault="006C5862" w:rsidP="006C5862">
      <w:pPr>
        <w:pStyle w:val="a9"/>
        <w:rPr>
          <w:rFonts w:ascii="Arial" w:hAnsi="Arial" w:cs="Arial"/>
        </w:rPr>
      </w:pPr>
      <w:r w:rsidRPr="006C5862">
        <w:rPr>
          <w:rFonts w:ascii="Arial" w:hAnsi="Arial" w:cs="Arial"/>
        </w:rPr>
        <w:t> </w:t>
      </w:r>
    </w:p>
    <w:p w:rsidR="006C5862" w:rsidRPr="006C5862" w:rsidRDefault="006C5862" w:rsidP="006C5862">
      <w:pPr>
        <w:pStyle w:val="a9"/>
        <w:jc w:val="center"/>
        <w:rPr>
          <w:rFonts w:ascii="Arial" w:hAnsi="Arial" w:cs="Arial"/>
          <w:b/>
          <w:bCs/>
        </w:rPr>
      </w:pPr>
      <w:r w:rsidRPr="006C5862">
        <w:rPr>
          <w:rFonts w:ascii="Arial" w:hAnsi="Arial" w:cs="Arial"/>
          <w:b/>
          <w:bCs/>
        </w:rPr>
        <w:t>Conclusions</w:t>
      </w:r>
    </w:p>
    <w:p w:rsidR="006C5862" w:rsidRPr="006C5862" w:rsidRDefault="006C5862" w:rsidP="006C5862">
      <w:pPr>
        <w:pStyle w:val="a9"/>
        <w:rPr>
          <w:rFonts w:ascii="Arial" w:hAnsi="Arial" w:cs="Arial"/>
        </w:rPr>
      </w:pPr>
      <w:r w:rsidRPr="006C5862">
        <w:rPr>
          <w:rFonts w:ascii="Arial" w:hAnsi="Arial" w:cs="Arial"/>
        </w:rPr>
        <w:t> </w:t>
      </w:r>
    </w:p>
    <w:p w:rsidR="006C5862" w:rsidRPr="006C5862" w:rsidRDefault="006C5862" w:rsidP="006C5862">
      <w:pPr>
        <w:pStyle w:val="a9"/>
        <w:rPr>
          <w:rFonts w:ascii="Arial" w:hAnsi="Arial" w:cs="Arial"/>
        </w:rPr>
      </w:pPr>
      <w:r w:rsidRPr="006C5862">
        <w:rPr>
          <w:rFonts w:ascii="Arial" w:hAnsi="Arial" w:cs="Arial"/>
        </w:rPr>
        <w:t> </w:t>
      </w:r>
    </w:p>
    <w:p w:rsidR="006C5862" w:rsidRPr="00992052" w:rsidRDefault="006C5862" w:rsidP="00992052">
      <w:pPr>
        <w:rPr>
          <w:rFonts w:ascii="Arial" w:hAnsi="Arial" w:cs="Arial"/>
        </w:rPr>
      </w:pPr>
      <w:r w:rsidRPr="00992052">
        <w:rPr>
          <w:rFonts w:ascii="Arial" w:hAnsi="Arial" w:cs="Arial"/>
        </w:rPr>
        <w:t>The financial statement is an organized collection of data according to logical and consistent accounting procedures. Its purpose is to give an understanding of some of the financial aspects of a business firm. It may display a position at a time, as in the case of a balance sheet, or it may open a series of activities for a given period, as in the case of a profit and loss account. Financial ratios are tools for interpreting financial statements to provide a basis for valuing securities and evaluating financial and management results. The ratio analysis is the calculation and interpretation of the financial ratios taken from the financial statements of the company.</w:t>
      </w:r>
    </w:p>
    <w:p w:rsidR="006C5862" w:rsidRPr="006C5862" w:rsidRDefault="006C5862" w:rsidP="006C5862">
      <w:pPr>
        <w:pStyle w:val="a9"/>
        <w:rPr>
          <w:rFonts w:ascii="Arial" w:hAnsi="Arial" w:cs="Arial"/>
        </w:rPr>
      </w:pPr>
      <w:r w:rsidRPr="006C5862">
        <w:rPr>
          <w:rFonts w:ascii="Arial" w:hAnsi="Arial" w:cs="Arial"/>
        </w:rPr>
        <w:t> </w:t>
      </w:r>
    </w:p>
    <w:p w:rsidR="00A735BB" w:rsidRPr="00AA53A3" w:rsidRDefault="00A735BB" w:rsidP="006F56A5">
      <w:pPr>
        <w:pStyle w:val="a9"/>
        <w:rPr>
          <w:rFonts w:ascii="Arial" w:hAnsi="Arial" w:cs="Arial"/>
        </w:rPr>
      </w:pPr>
    </w:p>
    <w:p w:rsidR="00A735BB" w:rsidRPr="00AA53A3" w:rsidRDefault="00A735BB" w:rsidP="006F56A5">
      <w:pPr>
        <w:pStyle w:val="a9"/>
        <w:rPr>
          <w:rFonts w:ascii="Arial" w:hAnsi="Arial" w:cs="Arial"/>
        </w:rPr>
      </w:pPr>
    </w:p>
    <w:p w:rsidR="00A735BB" w:rsidRPr="00AA53A3" w:rsidRDefault="00A735BB" w:rsidP="006F56A5">
      <w:pPr>
        <w:pStyle w:val="a9"/>
        <w:rPr>
          <w:rFonts w:ascii="Arial" w:hAnsi="Arial" w:cs="Arial"/>
        </w:rPr>
      </w:pPr>
    </w:p>
    <w:p w:rsidR="00992052" w:rsidRDefault="00992052" w:rsidP="006F56A5">
      <w:pPr>
        <w:pStyle w:val="a9"/>
        <w:rPr>
          <w:rFonts w:ascii="Arial" w:hAnsi="Arial" w:cs="Arial"/>
        </w:rPr>
      </w:pPr>
    </w:p>
    <w:p w:rsidR="00992052" w:rsidRDefault="00992052" w:rsidP="006F56A5">
      <w:pPr>
        <w:pStyle w:val="a9"/>
        <w:rPr>
          <w:rFonts w:ascii="Arial" w:hAnsi="Arial" w:cs="Arial"/>
        </w:rPr>
      </w:pPr>
    </w:p>
    <w:p w:rsidR="00992052" w:rsidRPr="00AA53A3" w:rsidRDefault="00992052" w:rsidP="006F56A5">
      <w:pPr>
        <w:pStyle w:val="a9"/>
        <w:rPr>
          <w:rFonts w:ascii="Arial" w:hAnsi="Arial" w:cs="Arial"/>
        </w:rPr>
      </w:pPr>
    </w:p>
    <w:p w:rsidR="00A735BB" w:rsidRDefault="00A735BB" w:rsidP="00992052">
      <w:pPr>
        <w:pStyle w:val="a9"/>
        <w:jc w:val="center"/>
        <w:rPr>
          <w:rFonts w:ascii="Arial" w:hAnsi="Arial" w:cs="Arial"/>
          <w:b/>
          <w:lang w:val="en-US"/>
        </w:rPr>
      </w:pPr>
      <w:r w:rsidRPr="00AA53A3">
        <w:rPr>
          <w:rFonts w:ascii="Arial" w:hAnsi="Arial" w:cs="Arial"/>
          <w:b/>
          <w:lang w:val="en-US"/>
        </w:rPr>
        <w:t>Reference List</w:t>
      </w:r>
    </w:p>
    <w:p w:rsidR="00912610" w:rsidRPr="00AA53A3" w:rsidRDefault="00912610" w:rsidP="00992052">
      <w:pPr>
        <w:pStyle w:val="a9"/>
        <w:jc w:val="center"/>
        <w:rPr>
          <w:rFonts w:ascii="Arial" w:hAnsi="Arial" w:cs="Arial"/>
          <w:b/>
          <w:lang w:val="en-US"/>
        </w:rPr>
      </w:pPr>
    </w:p>
    <w:p w:rsidR="00A735BB" w:rsidRPr="00AA53A3" w:rsidRDefault="00A735BB" w:rsidP="00A735BB">
      <w:pPr>
        <w:pStyle w:val="a9"/>
        <w:rPr>
          <w:rFonts w:ascii="Arial" w:hAnsi="Arial" w:cs="Arial"/>
          <w:b/>
          <w:lang w:val="en-US"/>
        </w:rPr>
      </w:pPr>
    </w:p>
    <w:p w:rsidR="00912610" w:rsidRPr="00912610" w:rsidRDefault="00912610" w:rsidP="00912610">
      <w:pPr>
        <w:pStyle w:val="a9"/>
        <w:rPr>
          <w:rFonts w:ascii="Arial" w:hAnsi="Arial" w:cs="Arial"/>
          <w:bCs/>
          <w:lang w:val="en-US"/>
        </w:rPr>
      </w:pPr>
      <w:r w:rsidRPr="00912610">
        <w:rPr>
          <w:rFonts w:ascii="Arial" w:hAnsi="Arial" w:cs="Arial"/>
          <w:bCs/>
          <w:lang w:val="en-US"/>
        </w:rPr>
        <w:t>Altman, Edward I., "Financial ~atios, Descriminant Analysis and the Prediction of Corporate</w:t>
      </w:r>
    </w:p>
    <w:p w:rsidR="00912610" w:rsidRPr="00912610" w:rsidRDefault="00912610" w:rsidP="00912610">
      <w:pPr>
        <w:pStyle w:val="a9"/>
        <w:rPr>
          <w:rFonts w:ascii="Arial" w:hAnsi="Arial" w:cs="Arial"/>
          <w:bCs/>
          <w:lang w:val="en-US"/>
        </w:rPr>
      </w:pPr>
      <w:r w:rsidRPr="00912610">
        <w:rPr>
          <w:rFonts w:ascii="Arial" w:hAnsi="Arial" w:cs="Arial"/>
          <w:bCs/>
          <w:lang w:val="en-US"/>
        </w:rPr>
        <w:t>Bankruptcy," Journal of Finance" (September 1968), pp. 589-609.</w:t>
      </w:r>
    </w:p>
    <w:p w:rsidR="00912610" w:rsidRPr="00912610" w:rsidRDefault="00912610" w:rsidP="00912610">
      <w:pPr>
        <w:pStyle w:val="a9"/>
        <w:rPr>
          <w:rFonts w:ascii="Arial" w:hAnsi="Arial" w:cs="Arial"/>
          <w:bCs/>
          <w:lang w:val="en-US"/>
        </w:rPr>
      </w:pPr>
      <w:r w:rsidRPr="00912610">
        <w:rPr>
          <w:rFonts w:ascii="Arial" w:hAnsi="Arial" w:cs="Arial"/>
          <w:bCs/>
          <w:lang w:val="en-US"/>
        </w:rPr>
        <w:t>Barnes, Paul., "The Analysis and Use of Financial Ratios: A Review Article." Journal of Business</w:t>
      </w:r>
    </w:p>
    <w:p w:rsidR="00912610" w:rsidRPr="00912610" w:rsidRDefault="00912610" w:rsidP="00912610">
      <w:pPr>
        <w:pStyle w:val="a9"/>
        <w:rPr>
          <w:rFonts w:ascii="Arial" w:hAnsi="Arial" w:cs="Arial"/>
          <w:bCs/>
          <w:lang w:val="en-US"/>
        </w:rPr>
      </w:pPr>
      <w:r w:rsidRPr="00912610">
        <w:rPr>
          <w:rFonts w:ascii="Arial" w:hAnsi="Arial" w:cs="Arial"/>
          <w:bCs/>
          <w:lang w:val="en-US"/>
        </w:rPr>
        <w:t>Finance and Accounting (Winter 1987), pp. 449-461.</w:t>
      </w:r>
    </w:p>
    <w:p w:rsidR="00912610" w:rsidRPr="00912610" w:rsidRDefault="00912610" w:rsidP="00912610">
      <w:pPr>
        <w:pStyle w:val="a9"/>
        <w:rPr>
          <w:rFonts w:ascii="Arial" w:hAnsi="Arial" w:cs="Arial"/>
          <w:bCs/>
          <w:lang w:val="en-US"/>
        </w:rPr>
      </w:pPr>
      <w:r w:rsidRPr="00912610">
        <w:rPr>
          <w:rFonts w:ascii="Arial" w:hAnsi="Arial" w:cs="Arial"/>
          <w:bCs/>
          <w:lang w:val="en-US"/>
        </w:rPr>
        <w:t>Bedingfield J.P., P .M.J. Reckers, and A.J. Stagliano, "Distribution Types of Financial Ratios in the</w:t>
      </w:r>
    </w:p>
    <w:p w:rsidR="00912610" w:rsidRPr="00912610" w:rsidRDefault="00912610" w:rsidP="00912610">
      <w:pPr>
        <w:pStyle w:val="a9"/>
        <w:rPr>
          <w:rFonts w:ascii="Arial" w:hAnsi="Arial" w:cs="Arial"/>
          <w:bCs/>
          <w:lang w:val="en-US"/>
        </w:rPr>
      </w:pPr>
      <w:r w:rsidRPr="00912610">
        <w:rPr>
          <w:rFonts w:ascii="Arial" w:hAnsi="Arial" w:cs="Arial"/>
          <w:bCs/>
          <w:lang w:val="en-US"/>
        </w:rPr>
        <w:lastRenderedPageBreak/>
        <w:t>Commercial Banking Industry," Journal of Financial Research, 8 (Spring 1985), pp. n-81.</w:t>
      </w:r>
    </w:p>
    <w:p w:rsidR="00912610" w:rsidRPr="00912610" w:rsidRDefault="00912610" w:rsidP="00912610">
      <w:pPr>
        <w:pStyle w:val="a9"/>
        <w:rPr>
          <w:rFonts w:ascii="Arial" w:hAnsi="Arial" w:cs="Arial"/>
          <w:bCs/>
          <w:lang w:val="en-US"/>
        </w:rPr>
      </w:pPr>
      <w:r w:rsidRPr="00912610">
        <w:rPr>
          <w:rFonts w:ascii="Arial" w:hAnsi="Arial" w:cs="Arial"/>
          <w:bCs/>
          <w:lang w:val="en-US"/>
        </w:rPr>
        <w:t>Benishay, H., "Economic Information in Financial Ratio Analysis: A Note." Accounting and Business</w:t>
      </w:r>
    </w:p>
    <w:p w:rsidR="00912610" w:rsidRPr="00912610" w:rsidRDefault="00912610" w:rsidP="00912610">
      <w:pPr>
        <w:pStyle w:val="a9"/>
        <w:rPr>
          <w:rFonts w:ascii="Arial" w:hAnsi="Arial" w:cs="Arial"/>
          <w:bCs/>
          <w:lang w:val="en-US"/>
        </w:rPr>
      </w:pPr>
      <w:r w:rsidRPr="00912610">
        <w:rPr>
          <w:rFonts w:ascii="Arial" w:hAnsi="Arial" w:cs="Arial"/>
          <w:bCs/>
          <w:lang w:val="en-US"/>
        </w:rPr>
        <w:t>Research (Spring 1971), pp. 174-179.</w:t>
      </w:r>
    </w:p>
    <w:p w:rsidR="00912610" w:rsidRPr="00912610" w:rsidRDefault="00912610" w:rsidP="00912610">
      <w:pPr>
        <w:pStyle w:val="a9"/>
        <w:rPr>
          <w:rFonts w:ascii="Arial" w:hAnsi="Arial" w:cs="Arial"/>
          <w:bCs/>
          <w:lang w:val="en-US"/>
        </w:rPr>
      </w:pPr>
      <w:r w:rsidRPr="00912610">
        <w:rPr>
          <w:rFonts w:ascii="Arial" w:hAnsi="Arial" w:cs="Arial"/>
          <w:bCs/>
          <w:lang w:val="en-US"/>
        </w:rPr>
        <w:t>"Special report: How D &amp; P Rates Bank Credit Quality," Duff and Phelps/MCM Investment Research.</w:t>
      </w:r>
    </w:p>
    <w:p w:rsidR="00912610" w:rsidRPr="00912610" w:rsidRDefault="00912610" w:rsidP="00912610">
      <w:pPr>
        <w:pStyle w:val="a9"/>
        <w:rPr>
          <w:rFonts w:ascii="Arial" w:hAnsi="Arial" w:cs="Arial"/>
          <w:bCs/>
          <w:lang w:val="en-US"/>
        </w:rPr>
      </w:pPr>
      <w:r w:rsidRPr="00912610">
        <w:rPr>
          <w:rFonts w:ascii="Arial" w:hAnsi="Arial" w:cs="Arial"/>
          <w:bCs/>
          <w:lang w:val="en-US"/>
        </w:rPr>
        <w:t>Company, New York, New York (May 1991), pp.1-3.</w:t>
      </w:r>
    </w:p>
    <w:p w:rsidR="00912610" w:rsidRPr="00912610" w:rsidRDefault="00912610" w:rsidP="00912610">
      <w:pPr>
        <w:pStyle w:val="a9"/>
        <w:rPr>
          <w:rFonts w:ascii="Arial" w:hAnsi="Arial" w:cs="Arial"/>
          <w:bCs/>
          <w:lang w:val="en-US"/>
        </w:rPr>
      </w:pPr>
      <w:r w:rsidRPr="00912610">
        <w:rPr>
          <w:rFonts w:ascii="Arial" w:hAnsi="Arial" w:cs="Arial"/>
          <w:bCs/>
          <w:lang w:val="en-US"/>
        </w:rPr>
        <w:t>Eisenbeis, RobertA., "Financial EarlyWaming Systems: Status and Future Directions," Issues in Bank</w:t>
      </w:r>
    </w:p>
    <w:p w:rsidR="00912610" w:rsidRPr="00912610" w:rsidRDefault="00912610" w:rsidP="00912610">
      <w:pPr>
        <w:pStyle w:val="a9"/>
        <w:rPr>
          <w:rFonts w:ascii="Arial" w:hAnsi="Arial" w:cs="Arial"/>
          <w:bCs/>
          <w:lang w:val="en-US"/>
        </w:rPr>
      </w:pPr>
      <w:r w:rsidRPr="00912610">
        <w:rPr>
          <w:rFonts w:ascii="Arial" w:hAnsi="Arial" w:cs="Arial"/>
          <w:bCs/>
          <w:lang w:val="en-US"/>
        </w:rPr>
        <w:t>Regulation, 1 (Summer 1977), pp. 8-12.</w:t>
      </w:r>
    </w:p>
    <w:p w:rsidR="00912610" w:rsidRPr="00912610" w:rsidRDefault="00912610" w:rsidP="00912610">
      <w:pPr>
        <w:pStyle w:val="a9"/>
        <w:rPr>
          <w:rFonts w:ascii="Arial" w:hAnsi="Arial" w:cs="Arial"/>
          <w:bCs/>
          <w:lang w:val="en-US"/>
        </w:rPr>
      </w:pPr>
      <w:r w:rsidRPr="00912610">
        <w:rPr>
          <w:rFonts w:ascii="Arial" w:hAnsi="Arial" w:cs="Arial"/>
          <w:bCs/>
          <w:lang w:val="en-US"/>
        </w:rPr>
        <w:t>"Chicago Fed Letter, Essays on Issues," Federal Reserve Bank of Chicago, Chicago, Illinois, Number</w:t>
      </w:r>
    </w:p>
    <w:p w:rsidR="00912610" w:rsidRPr="00912610" w:rsidRDefault="00912610" w:rsidP="00912610">
      <w:pPr>
        <w:pStyle w:val="a9"/>
        <w:rPr>
          <w:rFonts w:ascii="Arial" w:hAnsi="Arial" w:cs="Arial"/>
          <w:bCs/>
          <w:lang w:val="en-US"/>
        </w:rPr>
      </w:pPr>
      <w:r w:rsidRPr="00912610">
        <w:rPr>
          <w:rFonts w:ascii="Arial" w:hAnsi="Arial" w:cs="Arial"/>
          <w:bCs/>
          <w:lang w:val="en-US"/>
        </w:rPr>
        <w:t>62, (October 1992).</w:t>
      </w:r>
    </w:p>
    <w:p w:rsidR="00912610" w:rsidRPr="00912610" w:rsidRDefault="00912610" w:rsidP="00912610">
      <w:pPr>
        <w:pStyle w:val="a9"/>
        <w:rPr>
          <w:rFonts w:ascii="Arial" w:hAnsi="Arial" w:cs="Arial"/>
          <w:bCs/>
          <w:lang w:val="en-US"/>
        </w:rPr>
      </w:pPr>
      <w:r w:rsidRPr="00912610">
        <w:rPr>
          <w:rFonts w:ascii="Arial" w:hAnsi="Arial" w:cs="Arial"/>
          <w:bCs/>
          <w:lang w:val="en-US"/>
        </w:rPr>
        <w:t>"Early Warning Systems and Financial Analysis in Bank Monitoring," Economic Review, Federal</w:t>
      </w:r>
    </w:p>
    <w:p w:rsidR="00912610" w:rsidRPr="00912610" w:rsidRDefault="00912610" w:rsidP="00912610">
      <w:pPr>
        <w:pStyle w:val="a9"/>
        <w:rPr>
          <w:rFonts w:ascii="Arial" w:hAnsi="Arial" w:cs="Arial"/>
          <w:bCs/>
          <w:lang w:val="en-US"/>
        </w:rPr>
      </w:pPr>
      <w:r w:rsidRPr="00912610">
        <w:rPr>
          <w:rFonts w:ascii="Arial" w:hAnsi="Arial" w:cs="Arial"/>
          <w:bCs/>
          <w:lang w:val="en-US"/>
        </w:rPr>
        <w:t>Reserve Bank of Atlanta, (November 1983) pp. 6-13.</w:t>
      </w:r>
    </w:p>
    <w:p w:rsidR="00912610" w:rsidRPr="00912610" w:rsidRDefault="00912610" w:rsidP="00912610">
      <w:pPr>
        <w:pStyle w:val="a9"/>
        <w:rPr>
          <w:rFonts w:ascii="Arial" w:hAnsi="Arial" w:cs="Arial"/>
          <w:bCs/>
          <w:lang w:val="en-US"/>
        </w:rPr>
      </w:pPr>
      <w:r w:rsidRPr="00912610">
        <w:rPr>
          <w:rFonts w:ascii="Arial" w:hAnsi="Arial" w:cs="Arial"/>
          <w:bCs/>
          <w:lang w:val="en-US"/>
        </w:rPr>
        <w:t>"Year-End Bank Statistics," Fitch Investor Services, Inc., New York (March 1992), pp. 6-7.</w:t>
      </w:r>
    </w:p>
    <w:p w:rsidR="00912610" w:rsidRPr="00912610" w:rsidRDefault="00912610" w:rsidP="00912610">
      <w:pPr>
        <w:pStyle w:val="a9"/>
        <w:rPr>
          <w:rFonts w:ascii="Arial" w:hAnsi="Arial" w:cs="Arial"/>
          <w:bCs/>
          <w:lang w:val="en-US"/>
        </w:rPr>
      </w:pPr>
      <w:r w:rsidRPr="00912610">
        <w:rPr>
          <w:rFonts w:ascii="Arial" w:hAnsi="Arial" w:cs="Arial"/>
          <w:bCs/>
          <w:lang w:val="en-US"/>
        </w:rPr>
        <w:t>Gombola, Michael J. and J. Edward Ketz. "A Note on Cash Flow and Classification Patterns of</w:t>
      </w:r>
    </w:p>
    <w:p w:rsidR="00912610" w:rsidRPr="00912610" w:rsidRDefault="00912610" w:rsidP="00912610">
      <w:pPr>
        <w:pStyle w:val="a9"/>
        <w:rPr>
          <w:rFonts w:ascii="Arial" w:hAnsi="Arial" w:cs="Arial"/>
          <w:bCs/>
          <w:lang w:val="en-US"/>
        </w:rPr>
      </w:pPr>
      <w:r w:rsidRPr="00912610">
        <w:rPr>
          <w:rFonts w:ascii="Arial" w:hAnsi="Arial" w:cs="Arial"/>
          <w:bCs/>
          <w:lang w:val="en-US"/>
        </w:rPr>
        <w:t>Financial Ratios." The Accounting Review (January 1983a), pp. 105-114.</w:t>
      </w:r>
    </w:p>
    <w:p w:rsidR="00912610" w:rsidRPr="00912610" w:rsidRDefault="00912610" w:rsidP="00912610">
      <w:pPr>
        <w:pStyle w:val="a9"/>
        <w:rPr>
          <w:rFonts w:ascii="Arial" w:hAnsi="Arial" w:cs="Arial"/>
          <w:bCs/>
          <w:lang w:val="en-US"/>
        </w:rPr>
      </w:pPr>
      <w:r w:rsidRPr="00912610">
        <w:rPr>
          <w:rFonts w:ascii="Arial" w:hAnsi="Arial" w:cs="Arial"/>
          <w:bCs/>
          <w:lang w:val="en-US"/>
        </w:rPr>
        <w:t>Hanweck, Gerald A., "Predicting Bank Failures," Research Papers in Banking and Financial</w:t>
      </w:r>
    </w:p>
    <w:p w:rsidR="00912610" w:rsidRPr="00912610" w:rsidRDefault="00912610" w:rsidP="00912610">
      <w:pPr>
        <w:pStyle w:val="a9"/>
        <w:rPr>
          <w:rFonts w:ascii="Arial" w:hAnsi="Arial" w:cs="Arial"/>
          <w:bCs/>
          <w:lang w:val="en-US"/>
        </w:rPr>
      </w:pPr>
      <w:r w:rsidRPr="00912610">
        <w:rPr>
          <w:rFonts w:ascii="Arial" w:hAnsi="Arial" w:cs="Arial"/>
          <w:bCs/>
          <w:lang w:val="en-US"/>
        </w:rPr>
        <w:t>Economics, Financial Studies Section, Board of Governors of the Federal Reserve System</w:t>
      </w:r>
    </w:p>
    <w:p w:rsidR="00912610" w:rsidRPr="00912610" w:rsidRDefault="00912610" w:rsidP="00912610">
      <w:pPr>
        <w:pStyle w:val="a9"/>
        <w:rPr>
          <w:rFonts w:ascii="Arial" w:hAnsi="Arial" w:cs="Arial"/>
          <w:bCs/>
          <w:lang w:val="en-US"/>
        </w:rPr>
      </w:pPr>
      <w:r w:rsidRPr="00912610">
        <w:rPr>
          <w:rFonts w:ascii="Arial" w:hAnsi="Arial" w:cs="Arial"/>
          <w:bCs/>
          <w:lang w:val="en-US"/>
        </w:rPr>
        <w:t>(1977).</w:t>
      </w:r>
    </w:p>
    <w:p w:rsidR="00912610" w:rsidRPr="00912610" w:rsidRDefault="00912610" w:rsidP="00912610">
      <w:pPr>
        <w:pStyle w:val="a9"/>
        <w:rPr>
          <w:rFonts w:ascii="Arial" w:hAnsi="Arial" w:cs="Arial"/>
          <w:bCs/>
          <w:lang w:val="en-US"/>
        </w:rPr>
      </w:pPr>
      <w:r w:rsidRPr="00912610">
        <w:rPr>
          <w:rFonts w:ascii="Arial" w:hAnsi="Arial" w:cs="Arial"/>
          <w:bCs/>
          <w:lang w:val="en-US"/>
        </w:rPr>
        <w:t>Jacobe, D., "Deregulation Calls for New Ways to Monitor Perfonnance," Savings and Loan News, 104</w:t>
      </w:r>
    </w:p>
    <w:p w:rsidR="00912610" w:rsidRPr="00912610" w:rsidRDefault="00912610" w:rsidP="00912610">
      <w:pPr>
        <w:pStyle w:val="a9"/>
        <w:rPr>
          <w:rFonts w:ascii="Arial" w:hAnsi="Arial" w:cs="Arial"/>
          <w:bCs/>
          <w:lang w:val="en-US"/>
        </w:rPr>
      </w:pPr>
      <w:r w:rsidRPr="00912610">
        <w:rPr>
          <w:rFonts w:ascii="Arial" w:hAnsi="Arial" w:cs="Arial"/>
          <w:bCs/>
          <w:lang w:val="en-US"/>
        </w:rPr>
        <w:t>(May 1983), pp. 41-43.</w:t>
      </w:r>
    </w:p>
    <w:p w:rsidR="00912610" w:rsidRPr="00912610" w:rsidRDefault="00912610" w:rsidP="00912610">
      <w:pPr>
        <w:pStyle w:val="a9"/>
        <w:rPr>
          <w:rFonts w:ascii="Arial" w:hAnsi="Arial" w:cs="Arial"/>
          <w:bCs/>
          <w:lang w:val="en-US"/>
        </w:rPr>
      </w:pPr>
      <w:r w:rsidRPr="00912610">
        <w:rPr>
          <w:rFonts w:ascii="Arial" w:hAnsi="Arial" w:cs="Arial"/>
          <w:bCs/>
          <w:lang w:val="en-US"/>
        </w:rPr>
        <w:t>Jahera, Joseph F. and Joseph R. Sinkey, "A Note on the lntracyclical Balance-Sheet Behavior of large</w:t>
      </w:r>
    </w:p>
    <w:p w:rsidR="00912610" w:rsidRPr="00912610" w:rsidRDefault="00912610" w:rsidP="00912610">
      <w:pPr>
        <w:pStyle w:val="a9"/>
        <w:rPr>
          <w:rFonts w:ascii="Arial" w:hAnsi="Arial" w:cs="Arial"/>
          <w:bCs/>
          <w:lang w:val="en-US"/>
        </w:rPr>
      </w:pPr>
      <w:r w:rsidRPr="00912610">
        <w:rPr>
          <w:rFonts w:ascii="Arial" w:hAnsi="Arial" w:cs="Arial"/>
          <w:bCs/>
          <w:lang w:val="en-US"/>
        </w:rPr>
        <w:t>Commercial Banks," Jouma/ of Banking and Finance, Volume 8, No. 1 (1984), pp. 109-118.</w:t>
      </w:r>
    </w:p>
    <w:p w:rsidR="00912610" w:rsidRPr="00912610" w:rsidRDefault="00912610" w:rsidP="00912610">
      <w:pPr>
        <w:pStyle w:val="a9"/>
        <w:rPr>
          <w:rFonts w:ascii="Arial" w:hAnsi="Arial" w:cs="Arial"/>
          <w:bCs/>
          <w:lang w:val="en-US"/>
        </w:rPr>
      </w:pPr>
      <w:r w:rsidRPr="00912610">
        <w:rPr>
          <w:rFonts w:ascii="Arial" w:hAnsi="Arial" w:cs="Arial"/>
          <w:bCs/>
          <w:lang w:val="en-US"/>
        </w:rPr>
        <w:t>Ketz, J. Edward, Rajib K. Doogar and David E. Jensen, Across Industry Analysis of Financial Ratios:</w:t>
      </w:r>
    </w:p>
    <w:p w:rsidR="00912610" w:rsidRPr="00912610" w:rsidRDefault="00912610" w:rsidP="00912610">
      <w:pPr>
        <w:pStyle w:val="a9"/>
        <w:rPr>
          <w:rFonts w:ascii="Arial" w:hAnsi="Arial" w:cs="Arial"/>
          <w:bCs/>
          <w:lang w:val="en-US"/>
        </w:rPr>
      </w:pPr>
      <w:r w:rsidRPr="00912610">
        <w:rPr>
          <w:rFonts w:ascii="Arial" w:hAnsi="Arial" w:cs="Arial"/>
          <w:bCs/>
          <w:lang w:val="en-US"/>
        </w:rPr>
        <w:t>Comparabilities and Corporate Performance. New York, Quorum Books, 1990.</w:t>
      </w:r>
    </w:p>
    <w:p w:rsidR="00912610" w:rsidRPr="00912610" w:rsidRDefault="00912610" w:rsidP="00912610">
      <w:pPr>
        <w:pStyle w:val="a9"/>
        <w:rPr>
          <w:rFonts w:ascii="Arial" w:hAnsi="Arial" w:cs="Arial"/>
          <w:bCs/>
          <w:lang w:val="en-US"/>
        </w:rPr>
      </w:pPr>
      <w:r w:rsidRPr="00912610">
        <w:rPr>
          <w:rFonts w:ascii="Arial" w:hAnsi="Arial" w:cs="Arial"/>
          <w:bCs/>
          <w:lang w:val="en-US"/>
        </w:rPr>
        <w:t>Norusis, Marija J., "SPSS Statistics," SPSS Inc., Chicago, Illinois, 1990.</w:t>
      </w:r>
    </w:p>
    <w:p w:rsidR="00912610" w:rsidRPr="00912610" w:rsidRDefault="00912610" w:rsidP="00912610">
      <w:pPr>
        <w:pStyle w:val="a9"/>
        <w:rPr>
          <w:rFonts w:ascii="Arial" w:hAnsi="Arial" w:cs="Arial"/>
          <w:bCs/>
          <w:lang w:val="en-US"/>
        </w:rPr>
      </w:pPr>
      <w:r w:rsidRPr="00912610">
        <w:rPr>
          <w:rFonts w:ascii="Arial" w:hAnsi="Arial" w:cs="Arial"/>
          <w:bCs/>
          <w:lang w:val="en-US"/>
        </w:rPr>
        <w:t>Pinches, G.E., KA. Mingo and J.K. Caruthers. "The Stability of Financial Ratio Patterns in Industrial</w:t>
      </w:r>
    </w:p>
    <w:p w:rsidR="00912610" w:rsidRPr="00912610" w:rsidRDefault="00912610" w:rsidP="00912610">
      <w:pPr>
        <w:pStyle w:val="a9"/>
        <w:rPr>
          <w:rFonts w:ascii="Arial" w:hAnsi="Arial" w:cs="Arial"/>
          <w:bCs/>
          <w:lang w:val="en-US"/>
        </w:rPr>
      </w:pPr>
      <w:r w:rsidRPr="00912610">
        <w:rPr>
          <w:rFonts w:ascii="Arial" w:hAnsi="Arial" w:cs="Arial"/>
          <w:bCs/>
          <w:lang w:val="en-US"/>
        </w:rPr>
        <w:t>Organizations." Journal of Finance (May 1973), pp. 384-396.</w:t>
      </w:r>
    </w:p>
    <w:p w:rsidR="00A735BB" w:rsidRPr="00912610" w:rsidRDefault="00912610" w:rsidP="00912610">
      <w:pPr>
        <w:pStyle w:val="a9"/>
        <w:rPr>
          <w:rFonts w:ascii="Arial" w:hAnsi="Arial" w:cs="Arial"/>
          <w:bCs/>
          <w:lang w:val="en-US"/>
        </w:rPr>
      </w:pPr>
      <w:r w:rsidRPr="00912610">
        <w:rPr>
          <w:rFonts w:ascii="Arial" w:hAnsi="Arial" w:cs="Arial"/>
          <w:bCs/>
          <w:lang w:val="en-US"/>
        </w:rPr>
        <w:t>Eubank, A.A., Kent A. Mingo, and J.K. Caruthers. "The Hierarchal Classification of Financial</w:t>
      </w:r>
    </w:p>
    <w:sectPr w:rsidR="00A735BB" w:rsidRPr="00912610" w:rsidSect="00DB70B6">
      <w:footerReference w:type="defaul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E1F" w:rsidRDefault="00395E1F" w:rsidP="00E667B7">
      <w:pPr>
        <w:spacing w:after="0" w:line="240" w:lineRule="auto"/>
      </w:pPr>
      <w:r>
        <w:separator/>
      </w:r>
    </w:p>
  </w:endnote>
  <w:endnote w:type="continuationSeparator" w:id="0">
    <w:p w:rsidR="00395E1F" w:rsidRDefault="00395E1F" w:rsidP="00E6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Open Sans">
    <w:panose1 w:val="020B0606030504020204"/>
    <w:charset w:val="CC"/>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069260"/>
      <w:docPartObj>
        <w:docPartGallery w:val="Page Numbers (Bottom of Page)"/>
        <w:docPartUnique/>
      </w:docPartObj>
    </w:sdtPr>
    <w:sdtEndPr/>
    <w:sdtContent>
      <w:p w:rsidR="00E667B7" w:rsidRDefault="00E667B7">
        <w:pPr>
          <w:pStyle w:val="a7"/>
          <w:jc w:val="center"/>
        </w:pPr>
        <w:r>
          <w:fldChar w:fldCharType="begin"/>
        </w:r>
        <w:r>
          <w:instrText>PAGE   \* MERGEFORMAT</w:instrText>
        </w:r>
        <w:r>
          <w:fldChar w:fldCharType="separate"/>
        </w:r>
        <w:r>
          <w:rPr>
            <w:lang w:val="bg-BG"/>
          </w:rPr>
          <w:t>2</w:t>
        </w:r>
        <w:r>
          <w:fldChar w:fldCharType="end"/>
        </w:r>
      </w:p>
    </w:sdtContent>
  </w:sdt>
  <w:p w:rsidR="00E667B7" w:rsidRDefault="00E667B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E1F" w:rsidRDefault="00395E1F" w:rsidP="00E667B7">
      <w:pPr>
        <w:spacing w:after="0" w:line="240" w:lineRule="auto"/>
      </w:pPr>
      <w:r>
        <w:separator/>
      </w:r>
    </w:p>
  </w:footnote>
  <w:footnote w:type="continuationSeparator" w:id="0">
    <w:p w:rsidR="00395E1F" w:rsidRDefault="00395E1F" w:rsidP="00E66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F0E3F"/>
    <w:multiLevelType w:val="hybridMultilevel"/>
    <w:tmpl w:val="076C31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A034976"/>
    <w:multiLevelType w:val="hybridMultilevel"/>
    <w:tmpl w:val="84FEA0D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CEC785D"/>
    <w:multiLevelType w:val="hybridMultilevel"/>
    <w:tmpl w:val="D79AD1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8E52C8"/>
    <w:multiLevelType w:val="hybridMultilevel"/>
    <w:tmpl w:val="1F78909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0646B23"/>
    <w:multiLevelType w:val="hybridMultilevel"/>
    <w:tmpl w:val="CE120C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12733C1"/>
    <w:multiLevelType w:val="hybridMultilevel"/>
    <w:tmpl w:val="5524D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367"/>
    <w:rsid w:val="00060D0A"/>
    <w:rsid w:val="00075686"/>
    <w:rsid w:val="000F3D4B"/>
    <w:rsid w:val="001306CF"/>
    <w:rsid w:val="001408E5"/>
    <w:rsid w:val="00217144"/>
    <w:rsid w:val="00226E5F"/>
    <w:rsid w:val="002428CA"/>
    <w:rsid w:val="00255AEC"/>
    <w:rsid w:val="0029319E"/>
    <w:rsid w:val="002E0CCF"/>
    <w:rsid w:val="00302B7E"/>
    <w:rsid w:val="00395E1F"/>
    <w:rsid w:val="003B7EBB"/>
    <w:rsid w:val="004D372C"/>
    <w:rsid w:val="004F2502"/>
    <w:rsid w:val="005A28B8"/>
    <w:rsid w:val="005B483F"/>
    <w:rsid w:val="005C77CE"/>
    <w:rsid w:val="005F5CBC"/>
    <w:rsid w:val="005F6D62"/>
    <w:rsid w:val="006B36B9"/>
    <w:rsid w:val="006B4557"/>
    <w:rsid w:val="006C5862"/>
    <w:rsid w:val="006F56A5"/>
    <w:rsid w:val="00744548"/>
    <w:rsid w:val="00745005"/>
    <w:rsid w:val="007745DA"/>
    <w:rsid w:val="007B412D"/>
    <w:rsid w:val="007E5262"/>
    <w:rsid w:val="008249D2"/>
    <w:rsid w:val="008653AC"/>
    <w:rsid w:val="008E1111"/>
    <w:rsid w:val="00912610"/>
    <w:rsid w:val="0091773A"/>
    <w:rsid w:val="00921BEC"/>
    <w:rsid w:val="0094317C"/>
    <w:rsid w:val="00967367"/>
    <w:rsid w:val="00992052"/>
    <w:rsid w:val="009954C2"/>
    <w:rsid w:val="009D2126"/>
    <w:rsid w:val="009E6DDA"/>
    <w:rsid w:val="00A541D9"/>
    <w:rsid w:val="00A61B25"/>
    <w:rsid w:val="00A735BB"/>
    <w:rsid w:val="00A8182A"/>
    <w:rsid w:val="00AA53A3"/>
    <w:rsid w:val="00B1120F"/>
    <w:rsid w:val="00B359D4"/>
    <w:rsid w:val="00CA715B"/>
    <w:rsid w:val="00CC5998"/>
    <w:rsid w:val="00CD600E"/>
    <w:rsid w:val="00D64FAE"/>
    <w:rsid w:val="00DB70B6"/>
    <w:rsid w:val="00E119DB"/>
    <w:rsid w:val="00E62217"/>
    <w:rsid w:val="00E667B7"/>
    <w:rsid w:val="00EA221D"/>
    <w:rsid w:val="00F06018"/>
    <w:rsid w:val="00F17999"/>
    <w:rsid w:val="00F23482"/>
    <w:rsid w:val="00F46637"/>
    <w:rsid w:val="00F6182C"/>
    <w:rsid w:val="00F669A0"/>
    <w:rsid w:val="00F72C50"/>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FE6F05F"/>
  <w15:chartTrackingRefBased/>
  <w15:docId w15:val="{803CBEC2-D774-4AFC-956E-CBA57911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67367"/>
    <w:pPr>
      <w:spacing w:after="0" w:line="240" w:lineRule="auto"/>
    </w:pPr>
    <w:rPr>
      <w:rFonts w:eastAsiaTheme="minorEastAsia"/>
      <w:lang w:eastAsia="en-GB"/>
    </w:rPr>
  </w:style>
  <w:style w:type="character" w:customStyle="1" w:styleId="a4">
    <w:name w:val="Без разредка Знак"/>
    <w:basedOn w:val="a0"/>
    <w:link w:val="a3"/>
    <w:uiPriority w:val="1"/>
    <w:rsid w:val="00967367"/>
    <w:rPr>
      <w:rFonts w:eastAsiaTheme="minorEastAsia"/>
      <w:lang w:eastAsia="en-GB"/>
    </w:rPr>
  </w:style>
  <w:style w:type="paragraph" w:styleId="a5">
    <w:name w:val="header"/>
    <w:basedOn w:val="a"/>
    <w:link w:val="a6"/>
    <w:uiPriority w:val="99"/>
    <w:unhideWhenUsed/>
    <w:rsid w:val="00E667B7"/>
    <w:pPr>
      <w:tabs>
        <w:tab w:val="center" w:pos="4536"/>
        <w:tab w:val="right" w:pos="9072"/>
      </w:tabs>
      <w:spacing w:after="0" w:line="240" w:lineRule="auto"/>
    </w:pPr>
  </w:style>
  <w:style w:type="character" w:customStyle="1" w:styleId="a6">
    <w:name w:val="Горен колонтитул Знак"/>
    <w:basedOn w:val="a0"/>
    <w:link w:val="a5"/>
    <w:uiPriority w:val="99"/>
    <w:rsid w:val="00E667B7"/>
  </w:style>
  <w:style w:type="paragraph" w:styleId="a7">
    <w:name w:val="footer"/>
    <w:basedOn w:val="a"/>
    <w:link w:val="a8"/>
    <w:uiPriority w:val="99"/>
    <w:unhideWhenUsed/>
    <w:rsid w:val="00E667B7"/>
    <w:pPr>
      <w:tabs>
        <w:tab w:val="center" w:pos="4536"/>
        <w:tab w:val="right" w:pos="9072"/>
      </w:tabs>
      <w:spacing w:after="0" w:line="240" w:lineRule="auto"/>
    </w:pPr>
  </w:style>
  <w:style w:type="character" w:customStyle="1" w:styleId="a8">
    <w:name w:val="Долен колонтитул Знак"/>
    <w:basedOn w:val="a0"/>
    <w:link w:val="a7"/>
    <w:uiPriority w:val="99"/>
    <w:rsid w:val="00E667B7"/>
  </w:style>
  <w:style w:type="paragraph" w:styleId="a9">
    <w:name w:val="List Paragraph"/>
    <w:basedOn w:val="a"/>
    <w:uiPriority w:val="34"/>
    <w:qFormat/>
    <w:rsid w:val="00E667B7"/>
    <w:pPr>
      <w:ind w:left="720"/>
      <w:contextualSpacing/>
    </w:pPr>
  </w:style>
  <w:style w:type="character" w:styleId="aa">
    <w:name w:val="Hyperlink"/>
    <w:basedOn w:val="a0"/>
    <w:uiPriority w:val="99"/>
    <w:unhideWhenUsed/>
    <w:rsid w:val="00A735BB"/>
    <w:rPr>
      <w:color w:val="0000FF" w:themeColor="hyperlink"/>
      <w:u w:val="single"/>
    </w:rPr>
  </w:style>
  <w:style w:type="character" w:styleId="ab">
    <w:name w:val="Unresolved Mention"/>
    <w:basedOn w:val="a0"/>
    <w:uiPriority w:val="99"/>
    <w:semiHidden/>
    <w:unhideWhenUsed/>
    <w:rsid w:val="00A735BB"/>
    <w:rPr>
      <w:color w:val="605E5C"/>
      <w:shd w:val="clear" w:color="auto" w:fill="E1DFDD"/>
    </w:rPr>
  </w:style>
  <w:style w:type="paragraph" w:styleId="ac">
    <w:name w:val="Normal (Web)"/>
    <w:basedOn w:val="a"/>
    <w:uiPriority w:val="99"/>
    <w:semiHidden/>
    <w:unhideWhenUsed/>
    <w:rsid w:val="0029319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38117">
      <w:bodyDiv w:val="1"/>
      <w:marLeft w:val="0"/>
      <w:marRight w:val="0"/>
      <w:marTop w:val="0"/>
      <w:marBottom w:val="0"/>
      <w:divBdr>
        <w:top w:val="none" w:sz="0" w:space="0" w:color="auto"/>
        <w:left w:val="none" w:sz="0" w:space="0" w:color="auto"/>
        <w:bottom w:val="none" w:sz="0" w:space="0" w:color="auto"/>
        <w:right w:val="none" w:sz="0" w:space="0" w:color="auto"/>
      </w:divBdr>
    </w:div>
    <w:div w:id="687561017">
      <w:bodyDiv w:val="1"/>
      <w:marLeft w:val="0"/>
      <w:marRight w:val="0"/>
      <w:marTop w:val="0"/>
      <w:marBottom w:val="0"/>
      <w:divBdr>
        <w:top w:val="none" w:sz="0" w:space="0" w:color="auto"/>
        <w:left w:val="none" w:sz="0" w:space="0" w:color="auto"/>
        <w:bottom w:val="none" w:sz="0" w:space="0" w:color="auto"/>
        <w:right w:val="none" w:sz="0" w:space="0" w:color="auto"/>
      </w:divBdr>
    </w:div>
    <w:div w:id="786973250">
      <w:bodyDiv w:val="1"/>
      <w:marLeft w:val="0"/>
      <w:marRight w:val="0"/>
      <w:marTop w:val="0"/>
      <w:marBottom w:val="0"/>
      <w:divBdr>
        <w:top w:val="none" w:sz="0" w:space="0" w:color="auto"/>
        <w:left w:val="none" w:sz="0" w:space="0" w:color="auto"/>
        <w:bottom w:val="none" w:sz="0" w:space="0" w:color="auto"/>
        <w:right w:val="none" w:sz="0" w:space="0" w:color="auto"/>
      </w:divBdr>
    </w:div>
    <w:div w:id="999968412">
      <w:bodyDiv w:val="1"/>
      <w:marLeft w:val="0"/>
      <w:marRight w:val="0"/>
      <w:marTop w:val="0"/>
      <w:marBottom w:val="0"/>
      <w:divBdr>
        <w:top w:val="none" w:sz="0" w:space="0" w:color="auto"/>
        <w:left w:val="none" w:sz="0" w:space="0" w:color="auto"/>
        <w:bottom w:val="none" w:sz="0" w:space="0" w:color="auto"/>
        <w:right w:val="none" w:sz="0" w:space="0" w:color="auto"/>
      </w:divBdr>
    </w:div>
    <w:div w:id="1297175074">
      <w:bodyDiv w:val="1"/>
      <w:marLeft w:val="0"/>
      <w:marRight w:val="0"/>
      <w:marTop w:val="0"/>
      <w:marBottom w:val="0"/>
      <w:divBdr>
        <w:top w:val="none" w:sz="0" w:space="0" w:color="auto"/>
        <w:left w:val="none" w:sz="0" w:space="0" w:color="auto"/>
        <w:bottom w:val="none" w:sz="0" w:space="0" w:color="auto"/>
        <w:right w:val="none" w:sz="0" w:space="0" w:color="auto"/>
      </w:divBdr>
      <w:divsChild>
        <w:div w:id="1265378303">
          <w:marLeft w:val="0"/>
          <w:marRight w:val="0"/>
          <w:marTop w:val="0"/>
          <w:marBottom w:val="0"/>
          <w:divBdr>
            <w:top w:val="none" w:sz="0" w:space="0" w:color="auto"/>
            <w:left w:val="none" w:sz="0" w:space="0" w:color="auto"/>
            <w:bottom w:val="none" w:sz="0" w:space="0" w:color="auto"/>
            <w:right w:val="none" w:sz="0" w:space="0" w:color="auto"/>
          </w:divBdr>
        </w:div>
        <w:div w:id="124545769">
          <w:marLeft w:val="0"/>
          <w:marRight w:val="0"/>
          <w:marTop w:val="0"/>
          <w:marBottom w:val="0"/>
          <w:divBdr>
            <w:top w:val="none" w:sz="0" w:space="0" w:color="auto"/>
            <w:left w:val="none" w:sz="0" w:space="0" w:color="auto"/>
            <w:bottom w:val="none" w:sz="0" w:space="0" w:color="auto"/>
            <w:right w:val="none" w:sz="0" w:space="0" w:color="auto"/>
          </w:divBdr>
        </w:div>
        <w:div w:id="603617296">
          <w:marLeft w:val="0"/>
          <w:marRight w:val="0"/>
          <w:marTop w:val="0"/>
          <w:marBottom w:val="0"/>
          <w:divBdr>
            <w:top w:val="none" w:sz="0" w:space="0" w:color="auto"/>
            <w:left w:val="none" w:sz="0" w:space="0" w:color="auto"/>
            <w:bottom w:val="none" w:sz="0" w:space="0" w:color="auto"/>
            <w:right w:val="none" w:sz="0" w:space="0" w:color="auto"/>
          </w:divBdr>
        </w:div>
        <w:div w:id="1002198227">
          <w:marLeft w:val="0"/>
          <w:marRight w:val="0"/>
          <w:marTop w:val="0"/>
          <w:marBottom w:val="0"/>
          <w:divBdr>
            <w:top w:val="none" w:sz="0" w:space="0" w:color="auto"/>
            <w:left w:val="none" w:sz="0" w:space="0" w:color="auto"/>
            <w:bottom w:val="none" w:sz="0" w:space="0" w:color="auto"/>
            <w:right w:val="none" w:sz="0" w:space="0" w:color="auto"/>
          </w:divBdr>
        </w:div>
      </w:divsChild>
    </w:div>
    <w:div w:id="1373114601">
      <w:bodyDiv w:val="1"/>
      <w:marLeft w:val="0"/>
      <w:marRight w:val="0"/>
      <w:marTop w:val="0"/>
      <w:marBottom w:val="0"/>
      <w:divBdr>
        <w:top w:val="none" w:sz="0" w:space="0" w:color="auto"/>
        <w:left w:val="none" w:sz="0" w:space="0" w:color="auto"/>
        <w:bottom w:val="none" w:sz="0" w:space="0" w:color="auto"/>
        <w:right w:val="none" w:sz="0" w:space="0" w:color="auto"/>
      </w:divBdr>
    </w:div>
    <w:div w:id="1389843632">
      <w:bodyDiv w:val="1"/>
      <w:marLeft w:val="0"/>
      <w:marRight w:val="0"/>
      <w:marTop w:val="0"/>
      <w:marBottom w:val="0"/>
      <w:divBdr>
        <w:top w:val="none" w:sz="0" w:space="0" w:color="auto"/>
        <w:left w:val="none" w:sz="0" w:space="0" w:color="auto"/>
        <w:bottom w:val="none" w:sz="0" w:space="0" w:color="auto"/>
        <w:right w:val="none" w:sz="0" w:space="0" w:color="auto"/>
      </w:divBdr>
    </w:div>
    <w:div w:id="1480072341">
      <w:bodyDiv w:val="1"/>
      <w:marLeft w:val="0"/>
      <w:marRight w:val="0"/>
      <w:marTop w:val="0"/>
      <w:marBottom w:val="0"/>
      <w:divBdr>
        <w:top w:val="none" w:sz="0" w:space="0" w:color="auto"/>
        <w:left w:val="none" w:sz="0" w:space="0" w:color="auto"/>
        <w:bottom w:val="none" w:sz="0" w:space="0" w:color="auto"/>
        <w:right w:val="none" w:sz="0" w:space="0" w:color="auto"/>
      </w:divBdr>
      <w:divsChild>
        <w:div w:id="1226718471">
          <w:marLeft w:val="0"/>
          <w:marRight w:val="0"/>
          <w:marTop w:val="0"/>
          <w:marBottom w:val="0"/>
          <w:divBdr>
            <w:top w:val="none" w:sz="0" w:space="0" w:color="auto"/>
            <w:left w:val="none" w:sz="0" w:space="0" w:color="auto"/>
            <w:bottom w:val="none" w:sz="0" w:space="0" w:color="auto"/>
            <w:right w:val="none" w:sz="0" w:space="0" w:color="auto"/>
          </w:divBdr>
          <w:divsChild>
            <w:div w:id="2057772182">
              <w:marLeft w:val="0"/>
              <w:marRight w:val="0"/>
              <w:marTop w:val="0"/>
              <w:marBottom w:val="0"/>
              <w:divBdr>
                <w:top w:val="none" w:sz="0" w:space="0" w:color="auto"/>
                <w:left w:val="none" w:sz="0" w:space="0" w:color="auto"/>
                <w:bottom w:val="none" w:sz="0" w:space="0" w:color="auto"/>
                <w:right w:val="none" w:sz="0" w:space="0" w:color="auto"/>
              </w:divBdr>
              <w:divsChild>
                <w:div w:id="41295601">
                  <w:marLeft w:val="0"/>
                  <w:marRight w:val="0"/>
                  <w:marTop w:val="0"/>
                  <w:marBottom w:val="0"/>
                  <w:divBdr>
                    <w:top w:val="none" w:sz="0" w:space="0" w:color="auto"/>
                    <w:left w:val="none" w:sz="0" w:space="0" w:color="auto"/>
                    <w:bottom w:val="none" w:sz="0" w:space="0" w:color="auto"/>
                    <w:right w:val="none" w:sz="0" w:space="0" w:color="auto"/>
                  </w:divBdr>
                </w:div>
                <w:div w:id="618730164">
                  <w:marLeft w:val="0"/>
                  <w:marRight w:val="0"/>
                  <w:marTop w:val="0"/>
                  <w:marBottom w:val="0"/>
                  <w:divBdr>
                    <w:top w:val="none" w:sz="0" w:space="0" w:color="auto"/>
                    <w:left w:val="none" w:sz="0" w:space="0" w:color="auto"/>
                    <w:bottom w:val="none" w:sz="0" w:space="0" w:color="auto"/>
                    <w:right w:val="none" w:sz="0" w:space="0" w:color="auto"/>
                  </w:divBdr>
                </w:div>
                <w:div w:id="464083252">
                  <w:marLeft w:val="0"/>
                  <w:marRight w:val="0"/>
                  <w:marTop w:val="0"/>
                  <w:marBottom w:val="0"/>
                  <w:divBdr>
                    <w:top w:val="none" w:sz="0" w:space="0" w:color="auto"/>
                    <w:left w:val="none" w:sz="0" w:space="0" w:color="auto"/>
                    <w:bottom w:val="none" w:sz="0" w:space="0" w:color="auto"/>
                    <w:right w:val="none" w:sz="0" w:space="0" w:color="auto"/>
                  </w:divBdr>
                </w:div>
                <w:div w:id="1003435676">
                  <w:marLeft w:val="0"/>
                  <w:marRight w:val="0"/>
                  <w:marTop w:val="0"/>
                  <w:marBottom w:val="0"/>
                  <w:divBdr>
                    <w:top w:val="none" w:sz="0" w:space="0" w:color="auto"/>
                    <w:left w:val="none" w:sz="0" w:space="0" w:color="auto"/>
                    <w:bottom w:val="none" w:sz="0" w:space="0" w:color="auto"/>
                    <w:right w:val="none" w:sz="0" w:space="0" w:color="auto"/>
                  </w:divBdr>
                </w:div>
                <w:div w:id="541669276">
                  <w:marLeft w:val="0"/>
                  <w:marRight w:val="0"/>
                  <w:marTop w:val="0"/>
                  <w:marBottom w:val="0"/>
                  <w:divBdr>
                    <w:top w:val="none" w:sz="0" w:space="0" w:color="auto"/>
                    <w:left w:val="none" w:sz="0" w:space="0" w:color="auto"/>
                    <w:bottom w:val="none" w:sz="0" w:space="0" w:color="auto"/>
                    <w:right w:val="none" w:sz="0" w:space="0" w:color="auto"/>
                  </w:divBdr>
                </w:div>
                <w:div w:id="1765957755">
                  <w:marLeft w:val="0"/>
                  <w:marRight w:val="0"/>
                  <w:marTop w:val="0"/>
                  <w:marBottom w:val="0"/>
                  <w:divBdr>
                    <w:top w:val="none" w:sz="0" w:space="0" w:color="auto"/>
                    <w:left w:val="none" w:sz="0" w:space="0" w:color="auto"/>
                    <w:bottom w:val="none" w:sz="0" w:space="0" w:color="auto"/>
                    <w:right w:val="none" w:sz="0" w:space="0" w:color="auto"/>
                  </w:divBdr>
                </w:div>
                <w:div w:id="2030594837">
                  <w:marLeft w:val="0"/>
                  <w:marRight w:val="0"/>
                  <w:marTop w:val="0"/>
                  <w:marBottom w:val="0"/>
                  <w:divBdr>
                    <w:top w:val="none" w:sz="0" w:space="0" w:color="auto"/>
                    <w:left w:val="none" w:sz="0" w:space="0" w:color="auto"/>
                    <w:bottom w:val="none" w:sz="0" w:space="0" w:color="auto"/>
                    <w:right w:val="none" w:sz="0" w:space="0" w:color="auto"/>
                  </w:divBdr>
                </w:div>
                <w:div w:id="891842946">
                  <w:marLeft w:val="0"/>
                  <w:marRight w:val="0"/>
                  <w:marTop w:val="0"/>
                  <w:marBottom w:val="0"/>
                  <w:divBdr>
                    <w:top w:val="none" w:sz="0" w:space="0" w:color="auto"/>
                    <w:left w:val="none" w:sz="0" w:space="0" w:color="auto"/>
                    <w:bottom w:val="none" w:sz="0" w:space="0" w:color="auto"/>
                    <w:right w:val="none" w:sz="0" w:space="0" w:color="auto"/>
                  </w:divBdr>
                </w:div>
                <w:div w:id="951860558">
                  <w:marLeft w:val="0"/>
                  <w:marRight w:val="0"/>
                  <w:marTop w:val="0"/>
                  <w:marBottom w:val="0"/>
                  <w:divBdr>
                    <w:top w:val="none" w:sz="0" w:space="0" w:color="auto"/>
                    <w:left w:val="none" w:sz="0" w:space="0" w:color="auto"/>
                    <w:bottom w:val="none" w:sz="0" w:space="0" w:color="auto"/>
                    <w:right w:val="none" w:sz="0" w:space="0" w:color="auto"/>
                  </w:divBdr>
                </w:div>
                <w:div w:id="1951547586">
                  <w:marLeft w:val="0"/>
                  <w:marRight w:val="0"/>
                  <w:marTop w:val="0"/>
                  <w:marBottom w:val="0"/>
                  <w:divBdr>
                    <w:top w:val="none" w:sz="0" w:space="0" w:color="auto"/>
                    <w:left w:val="none" w:sz="0" w:space="0" w:color="auto"/>
                    <w:bottom w:val="none" w:sz="0" w:space="0" w:color="auto"/>
                    <w:right w:val="none" w:sz="0" w:space="0" w:color="auto"/>
                  </w:divBdr>
                </w:div>
                <w:div w:id="1556964762">
                  <w:marLeft w:val="0"/>
                  <w:marRight w:val="0"/>
                  <w:marTop w:val="0"/>
                  <w:marBottom w:val="0"/>
                  <w:divBdr>
                    <w:top w:val="none" w:sz="0" w:space="0" w:color="auto"/>
                    <w:left w:val="none" w:sz="0" w:space="0" w:color="auto"/>
                    <w:bottom w:val="none" w:sz="0" w:space="0" w:color="auto"/>
                    <w:right w:val="none" w:sz="0" w:space="0" w:color="auto"/>
                  </w:divBdr>
                </w:div>
                <w:div w:id="1843201681">
                  <w:marLeft w:val="0"/>
                  <w:marRight w:val="0"/>
                  <w:marTop w:val="0"/>
                  <w:marBottom w:val="0"/>
                  <w:divBdr>
                    <w:top w:val="none" w:sz="0" w:space="0" w:color="auto"/>
                    <w:left w:val="none" w:sz="0" w:space="0" w:color="auto"/>
                    <w:bottom w:val="none" w:sz="0" w:space="0" w:color="auto"/>
                    <w:right w:val="none" w:sz="0" w:space="0" w:color="auto"/>
                  </w:divBdr>
                </w:div>
                <w:div w:id="1875073741">
                  <w:marLeft w:val="0"/>
                  <w:marRight w:val="0"/>
                  <w:marTop w:val="0"/>
                  <w:marBottom w:val="0"/>
                  <w:divBdr>
                    <w:top w:val="none" w:sz="0" w:space="0" w:color="auto"/>
                    <w:left w:val="none" w:sz="0" w:space="0" w:color="auto"/>
                    <w:bottom w:val="none" w:sz="0" w:space="0" w:color="auto"/>
                    <w:right w:val="none" w:sz="0" w:space="0" w:color="auto"/>
                  </w:divBdr>
                </w:div>
                <w:div w:id="2136754979">
                  <w:marLeft w:val="0"/>
                  <w:marRight w:val="0"/>
                  <w:marTop w:val="0"/>
                  <w:marBottom w:val="0"/>
                  <w:divBdr>
                    <w:top w:val="none" w:sz="0" w:space="0" w:color="auto"/>
                    <w:left w:val="none" w:sz="0" w:space="0" w:color="auto"/>
                    <w:bottom w:val="none" w:sz="0" w:space="0" w:color="auto"/>
                    <w:right w:val="none" w:sz="0" w:space="0" w:color="auto"/>
                  </w:divBdr>
                </w:div>
                <w:div w:id="215509995">
                  <w:marLeft w:val="0"/>
                  <w:marRight w:val="0"/>
                  <w:marTop w:val="0"/>
                  <w:marBottom w:val="0"/>
                  <w:divBdr>
                    <w:top w:val="none" w:sz="0" w:space="0" w:color="auto"/>
                    <w:left w:val="none" w:sz="0" w:space="0" w:color="auto"/>
                    <w:bottom w:val="none" w:sz="0" w:space="0" w:color="auto"/>
                    <w:right w:val="none" w:sz="0" w:space="0" w:color="auto"/>
                  </w:divBdr>
                </w:div>
                <w:div w:id="1049763933">
                  <w:marLeft w:val="0"/>
                  <w:marRight w:val="0"/>
                  <w:marTop w:val="0"/>
                  <w:marBottom w:val="0"/>
                  <w:divBdr>
                    <w:top w:val="none" w:sz="0" w:space="0" w:color="auto"/>
                    <w:left w:val="none" w:sz="0" w:space="0" w:color="auto"/>
                    <w:bottom w:val="none" w:sz="0" w:space="0" w:color="auto"/>
                    <w:right w:val="none" w:sz="0" w:space="0" w:color="auto"/>
                  </w:divBdr>
                </w:div>
                <w:div w:id="268780057">
                  <w:marLeft w:val="0"/>
                  <w:marRight w:val="0"/>
                  <w:marTop w:val="0"/>
                  <w:marBottom w:val="0"/>
                  <w:divBdr>
                    <w:top w:val="none" w:sz="0" w:space="0" w:color="auto"/>
                    <w:left w:val="none" w:sz="0" w:space="0" w:color="auto"/>
                    <w:bottom w:val="none" w:sz="0" w:space="0" w:color="auto"/>
                    <w:right w:val="none" w:sz="0" w:space="0" w:color="auto"/>
                  </w:divBdr>
                </w:div>
                <w:div w:id="1669212822">
                  <w:marLeft w:val="0"/>
                  <w:marRight w:val="0"/>
                  <w:marTop w:val="0"/>
                  <w:marBottom w:val="0"/>
                  <w:divBdr>
                    <w:top w:val="none" w:sz="0" w:space="0" w:color="auto"/>
                    <w:left w:val="none" w:sz="0" w:space="0" w:color="auto"/>
                    <w:bottom w:val="none" w:sz="0" w:space="0" w:color="auto"/>
                    <w:right w:val="none" w:sz="0" w:space="0" w:color="auto"/>
                  </w:divBdr>
                </w:div>
                <w:div w:id="1571964107">
                  <w:marLeft w:val="0"/>
                  <w:marRight w:val="0"/>
                  <w:marTop w:val="0"/>
                  <w:marBottom w:val="0"/>
                  <w:divBdr>
                    <w:top w:val="none" w:sz="0" w:space="0" w:color="auto"/>
                    <w:left w:val="none" w:sz="0" w:space="0" w:color="auto"/>
                    <w:bottom w:val="none" w:sz="0" w:space="0" w:color="auto"/>
                    <w:right w:val="none" w:sz="0" w:space="0" w:color="auto"/>
                  </w:divBdr>
                </w:div>
                <w:div w:id="1116558527">
                  <w:marLeft w:val="0"/>
                  <w:marRight w:val="0"/>
                  <w:marTop w:val="0"/>
                  <w:marBottom w:val="0"/>
                  <w:divBdr>
                    <w:top w:val="none" w:sz="0" w:space="0" w:color="auto"/>
                    <w:left w:val="none" w:sz="0" w:space="0" w:color="auto"/>
                    <w:bottom w:val="none" w:sz="0" w:space="0" w:color="auto"/>
                    <w:right w:val="none" w:sz="0" w:space="0" w:color="auto"/>
                  </w:divBdr>
                </w:div>
                <w:div w:id="1218781199">
                  <w:marLeft w:val="0"/>
                  <w:marRight w:val="0"/>
                  <w:marTop w:val="0"/>
                  <w:marBottom w:val="0"/>
                  <w:divBdr>
                    <w:top w:val="none" w:sz="0" w:space="0" w:color="auto"/>
                    <w:left w:val="none" w:sz="0" w:space="0" w:color="auto"/>
                    <w:bottom w:val="none" w:sz="0" w:space="0" w:color="auto"/>
                    <w:right w:val="none" w:sz="0" w:space="0" w:color="auto"/>
                  </w:divBdr>
                </w:div>
                <w:div w:id="198076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273118">
      <w:bodyDiv w:val="1"/>
      <w:marLeft w:val="0"/>
      <w:marRight w:val="0"/>
      <w:marTop w:val="0"/>
      <w:marBottom w:val="0"/>
      <w:divBdr>
        <w:top w:val="none" w:sz="0" w:space="0" w:color="auto"/>
        <w:left w:val="none" w:sz="0" w:space="0" w:color="auto"/>
        <w:bottom w:val="none" w:sz="0" w:space="0" w:color="auto"/>
        <w:right w:val="none" w:sz="0" w:space="0" w:color="auto"/>
      </w:divBdr>
    </w:div>
    <w:div w:id="1634210912">
      <w:bodyDiv w:val="1"/>
      <w:marLeft w:val="0"/>
      <w:marRight w:val="0"/>
      <w:marTop w:val="0"/>
      <w:marBottom w:val="0"/>
      <w:divBdr>
        <w:top w:val="none" w:sz="0" w:space="0" w:color="auto"/>
        <w:left w:val="none" w:sz="0" w:space="0" w:color="auto"/>
        <w:bottom w:val="none" w:sz="0" w:space="0" w:color="auto"/>
        <w:right w:val="none" w:sz="0" w:space="0" w:color="auto"/>
      </w:divBdr>
    </w:div>
    <w:div w:id="1651981299">
      <w:bodyDiv w:val="1"/>
      <w:marLeft w:val="0"/>
      <w:marRight w:val="0"/>
      <w:marTop w:val="0"/>
      <w:marBottom w:val="0"/>
      <w:divBdr>
        <w:top w:val="none" w:sz="0" w:space="0" w:color="auto"/>
        <w:left w:val="none" w:sz="0" w:space="0" w:color="auto"/>
        <w:bottom w:val="none" w:sz="0" w:space="0" w:color="auto"/>
        <w:right w:val="none" w:sz="0" w:space="0" w:color="auto"/>
      </w:divBdr>
    </w:div>
    <w:div w:id="1774474542">
      <w:bodyDiv w:val="1"/>
      <w:marLeft w:val="0"/>
      <w:marRight w:val="0"/>
      <w:marTop w:val="0"/>
      <w:marBottom w:val="0"/>
      <w:divBdr>
        <w:top w:val="none" w:sz="0" w:space="0" w:color="auto"/>
        <w:left w:val="none" w:sz="0" w:space="0" w:color="auto"/>
        <w:bottom w:val="none" w:sz="0" w:space="0" w:color="auto"/>
        <w:right w:val="none" w:sz="0" w:space="0" w:color="auto"/>
      </w:divBdr>
    </w:div>
    <w:div w:id="1780837867">
      <w:bodyDiv w:val="1"/>
      <w:marLeft w:val="0"/>
      <w:marRight w:val="0"/>
      <w:marTop w:val="0"/>
      <w:marBottom w:val="0"/>
      <w:divBdr>
        <w:top w:val="none" w:sz="0" w:space="0" w:color="auto"/>
        <w:left w:val="none" w:sz="0" w:space="0" w:color="auto"/>
        <w:bottom w:val="none" w:sz="0" w:space="0" w:color="auto"/>
        <w:right w:val="none" w:sz="0" w:space="0" w:color="auto"/>
      </w:divBdr>
    </w:div>
    <w:div w:id="1809322234">
      <w:bodyDiv w:val="1"/>
      <w:marLeft w:val="0"/>
      <w:marRight w:val="0"/>
      <w:marTop w:val="0"/>
      <w:marBottom w:val="0"/>
      <w:divBdr>
        <w:top w:val="none" w:sz="0" w:space="0" w:color="auto"/>
        <w:left w:val="none" w:sz="0" w:space="0" w:color="auto"/>
        <w:bottom w:val="none" w:sz="0" w:space="0" w:color="auto"/>
        <w:right w:val="none" w:sz="0" w:space="0" w:color="auto"/>
      </w:divBdr>
    </w:div>
    <w:div w:id="1826625836">
      <w:bodyDiv w:val="1"/>
      <w:marLeft w:val="0"/>
      <w:marRight w:val="0"/>
      <w:marTop w:val="0"/>
      <w:marBottom w:val="0"/>
      <w:divBdr>
        <w:top w:val="none" w:sz="0" w:space="0" w:color="auto"/>
        <w:left w:val="none" w:sz="0" w:space="0" w:color="auto"/>
        <w:bottom w:val="none" w:sz="0" w:space="0" w:color="auto"/>
        <w:right w:val="none" w:sz="0" w:space="0" w:color="auto"/>
      </w:divBdr>
    </w:div>
    <w:div w:id="205068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2020-03-15T00:00:00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13</Pages>
  <Words>3721</Words>
  <Characters>21210</Characters>
  <Application>Microsoft Office Word</Application>
  <DocSecurity>0</DocSecurity>
  <Lines>176</Lines>
  <Paragraphs>49</Paragraphs>
  <ScaleCrop>false</ScaleCrop>
  <HeadingPairs>
    <vt:vector size="2" baseType="variant">
      <vt:variant>
        <vt:lpstr>Заглавие</vt:lpstr>
      </vt:variant>
      <vt:variant>
        <vt:i4>1</vt:i4>
      </vt:variant>
    </vt:vector>
  </HeadingPairs>
  <TitlesOfParts>
    <vt:vector size="1" baseType="lpstr">
      <vt:lpstr>Assignment title: Ratio</vt:lpstr>
    </vt:vector>
  </TitlesOfParts>
  <Company/>
  <LinksUpToDate>false</LinksUpToDate>
  <CharactersWithSpaces>24882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Ratio</dc:title>
  <dc:subject/>
  <dc:creator>St-filipova Mincheva (1816276)</dc:creator>
  <cp:keywords/>
  <dc:description/>
  <cp:lastModifiedBy>Stilyana-filipova Mincheva (1816276)</cp:lastModifiedBy>
  <cp:revision>18</cp:revision>
  <dcterms:created xsi:type="dcterms:W3CDTF">2020-03-15T14:11:00Z</dcterms:created>
  <dcterms:modified xsi:type="dcterms:W3CDTF">2020-03-20T14:23:00Z</dcterms:modified>
</cp:coreProperties>
</file>