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64DA7EF" w14:textId="67897ADE" w:rsidR="00B76A77" w:rsidRPr="00D25398" w:rsidRDefault="00D25398" w:rsidP="00D25398">
      <w:pPr>
        <w:jc w:val="center"/>
        <w:rPr>
          <w:rFonts w:ascii="Times New Roman" w:hAnsi="Times New Roman" w:cs="Times New Roman"/>
          <w:b/>
          <w:sz w:val="24"/>
          <w:szCs w:val="24"/>
          <w:u w:val="single"/>
        </w:rPr>
      </w:pPr>
      <w:r w:rsidRPr="00D25398">
        <w:rPr>
          <w:rFonts w:ascii="Times New Roman" w:hAnsi="Times New Roman" w:cs="Times New Roman"/>
          <w:b/>
          <w:sz w:val="24"/>
          <w:szCs w:val="24"/>
          <w:u w:val="single"/>
        </w:rPr>
        <w:t>St. John Altarpiece Commentary</w:t>
      </w:r>
    </w:p>
    <w:p w14:paraId="2C304B2D" w14:textId="5B252C05" w:rsidR="00B76A77" w:rsidRPr="002A106F" w:rsidRDefault="00B76A77" w:rsidP="002A106F">
      <w:pPr>
        <w:rPr>
          <w:rFonts w:ascii="Times New Roman" w:hAnsi="Times New Roman" w:cs="Times New Roman"/>
          <w:sz w:val="24"/>
          <w:szCs w:val="24"/>
        </w:rPr>
      </w:pPr>
    </w:p>
    <w:p w14:paraId="53C0BE89" w14:textId="7FA0FCBB" w:rsidR="00312C1A" w:rsidRPr="002A106F" w:rsidRDefault="0065305E" w:rsidP="002A106F">
      <w:pPr>
        <w:rPr>
          <w:rFonts w:ascii="Times New Roman" w:hAnsi="Times New Roman" w:cs="Times New Roman"/>
          <w:sz w:val="24"/>
          <w:szCs w:val="24"/>
        </w:rPr>
      </w:pPr>
      <w:r w:rsidRPr="002A106F">
        <w:rPr>
          <w:rFonts w:ascii="Times New Roman" w:hAnsi="Times New Roman" w:cs="Times New Roman"/>
          <w:sz w:val="24"/>
          <w:szCs w:val="24"/>
        </w:rPr>
        <w:t xml:space="preserve">This image is a depiction of </w:t>
      </w:r>
      <w:r w:rsidR="00F07E25" w:rsidRPr="002A106F">
        <w:rPr>
          <w:rFonts w:ascii="Times New Roman" w:hAnsi="Times New Roman" w:cs="Times New Roman"/>
          <w:sz w:val="24"/>
          <w:szCs w:val="24"/>
        </w:rPr>
        <w:t xml:space="preserve">St. John’s vision of the Apocalypse and is the right wing of </w:t>
      </w:r>
      <w:r w:rsidR="00F07E25" w:rsidRPr="002A106F">
        <w:rPr>
          <w:rFonts w:ascii="Times New Roman" w:hAnsi="Times New Roman" w:cs="Times New Roman"/>
          <w:i/>
          <w:sz w:val="24"/>
          <w:szCs w:val="24"/>
        </w:rPr>
        <w:t>The St. John Altarpiece</w:t>
      </w:r>
      <w:r w:rsidR="00D50916">
        <w:rPr>
          <w:rFonts w:ascii="Times New Roman" w:hAnsi="Times New Roman" w:cs="Times New Roman"/>
          <w:i/>
          <w:sz w:val="24"/>
          <w:szCs w:val="24"/>
        </w:rPr>
        <w:t xml:space="preserve"> </w:t>
      </w:r>
      <w:r w:rsidR="00D50916">
        <w:rPr>
          <w:rFonts w:ascii="Times New Roman" w:hAnsi="Times New Roman" w:cs="Times New Roman"/>
          <w:sz w:val="24"/>
          <w:szCs w:val="24"/>
        </w:rPr>
        <w:t>(see appendix one)</w:t>
      </w:r>
      <w:r w:rsidR="00F07E25" w:rsidRPr="002A106F">
        <w:rPr>
          <w:rFonts w:ascii="Times New Roman" w:hAnsi="Times New Roman" w:cs="Times New Roman"/>
          <w:i/>
          <w:sz w:val="24"/>
          <w:szCs w:val="24"/>
        </w:rPr>
        <w:t xml:space="preserve">. </w:t>
      </w:r>
      <w:r w:rsidR="00F07E25" w:rsidRPr="002A106F">
        <w:rPr>
          <w:rFonts w:ascii="Times New Roman" w:hAnsi="Times New Roman" w:cs="Times New Roman"/>
          <w:sz w:val="24"/>
          <w:szCs w:val="24"/>
        </w:rPr>
        <w:t xml:space="preserve">The image itself was painted between 1474 and 1479 by Hans Memling. </w:t>
      </w:r>
      <w:r w:rsidR="006E0500" w:rsidRPr="002A106F">
        <w:rPr>
          <w:rFonts w:ascii="Times New Roman" w:hAnsi="Times New Roman" w:cs="Times New Roman"/>
          <w:sz w:val="24"/>
          <w:szCs w:val="24"/>
        </w:rPr>
        <w:t>Memling was a German</w:t>
      </w:r>
      <w:r w:rsidR="00DE09E9" w:rsidRPr="002A106F">
        <w:rPr>
          <w:rFonts w:ascii="Times New Roman" w:hAnsi="Times New Roman" w:cs="Times New Roman"/>
          <w:sz w:val="24"/>
          <w:szCs w:val="24"/>
        </w:rPr>
        <w:t xml:space="preserve"> artist working </w:t>
      </w:r>
      <w:r w:rsidR="006E0500" w:rsidRPr="002A106F">
        <w:rPr>
          <w:rFonts w:ascii="Times New Roman" w:hAnsi="Times New Roman" w:cs="Times New Roman"/>
          <w:sz w:val="24"/>
          <w:szCs w:val="24"/>
        </w:rPr>
        <w:t>primarily in Burges in the late Fifteenth Century.</w:t>
      </w:r>
      <w:r w:rsidR="006E0500" w:rsidRPr="002A106F">
        <w:rPr>
          <w:rStyle w:val="FootnoteReference"/>
          <w:rFonts w:ascii="Times New Roman" w:hAnsi="Times New Roman" w:cs="Times New Roman"/>
          <w:sz w:val="24"/>
          <w:szCs w:val="24"/>
        </w:rPr>
        <w:footnoteReference w:id="1"/>
      </w:r>
      <w:r w:rsidR="006E0500" w:rsidRPr="002A106F">
        <w:rPr>
          <w:rFonts w:ascii="Times New Roman" w:hAnsi="Times New Roman" w:cs="Times New Roman"/>
          <w:sz w:val="24"/>
          <w:szCs w:val="24"/>
        </w:rPr>
        <w:t xml:space="preserve"> </w:t>
      </w:r>
      <w:r w:rsidR="000F1E65" w:rsidRPr="002A106F">
        <w:rPr>
          <w:rFonts w:ascii="Times New Roman" w:hAnsi="Times New Roman" w:cs="Times New Roman"/>
          <w:sz w:val="24"/>
          <w:szCs w:val="24"/>
        </w:rPr>
        <w:t>He is most famou</w:t>
      </w:r>
      <w:r w:rsidR="006E0500" w:rsidRPr="002A106F">
        <w:rPr>
          <w:rFonts w:ascii="Times New Roman" w:hAnsi="Times New Roman" w:cs="Times New Roman"/>
          <w:sz w:val="24"/>
          <w:szCs w:val="24"/>
        </w:rPr>
        <w:t xml:space="preserve">s for his religious works, such as the St. John altarpiece, which were modelled on the work of earlier artists such as Jan van Eyck and </w:t>
      </w:r>
      <w:proofErr w:type="spellStart"/>
      <w:r w:rsidR="006E0500" w:rsidRPr="002A106F">
        <w:rPr>
          <w:rFonts w:ascii="Times New Roman" w:hAnsi="Times New Roman" w:cs="Times New Roman"/>
          <w:sz w:val="24"/>
          <w:szCs w:val="24"/>
        </w:rPr>
        <w:t>Rogier</w:t>
      </w:r>
      <w:proofErr w:type="spellEnd"/>
      <w:r w:rsidR="006E0500" w:rsidRPr="002A106F">
        <w:rPr>
          <w:rFonts w:ascii="Times New Roman" w:hAnsi="Times New Roman" w:cs="Times New Roman"/>
          <w:sz w:val="24"/>
          <w:szCs w:val="24"/>
        </w:rPr>
        <w:t xml:space="preserve"> van der Weyden.</w:t>
      </w:r>
      <w:r w:rsidR="006E0500" w:rsidRPr="002A106F">
        <w:rPr>
          <w:rStyle w:val="FootnoteReference"/>
          <w:rFonts w:ascii="Times New Roman" w:hAnsi="Times New Roman" w:cs="Times New Roman"/>
          <w:sz w:val="24"/>
          <w:szCs w:val="24"/>
        </w:rPr>
        <w:footnoteReference w:id="2"/>
      </w:r>
      <w:r w:rsidR="006E0500" w:rsidRPr="002A106F">
        <w:rPr>
          <w:rFonts w:ascii="Times New Roman" w:hAnsi="Times New Roman" w:cs="Times New Roman"/>
          <w:sz w:val="24"/>
          <w:szCs w:val="24"/>
        </w:rPr>
        <w:t xml:space="preserve"> </w:t>
      </w:r>
    </w:p>
    <w:p w14:paraId="245A68A9" w14:textId="247E4CB6" w:rsidR="0065305E" w:rsidRPr="002A106F" w:rsidRDefault="00312C1A" w:rsidP="002A106F">
      <w:pPr>
        <w:rPr>
          <w:rFonts w:ascii="Times New Roman" w:hAnsi="Times New Roman" w:cs="Times New Roman"/>
          <w:sz w:val="24"/>
          <w:szCs w:val="24"/>
        </w:rPr>
      </w:pPr>
      <w:r w:rsidRPr="002A106F">
        <w:rPr>
          <w:rFonts w:ascii="Times New Roman" w:hAnsi="Times New Roman" w:cs="Times New Roman"/>
          <w:sz w:val="24"/>
          <w:szCs w:val="24"/>
        </w:rPr>
        <w:t>The piece was originally intended for use</w:t>
      </w:r>
      <w:r w:rsidR="00F96C40" w:rsidRPr="002A106F">
        <w:rPr>
          <w:rFonts w:ascii="Times New Roman" w:hAnsi="Times New Roman" w:cs="Times New Roman"/>
          <w:sz w:val="24"/>
          <w:szCs w:val="24"/>
        </w:rPr>
        <w:t xml:space="preserve"> behind the main altar of the chapel in</w:t>
      </w:r>
      <w:r w:rsidRPr="002A106F">
        <w:rPr>
          <w:rFonts w:ascii="Times New Roman" w:hAnsi="Times New Roman" w:cs="Times New Roman"/>
          <w:sz w:val="24"/>
          <w:szCs w:val="24"/>
        </w:rPr>
        <w:t xml:space="preserve"> St. </w:t>
      </w:r>
      <w:r w:rsidR="0000360F" w:rsidRPr="002A106F">
        <w:rPr>
          <w:rFonts w:ascii="Times New Roman" w:hAnsi="Times New Roman" w:cs="Times New Roman"/>
          <w:sz w:val="24"/>
          <w:szCs w:val="24"/>
        </w:rPr>
        <w:t>J</w:t>
      </w:r>
      <w:r w:rsidRPr="002A106F">
        <w:rPr>
          <w:rFonts w:ascii="Times New Roman" w:hAnsi="Times New Roman" w:cs="Times New Roman"/>
          <w:sz w:val="24"/>
          <w:szCs w:val="24"/>
        </w:rPr>
        <w:t>ohn’s Hospital in Burges, in modern day Belgium, where it is still held.</w:t>
      </w:r>
      <w:r w:rsidR="0000360F" w:rsidRPr="002A106F">
        <w:rPr>
          <w:rStyle w:val="FootnoteReference"/>
          <w:rFonts w:ascii="Times New Roman" w:hAnsi="Times New Roman" w:cs="Times New Roman"/>
          <w:sz w:val="24"/>
          <w:szCs w:val="24"/>
        </w:rPr>
        <w:footnoteReference w:id="3"/>
      </w:r>
      <w:r w:rsidR="00DC1C19" w:rsidRPr="002A106F">
        <w:rPr>
          <w:rFonts w:ascii="Times New Roman" w:hAnsi="Times New Roman" w:cs="Times New Roman"/>
          <w:sz w:val="24"/>
          <w:szCs w:val="24"/>
        </w:rPr>
        <w:t xml:space="preserve"> The altarpiece c</w:t>
      </w:r>
      <w:r w:rsidRPr="002A106F">
        <w:rPr>
          <w:rFonts w:ascii="Times New Roman" w:hAnsi="Times New Roman" w:cs="Times New Roman"/>
          <w:sz w:val="24"/>
          <w:szCs w:val="24"/>
        </w:rPr>
        <w:t xml:space="preserve">ontains an inscription suggesting that the piece was commissioned by St. John’s hospital itself, as those listed as donors were all bursars, that is the monk in charge of the financial side of the </w:t>
      </w:r>
      <w:proofErr w:type="gramStart"/>
      <w:r w:rsidRPr="002A106F">
        <w:rPr>
          <w:rFonts w:ascii="Times New Roman" w:hAnsi="Times New Roman" w:cs="Times New Roman"/>
          <w:sz w:val="24"/>
          <w:szCs w:val="24"/>
        </w:rPr>
        <w:t>hospital</w:t>
      </w:r>
      <w:proofErr w:type="gramEnd"/>
      <w:r w:rsidRPr="002A106F">
        <w:rPr>
          <w:rFonts w:ascii="Times New Roman" w:hAnsi="Times New Roman" w:cs="Times New Roman"/>
          <w:sz w:val="24"/>
          <w:szCs w:val="24"/>
        </w:rPr>
        <w:t>, during the years of its creation.</w:t>
      </w:r>
      <w:r w:rsidRPr="002A106F">
        <w:rPr>
          <w:rStyle w:val="FootnoteReference"/>
          <w:rFonts w:ascii="Times New Roman" w:hAnsi="Times New Roman" w:cs="Times New Roman"/>
          <w:sz w:val="24"/>
          <w:szCs w:val="24"/>
        </w:rPr>
        <w:footnoteReference w:id="4"/>
      </w:r>
    </w:p>
    <w:p w14:paraId="3B6DDB89" w14:textId="70D53BF4" w:rsidR="00BC6EEF" w:rsidRPr="002A106F" w:rsidRDefault="000F1E65" w:rsidP="002A106F">
      <w:pPr>
        <w:rPr>
          <w:rFonts w:ascii="Times New Roman" w:hAnsi="Times New Roman" w:cs="Times New Roman"/>
          <w:sz w:val="24"/>
          <w:szCs w:val="24"/>
        </w:rPr>
      </w:pPr>
      <w:r w:rsidRPr="002A106F">
        <w:rPr>
          <w:rFonts w:ascii="Times New Roman" w:hAnsi="Times New Roman" w:cs="Times New Roman"/>
          <w:sz w:val="24"/>
          <w:szCs w:val="24"/>
        </w:rPr>
        <w:t>The other images that make up the</w:t>
      </w:r>
      <w:r w:rsidR="00C50550" w:rsidRPr="002A106F">
        <w:rPr>
          <w:rFonts w:ascii="Times New Roman" w:hAnsi="Times New Roman" w:cs="Times New Roman"/>
          <w:sz w:val="24"/>
          <w:szCs w:val="24"/>
        </w:rPr>
        <w:t xml:space="preserve"> triptych</w:t>
      </w:r>
      <w:r w:rsidRPr="002A106F">
        <w:rPr>
          <w:rFonts w:ascii="Times New Roman" w:hAnsi="Times New Roman" w:cs="Times New Roman"/>
          <w:sz w:val="24"/>
          <w:szCs w:val="24"/>
        </w:rPr>
        <w:t xml:space="preserve"> altarpiece appear at first glance to be completely unrelated to that of the</w:t>
      </w:r>
      <w:r w:rsidR="006172E6" w:rsidRPr="002A106F">
        <w:rPr>
          <w:rFonts w:ascii="Times New Roman" w:hAnsi="Times New Roman" w:cs="Times New Roman"/>
          <w:sz w:val="24"/>
          <w:szCs w:val="24"/>
        </w:rPr>
        <w:t xml:space="preserve"> depiction of the apocalypse</w:t>
      </w:r>
      <w:r w:rsidR="00DC1C19" w:rsidRPr="002A106F">
        <w:rPr>
          <w:rFonts w:ascii="Times New Roman" w:hAnsi="Times New Roman" w:cs="Times New Roman"/>
          <w:sz w:val="24"/>
          <w:szCs w:val="24"/>
        </w:rPr>
        <w:t xml:space="preserve"> (see a</w:t>
      </w:r>
      <w:r w:rsidR="00D50916">
        <w:rPr>
          <w:rFonts w:ascii="Times New Roman" w:hAnsi="Times New Roman" w:cs="Times New Roman"/>
          <w:sz w:val="24"/>
          <w:szCs w:val="24"/>
        </w:rPr>
        <w:t>ppendix two</w:t>
      </w:r>
      <w:r w:rsidR="00DC1C19" w:rsidRPr="002A106F">
        <w:rPr>
          <w:rFonts w:ascii="Times New Roman" w:hAnsi="Times New Roman" w:cs="Times New Roman"/>
          <w:sz w:val="24"/>
          <w:szCs w:val="24"/>
        </w:rPr>
        <w:t>)</w:t>
      </w:r>
      <w:r w:rsidR="006172E6" w:rsidRPr="002A106F">
        <w:rPr>
          <w:rFonts w:ascii="Times New Roman" w:hAnsi="Times New Roman" w:cs="Times New Roman"/>
          <w:sz w:val="24"/>
          <w:szCs w:val="24"/>
        </w:rPr>
        <w:t xml:space="preserve">. </w:t>
      </w:r>
      <w:r w:rsidR="00662B3C" w:rsidRPr="002A106F">
        <w:rPr>
          <w:rFonts w:ascii="Times New Roman" w:hAnsi="Times New Roman" w:cs="Times New Roman"/>
          <w:sz w:val="24"/>
          <w:szCs w:val="24"/>
        </w:rPr>
        <w:t xml:space="preserve">However, on closer inspection it </w:t>
      </w:r>
      <w:r w:rsidR="00BC6EEF" w:rsidRPr="002A106F">
        <w:rPr>
          <w:rFonts w:ascii="Times New Roman" w:hAnsi="Times New Roman" w:cs="Times New Roman"/>
          <w:sz w:val="24"/>
          <w:szCs w:val="24"/>
        </w:rPr>
        <w:t>clearly shows St. John the Evangelist in the central frame,</w:t>
      </w:r>
      <w:r w:rsidR="001D2CD7" w:rsidRPr="002A106F">
        <w:rPr>
          <w:rFonts w:ascii="Times New Roman" w:hAnsi="Times New Roman" w:cs="Times New Roman"/>
          <w:sz w:val="24"/>
          <w:szCs w:val="24"/>
        </w:rPr>
        <w:t xml:space="preserve"> identifiable by the cup with a snake in it, </w:t>
      </w:r>
      <w:r w:rsidR="00BC6EEF" w:rsidRPr="002A106F">
        <w:rPr>
          <w:rFonts w:ascii="Times New Roman" w:hAnsi="Times New Roman" w:cs="Times New Roman"/>
          <w:sz w:val="24"/>
          <w:szCs w:val="24"/>
        </w:rPr>
        <w:t>alongside the virgin and child.</w:t>
      </w:r>
      <w:r w:rsidR="0024070C" w:rsidRPr="002A106F">
        <w:rPr>
          <w:rStyle w:val="FootnoteReference"/>
          <w:rFonts w:ascii="Times New Roman" w:hAnsi="Times New Roman" w:cs="Times New Roman"/>
          <w:sz w:val="24"/>
          <w:szCs w:val="24"/>
        </w:rPr>
        <w:footnoteReference w:id="5"/>
      </w:r>
      <w:r w:rsidR="001D2CD7" w:rsidRPr="002A106F">
        <w:rPr>
          <w:rFonts w:ascii="Times New Roman" w:hAnsi="Times New Roman" w:cs="Times New Roman"/>
          <w:sz w:val="24"/>
          <w:szCs w:val="24"/>
        </w:rPr>
        <w:t xml:space="preserve"> </w:t>
      </w:r>
      <w:r w:rsidR="00BC6EEF" w:rsidRPr="002A106F">
        <w:rPr>
          <w:rFonts w:ascii="Times New Roman" w:hAnsi="Times New Roman" w:cs="Times New Roman"/>
          <w:sz w:val="24"/>
          <w:szCs w:val="24"/>
        </w:rPr>
        <w:t xml:space="preserve">The central image also shows </w:t>
      </w:r>
      <w:r w:rsidR="00D31495" w:rsidRPr="002A106F">
        <w:rPr>
          <w:rFonts w:ascii="Times New Roman" w:hAnsi="Times New Roman" w:cs="Times New Roman"/>
          <w:sz w:val="24"/>
          <w:szCs w:val="24"/>
        </w:rPr>
        <w:t xml:space="preserve">St. John the Baptist, St. Catherine of </w:t>
      </w:r>
      <w:r w:rsidR="0024070C" w:rsidRPr="002A106F">
        <w:rPr>
          <w:rFonts w:ascii="Times New Roman" w:hAnsi="Times New Roman" w:cs="Times New Roman"/>
          <w:sz w:val="24"/>
          <w:szCs w:val="24"/>
        </w:rPr>
        <w:t>Alexandria, St. Barbara.</w:t>
      </w:r>
      <w:r w:rsidR="0024070C" w:rsidRPr="002A106F">
        <w:rPr>
          <w:rStyle w:val="FootnoteReference"/>
          <w:rFonts w:ascii="Times New Roman" w:hAnsi="Times New Roman" w:cs="Times New Roman"/>
          <w:sz w:val="24"/>
          <w:szCs w:val="24"/>
        </w:rPr>
        <w:footnoteReference w:id="6"/>
      </w:r>
      <w:r w:rsidR="0024070C" w:rsidRPr="002A106F">
        <w:rPr>
          <w:rFonts w:ascii="Times New Roman" w:hAnsi="Times New Roman" w:cs="Times New Roman"/>
          <w:sz w:val="24"/>
          <w:szCs w:val="24"/>
        </w:rPr>
        <w:t xml:space="preserve"> All four of the Saints included in the image are the patron </w:t>
      </w:r>
      <w:r w:rsidR="00985A2F">
        <w:rPr>
          <w:rFonts w:ascii="Times New Roman" w:hAnsi="Times New Roman" w:cs="Times New Roman"/>
          <w:sz w:val="24"/>
          <w:szCs w:val="24"/>
        </w:rPr>
        <w:t>s</w:t>
      </w:r>
      <w:r w:rsidR="0024070C" w:rsidRPr="002A106F">
        <w:rPr>
          <w:rFonts w:ascii="Times New Roman" w:hAnsi="Times New Roman" w:cs="Times New Roman"/>
          <w:sz w:val="24"/>
          <w:szCs w:val="24"/>
        </w:rPr>
        <w:t>aints of eithe</w:t>
      </w:r>
      <w:r w:rsidR="00A829B2" w:rsidRPr="002A106F">
        <w:rPr>
          <w:rFonts w:ascii="Times New Roman" w:hAnsi="Times New Roman" w:cs="Times New Roman"/>
          <w:sz w:val="24"/>
          <w:szCs w:val="24"/>
        </w:rPr>
        <w:t>r healing or hospitals and their</w:t>
      </w:r>
      <w:r w:rsidR="0024070C" w:rsidRPr="002A106F">
        <w:rPr>
          <w:rFonts w:ascii="Times New Roman" w:hAnsi="Times New Roman" w:cs="Times New Roman"/>
          <w:sz w:val="24"/>
          <w:szCs w:val="24"/>
        </w:rPr>
        <w:t xml:space="preserve"> staff. </w:t>
      </w:r>
      <w:r w:rsidR="00C50550" w:rsidRPr="002A106F">
        <w:rPr>
          <w:rFonts w:ascii="Times New Roman" w:hAnsi="Times New Roman" w:cs="Times New Roman"/>
          <w:sz w:val="24"/>
          <w:szCs w:val="24"/>
        </w:rPr>
        <w:t xml:space="preserve">On top of this, the left wing of the complete image shows the beheading of St. John the Baptist, the patron </w:t>
      </w:r>
      <w:r w:rsidR="00985A2F">
        <w:rPr>
          <w:rFonts w:ascii="Times New Roman" w:hAnsi="Times New Roman" w:cs="Times New Roman"/>
          <w:sz w:val="24"/>
          <w:szCs w:val="24"/>
        </w:rPr>
        <w:t>s</w:t>
      </w:r>
      <w:r w:rsidR="00C50550" w:rsidRPr="002A106F">
        <w:rPr>
          <w:rFonts w:ascii="Times New Roman" w:hAnsi="Times New Roman" w:cs="Times New Roman"/>
          <w:sz w:val="24"/>
          <w:szCs w:val="24"/>
        </w:rPr>
        <w:t>aint of healing from spasms and seizures, on the orders of King Herod’s step-daughter.</w:t>
      </w:r>
      <w:r w:rsidR="00C50550" w:rsidRPr="002A106F">
        <w:rPr>
          <w:rStyle w:val="FootnoteReference"/>
          <w:rFonts w:ascii="Times New Roman" w:hAnsi="Times New Roman" w:cs="Times New Roman"/>
          <w:sz w:val="24"/>
          <w:szCs w:val="24"/>
        </w:rPr>
        <w:footnoteReference w:id="7"/>
      </w:r>
      <w:r w:rsidR="00C50550" w:rsidRPr="002A106F">
        <w:rPr>
          <w:rFonts w:ascii="Times New Roman" w:hAnsi="Times New Roman" w:cs="Times New Roman"/>
          <w:sz w:val="24"/>
          <w:szCs w:val="24"/>
        </w:rPr>
        <w:t xml:space="preserve"> </w:t>
      </w:r>
      <w:r w:rsidR="0024070C" w:rsidRPr="002A106F">
        <w:rPr>
          <w:rFonts w:ascii="Times New Roman" w:hAnsi="Times New Roman" w:cs="Times New Roman"/>
          <w:sz w:val="24"/>
          <w:szCs w:val="24"/>
        </w:rPr>
        <w:t>T</w:t>
      </w:r>
      <w:r w:rsidR="0074221A" w:rsidRPr="002A106F">
        <w:rPr>
          <w:rFonts w:ascii="Times New Roman" w:hAnsi="Times New Roman" w:cs="Times New Roman"/>
          <w:sz w:val="24"/>
          <w:szCs w:val="24"/>
        </w:rPr>
        <w:t xml:space="preserve">he use of two St. </w:t>
      </w:r>
      <w:bookmarkStart w:id="0" w:name="_GoBack"/>
      <w:bookmarkEnd w:id="0"/>
      <w:r w:rsidR="0074221A" w:rsidRPr="002A106F">
        <w:rPr>
          <w:rFonts w:ascii="Times New Roman" w:hAnsi="Times New Roman" w:cs="Times New Roman"/>
          <w:sz w:val="24"/>
          <w:szCs w:val="24"/>
        </w:rPr>
        <w:t xml:space="preserve">John’s is clearly in reference to the triptych being used in St. John’s hospital. On top of this </w:t>
      </w:r>
      <w:r w:rsidR="0074221A" w:rsidRPr="002A106F">
        <w:rPr>
          <w:rFonts w:ascii="Times New Roman" w:hAnsi="Times New Roman" w:cs="Times New Roman"/>
          <w:sz w:val="24"/>
          <w:szCs w:val="24"/>
        </w:rPr>
        <w:lastRenderedPageBreak/>
        <w:t>the</w:t>
      </w:r>
      <w:r w:rsidR="0024070C" w:rsidRPr="002A106F">
        <w:rPr>
          <w:rFonts w:ascii="Times New Roman" w:hAnsi="Times New Roman" w:cs="Times New Roman"/>
          <w:sz w:val="24"/>
          <w:szCs w:val="24"/>
        </w:rPr>
        <w:t xml:space="preserve"> use of patron </w:t>
      </w:r>
      <w:r w:rsidR="00DC1C19" w:rsidRPr="002A106F">
        <w:rPr>
          <w:rFonts w:ascii="Times New Roman" w:hAnsi="Times New Roman" w:cs="Times New Roman"/>
          <w:sz w:val="24"/>
          <w:szCs w:val="24"/>
        </w:rPr>
        <w:t>s</w:t>
      </w:r>
      <w:r w:rsidR="0024070C" w:rsidRPr="002A106F">
        <w:rPr>
          <w:rFonts w:ascii="Times New Roman" w:hAnsi="Times New Roman" w:cs="Times New Roman"/>
          <w:sz w:val="24"/>
          <w:szCs w:val="24"/>
        </w:rPr>
        <w:t>aints of</w:t>
      </w:r>
      <w:r w:rsidR="00705606" w:rsidRPr="002A106F">
        <w:rPr>
          <w:rFonts w:ascii="Times New Roman" w:hAnsi="Times New Roman" w:cs="Times New Roman"/>
          <w:sz w:val="24"/>
          <w:szCs w:val="24"/>
        </w:rPr>
        <w:t xml:space="preserve"> healing was clearly intentional by Memling as the altarpiece was intended </w:t>
      </w:r>
      <w:r w:rsidR="0074221A" w:rsidRPr="002A106F">
        <w:rPr>
          <w:rFonts w:ascii="Times New Roman" w:hAnsi="Times New Roman" w:cs="Times New Roman"/>
          <w:sz w:val="24"/>
          <w:szCs w:val="24"/>
        </w:rPr>
        <w:t>for use</w:t>
      </w:r>
      <w:r w:rsidR="00540351" w:rsidRPr="002A106F">
        <w:rPr>
          <w:rFonts w:ascii="Times New Roman" w:hAnsi="Times New Roman" w:cs="Times New Roman"/>
          <w:sz w:val="24"/>
          <w:szCs w:val="24"/>
        </w:rPr>
        <w:t xml:space="preserve"> where the worshippers have been looking for spiritual healing.</w:t>
      </w:r>
    </w:p>
    <w:p w14:paraId="008BDCD5" w14:textId="4E2348F1" w:rsidR="0065305E" w:rsidRPr="002A106F" w:rsidRDefault="001E5E5E" w:rsidP="002A106F">
      <w:pPr>
        <w:rPr>
          <w:rFonts w:ascii="Times New Roman" w:hAnsi="Times New Roman" w:cs="Times New Roman"/>
          <w:color w:val="FF0000"/>
          <w:sz w:val="24"/>
          <w:szCs w:val="24"/>
        </w:rPr>
      </w:pPr>
      <w:r w:rsidRPr="002A106F">
        <w:rPr>
          <w:rFonts w:ascii="Times New Roman" w:hAnsi="Times New Roman" w:cs="Times New Roman"/>
          <w:sz w:val="24"/>
          <w:szCs w:val="24"/>
        </w:rPr>
        <w:t>It is clear that the right side of the triptych as a whole is meant to show St. John on the Island of Patmos,</w:t>
      </w:r>
      <w:r w:rsidR="0017297A" w:rsidRPr="002A106F">
        <w:rPr>
          <w:rFonts w:ascii="Times New Roman" w:hAnsi="Times New Roman" w:cs="Times New Roman"/>
          <w:sz w:val="24"/>
          <w:szCs w:val="24"/>
        </w:rPr>
        <w:t xml:space="preserve"> in the foreground of the piece, while the b</w:t>
      </w:r>
      <w:r w:rsidRPr="002A106F">
        <w:rPr>
          <w:rFonts w:ascii="Times New Roman" w:hAnsi="Times New Roman" w:cs="Times New Roman"/>
          <w:sz w:val="24"/>
          <w:szCs w:val="24"/>
        </w:rPr>
        <w:t>a</w:t>
      </w:r>
      <w:r w:rsidR="0017297A" w:rsidRPr="002A106F">
        <w:rPr>
          <w:rFonts w:ascii="Times New Roman" w:hAnsi="Times New Roman" w:cs="Times New Roman"/>
          <w:sz w:val="24"/>
          <w:szCs w:val="24"/>
        </w:rPr>
        <w:t xml:space="preserve">ckground of the image depicts </w:t>
      </w:r>
      <w:r w:rsidR="001228ED" w:rsidRPr="002A106F">
        <w:rPr>
          <w:rFonts w:ascii="Times New Roman" w:hAnsi="Times New Roman" w:cs="Times New Roman"/>
          <w:sz w:val="24"/>
          <w:szCs w:val="24"/>
        </w:rPr>
        <w:t>events described</w:t>
      </w:r>
      <w:r w:rsidR="009651A5" w:rsidRPr="002A106F">
        <w:rPr>
          <w:rFonts w:ascii="Times New Roman" w:hAnsi="Times New Roman" w:cs="Times New Roman"/>
          <w:sz w:val="24"/>
          <w:szCs w:val="24"/>
        </w:rPr>
        <w:t xml:space="preserve"> in the Book of Revelation</w:t>
      </w:r>
      <w:r w:rsidR="001C083E" w:rsidRPr="002A106F">
        <w:rPr>
          <w:rFonts w:ascii="Times New Roman" w:hAnsi="Times New Roman" w:cs="Times New Roman"/>
          <w:sz w:val="24"/>
          <w:szCs w:val="24"/>
        </w:rPr>
        <w:t xml:space="preserve">. </w:t>
      </w:r>
      <w:r w:rsidR="00A3509E" w:rsidRPr="002A106F">
        <w:rPr>
          <w:rFonts w:ascii="Times New Roman" w:hAnsi="Times New Roman" w:cs="Times New Roman"/>
          <w:sz w:val="24"/>
          <w:szCs w:val="24"/>
        </w:rPr>
        <w:t xml:space="preserve">These images relate directly to the </w:t>
      </w:r>
      <w:r w:rsidR="001935EF" w:rsidRPr="002A106F">
        <w:rPr>
          <w:rFonts w:ascii="Times New Roman" w:hAnsi="Times New Roman" w:cs="Times New Roman"/>
          <w:sz w:val="24"/>
          <w:szCs w:val="24"/>
        </w:rPr>
        <w:t>Book of Revelation, supposedly written by John the Evangelist, such as the four horses or the woman giving birth in the sky with a dragon waiting to devour her child</w:t>
      </w:r>
      <w:r w:rsidR="002F1B92" w:rsidRPr="002A106F">
        <w:rPr>
          <w:rFonts w:ascii="Times New Roman" w:hAnsi="Times New Roman" w:cs="Times New Roman"/>
          <w:sz w:val="24"/>
          <w:szCs w:val="24"/>
        </w:rPr>
        <w:t>.</w:t>
      </w:r>
      <w:r w:rsidR="002F1B92" w:rsidRPr="002A106F">
        <w:rPr>
          <w:rStyle w:val="FootnoteReference"/>
          <w:rFonts w:ascii="Times New Roman" w:hAnsi="Times New Roman" w:cs="Times New Roman"/>
          <w:sz w:val="24"/>
          <w:szCs w:val="24"/>
        </w:rPr>
        <w:footnoteReference w:id="8"/>
      </w:r>
      <w:r w:rsidR="001935EF" w:rsidRPr="002A106F">
        <w:rPr>
          <w:rFonts w:ascii="Times New Roman" w:hAnsi="Times New Roman" w:cs="Times New Roman"/>
          <w:sz w:val="24"/>
          <w:szCs w:val="24"/>
        </w:rPr>
        <w:t xml:space="preserve"> The use of the depiction of the</w:t>
      </w:r>
      <w:r w:rsidR="009651A5" w:rsidRPr="002A106F">
        <w:rPr>
          <w:rFonts w:ascii="Times New Roman" w:hAnsi="Times New Roman" w:cs="Times New Roman"/>
          <w:sz w:val="24"/>
          <w:szCs w:val="24"/>
        </w:rPr>
        <w:t xml:space="preserve"> Book of Revelation</w:t>
      </w:r>
      <w:r w:rsidR="001935EF" w:rsidRPr="002A106F">
        <w:rPr>
          <w:rFonts w:ascii="Times New Roman" w:hAnsi="Times New Roman" w:cs="Times New Roman"/>
          <w:sz w:val="24"/>
          <w:szCs w:val="24"/>
        </w:rPr>
        <w:t xml:space="preserve"> is used by Memling in order to remind the viewer of the impending doom facing the earth, so as to encourage their devotion to God to ensure their salvation at the last judgement, which occurs at the end of the apocalypse</w:t>
      </w:r>
      <w:r w:rsidR="00256D07" w:rsidRPr="002A106F">
        <w:rPr>
          <w:rFonts w:ascii="Times New Roman" w:hAnsi="Times New Roman" w:cs="Times New Roman"/>
          <w:sz w:val="24"/>
          <w:szCs w:val="24"/>
        </w:rPr>
        <w:t xml:space="preserve">. </w:t>
      </w:r>
    </w:p>
    <w:p w14:paraId="708791B5" w14:textId="2463AEDA" w:rsidR="00D85075" w:rsidRPr="002A106F" w:rsidRDefault="0053754C" w:rsidP="002A106F">
      <w:pPr>
        <w:rPr>
          <w:rFonts w:ascii="Times New Roman" w:hAnsi="Times New Roman" w:cs="Times New Roman"/>
          <w:sz w:val="24"/>
          <w:szCs w:val="24"/>
        </w:rPr>
      </w:pPr>
      <w:r w:rsidRPr="002A106F">
        <w:rPr>
          <w:rFonts w:ascii="Times New Roman" w:hAnsi="Times New Roman" w:cs="Times New Roman"/>
          <w:sz w:val="24"/>
          <w:szCs w:val="24"/>
        </w:rPr>
        <w:t>If we compare the depiction of the apocalypse in the</w:t>
      </w:r>
      <w:r w:rsidR="002F1B92" w:rsidRPr="002A106F">
        <w:rPr>
          <w:rFonts w:ascii="Times New Roman" w:hAnsi="Times New Roman" w:cs="Times New Roman"/>
          <w:sz w:val="24"/>
          <w:szCs w:val="24"/>
        </w:rPr>
        <w:t xml:space="preserve"> left-hand corner of the</w:t>
      </w:r>
      <w:r w:rsidR="0065305E" w:rsidRPr="002A106F">
        <w:rPr>
          <w:rFonts w:ascii="Times New Roman" w:hAnsi="Times New Roman" w:cs="Times New Roman"/>
          <w:sz w:val="24"/>
          <w:szCs w:val="24"/>
        </w:rPr>
        <w:t xml:space="preserve"> image to </w:t>
      </w:r>
      <w:r w:rsidR="0061096B" w:rsidRPr="002A106F">
        <w:rPr>
          <w:rFonts w:ascii="Times New Roman" w:hAnsi="Times New Roman" w:cs="Times New Roman"/>
          <w:sz w:val="24"/>
          <w:szCs w:val="24"/>
        </w:rPr>
        <w:t xml:space="preserve">the description of St. John’s vision </w:t>
      </w:r>
      <w:r w:rsidR="00684B0B" w:rsidRPr="002A106F">
        <w:rPr>
          <w:rFonts w:ascii="Times New Roman" w:hAnsi="Times New Roman" w:cs="Times New Roman"/>
          <w:sz w:val="24"/>
          <w:szCs w:val="24"/>
        </w:rPr>
        <w:t>i</w:t>
      </w:r>
      <w:r w:rsidRPr="002A106F">
        <w:rPr>
          <w:rFonts w:ascii="Times New Roman" w:hAnsi="Times New Roman" w:cs="Times New Roman"/>
          <w:sz w:val="24"/>
          <w:szCs w:val="24"/>
        </w:rPr>
        <w:t>n the Bible we can see that it is</w:t>
      </w:r>
      <w:r w:rsidR="00684B0B" w:rsidRPr="002A106F">
        <w:rPr>
          <w:rFonts w:ascii="Times New Roman" w:hAnsi="Times New Roman" w:cs="Times New Roman"/>
          <w:sz w:val="24"/>
          <w:szCs w:val="24"/>
        </w:rPr>
        <w:t xml:space="preserve"> intended to show the</w:t>
      </w:r>
      <w:r w:rsidRPr="002A106F">
        <w:rPr>
          <w:rFonts w:ascii="Times New Roman" w:hAnsi="Times New Roman" w:cs="Times New Roman"/>
          <w:sz w:val="24"/>
          <w:szCs w:val="24"/>
        </w:rPr>
        <w:t xml:space="preserve"> early part</w:t>
      </w:r>
      <w:r w:rsidR="00684B0B" w:rsidRPr="002A106F">
        <w:rPr>
          <w:rFonts w:ascii="Times New Roman" w:hAnsi="Times New Roman" w:cs="Times New Roman"/>
          <w:sz w:val="24"/>
          <w:szCs w:val="24"/>
        </w:rPr>
        <w:t xml:space="preserve"> of the Book of Revelation, written b</w:t>
      </w:r>
      <w:r w:rsidRPr="002A106F">
        <w:rPr>
          <w:rFonts w:ascii="Times New Roman" w:hAnsi="Times New Roman" w:cs="Times New Roman"/>
          <w:sz w:val="24"/>
          <w:szCs w:val="24"/>
        </w:rPr>
        <w:t xml:space="preserve">y St. John the Evangelist </w:t>
      </w:r>
      <w:r w:rsidR="00684B0B" w:rsidRPr="002A106F">
        <w:rPr>
          <w:rFonts w:ascii="Times New Roman" w:hAnsi="Times New Roman" w:cs="Times New Roman"/>
          <w:sz w:val="24"/>
          <w:szCs w:val="24"/>
        </w:rPr>
        <w:t xml:space="preserve">and </w:t>
      </w:r>
      <w:r w:rsidR="00E01853" w:rsidRPr="002A106F">
        <w:rPr>
          <w:rFonts w:ascii="Times New Roman" w:hAnsi="Times New Roman" w:cs="Times New Roman"/>
          <w:sz w:val="24"/>
          <w:szCs w:val="24"/>
        </w:rPr>
        <w:t>describing</w:t>
      </w:r>
      <w:r w:rsidR="00684B0B" w:rsidRPr="002A106F">
        <w:rPr>
          <w:rFonts w:ascii="Times New Roman" w:hAnsi="Times New Roman" w:cs="Times New Roman"/>
          <w:sz w:val="24"/>
          <w:szCs w:val="24"/>
        </w:rPr>
        <w:t xml:space="preserve"> the events of the apocalypse that will come, </w:t>
      </w:r>
      <w:r w:rsidRPr="002A106F">
        <w:rPr>
          <w:rFonts w:ascii="Times New Roman" w:hAnsi="Times New Roman" w:cs="Times New Roman"/>
          <w:sz w:val="24"/>
          <w:szCs w:val="24"/>
        </w:rPr>
        <w:t xml:space="preserve">in a single image. This is clear from the depiction of God </w:t>
      </w:r>
      <w:r w:rsidR="0039020C" w:rsidRPr="002A106F">
        <w:rPr>
          <w:rFonts w:ascii="Times New Roman" w:hAnsi="Times New Roman" w:cs="Times New Roman"/>
          <w:sz w:val="24"/>
          <w:szCs w:val="24"/>
        </w:rPr>
        <w:t>on the throne of heaven</w:t>
      </w:r>
      <w:r w:rsidR="00774A67" w:rsidRPr="002A106F">
        <w:rPr>
          <w:rFonts w:ascii="Times New Roman" w:hAnsi="Times New Roman" w:cs="Times New Roman"/>
          <w:sz w:val="24"/>
          <w:szCs w:val="24"/>
        </w:rPr>
        <w:t xml:space="preserve"> with a hand resting on the seven seals</w:t>
      </w:r>
      <w:r w:rsidR="0039020C" w:rsidRPr="002A106F">
        <w:rPr>
          <w:rFonts w:ascii="Times New Roman" w:hAnsi="Times New Roman" w:cs="Times New Roman"/>
          <w:sz w:val="24"/>
          <w:szCs w:val="24"/>
        </w:rPr>
        <w:t>.</w:t>
      </w:r>
      <w:r w:rsidR="0039020C" w:rsidRPr="002A106F">
        <w:rPr>
          <w:rStyle w:val="FootnoteReference"/>
          <w:rFonts w:ascii="Times New Roman" w:hAnsi="Times New Roman" w:cs="Times New Roman"/>
          <w:sz w:val="24"/>
          <w:szCs w:val="24"/>
        </w:rPr>
        <w:footnoteReference w:id="9"/>
      </w:r>
      <w:r w:rsidR="0039020C" w:rsidRPr="002A106F">
        <w:rPr>
          <w:rFonts w:ascii="Times New Roman" w:hAnsi="Times New Roman" w:cs="Times New Roman"/>
          <w:sz w:val="24"/>
          <w:szCs w:val="24"/>
        </w:rPr>
        <w:t xml:space="preserve"> Memling’s probable reason for including this depiction in the alt</w:t>
      </w:r>
      <w:r w:rsidR="00D85075" w:rsidRPr="002A106F">
        <w:rPr>
          <w:rFonts w:ascii="Times New Roman" w:hAnsi="Times New Roman" w:cs="Times New Roman"/>
          <w:sz w:val="24"/>
          <w:szCs w:val="24"/>
        </w:rPr>
        <w:t>arpiece is potentially as a reminder that the apocalypse could occur at any time and so devotion was key even in times of sickness</w:t>
      </w:r>
      <w:r w:rsidR="0039020C" w:rsidRPr="002A106F">
        <w:rPr>
          <w:rFonts w:ascii="Times New Roman" w:hAnsi="Times New Roman" w:cs="Times New Roman"/>
          <w:sz w:val="24"/>
          <w:szCs w:val="24"/>
        </w:rPr>
        <w:t xml:space="preserve">. The image was intended </w:t>
      </w:r>
      <w:r w:rsidR="00D85075" w:rsidRPr="002A106F">
        <w:rPr>
          <w:rFonts w:ascii="Times New Roman" w:hAnsi="Times New Roman" w:cs="Times New Roman"/>
          <w:sz w:val="24"/>
          <w:szCs w:val="24"/>
        </w:rPr>
        <w:t>therefore, to be p</w:t>
      </w:r>
      <w:r w:rsidR="0039020C" w:rsidRPr="002A106F">
        <w:rPr>
          <w:rFonts w:ascii="Times New Roman" w:hAnsi="Times New Roman" w:cs="Times New Roman"/>
          <w:sz w:val="24"/>
          <w:szCs w:val="24"/>
        </w:rPr>
        <w:t>o</w:t>
      </w:r>
      <w:r w:rsidR="00D85075" w:rsidRPr="002A106F">
        <w:rPr>
          <w:rFonts w:ascii="Times New Roman" w:hAnsi="Times New Roman" w:cs="Times New Roman"/>
          <w:sz w:val="24"/>
          <w:szCs w:val="24"/>
        </w:rPr>
        <w:t xml:space="preserve">tentially shocking to the viewer in order to encourage their devotion to ensure salvation. </w:t>
      </w:r>
    </w:p>
    <w:p w14:paraId="6C1E7039" w14:textId="50311091" w:rsidR="00DF3D42" w:rsidRPr="002A106F" w:rsidRDefault="00D85075" w:rsidP="002A106F">
      <w:pPr>
        <w:rPr>
          <w:rFonts w:ascii="Times New Roman" w:hAnsi="Times New Roman" w:cs="Times New Roman"/>
          <w:sz w:val="24"/>
          <w:szCs w:val="24"/>
        </w:rPr>
      </w:pPr>
      <w:r w:rsidRPr="002A106F">
        <w:rPr>
          <w:rFonts w:ascii="Times New Roman" w:hAnsi="Times New Roman" w:cs="Times New Roman"/>
          <w:sz w:val="24"/>
          <w:szCs w:val="24"/>
        </w:rPr>
        <w:t>I</w:t>
      </w:r>
      <w:r w:rsidR="00486A10" w:rsidRPr="002A106F">
        <w:rPr>
          <w:rFonts w:ascii="Times New Roman" w:hAnsi="Times New Roman" w:cs="Times New Roman"/>
          <w:sz w:val="24"/>
          <w:szCs w:val="24"/>
        </w:rPr>
        <w:t xml:space="preserve">n order to look at the representation and ideas surrounding the apocalypse in Fifteenth Century society, it is necessary to look at </w:t>
      </w:r>
      <w:r w:rsidR="00101BDD" w:rsidRPr="002A106F">
        <w:rPr>
          <w:rFonts w:ascii="Times New Roman" w:hAnsi="Times New Roman" w:cs="Times New Roman"/>
          <w:sz w:val="24"/>
          <w:szCs w:val="24"/>
        </w:rPr>
        <w:t>o</w:t>
      </w:r>
      <w:r w:rsidR="00F0674E" w:rsidRPr="002A106F">
        <w:rPr>
          <w:rFonts w:ascii="Times New Roman" w:hAnsi="Times New Roman" w:cs="Times New Roman"/>
          <w:sz w:val="24"/>
          <w:szCs w:val="24"/>
        </w:rPr>
        <w:t>ther images of the</w:t>
      </w:r>
      <w:r w:rsidR="009651A5" w:rsidRPr="002A106F">
        <w:rPr>
          <w:rFonts w:ascii="Times New Roman" w:hAnsi="Times New Roman" w:cs="Times New Roman"/>
          <w:sz w:val="24"/>
          <w:szCs w:val="24"/>
        </w:rPr>
        <w:t xml:space="preserve"> Book of Revelation</w:t>
      </w:r>
      <w:r w:rsidR="00101BDD" w:rsidRPr="002A106F">
        <w:rPr>
          <w:rFonts w:ascii="Times New Roman" w:hAnsi="Times New Roman" w:cs="Times New Roman"/>
          <w:sz w:val="24"/>
          <w:szCs w:val="24"/>
        </w:rPr>
        <w:t xml:space="preserve">. </w:t>
      </w:r>
      <w:r w:rsidR="00C27ABD" w:rsidRPr="002A106F">
        <w:rPr>
          <w:rFonts w:ascii="Times New Roman" w:hAnsi="Times New Roman" w:cs="Times New Roman"/>
          <w:sz w:val="24"/>
          <w:szCs w:val="24"/>
        </w:rPr>
        <w:t xml:space="preserve">Memling himself painted a triptych of the </w:t>
      </w:r>
      <w:r w:rsidR="00985A2F">
        <w:rPr>
          <w:rFonts w:ascii="Times New Roman" w:hAnsi="Times New Roman" w:cs="Times New Roman"/>
          <w:sz w:val="24"/>
          <w:szCs w:val="24"/>
        </w:rPr>
        <w:t>L</w:t>
      </w:r>
      <w:r w:rsidR="00C27ABD" w:rsidRPr="002A106F">
        <w:rPr>
          <w:rFonts w:ascii="Times New Roman" w:hAnsi="Times New Roman" w:cs="Times New Roman"/>
          <w:sz w:val="24"/>
          <w:szCs w:val="24"/>
        </w:rPr>
        <w:t xml:space="preserve">ast </w:t>
      </w:r>
      <w:r w:rsidR="00985A2F">
        <w:rPr>
          <w:rFonts w:ascii="Times New Roman" w:hAnsi="Times New Roman" w:cs="Times New Roman"/>
          <w:sz w:val="24"/>
          <w:szCs w:val="24"/>
        </w:rPr>
        <w:t>J</w:t>
      </w:r>
      <w:r w:rsidR="00C27ABD" w:rsidRPr="002A106F">
        <w:rPr>
          <w:rFonts w:ascii="Times New Roman" w:hAnsi="Times New Roman" w:cs="Times New Roman"/>
          <w:sz w:val="24"/>
          <w:szCs w:val="24"/>
        </w:rPr>
        <w:t>udgement in the early 1470s</w:t>
      </w:r>
      <w:r w:rsidR="00B76A77" w:rsidRPr="002A106F">
        <w:rPr>
          <w:rFonts w:ascii="Times New Roman" w:hAnsi="Times New Roman" w:cs="Times New Roman"/>
          <w:sz w:val="24"/>
          <w:szCs w:val="24"/>
        </w:rPr>
        <w:t xml:space="preserve"> </w:t>
      </w:r>
      <w:r w:rsidR="00DC1C19" w:rsidRPr="002A106F">
        <w:rPr>
          <w:rFonts w:ascii="Times New Roman" w:hAnsi="Times New Roman" w:cs="Times New Roman"/>
          <w:sz w:val="24"/>
          <w:szCs w:val="24"/>
        </w:rPr>
        <w:t>(</w:t>
      </w:r>
      <w:r w:rsidR="00B76A77" w:rsidRPr="002A106F">
        <w:rPr>
          <w:rFonts w:ascii="Times New Roman" w:hAnsi="Times New Roman" w:cs="Times New Roman"/>
          <w:sz w:val="24"/>
          <w:szCs w:val="24"/>
        </w:rPr>
        <w:t xml:space="preserve">see appendix </w:t>
      </w:r>
      <w:r w:rsidR="00D50916">
        <w:rPr>
          <w:rFonts w:ascii="Times New Roman" w:hAnsi="Times New Roman" w:cs="Times New Roman"/>
          <w:sz w:val="24"/>
          <w:szCs w:val="24"/>
        </w:rPr>
        <w:t>three</w:t>
      </w:r>
      <w:r w:rsidR="00DC1C19" w:rsidRPr="002A106F">
        <w:rPr>
          <w:rFonts w:ascii="Times New Roman" w:hAnsi="Times New Roman" w:cs="Times New Roman"/>
          <w:sz w:val="24"/>
          <w:szCs w:val="24"/>
        </w:rPr>
        <w:t>). Alt</w:t>
      </w:r>
      <w:r w:rsidR="00C27ABD" w:rsidRPr="002A106F">
        <w:rPr>
          <w:rFonts w:ascii="Times New Roman" w:hAnsi="Times New Roman" w:cs="Times New Roman"/>
          <w:sz w:val="24"/>
          <w:szCs w:val="24"/>
        </w:rPr>
        <w:t>hough this piece is slightly earlier than the St. John Altarpiece it shows ho</w:t>
      </w:r>
      <w:r w:rsidR="00F0674E" w:rsidRPr="002A106F">
        <w:rPr>
          <w:rFonts w:ascii="Times New Roman" w:hAnsi="Times New Roman" w:cs="Times New Roman"/>
          <w:sz w:val="24"/>
          <w:szCs w:val="24"/>
        </w:rPr>
        <w:t>w Memling’s work on the apocalypse itself was one of the first to depict</w:t>
      </w:r>
      <w:r w:rsidR="009651A5" w:rsidRPr="002A106F">
        <w:rPr>
          <w:rFonts w:ascii="Times New Roman" w:hAnsi="Times New Roman" w:cs="Times New Roman"/>
          <w:sz w:val="24"/>
          <w:szCs w:val="24"/>
        </w:rPr>
        <w:t xml:space="preserve"> the whole Book of Revelation</w:t>
      </w:r>
      <w:r w:rsidR="00F0674E" w:rsidRPr="002A106F">
        <w:rPr>
          <w:rFonts w:ascii="Times New Roman" w:hAnsi="Times New Roman" w:cs="Times New Roman"/>
          <w:sz w:val="24"/>
          <w:szCs w:val="24"/>
        </w:rPr>
        <w:t xml:space="preserve"> rather than just the </w:t>
      </w:r>
      <w:r w:rsidR="00985A2F">
        <w:rPr>
          <w:rFonts w:ascii="Times New Roman" w:hAnsi="Times New Roman" w:cs="Times New Roman"/>
          <w:sz w:val="24"/>
          <w:szCs w:val="24"/>
        </w:rPr>
        <w:t>L</w:t>
      </w:r>
      <w:r w:rsidR="00F0674E" w:rsidRPr="002A106F">
        <w:rPr>
          <w:rFonts w:ascii="Times New Roman" w:hAnsi="Times New Roman" w:cs="Times New Roman"/>
          <w:sz w:val="24"/>
          <w:szCs w:val="24"/>
        </w:rPr>
        <w:t xml:space="preserve">ast </w:t>
      </w:r>
      <w:r w:rsidR="00985A2F">
        <w:rPr>
          <w:rFonts w:ascii="Times New Roman" w:hAnsi="Times New Roman" w:cs="Times New Roman"/>
          <w:sz w:val="24"/>
          <w:szCs w:val="24"/>
        </w:rPr>
        <w:t>J</w:t>
      </w:r>
      <w:r w:rsidR="00F0674E" w:rsidRPr="002A106F">
        <w:rPr>
          <w:rFonts w:ascii="Times New Roman" w:hAnsi="Times New Roman" w:cs="Times New Roman"/>
          <w:sz w:val="24"/>
          <w:szCs w:val="24"/>
        </w:rPr>
        <w:t>udgement</w:t>
      </w:r>
      <w:r w:rsidR="00C27ABD" w:rsidRPr="002A106F">
        <w:rPr>
          <w:rFonts w:ascii="Times New Roman" w:hAnsi="Times New Roman" w:cs="Times New Roman"/>
          <w:sz w:val="24"/>
          <w:szCs w:val="24"/>
        </w:rPr>
        <w:t>. This</w:t>
      </w:r>
      <w:r w:rsidR="00F0674E" w:rsidRPr="002A106F">
        <w:rPr>
          <w:rFonts w:ascii="Times New Roman" w:hAnsi="Times New Roman" w:cs="Times New Roman"/>
          <w:sz w:val="24"/>
          <w:szCs w:val="24"/>
        </w:rPr>
        <w:t xml:space="preserve"> could be as a direct result of the fall of Constantinople in 1453 suggesting to the western world that the apocalypse must be near if the last part of the Roman Empire had fallen.</w:t>
      </w:r>
      <w:r w:rsidR="00F0674E" w:rsidRPr="002A106F">
        <w:rPr>
          <w:rStyle w:val="FootnoteReference"/>
          <w:rFonts w:ascii="Times New Roman" w:hAnsi="Times New Roman" w:cs="Times New Roman"/>
          <w:sz w:val="24"/>
          <w:szCs w:val="24"/>
        </w:rPr>
        <w:footnoteReference w:id="10"/>
      </w:r>
      <w:r w:rsidR="00FD00A6" w:rsidRPr="002A106F">
        <w:rPr>
          <w:rFonts w:ascii="Times New Roman" w:hAnsi="Times New Roman" w:cs="Times New Roman"/>
          <w:sz w:val="24"/>
          <w:szCs w:val="24"/>
        </w:rPr>
        <w:t xml:space="preserve"> </w:t>
      </w:r>
      <w:r w:rsidR="00F0674E" w:rsidRPr="002A106F">
        <w:rPr>
          <w:rFonts w:ascii="Times New Roman" w:hAnsi="Times New Roman" w:cs="Times New Roman"/>
          <w:sz w:val="24"/>
          <w:szCs w:val="24"/>
        </w:rPr>
        <w:t xml:space="preserve">Memling’s Last Judgement </w:t>
      </w:r>
      <w:r w:rsidR="00C27ABD" w:rsidRPr="002A106F">
        <w:rPr>
          <w:rFonts w:ascii="Times New Roman" w:hAnsi="Times New Roman" w:cs="Times New Roman"/>
          <w:sz w:val="24"/>
          <w:szCs w:val="24"/>
        </w:rPr>
        <w:t>shows the rising of the dead in the central image with those being welcomed into heave</w:t>
      </w:r>
      <w:r w:rsidR="00985A2F">
        <w:rPr>
          <w:rFonts w:ascii="Times New Roman" w:hAnsi="Times New Roman" w:cs="Times New Roman"/>
          <w:sz w:val="24"/>
          <w:szCs w:val="24"/>
        </w:rPr>
        <w:t>n</w:t>
      </w:r>
      <w:r w:rsidR="00C27ABD" w:rsidRPr="002A106F">
        <w:rPr>
          <w:rFonts w:ascii="Times New Roman" w:hAnsi="Times New Roman" w:cs="Times New Roman"/>
          <w:sz w:val="24"/>
          <w:szCs w:val="24"/>
        </w:rPr>
        <w:t xml:space="preserve"> on the left panel and </w:t>
      </w:r>
      <w:r w:rsidR="00C27ABD" w:rsidRPr="002A106F">
        <w:rPr>
          <w:rFonts w:ascii="Times New Roman" w:hAnsi="Times New Roman" w:cs="Times New Roman"/>
          <w:sz w:val="24"/>
          <w:szCs w:val="24"/>
        </w:rPr>
        <w:lastRenderedPageBreak/>
        <w:t>those descending into hell on the right, all watched over by Christ, the Virgin and a</w:t>
      </w:r>
      <w:r w:rsidR="00DF3D42" w:rsidRPr="002A106F">
        <w:rPr>
          <w:rFonts w:ascii="Times New Roman" w:hAnsi="Times New Roman" w:cs="Times New Roman"/>
          <w:sz w:val="24"/>
          <w:szCs w:val="24"/>
        </w:rPr>
        <w:t xml:space="preserve"> number of saints; this is in stark contrast to Memling’s later work which focuses on God and the saints in heaven. While images of the Last Judgement are clearly intended to show wh</w:t>
      </w:r>
      <w:r w:rsidR="00FD00A6" w:rsidRPr="002A106F">
        <w:rPr>
          <w:rFonts w:ascii="Times New Roman" w:hAnsi="Times New Roman" w:cs="Times New Roman"/>
          <w:sz w:val="24"/>
          <w:szCs w:val="24"/>
        </w:rPr>
        <w:t xml:space="preserve">at would happen on earth at </w:t>
      </w:r>
      <w:r w:rsidR="00DF3D42" w:rsidRPr="002A106F">
        <w:rPr>
          <w:rFonts w:ascii="Times New Roman" w:hAnsi="Times New Roman" w:cs="Times New Roman"/>
          <w:sz w:val="24"/>
          <w:szCs w:val="24"/>
        </w:rPr>
        <w:t>the</w:t>
      </w:r>
      <w:r w:rsidR="00FD00A6" w:rsidRPr="002A106F">
        <w:rPr>
          <w:rFonts w:ascii="Times New Roman" w:hAnsi="Times New Roman" w:cs="Times New Roman"/>
          <w:sz w:val="24"/>
          <w:szCs w:val="24"/>
        </w:rPr>
        <w:t xml:space="preserve"> end of the </w:t>
      </w:r>
      <w:r w:rsidR="00DF3D42" w:rsidRPr="002A106F">
        <w:rPr>
          <w:rFonts w:ascii="Times New Roman" w:hAnsi="Times New Roman" w:cs="Times New Roman"/>
          <w:sz w:val="24"/>
          <w:szCs w:val="24"/>
        </w:rPr>
        <w:t xml:space="preserve">apocalypse, rather than </w:t>
      </w:r>
      <w:r w:rsidR="00FD00A6" w:rsidRPr="002A106F">
        <w:rPr>
          <w:rFonts w:ascii="Times New Roman" w:hAnsi="Times New Roman" w:cs="Times New Roman"/>
          <w:sz w:val="24"/>
          <w:szCs w:val="24"/>
        </w:rPr>
        <w:t>the apocalypse itself</w:t>
      </w:r>
      <w:r w:rsidR="00DF3D42" w:rsidRPr="002A106F">
        <w:rPr>
          <w:rFonts w:ascii="Times New Roman" w:hAnsi="Times New Roman" w:cs="Times New Roman"/>
          <w:sz w:val="24"/>
          <w:szCs w:val="24"/>
        </w:rPr>
        <w:t xml:space="preserve">, </w:t>
      </w:r>
      <w:r w:rsidR="00FD00A6" w:rsidRPr="002A106F">
        <w:rPr>
          <w:rFonts w:ascii="Times New Roman" w:hAnsi="Times New Roman" w:cs="Times New Roman"/>
          <w:sz w:val="24"/>
          <w:szCs w:val="24"/>
        </w:rPr>
        <w:t xml:space="preserve">it </w:t>
      </w:r>
      <w:r w:rsidR="002A049D" w:rsidRPr="002A106F">
        <w:rPr>
          <w:rFonts w:ascii="Times New Roman" w:hAnsi="Times New Roman" w:cs="Times New Roman"/>
          <w:sz w:val="24"/>
          <w:szCs w:val="24"/>
        </w:rPr>
        <w:t>clearly show</w:t>
      </w:r>
      <w:r w:rsidR="00FD00A6" w:rsidRPr="002A106F">
        <w:rPr>
          <w:rFonts w:ascii="Times New Roman" w:hAnsi="Times New Roman" w:cs="Times New Roman"/>
          <w:sz w:val="24"/>
          <w:szCs w:val="24"/>
        </w:rPr>
        <w:t>s</w:t>
      </w:r>
      <w:r w:rsidR="002A049D" w:rsidRPr="002A106F">
        <w:rPr>
          <w:rFonts w:ascii="Times New Roman" w:hAnsi="Times New Roman" w:cs="Times New Roman"/>
          <w:sz w:val="24"/>
          <w:szCs w:val="24"/>
        </w:rPr>
        <w:t xml:space="preserve"> the development of art surround</w:t>
      </w:r>
      <w:r w:rsidR="00FD00A6" w:rsidRPr="002A106F">
        <w:rPr>
          <w:rFonts w:ascii="Times New Roman" w:hAnsi="Times New Roman" w:cs="Times New Roman"/>
          <w:sz w:val="24"/>
          <w:szCs w:val="24"/>
        </w:rPr>
        <w:t>ing the apocalypse</w:t>
      </w:r>
      <w:r w:rsidR="00FB6DC7" w:rsidRPr="002A106F">
        <w:rPr>
          <w:rFonts w:ascii="Times New Roman" w:hAnsi="Times New Roman" w:cs="Times New Roman"/>
          <w:sz w:val="24"/>
          <w:szCs w:val="24"/>
        </w:rPr>
        <w:t>.</w:t>
      </w:r>
      <w:r w:rsidR="00FB6DC7" w:rsidRPr="002A106F">
        <w:rPr>
          <w:rStyle w:val="FootnoteReference"/>
          <w:rFonts w:ascii="Times New Roman" w:hAnsi="Times New Roman" w:cs="Times New Roman"/>
          <w:sz w:val="24"/>
          <w:szCs w:val="24"/>
        </w:rPr>
        <w:footnoteReference w:id="11"/>
      </w:r>
    </w:p>
    <w:p w14:paraId="66C4249E" w14:textId="26446C8B" w:rsidR="00FB6DC7" w:rsidRPr="002A106F" w:rsidRDefault="00FB6DC7" w:rsidP="002A106F">
      <w:pPr>
        <w:rPr>
          <w:rFonts w:ascii="Times New Roman" w:hAnsi="Times New Roman" w:cs="Times New Roman"/>
          <w:sz w:val="24"/>
          <w:szCs w:val="24"/>
        </w:rPr>
      </w:pPr>
      <w:r w:rsidRPr="002A106F">
        <w:rPr>
          <w:rFonts w:ascii="Times New Roman" w:hAnsi="Times New Roman" w:cs="Times New Roman"/>
          <w:sz w:val="24"/>
          <w:szCs w:val="24"/>
        </w:rPr>
        <w:t xml:space="preserve">However, the similarities in the depiction of the apocalypse in Memling’s Last Judgement and that in the St. John Altarpiece, show that he the way he chose to depict the vision of St. John the Evangelist was not completely new. </w:t>
      </w:r>
      <w:r w:rsidR="00710362" w:rsidRPr="002A106F">
        <w:rPr>
          <w:rFonts w:ascii="Times New Roman" w:hAnsi="Times New Roman" w:cs="Times New Roman"/>
          <w:sz w:val="24"/>
          <w:szCs w:val="24"/>
        </w:rPr>
        <w:t xml:space="preserve">Although the vision has God rather than Christ at the centre, he is still surrounded by the same number of </w:t>
      </w:r>
      <w:r w:rsidR="00985A2F">
        <w:rPr>
          <w:rFonts w:ascii="Times New Roman" w:hAnsi="Times New Roman" w:cs="Times New Roman"/>
          <w:sz w:val="24"/>
          <w:szCs w:val="24"/>
        </w:rPr>
        <w:t>s</w:t>
      </w:r>
      <w:r w:rsidR="00710362" w:rsidRPr="002A106F">
        <w:rPr>
          <w:rFonts w:ascii="Times New Roman" w:hAnsi="Times New Roman" w:cs="Times New Roman"/>
          <w:sz w:val="24"/>
          <w:szCs w:val="24"/>
        </w:rPr>
        <w:t xml:space="preserve">aints, including St. Michael, who appears to be looking down on the world as if in judgement. Although this differs from the Last Judgement, as it does not show St. Michael as an archangel </w:t>
      </w:r>
      <w:r w:rsidR="00110C9E">
        <w:rPr>
          <w:rFonts w:ascii="Times New Roman" w:hAnsi="Times New Roman" w:cs="Times New Roman"/>
          <w:sz w:val="24"/>
          <w:szCs w:val="24"/>
        </w:rPr>
        <w:t>passing God’s judgement</w:t>
      </w:r>
      <w:r w:rsidR="00710362" w:rsidRPr="002A106F">
        <w:rPr>
          <w:rFonts w:ascii="Times New Roman" w:hAnsi="Times New Roman" w:cs="Times New Roman"/>
          <w:sz w:val="24"/>
          <w:szCs w:val="24"/>
        </w:rPr>
        <w:t xml:space="preserve"> to those on earth it is clearly intended to be indicative of the same moment. These subtle similarities to older artworks show that Memling </w:t>
      </w:r>
      <w:r w:rsidR="000811D4" w:rsidRPr="002A106F">
        <w:rPr>
          <w:rFonts w:ascii="Times New Roman" w:hAnsi="Times New Roman" w:cs="Times New Roman"/>
          <w:sz w:val="24"/>
          <w:szCs w:val="24"/>
        </w:rPr>
        <w:t xml:space="preserve">was using common iconography in order to make the image recognisable as the apocalypse while still comforting the sick with the image of what awaited them in heaven rather than that of the </w:t>
      </w:r>
      <w:r w:rsidR="00985A2F">
        <w:rPr>
          <w:rFonts w:ascii="Times New Roman" w:hAnsi="Times New Roman" w:cs="Times New Roman"/>
          <w:sz w:val="24"/>
          <w:szCs w:val="24"/>
        </w:rPr>
        <w:t>L</w:t>
      </w:r>
      <w:r w:rsidR="000811D4" w:rsidRPr="002A106F">
        <w:rPr>
          <w:rFonts w:ascii="Times New Roman" w:hAnsi="Times New Roman" w:cs="Times New Roman"/>
          <w:sz w:val="24"/>
          <w:szCs w:val="24"/>
        </w:rPr>
        <w:t xml:space="preserve">ast </w:t>
      </w:r>
      <w:r w:rsidR="00985A2F">
        <w:rPr>
          <w:rFonts w:ascii="Times New Roman" w:hAnsi="Times New Roman" w:cs="Times New Roman"/>
          <w:sz w:val="24"/>
          <w:szCs w:val="24"/>
        </w:rPr>
        <w:t>J</w:t>
      </w:r>
      <w:r w:rsidR="000811D4" w:rsidRPr="002A106F">
        <w:rPr>
          <w:rFonts w:ascii="Times New Roman" w:hAnsi="Times New Roman" w:cs="Times New Roman"/>
          <w:sz w:val="24"/>
          <w:szCs w:val="24"/>
        </w:rPr>
        <w:t xml:space="preserve">udgment. </w:t>
      </w:r>
      <w:r w:rsidR="00710362" w:rsidRPr="002A106F">
        <w:rPr>
          <w:rFonts w:ascii="Times New Roman" w:hAnsi="Times New Roman" w:cs="Times New Roman"/>
          <w:sz w:val="24"/>
          <w:szCs w:val="24"/>
        </w:rPr>
        <w:t xml:space="preserve"> </w:t>
      </w:r>
    </w:p>
    <w:p w14:paraId="0DBDA4D5" w14:textId="0585D91F" w:rsidR="0065305E" w:rsidRPr="002A106F" w:rsidRDefault="00DF3D42" w:rsidP="002A106F">
      <w:pPr>
        <w:rPr>
          <w:rFonts w:ascii="Times New Roman" w:hAnsi="Times New Roman" w:cs="Times New Roman"/>
          <w:sz w:val="24"/>
          <w:szCs w:val="24"/>
        </w:rPr>
      </w:pPr>
      <w:r w:rsidRPr="002A106F">
        <w:rPr>
          <w:rFonts w:ascii="Times New Roman" w:hAnsi="Times New Roman" w:cs="Times New Roman"/>
          <w:sz w:val="24"/>
          <w:szCs w:val="24"/>
        </w:rPr>
        <w:t>W</w:t>
      </w:r>
      <w:r w:rsidR="000B5CD2" w:rsidRPr="002A106F">
        <w:rPr>
          <w:rFonts w:ascii="Times New Roman" w:hAnsi="Times New Roman" w:cs="Times New Roman"/>
          <w:sz w:val="24"/>
          <w:szCs w:val="24"/>
        </w:rPr>
        <w:t xml:space="preserve">hen looking at the image on its own, it becomes clear that </w:t>
      </w:r>
      <w:r w:rsidR="00FD00A6" w:rsidRPr="002A106F">
        <w:rPr>
          <w:rFonts w:ascii="Times New Roman" w:hAnsi="Times New Roman" w:cs="Times New Roman"/>
          <w:sz w:val="24"/>
          <w:szCs w:val="24"/>
        </w:rPr>
        <w:t>it is i</w:t>
      </w:r>
      <w:r w:rsidR="00985A2F">
        <w:rPr>
          <w:rFonts w:ascii="Times New Roman" w:hAnsi="Times New Roman" w:cs="Times New Roman"/>
          <w:sz w:val="24"/>
          <w:szCs w:val="24"/>
        </w:rPr>
        <w:t>ntend</w:t>
      </w:r>
      <w:r w:rsidR="00FD00A6" w:rsidRPr="002A106F">
        <w:rPr>
          <w:rFonts w:ascii="Times New Roman" w:hAnsi="Times New Roman" w:cs="Times New Roman"/>
          <w:sz w:val="24"/>
          <w:szCs w:val="24"/>
        </w:rPr>
        <w:t>ed to remind t</w:t>
      </w:r>
      <w:r w:rsidR="00E70929" w:rsidRPr="002A106F">
        <w:rPr>
          <w:rFonts w:ascii="Times New Roman" w:hAnsi="Times New Roman" w:cs="Times New Roman"/>
          <w:sz w:val="24"/>
          <w:szCs w:val="24"/>
        </w:rPr>
        <w:t>hose receiving treatment in the hospital</w:t>
      </w:r>
      <w:r w:rsidR="00FD00A6" w:rsidRPr="002A106F">
        <w:rPr>
          <w:rFonts w:ascii="Times New Roman" w:hAnsi="Times New Roman" w:cs="Times New Roman"/>
          <w:sz w:val="24"/>
          <w:szCs w:val="24"/>
        </w:rPr>
        <w:t xml:space="preserve"> of the impending doom of the apocaly</w:t>
      </w:r>
      <w:r w:rsidR="0075591A" w:rsidRPr="002A106F">
        <w:rPr>
          <w:rFonts w:ascii="Times New Roman" w:hAnsi="Times New Roman" w:cs="Times New Roman"/>
          <w:sz w:val="24"/>
          <w:szCs w:val="24"/>
        </w:rPr>
        <w:t>pse, which was thought to be occurring following the events of 1453 in the East</w:t>
      </w:r>
      <w:r w:rsidR="00E70929" w:rsidRPr="002A106F">
        <w:rPr>
          <w:rFonts w:ascii="Times New Roman" w:hAnsi="Times New Roman" w:cs="Times New Roman"/>
          <w:sz w:val="24"/>
          <w:szCs w:val="24"/>
        </w:rPr>
        <w:t>.</w:t>
      </w:r>
      <w:r w:rsidR="00985A2F">
        <w:rPr>
          <w:rStyle w:val="FootnoteReference"/>
          <w:rFonts w:ascii="Times New Roman" w:hAnsi="Times New Roman" w:cs="Times New Roman"/>
          <w:sz w:val="24"/>
          <w:szCs w:val="24"/>
        </w:rPr>
        <w:footnoteReference w:id="12"/>
      </w:r>
      <w:r w:rsidR="00E70929" w:rsidRPr="002A106F">
        <w:rPr>
          <w:rFonts w:ascii="Times New Roman" w:hAnsi="Times New Roman" w:cs="Times New Roman"/>
          <w:sz w:val="24"/>
          <w:szCs w:val="24"/>
        </w:rPr>
        <w:t xml:space="preserve"> </w:t>
      </w:r>
      <w:r w:rsidR="0075591A" w:rsidRPr="002A106F">
        <w:rPr>
          <w:rFonts w:ascii="Times New Roman" w:hAnsi="Times New Roman" w:cs="Times New Roman"/>
          <w:sz w:val="24"/>
          <w:szCs w:val="24"/>
        </w:rPr>
        <w:t xml:space="preserve">On top of this the </w:t>
      </w:r>
      <w:r w:rsidR="00E70929" w:rsidRPr="002A106F">
        <w:rPr>
          <w:rFonts w:ascii="Times New Roman" w:hAnsi="Times New Roman" w:cs="Times New Roman"/>
          <w:sz w:val="24"/>
          <w:szCs w:val="24"/>
        </w:rPr>
        <w:t>depicti</w:t>
      </w:r>
      <w:r w:rsidR="0075591A" w:rsidRPr="002A106F">
        <w:rPr>
          <w:rFonts w:ascii="Times New Roman" w:hAnsi="Times New Roman" w:cs="Times New Roman"/>
          <w:sz w:val="24"/>
          <w:szCs w:val="24"/>
        </w:rPr>
        <w:t xml:space="preserve">on of heaven during </w:t>
      </w:r>
      <w:r w:rsidR="00E70929" w:rsidRPr="002A106F">
        <w:rPr>
          <w:rFonts w:ascii="Times New Roman" w:hAnsi="Times New Roman" w:cs="Times New Roman"/>
          <w:sz w:val="24"/>
          <w:szCs w:val="24"/>
        </w:rPr>
        <w:t xml:space="preserve">the apocalypse </w:t>
      </w:r>
      <w:r w:rsidR="0075591A" w:rsidRPr="002A106F">
        <w:rPr>
          <w:rFonts w:ascii="Times New Roman" w:hAnsi="Times New Roman" w:cs="Times New Roman"/>
          <w:sz w:val="24"/>
          <w:szCs w:val="24"/>
        </w:rPr>
        <w:t xml:space="preserve">shows it as an inviting place in order to </w:t>
      </w:r>
      <w:r w:rsidR="009651A5" w:rsidRPr="002A106F">
        <w:rPr>
          <w:rFonts w:ascii="Times New Roman" w:hAnsi="Times New Roman" w:cs="Times New Roman"/>
          <w:sz w:val="24"/>
          <w:szCs w:val="24"/>
        </w:rPr>
        <w:t xml:space="preserve">encourage the devotion of those using the chapel in order to ensure their </w:t>
      </w:r>
      <w:r w:rsidR="00985A2F">
        <w:rPr>
          <w:rFonts w:ascii="Times New Roman" w:hAnsi="Times New Roman" w:cs="Times New Roman"/>
          <w:sz w:val="24"/>
          <w:szCs w:val="24"/>
        </w:rPr>
        <w:t>personal salvation.</w:t>
      </w:r>
    </w:p>
    <w:p w14:paraId="3F693447" w14:textId="77777777" w:rsidR="00B76A77" w:rsidRPr="002A106F" w:rsidRDefault="00B76A77" w:rsidP="002A106F">
      <w:pPr>
        <w:rPr>
          <w:rFonts w:ascii="Times New Roman" w:hAnsi="Times New Roman" w:cs="Times New Roman"/>
          <w:sz w:val="24"/>
          <w:szCs w:val="24"/>
        </w:rPr>
      </w:pPr>
    </w:p>
    <w:p w14:paraId="42076AC6" w14:textId="77777777" w:rsidR="00B76A77" w:rsidRPr="002A106F" w:rsidRDefault="00B76A77" w:rsidP="002A106F">
      <w:pPr>
        <w:rPr>
          <w:rFonts w:ascii="Times New Roman" w:hAnsi="Times New Roman" w:cs="Times New Roman"/>
          <w:sz w:val="24"/>
          <w:szCs w:val="24"/>
        </w:rPr>
      </w:pPr>
    </w:p>
    <w:p w14:paraId="319805BF" w14:textId="77777777" w:rsidR="00B76A77" w:rsidRPr="002A106F" w:rsidRDefault="00B76A77" w:rsidP="002A106F">
      <w:pPr>
        <w:rPr>
          <w:rFonts w:ascii="Times New Roman" w:hAnsi="Times New Roman" w:cs="Times New Roman"/>
          <w:sz w:val="24"/>
          <w:szCs w:val="24"/>
        </w:rPr>
      </w:pPr>
    </w:p>
    <w:p w14:paraId="302145BB" w14:textId="77777777" w:rsidR="00B76A77" w:rsidRPr="002A106F" w:rsidRDefault="00B76A77" w:rsidP="002A106F">
      <w:pPr>
        <w:rPr>
          <w:rFonts w:ascii="Times New Roman" w:hAnsi="Times New Roman" w:cs="Times New Roman"/>
          <w:sz w:val="24"/>
          <w:szCs w:val="24"/>
        </w:rPr>
      </w:pPr>
    </w:p>
    <w:p w14:paraId="077CEC81" w14:textId="77777777" w:rsidR="00B76A77" w:rsidRPr="002A106F" w:rsidRDefault="00B76A77" w:rsidP="002A106F">
      <w:pPr>
        <w:rPr>
          <w:rFonts w:ascii="Times New Roman" w:hAnsi="Times New Roman" w:cs="Times New Roman"/>
          <w:sz w:val="24"/>
          <w:szCs w:val="24"/>
        </w:rPr>
      </w:pPr>
    </w:p>
    <w:p w14:paraId="5E89D4F9" w14:textId="77777777" w:rsidR="00B76A77" w:rsidRPr="002A106F" w:rsidRDefault="00B76A77" w:rsidP="002A106F">
      <w:pPr>
        <w:rPr>
          <w:rFonts w:ascii="Times New Roman" w:hAnsi="Times New Roman" w:cs="Times New Roman"/>
          <w:sz w:val="24"/>
          <w:szCs w:val="24"/>
        </w:rPr>
      </w:pPr>
    </w:p>
    <w:p w14:paraId="207AD0C3" w14:textId="77777777" w:rsidR="00985A2F" w:rsidRDefault="00985A2F" w:rsidP="002A106F">
      <w:pPr>
        <w:rPr>
          <w:rFonts w:ascii="Times New Roman" w:hAnsi="Times New Roman" w:cs="Times New Roman"/>
          <w:sz w:val="24"/>
          <w:szCs w:val="24"/>
        </w:rPr>
      </w:pPr>
    </w:p>
    <w:p w14:paraId="61E6A2C7" w14:textId="65373D43" w:rsidR="00B76A77" w:rsidRPr="00D54245" w:rsidRDefault="00B76A77" w:rsidP="002A106F">
      <w:pPr>
        <w:rPr>
          <w:rFonts w:ascii="Times New Roman" w:hAnsi="Times New Roman" w:cs="Times New Roman"/>
          <w:b/>
          <w:sz w:val="24"/>
          <w:szCs w:val="24"/>
          <w:u w:val="single"/>
        </w:rPr>
      </w:pPr>
      <w:r w:rsidRPr="00D54245">
        <w:rPr>
          <w:rFonts w:ascii="Times New Roman" w:hAnsi="Times New Roman" w:cs="Times New Roman"/>
          <w:b/>
          <w:sz w:val="24"/>
          <w:szCs w:val="24"/>
          <w:u w:val="single"/>
        </w:rPr>
        <w:lastRenderedPageBreak/>
        <w:t xml:space="preserve">Appendices </w:t>
      </w:r>
    </w:p>
    <w:p w14:paraId="67FF8707" w14:textId="65EDF199" w:rsidR="00B76A77" w:rsidRPr="002A106F" w:rsidRDefault="00D25398" w:rsidP="002A106F">
      <w:pPr>
        <w:rPr>
          <w:rFonts w:ascii="Times New Roman" w:hAnsi="Times New Roman" w:cs="Times New Roman"/>
          <w:sz w:val="24"/>
          <w:szCs w:val="24"/>
        </w:rPr>
      </w:pPr>
      <w:r>
        <w:rPr>
          <w:rFonts w:ascii="Times New Roman" w:hAnsi="Times New Roman" w:cs="Times New Roman"/>
          <w:sz w:val="24"/>
          <w:szCs w:val="24"/>
        </w:rPr>
        <w:t>Appendix one</w:t>
      </w:r>
    </w:p>
    <w:p w14:paraId="50EC1679" w14:textId="06901489" w:rsidR="00B76A77" w:rsidRDefault="00D25398" w:rsidP="002A106F">
      <w:pPr>
        <w:rPr>
          <w:rFonts w:ascii="Times New Roman" w:hAnsi="Times New Roman" w:cs="Times New Roman"/>
          <w:sz w:val="24"/>
          <w:szCs w:val="24"/>
        </w:rPr>
      </w:pPr>
      <w:r w:rsidRPr="002A106F">
        <w:rPr>
          <w:rFonts w:ascii="Times New Roman" w:hAnsi="Times New Roman" w:cs="Times New Roman"/>
          <w:noProof/>
          <w:sz w:val="24"/>
          <w:szCs w:val="24"/>
          <w:lang w:eastAsia="en-GB"/>
        </w:rPr>
        <w:drawing>
          <wp:anchor distT="0" distB="0" distL="114300" distR="114300" simplePos="0" relativeHeight="251659264" behindDoc="1" locked="0" layoutInCell="1" allowOverlap="1" wp14:anchorId="588705D4" wp14:editId="7F3425BA">
            <wp:simplePos x="0" y="0"/>
            <wp:positionH relativeFrom="margin">
              <wp:posOffset>-209550</wp:posOffset>
            </wp:positionH>
            <wp:positionV relativeFrom="paragraph">
              <wp:posOffset>452120</wp:posOffset>
            </wp:positionV>
            <wp:extent cx="1799590" cy="3625850"/>
            <wp:effectExtent l="0" t="0" r="0" b="0"/>
            <wp:wrapTight wrapText="bothSides">
              <wp:wrapPolygon edited="0">
                <wp:start x="0" y="0"/>
                <wp:lineTo x="0" y="21449"/>
                <wp:lineTo x="21265" y="21449"/>
                <wp:lineTo x="21265" y="0"/>
                <wp:lineTo x="0" y="0"/>
              </wp:wrapPolygon>
            </wp:wrapTight>
            <wp:docPr id="3" name="Picture 3" descr="https://www.wga.hu/art/m/memling/2middle2/13john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wga.hu/art/m/memling/2middle2/13john3.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99590" cy="3625850"/>
                    </a:xfrm>
                    <a:prstGeom prst="rect">
                      <a:avLst/>
                    </a:prstGeom>
                    <a:noFill/>
                    <a:ln>
                      <a:noFill/>
                    </a:ln>
                  </pic:spPr>
                </pic:pic>
              </a:graphicData>
            </a:graphic>
            <wp14:sizeRelH relativeFrom="page">
              <wp14:pctWidth>0</wp14:pctWidth>
            </wp14:sizeRelH>
            <wp14:sizeRelV relativeFrom="page">
              <wp14:pctHeight>0</wp14:pctHeight>
            </wp14:sizeRelV>
          </wp:anchor>
        </w:drawing>
      </w:r>
      <w:r w:rsidR="00B76A77" w:rsidRPr="002A106F">
        <w:rPr>
          <w:rFonts w:ascii="Times New Roman" w:hAnsi="Times New Roman" w:cs="Times New Roman"/>
          <w:sz w:val="24"/>
          <w:szCs w:val="24"/>
        </w:rPr>
        <w:t>Hans Memling, St. John altarpiece</w:t>
      </w:r>
      <w:r>
        <w:rPr>
          <w:rFonts w:ascii="Times New Roman" w:hAnsi="Times New Roman" w:cs="Times New Roman"/>
          <w:sz w:val="24"/>
          <w:szCs w:val="24"/>
        </w:rPr>
        <w:t>, right wing, c.1474-79, Burges, Memling Museum, St. John Hospital.</w:t>
      </w:r>
    </w:p>
    <w:p w14:paraId="25576E4A" w14:textId="1C347497" w:rsidR="00D25398" w:rsidRDefault="00D25398" w:rsidP="002A106F">
      <w:pPr>
        <w:rPr>
          <w:rFonts w:ascii="Times New Roman" w:hAnsi="Times New Roman" w:cs="Times New Roman"/>
          <w:sz w:val="24"/>
          <w:szCs w:val="24"/>
        </w:rPr>
      </w:pPr>
    </w:p>
    <w:p w14:paraId="2F849E5D" w14:textId="77777777" w:rsidR="00D25398" w:rsidRDefault="00D25398" w:rsidP="002A106F">
      <w:pPr>
        <w:rPr>
          <w:rFonts w:ascii="Times New Roman" w:hAnsi="Times New Roman" w:cs="Times New Roman"/>
          <w:sz w:val="24"/>
          <w:szCs w:val="24"/>
        </w:rPr>
      </w:pPr>
    </w:p>
    <w:p w14:paraId="042164CF" w14:textId="77777777" w:rsidR="00D25398" w:rsidRDefault="00D25398" w:rsidP="002A106F">
      <w:pPr>
        <w:rPr>
          <w:rFonts w:ascii="Times New Roman" w:hAnsi="Times New Roman" w:cs="Times New Roman"/>
          <w:sz w:val="24"/>
          <w:szCs w:val="24"/>
        </w:rPr>
      </w:pPr>
    </w:p>
    <w:p w14:paraId="1024FD05" w14:textId="77777777" w:rsidR="00D25398" w:rsidRDefault="00D25398" w:rsidP="002A106F">
      <w:pPr>
        <w:rPr>
          <w:rFonts w:ascii="Times New Roman" w:hAnsi="Times New Roman" w:cs="Times New Roman"/>
          <w:sz w:val="24"/>
          <w:szCs w:val="24"/>
        </w:rPr>
      </w:pPr>
    </w:p>
    <w:p w14:paraId="760B558C" w14:textId="77777777" w:rsidR="00D25398" w:rsidRDefault="00D25398" w:rsidP="002A106F">
      <w:pPr>
        <w:rPr>
          <w:rFonts w:ascii="Times New Roman" w:hAnsi="Times New Roman" w:cs="Times New Roman"/>
          <w:sz w:val="24"/>
          <w:szCs w:val="24"/>
        </w:rPr>
      </w:pPr>
    </w:p>
    <w:p w14:paraId="2BDDC68F" w14:textId="77777777" w:rsidR="00D25398" w:rsidRDefault="00D25398" w:rsidP="002A106F">
      <w:pPr>
        <w:rPr>
          <w:rFonts w:ascii="Times New Roman" w:hAnsi="Times New Roman" w:cs="Times New Roman"/>
          <w:sz w:val="24"/>
          <w:szCs w:val="24"/>
        </w:rPr>
      </w:pPr>
    </w:p>
    <w:p w14:paraId="76172899" w14:textId="77777777" w:rsidR="00D25398" w:rsidRDefault="00D25398" w:rsidP="002A106F">
      <w:pPr>
        <w:rPr>
          <w:rFonts w:ascii="Times New Roman" w:hAnsi="Times New Roman" w:cs="Times New Roman"/>
          <w:sz w:val="24"/>
          <w:szCs w:val="24"/>
        </w:rPr>
      </w:pPr>
    </w:p>
    <w:p w14:paraId="717D6ED0" w14:textId="77777777" w:rsidR="00D25398" w:rsidRDefault="00D25398" w:rsidP="002A106F">
      <w:pPr>
        <w:rPr>
          <w:rFonts w:ascii="Times New Roman" w:hAnsi="Times New Roman" w:cs="Times New Roman"/>
          <w:sz w:val="24"/>
          <w:szCs w:val="24"/>
        </w:rPr>
      </w:pPr>
    </w:p>
    <w:p w14:paraId="74111DDE" w14:textId="77777777" w:rsidR="00D25398" w:rsidRDefault="00D25398" w:rsidP="002A106F">
      <w:pPr>
        <w:rPr>
          <w:rFonts w:ascii="Times New Roman" w:hAnsi="Times New Roman" w:cs="Times New Roman"/>
          <w:sz w:val="24"/>
          <w:szCs w:val="24"/>
        </w:rPr>
      </w:pPr>
    </w:p>
    <w:p w14:paraId="4FB3B4AD" w14:textId="77777777" w:rsidR="00D25398" w:rsidRDefault="00D25398" w:rsidP="002A106F">
      <w:pPr>
        <w:rPr>
          <w:rFonts w:ascii="Times New Roman" w:hAnsi="Times New Roman" w:cs="Times New Roman"/>
          <w:sz w:val="24"/>
          <w:szCs w:val="24"/>
        </w:rPr>
      </w:pPr>
    </w:p>
    <w:p w14:paraId="443903A5" w14:textId="730F519E" w:rsidR="00D25398" w:rsidRDefault="00D25398" w:rsidP="002A106F">
      <w:pPr>
        <w:rPr>
          <w:rFonts w:ascii="Times New Roman" w:hAnsi="Times New Roman" w:cs="Times New Roman"/>
          <w:sz w:val="24"/>
          <w:szCs w:val="24"/>
        </w:rPr>
      </w:pPr>
      <w:r>
        <w:rPr>
          <w:rFonts w:ascii="Times New Roman" w:hAnsi="Times New Roman" w:cs="Times New Roman"/>
          <w:sz w:val="24"/>
          <w:szCs w:val="24"/>
        </w:rPr>
        <w:t xml:space="preserve">Appendix two </w:t>
      </w:r>
    </w:p>
    <w:p w14:paraId="7692A6A0" w14:textId="720A97B4" w:rsidR="00D25398" w:rsidRPr="002A106F" w:rsidRDefault="00D25398" w:rsidP="002A106F">
      <w:pPr>
        <w:rPr>
          <w:rFonts w:ascii="Times New Roman" w:hAnsi="Times New Roman" w:cs="Times New Roman"/>
          <w:sz w:val="24"/>
          <w:szCs w:val="24"/>
        </w:rPr>
      </w:pPr>
      <w:r w:rsidRPr="002A106F">
        <w:rPr>
          <w:rFonts w:ascii="Times New Roman" w:hAnsi="Times New Roman" w:cs="Times New Roman"/>
          <w:sz w:val="24"/>
          <w:szCs w:val="24"/>
        </w:rPr>
        <w:t>Hans Memling, St. John altarpiece</w:t>
      </w:r>
      <w:r>
        <w:rPr>
          <w:rFonts w:ascii="Times New Roman" w:hAnsi="Times New Roman" w:cs="Times New Roman"/>
          <w:sz w:val="24"/>
          <w:szCs w:val="24"/>
        </w:rPr>
        <w:t>, right wing, c.1474-79, Burges, Memling Museum, St. John Hospital.</w:t>
      </w:r>
    </w:p>
    <w:p w14:paraId="0C26EE43" w14:textId="77777777" w:rsidR="00B76A77" w:rsidRPr="002A106F" w:rsidRDefault="00B76A77" w:rsidP="002A106F">
      <w:pPr>
        <w:rPr>
          <w:rFonts w:ascii="Times New Roman" w:hAnsi="Times New Roman" w:cs="Times New Roman"/>
          <w:sz w:val="24"/>
          <w:szCs w:val="24"/>
        </w:rPr>
      </w:pPr>
      <w:r w:rsidRPr="002A106F">
        <w:rPr>
          <w:rFonts w:ascii="Times New Roman" w:hAnsi="Times New Roman" w:cs="Times New Roman"/>
          <w:noProof/>
          <w:sz w:val="24"/>
          <w:szCs w:val="24"/>
          <w:lang w:eastAsia="en-GB"/>
        </w:rPr>
        <w:drawing>
          <wp:inline distT="0" distB="0" distL="0" distR="0" wp14:anchorId="3913E2BF" wp14:editId="799AE336">
            <wp:extent cx="5156200" cy="2552208"/>
            <wp:effectExtent l="0" t="0" r="6350" b="635"/>
            <wp:docPr id="2" name="Picture 2" descr="https://www.wga.hu/art/m/memling/2middle2/13joh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wga.hu/art/m/memling/2middle2/13john.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163330" cy="2555737"/>
                    </a:xfrm>
                    <a:prstGeom prst="rect">
                      <a:avLst/>
                    </a:prstGeom>
                    <a:noFill/>
                    <a:ln>
                      <a:noFill/>
                    </a:ln>
                  </pic:spPr>
                </pic:pic>
              </a:graphicData>
            </a:graphic>
          </wp:inline>
        </w:drawing>
      </w:r>
    </w:p>
    <w:p w14:paraId="4C8F2CB2" w14:textId="4978FFD5" w:rsidR="00B76A77" w:rsidRPr="002A106F" w:rsidRDefault="00D25398" w:rsidP="002A106F">
      <w:pPr>
        <w:rPr>
          <w:rFonts w:ascii="Times New Roman" w:hAnsi="Times New Roman" w:cs="Times New Roman"/>
          <w:sz w:val="24"/>
          <w:szCs w:val="24"/>
        </w:rPr>
      </w:pPr>
      <w:r>
        <w:rPr>
          <w:rFonts w:ascii="Times New Roman" w:hAnsi="Times New Roman" w:cs="Times New Roman"/>
          <w:sz w:val="24"/>
          <w:szCs w:val="24"/>
        </w:rPr>
        <w:lastRenderedPageBreak/>
        <w:t>Appendix three</w:t>
      </w:r>
    </w:p>
    <w:p w14:paraId="2BB296E3" w14:textId="151009E8" w:rsidR="00B76A77" w:rsidRPr="002A106F" w:rsidRDefault="00B76A77" w:rsidP="002A106F">
      <w:pPr>
        <w:rPr>
          <w:rFonts w:ascii="Times New Roman" w:hAnsi="Times New Roman" w:cs="Times New Roman"/>
          <w:sz w:val="24"/>
          <w:szCs w:val="24"/>
        </w:rPr>
      </w:pPr>
      <w:r w:rsidRPr="002A106F">
        <w:rPr>
          <w:rFonts w:ascii="Times New Roman" w:hAnsi="Times New Roman" w:cs="Times New Roman"/>
          <w:sz w:val="24"/>
          <w:szCs w:val="24"/>
        </w:rPr>
        <w:t>Hans Me</w:t>
      </w:r>
      <w:r w:rsidR="00D25398">
        <w:rPr>
          <w:rFonts w:ascii="Times New Roman" w:hAnsi="Times New Roman" w:cs="Times New Roman"/>
          <w:sz w:val="24"/>
          <w:szCs w:val="24"/>
        </w:rPr>
        <w:t>mling, Last Judgement c.1467-71, Poland, Gdansk National Museum.</w:t>
      </w:r>
    </w:p>
    <w:p w14:paraId="7D533D5B" w14:textId="77777777" w:rsidR="00B76A77" w:rsidRDefault="00B76A77" w:rsidP="002A106F">
      <w:pPr>
        <w:rPr>
          <w:rFonts w:ascii="Times New Roman" w:hAnsi="Times New Roman" w:cs="Times New Roman"/>
          <w:sz w:val="24"/>
          <w:szCs w:val="24"/>
        </w:rPr>
      </w:pPr>
      <w:r w:rsidRPr="002A106F">
        <w:rPr>
          <w:rFonts w:ascii="Times New Roman" w:hAnsi="Times New Roman" w:cs="Times New Roman"/>
          <w:noProof/>
          <w:sz w:val="24"/>
          <w:szCs w:val="24"/>
          <w:lang w:eastAsia="en-GB"/>
        </w:rPr>
        <w:drawing>
          <wp:inline distT="0" distB="0" distL="0" distR="0" wp14:anchorId="39EF93A5" wp14:editId="36FFF2D7">
            <wp:extent cx="5403850" cy="3837836"/>
            <wp:effectExtent l="0" t="0" r="6350" b="0"/>
            <wp:docPr id="1" name="Picture 1" descr="https://www.wga.hu/art/m/memling/1early3/02las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wga.hu/art/m/memling/1early3/02last.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33905" cy="3859181"/>
                    </a:xfrm>
                    <a:prstGeom prst="rect">
                      <a:avLst/>
                    </a:prstGeom>
                    <a:noFill/>
                    <a:ln>
                      <a:noFill/>
                    </a:ln>
                  </pic:spPr>
                </pic:pic>
              </a:graphicData>
            </a:graphic>
          </wp:inline>
        </w:drawing>
      </w:r>
    </w:p>
    <w:p w14:paraId="7554F408" w14:textId="77777777" w:rsidR="005872A5" w:rsidRDefault="005872A5" w:rsidP="002A106F">
      <w:pPr>
        <w:rPr>
          <w:rFonts w:ascii="Times New Roman" w:hAnsi="Times New Roman" w:cs="Times New Roman"/>
          <w:sz w:val="24"/>
          <w:szCs w:val="24"/>
        </w:rPr>
      </w:pPr>
    </w:p>
    <w:p w14:paraId="5722BF6E" w14:textId="77777777" w:rsidR="005872A5" w:rsidRDefault="005872A5" w:rsidP="002A106F">
      <w:pPr>
        <w:rPr>
          <w:rFonts w:ascii="Times New Roman" w:hAnsi="Times New Roman" w:cs="Times New Roman"/>
          <w:sz w:val="24"/>
          <w:szCs w:val="24"/>
        </w:rPr>
      </w:pPr>
    </w:p>
    <w:p w14:paraId="6B16C7C9" w14:textId="77777777" w:rsidR="005872A5" w:rsidRDefault="005872A5" w:rsidP="002A106F">
      <w:pPr>
        <w:rPr>
          <w:rFonts w:ascii="Times New Roman" w:hAnsi="Times New Roman" w:cs="Times New Roman"/>
          <w:sz w:val="24"/>
          <w:szCs w:val="24"/>
        </w:rPr>
      </w:pPr>
    </w:p>
    <w:p w14:paraId="63FB4847" w14:textId="77777777" w:rsidR="005872A5" w:rsidRDefault="005872A5" w:rsidP="002A106F">
      <w:pPr>
        <w:rPr>
          <w:rFonts w:ascii="Times New Roman" w:hAnsi="Times New Roman" w:cs="Times New Roman"/>
          <w:sz w:val="24"/>
          <w:szCs w:val="24"/>
        </w:rPr>
      </w:pPr>
    </w:p>
    <w:p w14:paraId="3A10B91D" w14:textId="77777777" w:rsidR="005872A5" w:rsidRDefault="005872A5" w:rsidP="002A106F">
      <w:pPr>
        <w:rPr>
          <w:rFonts w:ascii="Times New Roman" w:hAnsi="Times New Roman" w:cs="Times New Roman"/>
          <w:sz w:val="24"/>
          <w:szCs w:val="24"/>
        </w:rPr>
      </w:pPr>
    </w:p>
    <w:p w14:paraId="2E9A67E6" w14:textId="77777777" w:rsidR="005872A5" w:rsidRDefault="005872A5" w:rsidP="002A106F">
      <w:pPr>
        <w:rPr>
          <w:rFonts w:ascii="Times New Roman" w:hAnsi="Times New Roman" w:cs="Times New Roman"/>
          <w:sz w:val="24"/>
          <w:szCs w:val="24"/>
        </w:rPr>
      </w:pPr>
    </w:p>
    <w:p w14:paraId="7490BEA4" w14:textId="77777777" w:rsidR="005872A5" w:rsidRDefault="005872A5" w:rsidP="002A106F">
      <w:pPr>
        <w:rPr>
          <w:rFonts w:ascii="Times New Roman" w:hAnsi="Times New Roman" w:cs="Times New Roman"/>
          <w:sz w:val="24"/>
          <w:szCs w:val="24"/>
        </w:rPr>
      </w:pPr>
    </w:p>
    <w:p w14:paraId="6FEE7C7B" w14:textId="77777777" w:rsidR="005872A5" w:rsidRDefault="005872A5" w:rsidP="002A106F">
      <w:pPr>
        <w:rPr>
          <w:rFonts w:ascii="Times New Roman" w:hAnsi="Times New Roman" w:cs="Times New Roman"/>
          <w:sz w:val="24"/>
          <w:szCs w:val="24"/>
        </w:rPr>
      </w:pPr>
    </w:p>
    <w:p w14:paraId="2B2A71E5" w14:textId="77777777" w:rsidR="005872A5" w:rsidRDefault="005872A5" w:rsidP="002A106F">
      <w:pPr>
        <w:rPr>
          <w:rFonts w:ascii="Times New Roman" w:hAnsi="Times New Roman" w:cs="Times New Roman"/>
          <w:sz w:val="24"/>
          <w:szCs w:val="24"/>
        </w:rPr>
      </w:pPr>
    </w:p>
    <w:p w14:paraId="166037BC" w14:textId="77777777" w:rsidR="005872A5" w:rsidRDefault="005872A5" w:rsidP="002A106F">
      <w:pPr>
        <w:rPr>
          <w:rFonts w:ascii="Times New Roman" w:hAnsi="Times New Roman" w:cs="Times New Roman"/>
          <w:sz w:val="24"/>
          <w:szCs w:val="24"/>
        </w:rPr>
      </w:pPr>
    </w:p>
    <w:p w14:paraId="0446DD19" w14:textId="77777777" w:rsidR="005872A5" w:rsidRPr="002A106F" w:rsidRDefault="005872A5" w:rsidP="002A106F">
      <w:pPr>
        <w:rPr>
          <w:rFonts w:ascii="Times New Roman" w:hAnsi="Times New Roman" w:cs="Times New Roman"/>
          <w:sz w:val="24"/>
          <w:szCs w:val="24"/>
        </w:rPr>
      </w:pPr>
    </w:p>
    <w:p w14:paraId="7D65C36A" w14:textId="50600F44" w:rsidR="0065305E" w:rsidRPr="00D54245" w:rsidRDefault="002A106F" w:rsidP="002A106F">
      <w:pPr>
        <w:rPr>
          <w:rFonts w:ascii="Times New Roman" w:hAnsi="Times New Roman" w:cs="Times New Roman"/>
          <w:b/>
          <w:sz w:val="24"/>
          <w:szCs w:val="24"/>
          <w:u w:val="single"/>
        </w:rPr>
      </w:pPr>
      <w:r w:rsidRPr="00D54245">
        <w:rPr>
          <w:rFonts w:ascii="Times New Roman" w:hAnsi="Times New Roman" w:cs="Times New Roman"/>
          <w:b/>
          <w:sz w:val="24"/>
          <w:szCs w:val="24"/>
          <w:u w:val="single"/>
        </w:rPr>
        <w:lastRenderedPageBreak/>
        <w:t xml:space="preserve">Bibliography </w:t>
      </w:r>
    </w:p>
    <w:p w14:paraId="6CCCF204" w14:textId="39F3DD4C" w:rsidR="007751F5" w:rsidRPr="00D54245" w:rsidRDefault="007751F5" w:rsidP="002A106F">
      <w:pPr>
        <w:rPr>
          <w:rFonts w:ascii="Times New Roman" w:hAnsi="Times New Roman" w:cs="Times New Roman"/>
          <w:sz w:val="24"/>
        </w:rPr>
      </w:pPr>
      <w:r w:rsidRPr="00D54245">
        <w:rPr>
          <w:rFonts w:ascii="Times New Roman" w:hAnsi="Times New Roman" w:cs="Times New Roman"/>
          <w:sz w:val="24"/>
        </w:rPr>
        <w:t xml:space="preserve">Collins Staff, </w:t>
      </w:r>
      <w:r w:rsidRPr="00D54245">
        <w:rPr>
          <w:rFonts w:ascii="Times New Roman" w:hAnsi="Times New Roman" w:cs="Times New Roman"/>
          <w:i/>
          <w:sz w:val="24"/>
        </w:rPr>
        <w:t xml:space="preserve">Holy Bible: King James Version </w:t>
      </w:r>
      <w:r w:rsidRPr="00D54245">
        <w:rPr>
          <w:rFonts w:ascii="Times New Roman" w:hAnsi="Times New Roman" w:cs="Times New Roman"/>
          <w:sz w:val="24"/>
        </w:rPr>
        <w:t>(Glasgow: Harper Collins2011).</w:t>
      </w:r>
    </w:p>
    <w:p w14:paraId="38078404" w14:textId="136063A0" w:rsidR="00D54245" w:rsidRPr="00D54245" w:rsidRDefault="00D54245" w:rsidP="002A106F">
      <w:pPr>
        <w:rPr>
          <w:rFonts w:ascii="Times New Roman" w:hAnsi="Times New Roman" w:cs="Times New Roman"/>
          <w:sz w:val="28"/>
          <w:szCs w:val="24"/>
        </w:rPr>
      </w:pPr>
      <w:r w:rsidRPr="00D54245">
        <w:rPr>
          <w:rFonts w:ascii="Times New Roman" w:hAnsi="Times New Roman" w:cs="Times New Roman"/>
          <w:sz w:val="24"/>
        </w:rPr>
        <w:t xml:space="preserve">J. Herrin, ‘The Fall of Constantinople’, </w:t>
      </w:r>
      <w:r w:rsidRPr="00D54245">
        <w:rPr>
          <w:rFonts w:ascii="Times New Roman" w:hAnsi="Times New Roman" w:cs="Times New Roman"/>
          <w:i/>
          <w:sz w:val="24"/>
        </w:rPr>
        <w:t xml:space="preserve">History Today, </w:t>
      </w:r>
      <w:r w:rsidRPr="00D54245">
        <w:rPr>
          <w:rFonts w:ascii="Times New Roman" w:hAnsi="Times New Roman" w:cs="Times New Roman"/>
          <w:sz w:val="24"/>
        </w:rPr>
        <w:t xml:space="preserve">Volume 53, Issue 6, </w:t>
      </w:r>
      <w:proofErr w:type="gramStart"/>
      <w:r w:rsidRPr="00D54245">
        <w:rPr>
          <w:rFonts w:ascii="Times New Roman" w:hAnsi="Times New Roman" w:cs="Times New Roman"/>
          <w:sz w:val="24"/>
        </w:rPr>
        <w:t>July</w:t>
      </w:r>
      <w:proofErr w:type="gramEnd"/>
      <w:r w:rsidRPr="00D54245">
        <w:rPr>
          <w:rFonts w:ascii="Times New Roman" w:hAnsi="Times New Roman" w:cs="Times New Roman"/>
          <w:sz w:val="24"/>
        </w:rPr>
        <w:t xml:space="preserve"> 2003 (London: History Today, 2003). Available at </w:t>
      </w:r>
      <w:hyperlink r:id="rId10" w:history="1">
        <w:r w:rsidRPr="00D54245">
          <w:rPr>
            <w:rStyle w:val="Hyperlink"/>
            <w:rFonts w:ascii="Times New Roman" w:hAnsi="Times New Roman" w:cs="Times New Roman"/>
            <w:sz w:val="24"/>
          </w:rPr>
          <w:t>http://www.historytoday.com/judith-herrin/fall-constantinople</w:t>
        </w:r>
      </w:hyperlink>
      <w:r w:rsidRPr="00D54245">
        <w:rPr>
          <w:rFonts w:ascii="Times New Roman" w:hAnsi="Times New Roman" w:cs="Times New Roman"/>
          <w:sz w:val="24"/>
        </w:rPr>
        <w:t xml:space="preserve"> [accessed 27/10/2017].</w:t>
      </w:r>
    </w:p>
    <w:p w14:paraId="3C509C05" w14:textId="16748036" w:rsidR="000212F3" w:rsidRPr="00D54245" w:rsidRDefault="000212F3" w:rsidP="002A106F">
      <w:pPr>
        <w:rPr>
          <w:rFonts w:ascii="Times New Roman" w:hAnsi="Times New Roman" w:cs="Times New Roman"/>
          <w:sz w:val="28"/>
          <w:szCs w:val="24"/>
        </w:rPr>
      </w:pPr>
      <w:proofErr w:type="spellStart"/>
      <w:r w:rsidRPr="00D54245">
        <w:rPr>
          <w:rFonts w:ascii="Times New Roman" w:hAnsi="Times New Roman" w:cs="Times New Roman"/>
          <w:sz w:val="24"/>
        </w:rPr>
        <w:t>Krén</w:t>
      </w:r>
      <w:proofErr w:type="spellEnd"/>
      <w:r w:rsidRPr="00D54245">
        <w:rPr>
          <w:rFonts w:ascii="Times New Roman" w:hAnsi="Times New Roman" w:cs="Times New Roman"/>
          <w:sz w:val="24"/>
        </w:rPr>
        <w:t xml:space="preserve">, E. and D. Marx, ‘St John Altarpiece’, </w:t>
      </w:r>
      <w:r w:rsidRPr="00D54245">
        <w:rPr>
          <w:rFonts w:ascii="Times New Roman" w:hAnsi="Times New Roman" w:cs="Times New Roman"/>
          <w:i/>
          <w:sz w:val="24"/>
        </w:rPr>
        <w:t xml:space="preserve">Web Gallery of Art </w:t>
      </w:r>
      <w:r w:rsidRPr="00D54245">
        <w:rPr>
          <w:rFonts w:ascii="Times New Roman" w:hAnsi="Times New Roman" w:cs="Times New Roman"/>
          <w:sz w:val="24"/>
        </w:rPr>
        <w:t xml:space="preserve">(Budapest: Web Gallery of Art, 2017). Available at </w:t>
      </w:r>
      <w:hyperlink r:id="rId11" w:history="1">
        <w:r w:rsidRPr="00D54245">
          <w:rPr>
            <w:rStyle w:val="Hyperlink"/>
            <w:rFonts w:ascii="Times New Roman" w:hAnsi="Times New Roman" w:cs="Times New Roman"/>
            <w:sz w:val="24"/>
          </w:rPr>
          <w:t>https://www.wga.hu/frames-e.html?/html/m/memling/2middle2/13john.html</w:t>
        </w:r>
      </w:hyperlink>
      <w:r w:rsidRPr="00D54245">
        <w:rPr>
          <w:rFonts w:ascii="Times New Roman" w:hAnsi="Times New Roman" w:cs="Times New Roman"/>
          <w:sz w:val="24"/>
        </w:rPr>
        <w:t xml:space="preserve"> [accessed 27/10/2017].</w:t>
      </w:r>
    </w:p>
    <w:p w14:paraId="50C92A14" w14:textId="22FF8481" w:rsidR="002A106F" w:rsidRPr="00D54245" w:rsidRDefault="007161BA" w:rsidP="002A106F">
      <w:pPr>
        <w:rPr>
          <w:rFonts w:ascii="Times New Roman" w:hAnsi="Times New Roman" w:cs="Times New Roman"/>
          <w:sz w:val="28"/>
          <w:szCs w:val="24"/>
        </w:rPr>
      </w:pPr>
      <w:proofErr w:type="gramStart"/>
      <w:r w:rsidRPr="00D54245">
        <w:rPr>
          <w:rFonts w:ascii="Times New Roman" w:hAnsi="Times New Roman" w:cs="Times New Roman"/>
          <w:sz w:val="24"/>
        </w:rPr>
        <w:t>van</w:t>
      </w:r>
      <w:proofErr w:type="gramEnd"/>
      <w:r w:rsidRPr="00D54245">
        <w:rPr>
          <w:rFonts w:ascii="Times New Roman" w:hAnsi="Times New Roman" w:cs="Times New Roman"/>
          <w:sz w:val="24"/>
        </w:rPr>
        <w:t xml:space="preserve"> </w:t>
      </w:r>
      <w:proofErr w:type="spellStart"/>
      <w:r w:rsidRPr="00D54245">
        <w:rPr>
          <w:rFonts w:ascii="Times New Roman" w:hAnsi="Times New Roman" w:cs="Times New Roman"/>
          <w:sz w:val="24"/>
        </w:rPr>
        <w:t>Oosterwijk</w:t>
      </w:r>
      <w:proofErr w:type="spellEnd"/>
      <w:r w:rsidRPr="00D54245">
        <w:rPr>
          <w:rFonts w:ascii="Times New Roman" w:hAnsi="Times New Roman" w:cs="Times New Roman"/>
          <w:sz w:val="24"/>
        </w:rPr>
        <w:t xml:space="preserve">, A., ‘Hans Memling bibliography’, </w:t>
      </w:r>
      <w:r w:rsidRPr="00D54245">
        <w:rPr>
          <w:rFonts w:ascii="Times New Roman" w:hAnsi="Times New Roman" w:cs="Times New Roman"/>
          <w:i/>
          <w:sz w:val="24"/>
        </w:rPr>
        <w:t xml:space="preserve">Flemish Primitives </w:t>
      </w:r>
      <w:r w:rsidRPr="00D54245">
        <w:rPr>
          <w:rFonts w:ascii="Times New Roman" w:hAnsi="Times New Roman" w:cs="Times New Roman"/>
          <w:sz w:val="24"/>
        </w:rPr>
        <w:t xml:space="preserve">(Netherlands: De </w:t>
      </w:r>
      <w:proofErr w:type="spellStart"/>
      <w:r w:rsidRPr="00D54245">
        <w:rPr>
          <w:rFonts w:ascii="Times New Roman" w:hAnsi="Times New Roman" w:cs="Times New Roman"/>
          <w:sz w:val="24"/>
        </w:rPr>
        <w:t>Vlaamse</w:t>
      </w:r>
      <w:proofErr w:type="spellEnd"/>
      <w:r w:rsidRPr="00D54245">
        <w:rPr>
          <w:rFonts w:ascii="Times New Roman" w:hAnsi="Times New Roman" w:cs="Times New Roman"/>
          <w:sz w:val="24"/>
        </w:rPr>
        <w:t xml:space="preserve"> </w:t>
      </w:r>
      <w:proofErr w:type="spellStart"/>
      <w:r w:rsidRPr="00D54245">
        <w:rPr>
          <w:rFonts w:ascii="Times New Roman" w:hAnsi="Times New Roman" w:cs="Times New Roman"/>
          <w:sz w:val="24"/>
        </w:rPr>
        <w:t>Kunstcollectie</w:t>
      </w:r>
      <w:proofErr w:type="spellEnd"/>
      <w:r w:rsidRPr="00D54245">
        <w:rPr>
          <w:rFonts w:ascii="Times New Roman" w:hAnsi="Times New Roman" w:cs="Times New Roman"/>
          <w:sz w:val="24"/>
        </w:rPr>
        <w:t xml:space="preserve"> ,2017). Available at </w:t>
      </w:r>
      <w:hyperlink r:id="rId12" w:history="1">
        <w:r w:rsidRPr="00D54245">
          <w:rPr>
            <w:rStyle w:val="Hyperlink"/>
            <w:rFonts w:ascii="Times New Roman" w:hAnsi="Times New Roman" w:cs="Times New Roman"/>
            <w:sz w:val="24"/>
          </w:rPr>
          <w:t>http://vlaamseprimitieven.vlaamsekunstcollectie.be/en/research/webpublications/hans-memling-biography</w:t>
        </w:r>
      </w:hyperlink>
      <w:r w:rsidRPr="00D54245">
        <w:rPr>
          <w:rFonts w:ascii="Times New Roman" w:hAnsi="Times New Roman" w:cs="Times New Roman"/>
          <w:sz w:val="24"/>
        </w:rPr>
        <w:t xml:space="preserve"> [accessed 27/10/2017].  </w:t>
      </w:r>
    </w:p>
    <w:sectPr w:rsidR="002A106F" w:rsidRPr="00D542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74F5FAE" w14:textId="77777777" w:rsidR="00E35D61" w:rsidRDefault="00E35D61" w:rsidP="006E0500">
      <w:pPr>
        <w:spacing w:after="0" w:line="240" w:lineRule="auto"/>
      </w:pPr>
      <w:r>
        <w:separator/>
      </w:r>
    </w:p>
  </w:endnote>
  <w:endnote w:type="continuationSeparator" w:id="0">
    <w:p w14:paraId="258DC324" w14:textId="77777777" w:rsidR="00E35D61" w:rsidRDefault="00E35D61" w:rsidP="006E05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F821F25" w14:textId="77777777" w:rsidR="00E35D61" w:rsidRDefault="00E35D61" w:rsidP="006E0500">
      <w:pPr>
        <w:spacing w:after="0" w:line="240" w:lineRule="auto"/>
      </w:pPr>
      <w:r>
        <w:separator/>
      </w:r>
    </w:p>
  </w:footnote>
  <w:footnote w:type="continuationSeparator" w:id="0">
    <w:p w14:paraId="27DDA5D8" w14:textId="77777777" w:rsidR="00E35D61" w:rsidRDefault="00E35D61" w:rsidP="006E0500">
      <w:pPr>
        <w:spacing w:after="0" w:line="240" w:lineRule="auto"/>
      </w:pPr>
      <w:r>
        <w:continuationSeparator/>
      </w:r>
    </w:p>
  </w:footnote>
  <w:footnote w:id="1">
    <w:p w14:paraId="50582286" w14:textId="2F8A5EC4" w:rsidR="006E0500" w:rsidRPr="002A106F" w:rsidRDefault="006E0500">
      <w:pPr>
        <w:pStyle w:val="FootnoteText"/>
        <w:rPr>
          <w:rFonts w:ascii="Times New Roman" w:hAnsi="Times New Roman" w:cs="Times New Roman"/>
          <w:sz w:val="22"/>
        </w:rPr>
      </w:pPr>
      <w:r w:rsidRPr="002A106F">
        <w:rPr>
          <w:rStyle w:val="FootnoteReference"/>
          <w:rFonts w:ascii="Times New Roman" w:hAnsi="Times New Roman" w:cs="Times New Roman"/>
          <w:sz w:val="22"/>
        </w:rPr>
        <w:footnoteRef/>
      </w:r>
      <w:r w:rsidRPr="002A106F">
        <w:rPr>
          <w:rFonts w:ascii="Times New Roman" w:hAnsi="Times New Roman" w:cs="Times New Roman"/>
          <w:sz w:val="22"/>
        </w:rPr>
        <w:t xml:space="preserve"> </w:t>
      </w:r>
      <w:r w:rsidR="007161BA">
        <w:rPr>
          <w:rFonts w:ascii="Times New Roman" w:hAnsi="Times New Roman" w:cs="Times New Roman"/>
          <w:sz w:val="22"/>
        </w:rPr>
        <w:t>A.</w:t>
      </w:r>
      <w:r w:rsidR="00380857">
        <w:rPr>
          <w:rFonts w:ascii="Times New Roman" w:hAnsi="Times New Roman" w:cs="Times New Roman"/>
          <w:sz w:val="22"/>
        </w:rPr>
        <w:t xml:space="preserve"> </w:t>
      </w:r>
      <w:r w:rsidR="007161BA">
        <w:rPr>
          <w:rFonts w:ascii="Times New Roman" w:hAnsi="Times New Roman" w:cs="Times New Roman"/>
          <w:sz w:val="22"/>
        </w:rPr>
        <w:t xml:space="preserve">van </w:t>
      </w:r>
      <w:proofErr w:type="spellStart"/>
      <w:r w:rsidR="007161BA">
        <w:rPr>
          <w:rFonts w:ascii="Times New Roman" w:hAnsi="Times New Roman" w:cs="Times New Roman"/>
          <w:sz w:val="22"/>
        </w:rPr>
        <w:t>Oosterwijk</w:t>
      </w:r>
      <w:proofErr w:type="spellEnd"/>
      <w:r w:rsidR="007161BA">
        <w:rPr>
          <w:rFonts w:ascii="Times New Roman" w:hAnsi="Times New Roman" w:cs="Times New Roman"/>
          <w:sz w:val="22"/>
        </w:rPr>
        <w:t xml:space="preserve">, ‘Hans Memling bibliography’, </w:t>
      </w:r>
      <w:r w:rsidR="007161BA">
        <w:rPr>
          <w:rFonts w:ascii="Times New Roman" w:hAnsi="Times New Roman" w:cs="Times New Roman"/>
          <w:i/>
          <w:sz w:val="22"/>
        </w:rPr>
        <w:t xml:space="preserve">Flemish Primitives </w:t>
      </w:r>
      <w:r w:rsidR="007161BA">
        <w:rPr>
          <w:rFonts w:ascii="Times New Roman" w:hAnsi="Times New Roman" w:cs="Times New Roman"/>
          <w:sz w:val="22"/>
        </w:rPr>
        <w:t xml:space="preserve">(Netherlands: De </w:t>
      </w:r>
      <w:proofErr w:type="spellStart"/>
      <w:r w:rsidR="007161BA">
        <w:rPr>
          <w:rFonts w:ascii="Times New Roman" w:hAnsi="Times New Roman" w:cs="Times New Roman"/>
          <w:sz w:val="22"/>
        </w:rPr>
        <w:t>Vlaamse</w:t>
      </w:r>
      <w:proofErr w:type="spellEnd"/>
      <w:r w:rsidR="007161BA">
        <w:rPr>
          <w:rFonts w:ascii="Times New Roman" w:hAnsi="Times New Roman" w:cs="Times New Roman"/>
          <w:sz w:val="22"/>
        </w:rPr>
        <w:t xml:space="preserve"> </w:t>
      </w:r>
      <w:proofErr w:type="spellStart"/>
      <w:proofErr w:type="gramStart"/>
      <w:r w:rsidR="007161BA">
        <w:rPr>
          <w:rFonts w:ascii="Times New Roman" w:hAnsi="Times New Roman" w:cs="Times New Roman"/>
          <w:sz w:val="22"/>
        </w:rPr>
        <w:t>Kunstcollectie</w:t>
      </w:r>
      <w:proofErr w:type="spellEnd"/>
      <w:r w:rsidR="007161BA">
        <w:rPr>
          <w:rFonts w:ascii="Times New Roman" w:hAnsi="Times New Roman" w:cs="Times New Roman"/>
          <w:sz w:val="22"/>
        </w:rPr>
        <w:t xml:space="preserve"> ,2017</w:t>
      </w:r>
      <w:proofErr w:type="gramEnd"/>
      <w:r w:rsidR="007161BA">
        <w:rPr>
          <w:rFonts w:ascii="Times New Roman" w:hAnsi="Times New Roman" w:cs="Times New Roman"/>
          <w:sz w:val="22"/>
        </w:rPr>
        <w:t xml:space="preserve">). Available at </w:t>
      </w:r>
      <w:hyperlink r:id="rId1" w:history="1">
        <w:r w:rsidR="007161BA" w:rsidRPr="00B451F1">
          <w:rPr>
            <w:rStyle w:val="Hyperlink"/>
            <w:rFonts w:ascii="Times New Roman" w:hAnsi="Times New Roman" w:cs="Times New Roman"/>
            <w:sz w:val="22"/>
          </w:rPr>
          <w:t>http://vlaamseprimitieven.vlaamsekunstcollectie.be/en/research/webpublications/hans-memling-biography</w:t>
        </w:r>
      </w:hyperlink>
      <w:r w:rsidR="007161BA">
        <w:rPr>
          <w:rFonts w:ascii="Times New Roman" w:hAnsi="Times New Roman" w:cs="Times New Roman"/>
          <w:sz w:val="22"/>
        </w:rPr>
        <w:t xml:space="preserve"> [accessed 27/10/2017].  </w:t>
      </w:r>
    </w:p>
  </w:footnote>
  <w:footnote w:id="2">
    <w:p w14:paraId="603155DB" w14:textId="1FEC60FF" w:rsidR="006E0500" w:rsidRDefault="006E0500">
      <w:pPr>
        <w:pStyle w:val="FootnoteText"/>
      </w:pPr>
      <w:r w:rsidRPr="002A106F">
        <w:rPr>
          <w:rStyle w:val="FootnoteReference"/>
          <w:rFonts w:ascii="Times New Roman" w:hAnsi="Times New Roman" w:cs="Times New Roman"/>
          <w:sz w:val="22"/>
        </w:rPr>
        <w:footnoteRef/>
      </w:r>
      <w:r w:rsidRPr="002A106F">
        <w:rPr>
          <w:rFonts w:ascii="Times New Roman" w:hAnsi="Times New Roman" w:cs="Times New Roman"/>
          <w:sz w:val="22"/>
        </w:rPr>
        <w:t xml:space="preserve"> </w:t>
      </w:r>
      <w:r w:rsidR="00380857">
        <w:rPr>
          <w:rFonts w:ascii="Times New Roman" w:hAnsi="Times New Roman" w:cs="Times New Roman"/>
          <w:i/>
          <w:sz w:val="22"/>
        </w:rPr>
        <w:t xml:space="preserve">Ibid. </w:t>
      </w:r>
      <w:r w:rsidRPr="002A106F">
        <w:rPr>
          <w:sz w:val="22"/>
        </w:rPr>
        <w:t xml:space="preserve"> </w:t>
      </w:r>
    </w:p>
  </w:footnote>
  <w:footnote w:id="3">
    <w:p w14:paraId="5FB790F7" w14:textId="5E2BA8DF" w:rsidR="0000360F" w:rsidRPr="002A106F" w:rsidRDefault="0000360F">
      <w:pPr>
        <w:pStyle w:val="FootnoteText"/>
        <w:rPr>
          <w:rFonts w:ascii="Times New Roman" w:hAnsi="Times New Roman" w:cs="Times New Roman"/>
          <w:sz w:val="22"/>
        </w:rPr>
      </w:pPr>
      <w:r w:rsidRPr="002A106F">
        <w:rPr>
          <w:rStyle w:val="FootnoteReference"/>
          <w:rFonts w:ascii="Times New Roman" w:hAnsi="Times New Roman" w:cs="Times New Roman"/>
          <w:sz w:val="22"/>
        </w:rPr>
        <w:footnoteRef/>
      </w:r>
      <w:r w:rsidRPr="002A106F">
        <w:rPr>
          <w:rFonts w:ascii="Times New Roman" w:hAnsi="Times New Roman" w:cs="Times New Roman"/>
          <w:sz w:val="22"/>
        </w:rPr>
        <w:t xml:space="preserve"> </w:t>
      </w:r>
      <w:proofErr w:type="gramStart"/>
      <w:r w:rsidR="000212F3">
        <w:rPr>
          <w:rFonts w:ascii="Times New Roman" w:hAnsi="Times New Roman" w:cs="Times New Roman"/>
          <w:sz w:val="22"/>
        </w:rPr>
        <w:t>van</w:t>
      </w:r>
      <w:proofErr w:type="gramEnd"/>
      <w:r w:rsidR="000212F3">
        <w:rPr>
          <w:rFonts w:ascii="Times New Roman" w:hAnsi="Times New Roman" w:cs="Times New Roman"/>
          <w:sz w:val="22"/>
        </w:rPr>
        <w:t xml:space="preserve"> </w:t>
      </w:r>
      <w:proofErr w:type="spellStart"/>
      <w:r w:rsidR="000212F3">
        <w:rPr>
          <w:rFonts w:ascii="Times New Roman" w:hAnsi="Times New Roman" w:cs="Times New Roman"/>
          <w:sz w:val="22"/>
        </w:rPr>
        <w:t>Oosterwijk</w:t>
      </w:r>
      <w:proofErr w:type="spellEnd"/>
      <w:r w:rsidR="000212F3">
        <w:rPr>
          <w:rFonts w:ascii="Times New Roman" w:hAnsi="Times New Roman" w:cs="Times New Roman"/>
          <w:sz w:val="22"/>
        </w:rPr>
        <w:t xml:space="preserve">, ‘Hans Memling bibliography’ [accessed 27/10/2017].  </w:t>
      </w:r>
    </w:p>
  </w:footnote>
  <w:footnote w:id="4">
    <w:p w14:paraId="20414ED7" w14:textId="6307BD55" w:rsidR="00312C1A" w:rsidRPr="002A106F" w:rsidRDefault="00312C1A">
      <w:pPr>
        <w:pStyle w:val="FootnoteText"/>
        <w:rPr>
          <w:rFonts w:ascii="Times New Roman" w:hAnsi="Times New Roman" w:cs="Times New Roman"/>
          <w:sz w:val="22"/>
        </w:rPr>
      </w:pPr>
      <w:r w:rsidRPr="002A106F">
        <w:rPr>
          <w:rStyle w:val="FootnoteReference"/>
          <w:rFonts w:ascii="Times New Roman" w:hAnsi="Times New Roman" w:cs="Times New Roman"/>
          <w:sz w:val="22"/>
        </w:rPr>
        <w:footnoteRef/>
      </w:r>
      <w:r w:rsidRPr="002A106F">
        <w:rPr>
          <w:rFonts w:ascii="Times New Roman" w:hAnsi="Times New Roman" w:cs="Times New Roman"/>
          <w:sz w:val="22"/>
        </w:rPr>
        <w:t xml:space="preserve"> </w:t>
      </w:r>
      <w:r w:rsidR="000212F3">
        <w:rPr>
          <w:rFonts w:ascii="Times New Roman" w:hAnsi="Times New Roman" w:cs="Times New Roman"/>
          <w:sz w:val="22"/>
        </w:rPr>
        <w:t xml:space="preserve">E. </w:t>
      </w:r>
      <w:proofErr w:type="spellStart"/>
      <w:r w:rsidR="000212F3">
        <w:rPr>
          <w:rFonts w:ascii="Times New Roman" w:hAnsi="Times New Roman" w:cs="Times New Roman"/>
          <w:sz w:val="22"/>
        </w:rPr>
        <w:t>Krén</w:t>
      </w:r>
      <w:proofErr w:type="spellEnd"/>
      <w:r w:rsidR="000212F3">
        <w:rPr>
          <w:rFonts w:ascii="Times New Roman" w:hAnsi="Times New Roman" w:cs="Times New Roman"/>
          <w:sz w:val="22"/>
        </w:rPr>
        <w:t xml:space="preserve"> and D. Marx, ‘St John Altarpiece’, </w:t>
      </w:r>
      <w:r w:rsidR="000212F3">
        <w:rPr>
          <w:rFonts w:ascii="Times New Roman" w:hAnsi="Times New Roman" w:cs="Times New Roman"/>
          <w:i/>
          <w:sz w:val="22"/>
        </w:rPr>
        <w:t xml:space="preserve">Web Gallery of Art </w:t>
      </w:r>
      <w:r w:rsidR="000212F3">
        <w:rPr>
          <w:rFonts w:ascii="Times New Roman" w:hAnsi="Times New Roman" w:cs="Times New Roman"/>
          <w:sz w:val="22"/>
        </w:rPr>
        <w:t xml:space="preserve">(Budapest: Web Gallery of Art, 2017). Available at </w:t>
      </w:r>
      <w:hyperlink r:id="rId2" w:history="1">
        <w:r w:rsidRPr="002A106F">
          <w:rPr>
            <w:rStyle w:val="Hyperlink"/>
            <w:rFonts w:ascii="Times New Roman" w:hAnsi="Times New Roman" w:cs="Times New Roman"/>
            <w:sz w:val="22"/>
          </w:rPr>
          <w:t>https://www.wga.hu/frames-e.html?/html/m/memling/2middle2/13john.html</w:t>
        </w:r>
      </w:hyperlink>
      <w:r w:rsidRPr="002A106F">
        <w:rPr>
          <w:rFonts w:ascii="Times New Roman" w:hAnsi="Times New Roman" w:cs="Times New Roman"/>
          <w:sz w:val="22"/>
        </w:rPr>
        <w:t xml:space="preserve"> </w:t>
      </w:r>
      <w:r w:rsidR="000212F3">
        <w:rPr>
          <w:rFonts w:ascii="Times New Roman" w:hAnsi="Times New Roman" w:cs="Times New Roman"/>
          <w:sz w:val="22"/>
        </w:rPr>
        <w:t>[accessed 27/10/2017].</w:t>
      </w:r>
    </w:p>
  </w:footnote>
  <w:footnote w:id="5">
    <w:p w14:paraId="047A524B" w14:textId="0E1BD20D" w:rsidR="0024070C" w:rsidRPr="002A106F" w:rsidRDefault="0024070C">
      <w:pPr>
        <w:pStyle w:val="FootnoteText"/>
        <w:rPr>
          <w:rFonts w:ascii="Times New Roman" w:hAnsi="Times New Roman" w:cs="Times New Roman"/>
          <w:sz w:val="22"/>
        </w:rPr>
      </w:pPr>
      <w:r w:rsidRPr="002A106F">
        <w:rPr>
          <w:rStyle w:val="FootnoteReference"/>
          <w:rFonts w:ascii="Times New Roman" w:hAnsi="Times New Roman" w:cs="Times New Roman"/>
          <w:sz w:val="22"/>
        </w:rPr>
        <w:footnoteRef/>
      </w:r>
      <w:r w:rsidRPr="002A106F">
        <w:rPr>
          <w:rFonts w:ascii="Times New Roman" w:hAnsi="Times New Roman" w:cs="Times New Roman"/>
          <w:sz w:val="22"/>
        </w:rPr>
        <w:t xml:space="preserve"> </w:t>
      </w:r>
      <w:r w:rsidR="007751F5">
        <w:rPr>
          <w:rFonts w:ascii="Times New Roman" w:hAnsi="Times New Roman" w:cs="Times New Roman"/>
          <w:i/>
          <w:sz w:val="22"/>
        </w:rPr>
        <w:t>Ibid.</w:t>
      </w:r>
    </w:p>
  </w:footnote>
  <w:footnote w:id="6">
    <w:p w14:paraId="63B3C5F6" w14:textId="1BE7B115" w:rsidR="0024070C" w:rsidRPr="007751F5" w:rsidRDefault="0024070C">
      <w:pPr>
        <w:pStyle w:val="FootnoteText"/>
        <w:rPr>
          <w:rFonts w:ascii="Times New Roman" w:hAnsi="Times New Roman" w:cs="Times New Roman"/>
          <w:i/>
          <w:sz w:val="22"/>
        </w:rPr>
      </w:pPr>
      <w:r w:rsidRPr="002A106F">
        <w:rPr>
          <w:rStyle w:val="FootnoteReference"/>
          <w:rFonts w:ascii="Times New Roman" w:hAnsi="Times New Roman" w:cs="Times New Roman"/>
          <w:sz w:val="22"/>
        </w:rPr>
        <w:footnoteRef/>
      </w:r>
      <w:r w:rsidR="007751F5">
        <w:rPr>
          <w:rFonts w:ascii="Times New Roman" w:hAnsi="Times New Roman" w:cs="Times New Roman"/>
          <w:sz w:val="22"/>
        </w:rPr>
        <w:t xml:space="preserve"> </w:t>
      </w:r>
      <w:r w:rsidR="007751F5">
        <w:rPr>
          <w:rFonts w:ascii="Times New Roman" w:hAnsi="Times New Roman" w:cs="Times New Roman"/>
          <w:i/>
          <w:sz w:val="22"/>
        </w:rPr>
        <w:t>Ibid.</w:t>
      </w:r>
    </w:p>
  </w:footnote>
  <w:footnote w:id="7">
    <w:p w14:paraId="02BE497C" w14:textId="17130736" w:rsidR="00C50550" w:rsidRPr="002A106F" w:rsidRDefault="00C50550" w:rsidP="00C50550">
      <w:pPr>
        <w:pStyle w:val="FootnoteText"/>
        <w:rPr>
          <w:rFonts w:ascii="Times New Roman" w:hAnsi="Times New Roman" w:cs="Times New Roman"/>
          <w:sz w:val="22"/>
        </w:rPr>
      </w:pPr>
      <w:r w:rsidRPr="002A106F">
        <w:rPr>
          <w:rStyle w:val="FootnoteReference"/>
          <w:rFonts w:ascii="Times New Roman" w:hAnsi="Times New Roman" w:cs="Times New Roman"/>
          <w:sz w:val="22"/>
        </w:rPr>
        <w:footnoteRef/>
      </w:r>
      <w:r w:rsidRPr="002A106F">
        <w:rPr>
          <w:rFonts w:ascii="Times New Roman" w:hAnsi="Times New Roman" w:cs="Times New Roman"/>
          <w:sz w:val="22"/>
        </w:rPr>
        <w:t xml:space="preserve"> </w:t>
      </w:r>
      <w:r w:rsidR="007751F5">
        <w:rPr>
          <w:rFonts w:ascii="Times New Roman" w:hAnsi="Times New Roman" w:cs="Times New Roman"/>
          <w:sz w:val="22"/>
        </w:rPr>
        <w:t xml:space="preserve">Collins Staff, </w:t>
      </w:r>
      <w:r w:rsidR="007751F5">
        <w:rPr>
          <w:rFonts w:ascii="Times New Roman" w:hAnsi="Times New Roman" w:cs="Times New Roman"/>
          <w:i/>
          <w:sz w:val="22"/>
        </w:rPr>
        <w:t xml:space="preserve">Holy Bible: King James Version </w:t>
      </w:r>
      <w:r w:rsidR="007751F5">
        <w:rPr>
          <w:rFonts w:ascii="Times New Roman" w:hAnsi="Times New Roman" w:cs="Times New Roman"/>
          <w:sz w:val="22"/>
        </w:rPr>
        <w:t>(Glasgow: Harper Collins2011) Mark 6:14-29.</w:t>
      </w:r>
      <w:r w:rsidRPr="002A106F">
        <w:rPr>
          <w:rFonts w:ascii="Times New Roman" w:hAnsi="Times New Roman" w:cs="Times New Roman"/>
          <w:sz w:val="22"/>
        </w:rPr>
        <w:t xml:space="preserve"> </w:t>
      </w:r>
    </w:p>
  </w:footnote>
  <w:footnote w:id="8">
    <w:p w14:paraId="5915C8BA" w14:textId="1640A206" w:rsidR="002F1B92" w:rsidRDefault="002F1B92">
      <w:pPr>
        <w:pStyle w:val="FootnoteText"/>
      </w:pPr>
      <w:r w:rsidRPr="002A106F">
        <w:rPr>
          <w:rStyle w:val="FootnoteReference"/>
          <w:rFonts w:ascii="Times New Roman" w:hAnsi="Times New Roman" w:cs="Times New Roman"/>
          <w:sz w:val="22"/>
        </w:rPr>
        <w:footnoteRef/>
      </w:r>
      <w:r w:rsidRPr="002A106F">
        <w:rPr>
          <w:rFonts w:ascii="Times New Roman" w:hAnsi="Times New Roman" w:cs="Times New Roman"/>
          <w:sz w:val="22"/>
        </w:rPr>
        <w:t xml:space="preserve"> </w:t>
      </w:r>
      <w:proofErr w:type="spellStart"/>
      <w:r w:rsidR="00D54245">
        <w:rPr>
          <w:rFonts w:ascii="Times New Roman" w:hAnsi="Times New Roman" w:cs="Times New Roman"/>
          <w:sz w:val="22"/>
        </w:rPr>
        <w:t>Krén</w:t>
      </w:r>
      <w:proofErr w:type="spellEnd"/>
      <w:r w:rsidR="00D54245">
        <w:rPr>
          <w:rFonts w:ascii="Times New Roman" w:hAnsi="Times New Roman" w:cs="Times New Roman"/>
          <w:sz w:val="22"/>
        </w:rPr>
        <w:t xml:space="preserve"> and Marx, ‘St John Altarpiece’, [accessed 27/10/2017].</w:t>
      </w:r>
    </w:p>
  </w:footnote>
  <w:footnote w:id="9">
    <w:p w14:paraId="33C267A2" w14:textId="6EA02ED9" w:rsidR="0039020C" w:rsidRPr="002A106F" w:rsidRDefault="0039020C">
      <w:pPr>
        <w:pStyle w:val="FootnoteText"/>
        <w:rPr>
          <w:rFonts w:ascii="Times New Roman" w:hAnsi="Times New Roman" w:cs="Times New Roman"/>
          <w:sz w:val="22"/>
        </w:rPr>
      </w:pPr>
      <w:r w:rsidRPr="002A106F">
        <w:rPr>
          <w:rStyle w:val="FootnoteReference"/>
          <w:rFonts w:ascii="Times New Roman" w:hAnsi="Times New Roman" w:cs="Times New Roman"/>
          <w:sz w:val="22"/>
        </w:rPr>
        <w:footnoteRef/>
      </w:r>
      <w:r w:rsidRPr="002A106F">
        <w:rPr>
          <w:rFonts w:ascii="Times New Roman" w:hAnsi="Times New Roman" w:cs="Times New Roman"/>
          <w:sz w:val="22"/>
        </w:rPr>
        <w:t xml:space="preserve"> </w:t>
      </w:r>
      <w:r w:rsidR="007751F5">
        <w:rPr>
          <w:rFonts w:ascii="Times New Roman" w:hAnsi="Times New Roman" w:cs="Times New Roman"/>
          <w:sz w:val="22"/>
        </w:rPr>
        <w:t xml:space="preserve">Collins Staff, </w:t>
      </w:r>
      <w:r w:rsidR="007751F5">
        <w:rPr>
          <w:rFonts w:ascii="Times New Roman" w:hAnsi="Times New Roman" w:cs="Times New Roman"/>
          <w:i/>
          <w:sz w:val="22"/>
        </w:rPr>
        <w:t xml:space="preserve">Holy Bible: King James Version, </w:t>
      </w:r>
      <w:r w:rsidR="001935EF" w:rsidRPr="002A106F">
        <w:rPr>
          <w:rFonts w:ascii="Times New Roman" w:hAnsi="Times New Roman" w:cs="Times New Roman"/>
          <w:sz w:val="22"/>
        </w:rPr>
        <w:t>Revelations 6</w:t>
      </w:r>
      <w:r w:rsidR="007751F5">
        <w:rPr>
          <w:rFonts w:ascii="Times New Roman" w:hAnsi="Times New Roman" w:cs="Times New Roman"/>
          <w:sz w:val="22"/>
        </w:rPr>
        <w:t>:</w:t>
      </w:r>
      <w:r w:rsidR="001935EF" w:rsidRPr="002A106F">
        <w:rPr>
          <w:rFonts w:ascii="Times New Roman" w:hAnsi="Times New Roman" w:cs="Times New Roman"/>
          <w:sz w:val="22"/>
        </w:rPr>
        <w:t xml:space="preserve"> 2</w:t>
      </w:r>
      <w:r w:rsidR="007751F5">
        <w:rPr>
          <w:rFonts w:ascii="Times New Roman" w:hAnsi="Times New Roman" w:cs="Times New Roman"/>
          <w:sz w:val="22"/>
        </w:rPr>
        <w:t xml:space="preserve">-8; </w:t>
      </w:r>
      <w:r w:rsidR="001935EF" w:rsidRPr="002A106F">
        <w:rPr>
          <w:rFonts w:ascii="Times New Roman" w:hAnsi="Times New Roman" w:cs="Times New Roman"/>
          <w:sz w:val="22"/>
        </w:rPr>
        <w:t>12</w:t>
      </w:r>
      <w:r w:rsidR="007751F5">
        <w:rPr>
          <w:rFonts w:ascii="Times New Roman" w:hAnsi="Times New Roman" w:cs="Times New Roman"/>
          <w:sz w:val="22"/>
        </w:rPr>
        <w:t>:</w:t>
      </w:r>
      <w:r w:rsidR="001935EF" w:rsidRPr="002A106F">
        <w:rPr>
          <w:rFonts w:ascii="Times New Roman" w:hAnsi="Times New Roman" w:cs="Times New Roman"/>
          <w:sz w:val="22"/>
        </w:rPr>
        <w:t xml:space="preserve"> 1</w:t>
      </w:r>
      <w:r w:rsidR="007751F5">
        <w:rPr>
          <w:rFonts w:ascii="Times New Roman" w:hAnsi="Times New Roman" w:cs="Times New Roman"/>
          <w:sz w:val="22"/>
        </w:rPr>
        <w:t>-</w:t>
      </w:r>
      <w:r w:rsidR="001935EF" w:rsidRPr="002A106F">
        <w:rPr>
          <w:rFonts w:ascii="Times New Roman" w:hAnsi="Times New Roman" w:cs="Times New Roman"/>
          <w:sz w:val="22"/>
        </w:rPr>
        <w:t>4</w:t>
      </w:r>
      <w:r w:rsidR="007751F5">
        <w:rPr>
          <w:rFonts w:ascii="Times New Roman" w:hAnsi="Times New Roman" w:cs="Times New Roman"/>
          <w:sz w:val="22"/>
        </w:rPr>
        <w:t>.</w:t>
      </w:r>
      <w:r w:rsidR="001935EF" w:rsidRPr="002A106F">
        <w:rPr>
          <w:rFonts w:ascii="Times New Roman" w:hAnsi="Times New Roman" w:cs="Times New Roman"/>
          <w:sz w:val="22"/>
        </w:rPr>
        <w:t xml:space="preserve"> </w:t>
      </w:r>
      <w:r w:rsidR="00774A67" w:rsidRPr="002A106F">
        <w:rPr>
          <w:rFonts w:ascii="Times New Roman" w:hAnsi="Times New Roman" w:cs="Times New Roman"/>
          <w:sz w:val="22"/>
        </w:rPr>
        <w:t xml:space="preserve"> </w:t>
      </w:r>
    </w:p>
  </w:footnote>
  <w:footnote w:id="10">
    <w:p w14:paraId="0297962C" w14:textId="3E0F7259" w:rsidR="00F0674E" w:rsidRPr="002A106F" w:rsidRDefault="00F0674E">
      <w:pPr>
        <w:pStyle w:val="FootnoteText"/>
        <w:rPr>
          <w:rFonts w:ascii="Times New Roman" w:hAnsi="Times New Roman" w:cs="Times New Roman"/>
          <w:sz w:val="22"/>
        </w:rPr>
      </w:pPr>
      <w:r w:rsidRPr="002A106F">
        <w:rPr>
          <w:rStyle w:val="FootnoteReference"/>
          <w:rFonts w:ascii="Times New Roman" w:hAnsi="Times New Roman" w:cs="Times New Roman"/>
          <w:sz w:val="22"/>
        </w:rPr>
        <w:footnoteRef/>
      </w:r>
      <w:r w:rsidRPr="002A106F">
        <w:rPr>
          <w:rFonts w:ascii="Times New Roman" w:hAnsi="Times New Roman" w:cs="Times New Roman"/>
          <w:sz w:val="22"/>
        </w:rPr>
        <w:t xml:space="preserve"> </w:t>
      </w:r>
      <w:r w:rsidR="00D54245">
        <w:rPr>
          <w:rFonts w:ascii="Times New Roman" w:hAnsi="Times New Roman" w:cs="Times New Roman"/>
          <w:sz w:val="22"/>
        </w:rPr>
        <w:t xml:space="preserve">J. Herrin, ‘The </w:t>
      </w:r>
      <w:r w:rsidRPr="002A106F">
        <w:rPr>
          <w:rFonts w:ascii="Times New Roman" w:hAnsi="Times New Roman" w:cs="Times New Roman"/>
          <w:sz w:val="22"/>
        </w:rPr>
        <w:t>Fall of Constantinople</w:t>
      </w:r>
      <w:r w:rsidR="00D54245">
        <w:rPr>
          <w:rFonts w:ascii="Times New Roman" w:hAnsi="Times New Roman" w:cs="Times New Roman"/>
          <w:sz w:val="22"/>
        </w:rPr>
        <w:t xml:space="preserve">’, </w:t>
      </w:r>
      <w:r w:rsidR="00D54245">
        <w:rPr>
          <w:rFonts w:ascii="Times New Roman" w:hAnsi="Times New Roman" w:cs="Times New Roman"/>
          <w:i/>
          <w:sz w:val="22"/>
        </w:rPr>
        <w:t xml:space="preserve">History Today, </w:t>
      </w:r>
      <w:r w:rsidR="00D54245">
        <w:rPr>
          <w:rFonts w:ascii="Times New Roman" w:hAnsi="Times New Roman" w:cs="Times New Roman"/>
          <w:sz w:val="22"/>
        </w:rPr>
        <w:t xml:space="preserve">Volume 53, Issue 6, </w:t>
      </w:r>
      <w:proofErr w:type="gramStart"/>
      <w:r w:rsidR="00D54245">
        <w:rPr>
          <w:rFonts w:ascii="Times New Roman" w:hAnsi="Times New Roman" w:cs="Times New Roman"/>
          <w:sz w:val="22"/>
        </w:rPr>
        <w:t>July</w:t>
      </w:r>
      <w:proofErr w:type="gramEnd"/>
      <w:r w:rsidR="00D54245">
        <w:rPr>
          <w:rFonts w:ascii="Times New Roman" w:hAnsi="Times New Roman" w:cs="Times New Roman"/>
          <w:sz w:val="22"/>
        </w:rPr>
        <w:t xml:space="preserve"> 2003 (London: History Today, 2003). Available at </w:t>
      </w:r>
      <w:hyperlink r:id="rId3" w:history="1">
        <w:r w:rsidR="00D54245" w:rsidRPr="00B451F1">
          <w:rPr>
            <w:rStyle w:val="Hyperlink"/>
            <w:rFonts w:ascii="Times New Roman" w:hAnsi="Times New Roman" w:cs="Times New Roman"/>
            <w:sz w:val="22"/>
          </w:rPr>
          <w:t>http://www.historytoday.com/judith-herrin/fall-constantinople</w:t>
        </w:r>
      </w:hyperlink>
      <w:r w:rsidR="00D54245">
        <w:rPr>
          <w:rFonts w:ascii="Times New Roman" w:hAnsi="Times New Roman" w:cs="Times New Roman"/>
          <w:sz w:val="22"/>
        </w:rPr>
        <w:t xml:space="preserve"> [accessed 27/10/2017].</w:t>
      </w:r>
    </w:p>
  </w:footnote>
  <w:footnote w:id="11">
    <w:p w14:paraId="79FB5A89" w14:textId="7FA225CE" w:rsidR="00FB6DC7" w:rsidRPr="00985A2F" w:rsidRDefault="00FB6DC7" w:rsidP="00985A2F">
      <w:pPr>
        <w:pStyle w:val="NoSpacing"/>
        <w:rPr>
          <w:rFonts w:ascii="Times New Roman" w:hAnsi="Times New Roman" w:cs="Times New Roman"/>
        </w:rPr>
      </w:pPr>
      <w:r w:rsidRPr="00985A2F">
        <w:rPr>
          <w:rStyle w:val="FootnoteReference"/>
          <w:rFonts w:ascii="Times New Roman" w:hAnsi="Times New Roman" w:cs="Times New Roman"/>
        </w:rPr>
        <w:footnoteRef/>
      </w:r>
      <w:r w:rsidRPr="00985A2F">
        <w:rPr>
          <w:rFonts w:ascii="Times New Roman" w:hAnsi="Times New Roman" w:cs="Times New Roman"/>
        </w:rPr>
        <w:t xml:space="preserve"> </w:t>
      </w:r>
      <w:proofErr w:type="spellStart"/>
      <w:r w:rsidR="00760BB2" w:rsidRPr="00985A2F">
        <w:rPr>
          <w:rFonts w:ascii="Times New Roman" w:hAnsi="Times New Roman" w:cs="Times New Roman"/>
        </w:rPr>
        <w:t>Krén</w:t>
      </w:r>
      <w:proofErr w:type="spellEnd"/>
      <w:r w:rsidR="00760BB2" w:rsidRPr="00985A2F">
        <w:rPr>
          <w:rFonts w:ascii="Times New Roman" w:hAnsi="Times New Roman" w:cs="Times New Roman"/>
        </w:rPr>
        <w:t xml:space="preserve"> and Marx, ‘St John Altarpiece’ [accessed 27/10/2017].</w:t>
      </w:r>
    </w:p>
  </w:footnote>
  <w:footnote w:id="12">
    <w:p w14:paraId="7AE73AD9" w14:textId="71B0A36F" w:rsidR="00985A2F" w:rsidRDefault="00985A2F" w:rsidP="00985A2F">
      <w:pPr>
        <w:pStyle w:val="NoSpacing"/>
      </w:pPr>
      <w:r w:rsidRPr="00985A2F">
        <w:rPr>
          <w:rStyle w:val="FootnoteReference"/>
          <w:rFonts w:ascii="Times New Roman" w:hAnsi="Times New Roman" w:cs="Times New Roman"/>
        </w:rPr>
        <w:footnoteRef/>
      </w:r>
      <w:r>
        <w:t xml:space="preserve"> </w:t>
      </w:r>
      <w:r>
        <w:rPr>
          <w:rFonts w:ascii="Times New Roman" w:hAnsi="Times New Roman" w:cs="Times New Roman"/>
        </w:rPr>
        <w:t xml:space="preserve">Herrin, ‘The </w:t>
      </w:r>
      <w:r w:rsidRPr="002A106F">
        <w:rPr>
          <w:rFonts w:ascii="Times New Roman" w:hAnsi="Times New Roman" w:cs="Times New Roman"/>
        </w:rPr>
        <w:t>Fall of Constantinople</w:t>
      </w:r>
      <w:r>
        <w:rPr>
          <w:rFonts w:ascii="Times New Roman" w:hAnsi="Times New Roman" w:cs="Times New Roman"/>
        </w:rPr>
        <w:t>’ [accessed 27/10/2017].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305E"/>
    <w:rsid w:val="0000360F"/>
    <w:rsid w:val="000212F3"/>
    <w:rsid w:val="000811D4"/>
    <w:rsid w:val="000B5CD2"/>
    <w:rsid w:val="000F1E65"/>
    <w:rsid w:val="00101BDD"/>
    <w:rsid w:val="00110C9E"/>
    <w:rsid w:val="001228ED"/>
    <w:rsid w:val="001325A0"/>
    <w:rsid w:val="00160E62"/>
    <w:rsid w:val="0017297A"/>
    <w:rsid w:val="001935EF"/>
    <w:rsid w:val="001C083E"/>
    <w:rsid w:val="001C72EF"/>
    <w:rsid w:val="001D2CD7"/>
    <w:rsid w:val="001E5E5E"/>
    <w:rsid w:val="00201199"/>
    <w:rsid w:val="002217B9"/>
    <w:rsid w:val="0024070C"/>
    <w:rsid w:val="0024674C"/>
    <w:rsid w:val="00256D07"/>
    <w:rsid w:val="00293F1A"/>
    <w:rsid w:val="002A049D"/>
    <w:rsid w:val="002A106F"/>
    <w:rsid w:val="002A144C"/>
    <w:rsid w:val="002F1B92"/>
    <w:rsid w:val="00312C1A"/>
    <w:rsid w:val="00380857"/>
    <w:rsid w:val="0039020C"/>
    <w:rsid w:val="003E4375"/>
    <w:rsid w:val="00486A10"/>
    <w:rsid w:val="004A5086"/>
    <w:rsid w:val="0053754C"/>
    <w:rsid w:val="00540351"/>
    <w:rsid w:val="005872A5"/>
    <w:rsid w:val="005E543F"/>
    <w:rsid w:val="0061096B"/>
    <w:rsid w:val="006172E6"/>
    <w:rsid w:val="006412DB"/>
    <w:rsid w:val="0065305E"/>
    <w:rsid w:val="00662B3C"/>
    <w:rsid w:val="00684B0B"/>
    <w:rsid w:val="006B0B7F"/>
    <w:rsid w:val="006E0500"/>
    <w:rsid w:val="00705606"/>
    <w:rsid w:val="00710362"/>
    <w:rsid w:val="007161BA"/>
    <w:rsid w:val="0074221A"/>
    <w:rsid w:val="0075591A"/>
    <w:rsid w:val="00756A92"/>
    <w:rsid w:val="00760BB2"/>
    <w:rsid w:val="00761605"/>
    <w:rsid w:val="00774A67"/>
    <w:rsid w:val="007751F5"/>
    <w:rsid w:val="007976D4"/>
    <w:rsid w:val="007D0BE6"/>
    <w:rsid w:val="008116CA"/>
    <w:rsid w:val="008A7FF2"/>
    <w:rsid w:val="008E46E1"/>
    <w:rsid w:val="0094252D"/>
    <w:rsid w:val="009651A5"/>
    <w:rsid w:val="00985392"/>
    <w:rsid w:val="00985A2F"/>
    <w:rsid w:val="00987F68"/>
    <w:rsid w:val="009B6EA8"/>
    <w:rsid w:val="00A03156"/>
    <w:rsid w:val="00A3509E"/>
    <w:rsid w:val="00A829B2"/>
    <w:rsid w:val="00AC7C25"/>
    <w:rsid w:val="00AD7027"/>
    <w:rsid w:val="00AF5C3C"/>
    <w:rsid w:val="00B76A77"/>
    <w:rsid w:val="00BC045F"/>
    <w:rsid w:val="00BC6EEF"/>
    <w:rsid w:val="00C01552"/>
    <w:rsid w:val="00C27ABD"/>
    <w:rsid w:val="00C50550"/>
    <w:rsid w:val="00C658CA"/>
    <w:rsid w:val="00D25398"/>
    <w:rsid w:val="00D31495"/>
    <w:rsid w:val="00D50916"/>
    <w:rsid w:val="00D54245"/>
    <w:rsid w:val="00D55ADF"/>
    <w:rsid w:val="00D8276E"/>
    <w:rsid w:val="00D85075"/>
    <w:rsid w:val="00DC1C19"/>
    <w:rsid w:val="00DE09E9"/>
    <w:rsid w:val="00DF3D42"/>
    <w:rsid w:val="00DF40BA"/>
    <w:rsid w:val="00E01853"/>
    <w:rsid w:val="00E35D61"/>
    <w:rsid w:val="00E70929"/>
    <w:rsid w:val="00F0674E"/>
    <w:rsid w:val="00F07E25"/>
    <w:rsid w:val="00F93F2D"/>
    <w:rsid w:val="00F96C40"/>
    <w:rsid w:val="00FA7E88"/>
    <w:rsid w:val="00FB6DC7"/>
    <w:rsid w:val="00FD00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EDA8C2"/>
  <w15:docId w15:val="{2DA1FECE-E7FC-4ADE-BD5D-66310082F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omic Sans MS" w:eastAsiaTheme="minorHAnsi" w:hAnsi="Comic Sans MS"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E050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E0500"/>
    <w:rPr>
      <w:sz w:val="20"/>
      <w:szCs w:val="20"/>
    </w:rPr>
  </w:style>
  <w:style w:type="character" w:styleId="FootnoteReference">
    <w:name w:val="footnote reference"/>
    <w:basedOn w:val="DefaultParagraphFont"/>
    <w:uiPriority w:val="99"/>
    <w:semiHidden/>
    <w:unhideWhenUsed/>
    <w:rsid w:val="006E0500"/>
    <w:rPr>
      <w:vertAlign w:val="superscript"/>
    </w:rPr>
  </w:style>
  <w:style w:type="character" w:styleId="Hyperlink">
    <w:name w:val="Hyperlink"/>
    <w:basedOn w:val="DefaultParagraphFont"/>
    <w:uiPriority w:val="99"/>
    <w:unhideWhenUsed/>
    <w:rsid w:val="006E0500"/>
    <w:rPr>
      <w:color w:val="0563C1" w:themeColor="hyperlink"/>
      <w:u w:val="single"/>
    </w:rPr>
  </w:style>
  <w:style w:type="paragraph" w:styleId="Header">
    <w:name w:val="header"/>
    <w:basedOn w:val="Normal"/>
    <w:link w:val="HeaderChar"/>
    <w:uiPriority w:val="99"/>
    <w:unhideWhenUsed/>
    <w:rsid w:val="00B76A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6A77"/>
  </w:style>
  <w:style w:type="paragraph" w:styleId="Footer">
    <w:name w:val="footer"/>
    <w:basedOn w:val="Normal"/>
    <w:link w:val="FooterChar"/>
    <w:uiPriority w:val="99"/>
    <w:unhideWhenUsed/>
    <w:rsid w:val="00B76A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6A77"/>
  </w:style>
  <w:style w:type="character" w:styleId="CommentReference">
    <w:name w:val="annotation reference"/>
    <w:basedOn w:val="DefaultParagraphFont"/>
    <w:uiPriority w:val="99"/>
    <w:semiHidden/>
    <w:unhideWhenUsed/>
    <w:rsid w:val="00C01552"/>
    <w:rPr>
      <w:sz w:val="16"/>
      <w:szCs w:val="16"/>
    </w:rPr>
  </w:style>
  <w:style w:type="paragraph" w:styleId="CommentText">
    <w:name w:val="annotation text"/>
    <w:basedOn w:val="Normal"/>
    <w:link w:val="CommentTextChar"/>
    <w:uiPriority w:val="99"/>
    <w:semiHidden/>
    <w:unhideWhenUsed/>
    <w:rsid w:val="00C01552"/>
    <w:pPr>
      <w:spacing w:line="240" w:lineRule="auto"/>
    </w:pPr>
    <w:rPr>
      <w:sz w:val="20"/>
      <w:szCs w:val="20"/>
    </w:rPr>
  </w:style>
  <w:style w:type="character" w:customStyle="1" w:styleId="CommentTextChar">
    <w:name w:val="Comment Text Char"/>
    <w:basedOn w:val="DefaultParagraphFont"/>
    <w:link w:val="CommentText"/>
    <w:uiPriority w:val="99"/>
    <w:semiHidden/>
    <w:rsid w:val="00C01552"/>
    <w:rPr>
      <w:sz w:val="20"/>
      <w:szCs w:val="20"/>
    </w:rPr>
  </w:style>
  <w:style w:type="paragraph" w:styleId="CommentSubject">
    <w:name w:val="annotation subject"/>
    <w:basedOn w:val="CommentText"/>
    <w:next w:val="CommentText"/>
    <w:link w:val="CommentSubjectChar"/>
    <w:uiPriority w:val="99"/>
    <w:semiHidden/>
    <w:unhideWhenUsed/>
    <w:rsid w:val="00C01552"/>
    <w:rPr>
      <w:b/>
      <w:bCs/>
    </w:rPr>
  </w:style>
  <w:style w:type="character" w:customStyle="1" w:styleId="CommentSubjectChar">
    <w:name w:val="Comment Subject Char"/>
    <w:basedOn w:val="CommentTextChar"/>
    <w:link w:val="CommentSubject"/>
    <w:uiPriority w:val="99"/>
    <w:semiHidden/>
    <w:rsid w:val="00C01552"/>
    <w:rPr>
      <w:b/>
      <w:bCs/>
      <w:sz w:val="20"/>
      <w:szCs w:val="20"/>
    </w:rPr>
  </w:style>
  <w:style w:type="paragraph" w:styleId="BalloonText">
    <w:name w:val="Balloon Text"/>
    <w:basedOn w:val="Normal"/>
    <w:link w:val="BalloonTextChar"/>
    <w:uiPriority w:val="99"/>
    <w:semiHidden/>
    <w:unhideWhenUsed/>
    <w:rsid w:val="00C015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1552"/>
    <w:rPr>
      <w:rFonts w:ascii="Segoe UI" w:hAnsi="Segoe UI" w:cs="Segoe UI"/>
      <w:sz w:val="18"/>
      <w:szCs w:val="18"/>
    </w:rPr>
  </w:style>
  <w:style w:type="paragraph" w:styleId="NoSpacing">
    <w:name w:val="No Spacing"/>
    <w:uiPriority w:val="1"/>
    <w:qFormat/>
    <w:rsid w:val="00985A2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vlaamseprimitieven.vlaamsekunstcollectie.be/en/research/webpublications/hans-memling-biograph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wga.hu/frames-e.html?/html/m/memling/2middle2/13john.html" TargetMode="External"/><Relationship Id="rId5" Type="http://schemas.openxmlformats.org/officeDocument/2006/relationships/footnotes" Target="footnotes.xml"/><Relationship Id="rId10" Type="http://schemas.openxmlformats.org/officeDocument/2006/relationships/hyperlink" Target="http://www.historytoday.com/judith-herrin/fall-constantinople"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www.historytoday.com/judith-herrin/fall-constantinople" TargetMode="External"/><Relationship Id="rId2" Type="http://schemas.openxmlformats.org/officeDocument/2006/relationships/hyperlink" Target="https://www.wga.hu/frames-e.html?/html/m/memling/2middle2/13john.html" TargetMode="External"/><Relationship Id="rId1" Type="http://schemas.openxmlformats.org/officeDocument/2006/relationships/hyperlink" Target="http://vlaamseprimitieven.vlaamsekunstcollectie.be/en/research/webpublications/hans-memling-biograph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43F2FA-2AB8-4627-BDE1-A780EFE21E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1105</Words>
  <Characters>6303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Dalby</dc:creator>
  <cp:keywords/>
  <dc:description/>
  <cp:lastModifiedBy>Charlotte Dalby</cp:lastModifiedBy>
  <cp:revision>2</cp:revision>
  <dcterms:created xsi:type="dcterms:W3CDTF">2017-11-08T13:14:00Z</dcterms:created>
  <dcterms:modified xsi:type="dcterms:W3CDTF">2017-11-08T13:14:00Z</dcterms:modified>
</cp:coreProperties>
</file>