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pacing w:after="160" w:before="600" w:lineRule="auto"/>
        <w:jc w:val="center"/>
        <w:rPr/>
      </w:pPr>
      <w:r w:rsidDel="00000000" w:rsidR="00000000" w:rsidRPr="00000000">
        <w:rPr>
          <w:rFonts w:ascii="Arial" w:cs="Arial" w:eastAsia="Arial" w:hAnsi="Arial"/>
          <w:b w:val="1"/>
          <w:bCs w:val="1"/>
          <w:color w:val="1a3e6a"/>
          <w:sz w:val="44"/>
          <w:szCs w:val="44"/>
          <w:rtl w:val="0"/>
        </w:rPr>
        <w:t xml:space="preserve">STAKEHOLDER ENGAGEMENT REPORT</w:t>
      </w:r>
      <w:r w:rsidDel="00000000" w:rsidR="00000000" w:rsidRPr="00000000">
        <w:rPr>
          <w:rtl w:val="0"/>
        </w:rPr>
      </w:r>
    </w:p>
    <w:p w:rsidR="00000000" w:rsidDel="00000000" w:rsidP="00000000" w:rsidRDefault="00000000" w:rsidRPr="00000000" w14:paraId="00000005">
      <w:pPr>
        <w:spacing w:after="80" w:before="80" w:lineRule="auto"/>
        <w:jc w:val="center"/>
        <w:rPr/>
      </w:pPr>
      <w:r w:rsidDel="00000000" w:rsidR="00000000" w:rsidRPr="00000000">
        <w:rPr>
          <w:rFonts w:ascii="Arial" w:cs="Arial" w:eastAsia="Arial" w:hAnsi="Arial"/>
          <w:color w:val="003366"/>
          <w:sz w:val="28"/>
          <w:szCs w:val="28"/>
          <w:rtl w:val="0"/>
        </w:rPr>
        <w:t xml:space="preserve">StaySmart+ Premium Guest Experience Service Launch</w:t>
      </w:r>
      <w:r w:rsidDel="00000000" w:rsidR="00000000" w:rsidRPr="00000000">
        <w:rPr>
          <w:rtl w:val="0"/>
        </w:rPr>
      </w:r>
    </w:p>
    <w:p w:rsidR="00000000" w:rsidDel="00000000" w:rsidP="00000000" w:rsidRDefault="00000000" w:rsidRPr="00000000" w14:paraId="00000006">
      <w:pPr>
        <w:spacing w:after="60" w:before="60" w:lineRule="auto"/>
        <w:jc w:val="center"/>
        <w:rPr>
          <w:sz w:val="26"/>
          <w:szCs w:val="26"/>
        </w:rPr>
      </w:pPr>
      <w:r w:rsidDel="00000000" w:rsidR="00000000" w:rsidRPr="00000000">
        <w:rPr>
          <w:rFonts w:ascii="Arial" w:cs="Arial" w:eastAsia="Arial" w:hAnsi="Arial"/>
          <w:color w:val="555555"/>
          <w:sz w:val="26"/>
          <w:szCs w:val="26"/>
          <w:rtl w:val="0"/>
        </w:rPr>
        <w:t xml:space="preserve">Marriott International | London Operations</w:t>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rFonts w:ascii="Arial" w:cs="Arial" w:eastAsia="Arial" w:hAnsi="Arial"/>
          <w:sz w:val="24"/>
          <w:szCs w:val="24"/>
          <w:rtl w:val="0"/>
        </w:rPr>
        <w:t xml:space="preserve">Prepared by: </w:t>
      </w:r>
      <w:hyperlink r:id="rId7">
        <w:r w:rsidDel="00000000" w:rsidR="00000000" w:rsidRPr="00000000">
          <w:rPr>
            <w:color w:val="0000ee"/>
            <w:sz w:val="24"/>
            <w:szCs w:val="24"/>
            <w:u w:val="single"/>
            <w:rtl w:val="0"/>
          </w:rPr>
          <w:t xml:space="preserve">Latoya Davis</w:t>
        </w:r>
      </w:hyperlink>
      <w:r w:rsidDel="00000000" w:rsidR="00000000" w:rsidRPr="00000000">
        <w:rPr>
          <w:rtl w:val="0"/>
        </w:rPr>
      </w:r>
    </w:p>
    <w:p w:rsidR="00000000" w:rsidDel="00000000" w:rsidP="00000000" w:rsidRDefault="00000000" w:rsidRPr="00000000" w14:paraId="0000000A">
      <w:pPr>
        <w:jc w:val="center"/>
        <w:rPr>
          <w:sz w:val="24"/>
          <w:szCs w:val="24"/>
        </w:rPr>
      </w:pPr>
      <w:r w:rsidDel="00000000" w:rsidR="00000000" w:rsidRPr="00000000">
        <w:rPr>
          <w:sz w:val="24"/>
          <w:szCs w:val="24"/>
          <w:rtl w:val="0"/>
        </w:rPr>
        <w:t xml:space="preserve">Student ID: 2428456</w:t>
      </w:r>
    </w:p>
    <w:p w:rsidR="00000000" w:rsidDel="00000000" w:rsidP="00000000" w:rsidRDefault="00000000" w:rsidRPr="00000000" w14:paraId="0000000B">
      <w:pPr>
        <w:jc w:val="center"/>
        <w:rPr>
          <w:sz w:val="24"/>
          <w:szCs w:val="24"/>
        </w:rPr>
      </w:pPr>
      <w:r w:rsidDel="00000000" w:rsidR="00000000" w:rsidRPr="00000000">
        <w:rPr>
          <w:rFonts w:ascii="Arial" w:cs="Arial" w:eastAsia="Arial" w:hAnsi="Arial"/>
          <w:sz w:val="24"/>
          <w:szCs w:val="24"/>
          <w:rtl w:val="0"/>
        </w:rPr>
        <w:t xml:space="preserve">Module: Project Management &amp; Stakeholder Engagement(LCLM5001)</w:t>
      </w:r>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rFonts w:ascii="Arial" w:cs="Arial" w:eastAsia="Arial" w:hAnsi="Arial"/>
          <w:sz w:val="24"/>
          <w:szCs w:val="24"/>
          <w:rtl w:val="0"/>
        </w:rPr>
        <w:t xml:space="preserve">Level 5 | University of Wales Trinity Saint David (UWTSD)</w:t>
      </w:r>
      <w:r w:rsidDel="00000000" w:rsidR="00000000" w:rsidRPr="00000000">
        <w:rPr>
          <w:rtl w:val="0"/>
        </w:rPr>
      </w:r>
    </w:p>
    <w:p w:rsidR="00000000" w:rsidDel="00000000" w:rsidP="00000000" w:rsidRDefault="00000000" w:rsidRPr="00000000" w14:paraId="0000000D">
      <w:pPr>
        <w:jc w:val="center"/>
        <w:rPr/>
      </w:pPr>
      <w:r w:rsidDel="00000000" w:rsidR="00000000" w:rsidRPr="00000000">
        <w:rPr>
          <w:sz w:val="24"/>
          <w:szCs w:val="24"/>
          <w:rtl w:val="0"/>
        </w:rPr>
        <w:t xml:space="preserve">Due </w:t>
      </w:r>
      <w:r w:rsidDel="00000000" w:rsidR="00000000" w:rsidRPr="00000000">
        <w:rPr>
          <w:rFonts w:ascii="Arial" w:cs="Arial" w:eastAsia="Arial" w:hAnsi="Arial"/>
          <w:sz w:val="24"/>
          <w:szCs w:val="24"/>
          <w:rtl w:val="0"/>
        </w:rPr>
        <w:t xml:space="preserve">Date of Submission: </w:t>
      </w:r>
      <w:r w:rsidDel="00000000" w:rsidR="00000000" w:rsidRPr="00000000">
        <w:rPr>
          <w:sz w:val="24"/>
          <w:szCs w:val="24"/>
          <w:rtl w:val="0"/>
        </w:rPr>
        <w:t xml:space="preserve">March 23, 2026</w:t>
      </w: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Executive Summary</w:t>
      </w:r>
      <w:r w:rsidDel="00000000" w:rsidR="00000000" w:rsidRPr="00000000">
        <w:rPr>
          <w:rtl w:val="0"/>
        </w:rPr>
      </w:r>
    </w:p>
    <w:p w:rsidR="00000000" w:rsidDel="00000000" w:rsidP="00000000" w:rsidRDefault="00000000" w:rsidRPr="00000000" w14:paraId="0000000F">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This report examines the stakeholder engagement strategy required for the successful launch of StaySmart+, an AI-driven premium guest experience service, across Marriott International's global portfolio. As Project Manager, the report draws on stakeholder theory, the Power-Interest Matrix, and the 4C's Model of stakeholder engagement to identify, prioritise, and engage key internal and external stakeholders across diverse cultural and market contexts.</w:t>
      </w:r>
      <w:r w:rsidDel="00000000" w:rsidR="00000000" w:rsidRPr="00000000">
        <w:rPr>
          <w:rtl w:val="0"/>
        </w:rPr>
      </w:r>
    </w:p>
    <w:p w:rsidR="00000000" w:rsidDel="00000000" w:rsidP="00000000" w:rsidRDefault="00000000" w:rsidRPr="00000000" w14:paraId="00000010">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The report applies a range of management tools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including a SWOT analysis, PESTLE analysis, RACI Matrix, stakeholder map, engagement plan, and communication plan</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to provide a structured framework for project governance. The critical evaluation reveals that effective stakeholder engagement directly enhances business performance through increased revenue, improved brand equity, stronger employee commitment, and reduced operational risk. The report concludes with seven strategic recommendations for sustaining long-term stakeholder relationships beyond the launch phase.</w:t>
      </w:r>
      <w:r w:rsidDel="00000000" w:rsidR="00000000" w:rsidRPr="00000000">
        <w:rPr>
          <w:rtl w:val="0"/>
        </w:rPr>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Table of Contents</w:t>
      </w:r>
      <w:r w:rsidDel="00000000" w:rsidR="00000000" w:rsidRPr="00000000">
        <w:rPr>
          <w:rtl w:val="0"/>
        </w:rPr>
      </w:r>
    </w:p>
    <w:p w:rsidR="00000000" w:rsidDel="00000000" w:rsidP="00000000" w:rsidRDefault="00000000" w:rsidRPr="00000000" w14:paraId="00000013">
      <w:pPr>
        <w:spacing w:after="40" w:before="40" w:lineRule="auto"/>
        <w:rPr>
          <w:sz w:val="24"/>
          <w:szCs w:val="24"/>
        </w:rPr>
      </w:pPr>
      <w:r w:rsidDel="00000000" w:rsidR="00000000" w:rsidRPr="00000000">
        <w:rPr>
          <w:rFonts w:ascii="Arial" w:cs="Arial" w:eastAsia="Arial" w:hAnsi="Arial"/>
          <w:sz w:val="24"/>
          <w:szCs w:val="24"/>
          <w:rtl w:val="0"/>
        </w:rPr>
        <w:t xml:space="preserve">1. Introduction …………………………………………………………………………………4</w:t>
      </w:r>
      <w:r w:rsidDel="00000000" w:rsidR="00000000" w:rsidRPr="00000000">
        <w:rPr>
          <w:rtl w:val="0"/>
        </w:rPr>
      </w:r>
    </w:p>
    <w:p w:rsidR="00000000" w:rsidDel="00000000" w:rsidP="00000000" w:rsidRDefault="00000000" w:rsidRPr="00000000" w14:paraId="00000014">
      <w:pPr>
        <w:spacing w:after="40" w:before="40" w:lineRule="auto"/>
        <w:rPr>
          <w:sz w:val="24"/>
          <w:szCs w:val="24"/>
        </w:rPr>
      </w:pPr>
      <w:r w:rsidDel="00000000" w:rsidR="00000000" w:rsidRPr="00000000">
        <w:rPr>
          <w:rFonts w:ascii="Arial" w:cs="Arial" w:eastAsia="Arial" w:hAnsi="Arial"/>
          <w:sz w:val="24"/>
          <w:szCs w:val="24"/>
          <w:rtl w:val="0"/>
        </w:rPr>
        <w:t xml:space="preserve">   1.1  Key Term Definitions …………………………………………………………… 4</w:t>
      </w:r>
      <w:r w:rsidDel="00000000" w:rsidR="00000000" w:rsidRPr="00000000">
        <w:rPr>
          <w:rtl w:val="0"/>
        </w:rPr>
      </w:r>
    </w:p>
    <w:p w:rsidR="00000000" w:rsidDel="00000000" w:rsidP="00000000" w:rsidRDefault="00000000" w:rsidRPr="00000000" w14:paraId="00000015">
      <w:pPr>
        <w:spacing w:after="40" w:before="40" w:lineRule="auto"/>
        <w:rPr>
          <w:sz w:val="24"/>
          <w:szCs w:val="24"/>
        </w:rPr>
      </w:pPr>
      <w:r w:rsidDel="00000000" w:rsidR="00000000" w:rsidRPr="00000000">
        <w:rPr>
          <w:rFonts w:ascii="Arial" w:cs="Arial" w:eastAsia="Arial" w:hAnsi="Arial"/>
          <w:sz w:val="24"/>
          <w:szCs w:val="24"/>
          <w:rtl w:val="0"/>
        </w:rPr>
        <w:t xml:space="preserve">   1.2  Overview of the Company ………………………………………………………… 4</w:t>
      </w:r>
      <w:r w:rsidDel="00000000" w:rsidR="00000000" w:rsidRPr="00000000">
        <w:rPr>
          <w:rtl w:val="0"/>
        </w:rPr>
      </w:r>
    </w:p>
    <w:p w:rsidR="00000000" w:rsidDel="00000000" w:rsidP="00000000" w:rsidRDefault="00000000" w:rsidRPr="00000000" w14:paraId="00000016">
      <w:pPr>
        <w:spacing w:after="40" w:before="40" w:lineRule="auto"/>
        <w:rPr>
          <w:sz w:val="24"/>
          <w:szCs w:val="24"/>
        </w:rPr>
      </w:pPr>
      <w:r w:rsidDel="00000000" w:rsidR="00000000" w:rsidRPr="00000000">
        <w:rPr>
          <w:rFonts w:ascii="Arial" w:cs="Arial" w:eastAsia="Arial" w:hAnsi="Arial"/>
          <w:sz w:val="24"/>
          <w:szCs w:val="24"/>
          <w:rtl w:val="0"/>
        </w:rPr>
        <w:t xml:space="preserve">2. Situational Analysis: SWOT, PESTLE and SMART Objectives …………………… 5</w:t>
      </w:r>
      <w:r w:rsidDel="00000000" w:rsidR="00000000" w:rsidRPr="00000000">
        <w:rPr>
          <w:rtl w:val="0"/>
        </w:rPr>
      </w:r>
    </w:p>
    <w:p w:rsidR="00000000" w:rsidDel="00000000" w:rsidP="00000000" w:rsidRDefault="00000000" w:rsidRPr="00000000" w14:paraId="00000017">
      <w:pPr>
        <w:spacing w:after="40" w:before="40" w:lineRule="auto"/>
        <w:rPr>
          <w:sz w:val="24"/>
          <w:szCs w:val="24"/>
        </w:rPr>
      </w:pPr>
      <w:r w:rsidDel="00000000" w:rsidR="00000000" w:rsidRPr="00000000">
        <w:rPr>
          <w:rFonts w:ascii="Arial" w:cs="Arial" w:eastAsia="Arial" w:hAnsi="Arial"/>
          <w:sz w:val="24"/>
          <w:szCs w:val="24"/>
          <w:rtl w:val="0"/>
        </w:rPr>
        <w:t xml:space="preserve">   2.1  SWOT Analysis ……………………………………………………………………. 5</w:t>
      </w:r>
      <w:r w:rsidDel="00000000" w:rsidR="00000000" w:rsidRPr="00000000">
        <w:rPr>
          <w:rtl w:val="0"/>
        </w:rPr>
      </w:r>
    </w:p>
    <w:p w:rsidR="00000000" w:rsidDel="00000000" w:rsidP="00000000" w:rsidRDefault="00000000" w:rsidRPr="00000000" w14:paraId="00000018">
      <w:pPr>
        <w:spacing w:after="40" w:before="40" w:lineRule="auto"/>
        <w:rPr>
          <w:sz w:val="24"/>
          <w:szCs w:val="24"/>
        </w:rPr>
      </w:pPr>
      <w:r w:rsidDel="00000000" w:rsidR="00000000" w:rsidRPr="00000000">
        <w:rPr>
          <w:rFonts w:ascii="Arial" w:cs="Arial" w:eastAsia="Arial" w:hAnsi="Arial"/>
          <w:sz w:val="24"/>
          <w:szCs w:val="24"/>
          <w:rtl w:val="0"/>
        </w:rPr>
        <w:t xml:space="preserve">   2.2  PESTLE Analysis ………………………………………………………………… 5</w:t>
      </w:r>
      <w:r w:rsidDel="00000000" w:rsidR="00000000" w:rsidRPr="00000000">
        <w:rPr>
          <w:rtl w:val="0"/>
        </w:rPr>
      </w:r>
    </w:p>
    <w:p w:rsidR="00000000" w:rsidDel="00000000" w:rsidP="00000000" w:rsidRDefault="00000000" w:rsidRPr="00000000" w14:paraId="00000019">
      <w:pPr>
        <w:spacing w:after="40" w:before="40" w:lineRule="auto"/>
        <w:rPr>
          <w:sz w:val="24"/>
          <w:szCs w:val="24"/>
        </w:rPr>
      </w:pPr>
      <w:r w:rsidDel="00000000" w:rsidR="00000000" w:rsidRPr="00000000">
        <w:rPr>
          <w:rFonts w:ascii="Arial" w:cs="Arial" w:eastAsia="Arial" w:hAnsi="Arial"/>
          <w:sz w:val="24"/>
          <w:szCs w:val="24"/>
          <w:rtl w:val="0"/>
        </w:rPr>
        <w:t xml:space="preserve">   2.3  SMART Objectives ……………………………………………………………… 6</w:t>
      </w:r>
      <w:r w:rsidDel="00000000" w:rsidR="00000000" w:rsidRPr="00000000">
        <w:rPr>
          <w:rtl w:val="0"/>
        </w:rPr>
      </w:r>
    </w:p>
    <w:p w:rsidR="00000000" w:rsidDel="00000000" w:rsidP="00000000" w:rsidRDefault="00000000" w:rsidRPr="00000000" w14:paraId="0000001A">
      <w:pPr>
        <w:spacing w:after="40" w:before="40" w:lineRule="auto"/>
        <w:rPr>
          <w:sz w:val="24"/>
          <w:szCs w:val="24"/>
        </w:rPr>
      </w:pPr>
      <w:r w:rsidDel="00000000" w:rsidR="00000000" w:rsidRPr="00000000">
        <w:rPr>
          <w:rFonts w:ascii="Arial" w:cs="Arial" w:eastAsia="Arial" w:hAnsi="Arial"/>
          <w:sz w:val="24"/>
          <w:szCs w:val="24"/>
          <w:rtl w:val="0"/>
        </w:rPr>
        <w:t xml:space="preserve">3. Key Stakeholder Identification and Categorisation ………………………………… 7</w:t>
      </w:r>
      <w:r w:rsidDel="00000000" w:rsidR="00000000" w:rsidRPr="00000000">
        <w:rPr>
          <w:rtl w:val="0"/>
        </w:rPr>
      </w:r>
    </w:p>
    <w:p w:rsidR="00000000" w:rsidDel="00000000" w:rsidP="00000000" w:rsidRDefault="00000000" w:rsidRPr="00000000" w14:paraId="0000001B">
      <w:pPr>
        <w:spacing w:after="40" w:before="40" w:lineRule="auto"/>
        <w:rPr>
          <w:sz w:val="24"/>
          <w:szCs w:val="24"/>
        </w:rPr>
      </w:pPr>
      <w:r w:rsidDel="00000000" w:rsidR="00000000" w:rsidRPr="00000000">
        <w:rPr>
          <w:rFonts w:ascii="Arial" w:cs="Arial" w:eastAsia="Arial" w:hAnsi="Arial"/>
          <w:sz w:val="24"/>
          <w:szCs w:val="24"/>
          <w:rtl w:val="0"/>
        </w:rPr>
        <w:t xml:space="preserve">   3.1  Stakeholder Map and Power-Interest Matrix ………………………………. 7</w:t>
      </w:r>
      <w:r w:rsidDel="00000000" w:rsidR="00000000" w:rsidRPr="00000000">
        <w:rPr>
          <w:rtl w:val="0"/>
        </w:rPr>
      </w:r>
    </w:p>
    <w:p w:rsidR="00000000" w:rsidDel="00000000" w:rsidP="00000000" w:rsidRDefault="00000000" w:rsidRPr="00000000" w14:paraId="0000001C">
      <w:pPr>
        <w:spacing w:after="40" w:before="40" w:lineRule="auto"/>
        <w:rPr>
          <w:sz w:val="24"/>
          <w:szCs w:val="24"/>
        </w:rPr>
      </w:pPr>
      <w:r w:rsidDel="00000000" w:rsidR="00000000" w:rsidRPr="00000000">
        <w:rPr>
          <w:rFonts w:ascii="Arial" w:cs="Arial" w:eastAsia="Arial" w:hAnsi="Arial"/>
          <w:sz w:val="24"/>
          <w:szCs w:val="24"/>
          <w:rtl w:val="0"/>
        </w:rPr>
        <w:t xml:space="preserve">4. Roles, Responsibilities, Benefits and Challenges of Key Stakeholders ………. 9</w:t>
      </w:r>
      <w:r w:rsidDel="00000000" w:rsidR="00000000" w:rsidRPr="00000000">
        <w:rPr>
          <w:rtl w:val="0"/>
        </w:rPr>
      </w:r>
    </w:p>
    <w:p w:rsidR="00000000" w:rsidDel="00000000" w:rsidP="00000000" w:rsidRDefault="00000000" w:rsidRPr="00000000" w14:paraId="0000001D">
      <w:pPr>
        <w:spacing w:after="40" w:before="40" w:lineRule="auto"/>
        <w:rPr>
          <w:sz w:val="24"/>
          <w:szCs w:val="24"/>
        </w:rPr>
      </w:pPr>
      <w:r w:rsidDel="00000000" w:rsidR="00000000" w:rsidRPr="00000000">
        <w:rPr>
          <w:rFonts w:ascii="Arial" w:cs="Arial" w:eastAsia="Arial" w:hAnsi="Arial"/>
          <w:sz w:val="24"/>
          <w:szCs w:val="24"/>
          <w:rtl w:val="0"/>
        </w:rPr>
        <w:t xml:space="preserve">5. Stakeholder Engagement Frameworks, Models and Tools ……………………… 10</w:t>
      </w:r>
      <w:r w:rsidDel="00000000" w:rsidR="00000000" w:rsidRPr="00000000">
        <w:rPr>
          <w:rtl w:val="0"/>
        </w:rPr>
      </w:r>
    </w:p>
    <w:p w:rsidR="00000000" w:rsidDel="00000000" w:rsidP="00000000" w:rsidRDefault="00000000" w:rsidRPr="00000000" w14:paraId="0000001E">
      <w:pPr>
        <w:spacing w:after="40" w:before="40" w:lineRule="auto"/>
        <w:rPr>
          <w:sz w:val="24"/>
          <w:szCs w:val="24"/>
        </w:rPr>
      </w:pPr>
      <w:r w:rsidDel="00000000" w:rsidR="00000000" w:rsidRPr="00000000">
        <w:rPr>
          <w:rFonts w:ascii="Arial" w:cs="Arial" w:eastAsia="Arial" w:hAnsi="Arial"/>
          <w:sz w:val="24"/>
          <w:szCs w:val="24"/>
          <w:rtl w:val="0"/>
        </w:rPr>
        <w:t xml:space="preserve">   5.1  RACI Matrix ……………………………………………………………………… 10</w:t>
      </w:r>
      <w:r w:rsidDel="00000000" w:rsidR="00000000" w:rsidRPr="00000000">
        <w:rPr>
          <w:rtl w:val="0"/>
        </w:rPr>
      </w:r>
    </w:p>
    <w:p w:rsidR="00000000" w:rsidDel="00000000" w:rsidP="00000000" w:rsidRDefault="00000000" w:rsidRPr="00000000" w14:paraId="0000001F">
      <w:pPr>
        <w:spacing w:after="40" w:before="40" w:lineRule="auto"/>
        <w:rPr>
          <w:sz w:val="24"/>
          <w:szCs w:val="24"/>
        </w:rPr>
      </w:pPr>
      <w:r w:rsidDel="00000000" w:rsidR="00000000" w:rsidRPr="00000000">
        <w:rPr>
          <w:rFonts w:ascii="Arial" w:cs="Arial" w:eastAsia="Arial" w:hAnsi="Arial"/>
          <w:sz w:val="24"/>
          <w:szCs w:val="24"/>
          <w:rtl w:val="0"/>
        </w:rPr>
        <w:t xml:space="preserve">   5.2  Stakeholder Engagement Plan ……………………………………………… 11</w:t>
      </w:r>
      <w:r w:rsidDel="00000000" w:rsidR="00000000" w:rsidRPr="00000000">
        <w:rPr>
          <w:rtl w:val="0"/>
        </w:rPr>
      </w:r>
    </w:p>
    <w:p w:rsidR="00000000" w:rsidDel="00000000" w:rsidP="00000000" w:rsidRDefault="00000000" w:rsidRPr="00000000" w14:paraId="00000020">
      <w:pPr>
        <w:spacing w:after="40" w:before="40" w:lineRule="auto"/>
        <w:rPr>
          <w:sz w:val="24"/>
          <w:szCs w:val="24"/>
        </w:rPr>
      </w:pPr>
      <w:r w:rsidDel="00000000" w:rsidR="00000000" w:rsidRPr="00000000">
        <w:rPr>
          <w:rFonts w:ascii="Arial" w:cs="Arial" w:eastAsia="Arial" w:hAnsi="Arial"/>
          <w:sz w:val="24"/>
          <w:szCs w:val="24"/>
          <w:rtl w:val="0"/>
        </w:rPr>
        <w:t xml:space="preserve">   5.3  Communication Plan ………………………………………………………… 11</w:t>
      </w:r>
      <w:r w:rsidDel="00000000" w:rsidR="00000000" w:rsidRPr="00000000">
        <w:rPr>
          <w:rtl w:val="0"/>
        </w:rPr>
      </w:r>
    </w:p>
    <w:p w:rsidR="00000000" w:rsidDel="00000000" w:rsidP="00000000" w:rsidRDefault="00000000" w:rsidRPr="00000000" w14:paraId="00000021">
      <w:pPr>
        <w:spacing w:after="40" w:before="40" w:lineRule="auto"/>
        <w:rPr>
          <w:sz w:val="24"/>
          <w:szCs w:val="24"/>
        </w:rPr>
      </w:pPr>
      <w:r w:rsidDel="00000000" w:rsidR="00000000" w:rsidRPr="00000000">
        <w:rPr>
          <w:rFonts w:ascii="Arial" w:cs="Arial" w:eastAsia="Arial" w:hAnsi="Arial"/>
          <w:sz w:val="24"/>
          <w:szCs w:val="24"/>
          <w:rtl w:val="0"/>
        </w:rPr>
        <w:t xml:space="preserve">6. The Stakeholder Engagement Process: The 4C's Model ……………………… 12</w:t>
      </w:r>
      <w:r w:rsidDel="00000000" w:rsidR="00000000" w:rsidRPr="00000000">
        <w:rPr>
          <w:rtl w:val="0"/>
        </w:rPr>
      </w:r>
    </w:p>
    <w:p w:rsidR="00000000" w:rsidDel="00000000" w:rsidP="00000000" w:rsidRDefault="00000000" w:rsidRPr="00000000" w14:paraId="00000022">
      <w:pPr>
        <w:spacing w:after="40" w:before="40" w:lineRule="auto"/>
        <w:rPr>
          <w:sz w:val="24"/>
          <w:szCs w:val="24"/>
        </w:rPr>
      </w:pPr>
      <w:r w:rsidDel="00000000" w:rsidR="00000000" w:rsidRPr="00000000">
        <w:rPr>
          <w:rFonts w:ascii="Arial" w:cs="Arial" w:eastAsia="Arial" w:hAnsi="Arial"/>
          <w:sz w:val="24"/>
          <w:szCs w:val="24"/>
          <w:rtl w:val="0"/>
        </w:rPr>
        <w:t xml:space="preserve">   6.1  Communication ……………………………………………………………… 12</w:t>
      </w:r>
      <w:r w:rsidDel="00000000" w:rsidR="00000000" w:rsidRPr="00000000">
        <w:rPr>
          <w:rtl w:val="0"/>
        </w:rPr>
      </w:r>
    </w:p>
    <w:p w:rsidR="00000000" w:rsidDel="00000000" w:rsidP="00000000" w:rsidRDefault="00000000" w:rsidRPr="00000000" w14:paraId="00000023">
      <w:pPr>
        <w:spacing w:after="40" w:before="40" w:lineRule="auto"/>
        <w:rPr>
          <w:sz w:val="24"/>
          <w:szCs w:val="24"/>
        </w:rPr>
      </w:pPr>
      <w:r w:rsidDel="00000000" w:rsidR="00000000" w:rsidRPr="00000000">
        <w:rPr>
          <w:rFonts w:ascii="Arial" w:cs="Arial" w:eastAsia="Arial" w:hAnsi="Arial"/>
          <w:sz w:val="24"/>
          <w:szCs w:val="24"/>
          <w:rtl w:val="0"/>
        </w:rPr>
        <w:t xml:space="preserve">   6.2  Collaboration ………………………………………………………………… 13</w:t>
      </w:r>
      <w:r w:rsidDel="00000000" w:rsidR="00000000" w:rsidRPr="00000000">
        <w:rPr>
          <w:rtl w:val="0"/>
        </w:rPr>
      </w:r>
    </w:p>
    <w:p w:rsidR="00000000" w:rsidDel="00000000" w:rsidP="00000000" w:rsidRDefault="00000000" w:rsidRPr="00000000" w14:paraId="00000024">
      <w:pPr>
        <w:spacing w:after="40" w:before="40" w:lineRule="auto"/>
        <w:rPr>
          <w:sz w:val="24"/>
          <w:szCs w:val="24"/>
        </w:rPr>
      </w:pPr>
      <w:r w:rsidDel="00000000" w:rsidR="00000000" w:rsidRPr="00000000">
        <w:rPr>
          <w:rFonts w:ascii="Arial" w:cs="Arial" w:eastAsia="Arial" w:hAnsi="Arial"/>
          <w:sz w:val="24"/>
          <w:szCs w:val="24"/>
          <w:rtl w:val="0"/>
        </w:rPr>
        <w:t xml:space="preserve">   6.3  Consultation ………………………………………………………………… 13</w:t>
      </w:r>
      <w:r w:rsidDel="00000000" w:rsidR="00000000" w:rsidRPr="00000000">
        <w:rPr>
          <w:rtl w:val="0"/>
        </w:rPr>
      </w:r>
    </w:p>
    <w:p w:rsidR="00000000" w:rsidDel="00000000" w:rsidP="00000000" w:rsidRDefault="00000000" w:rsidRPr="00000000" w14:paraId="00000025">
      <w:pPr>
        <w:spacing w:after="40" w:before="40" w:lineRule="auto"/>
        <w:rPr>
          <w:sz w:val="24"/>
          <w:szCs w:val="24"/>
        </w:rPr>
      </w:pPr>
      <w:r w:rsidDel="00000000" w:rsidR="00000000" w:rsidRPr="00000000">
        <w:rPr>
          <w:rFonts w:ascii="Arial" w:cs="Arial" w:eastAsia="Arial" w:hAnsi="Arial"/>
          <w:sz w:val="24"/>
          <w:szCs w:val="24"/>
          <w:rtl w:val="0"/>
        </w:rPr>
        <w:t xml:space="preserve">   6.4  Commitment ……………………………………………………………………. 14</w:t>
      </w:r>
      <w:r w:rsidDel="00000000" w:rsidR="00000000" w:rsidRPr="00000000">
        <w:rPr>
          <w:rtl w:val="0"/>
        </w:rPr>
      </w:r>
    </w:p>
    <w:p w:rsidR="00000000" w:rsidDel="00000000" w:rsidP="00000000" w:rsidRDefault="00000000" w:rsidRPr="00000000" w14:paraId="00000026">
      <w:pPr>
        <w:spacing w:after="40" w:before="40" w:lineRule="auto"/>
        <w:rPr>
          <w:sz w:val="24"/>
          <w:szCs w:val="24"/>
        </w:rPr>
      </w:pPr>
      <w:r w:rsidDel="00000000" w:rsidR="00000000" w:rsidRPr="00000000">
        <w:rPr>
          <w:rFonts w:ascii="Arial" w:cs="Arial" w:eastAsia="Arial" w:hAnsi="Arial"/>
          <w:sz w:val="24"/>
          <w:szCs w:val="24"/>
          <w:rtl w:val="0"/>
        </w:rPr>
        <w:t xml:space="preserve">   6.5  Managing Conflict …………………………………………………………… 14</w:t>
      </w:r>
      <w:r w:rsidDel="00000000" w:rsidR="00000000" w:rsidRPr="00000000">
        <w:rPr>
          <w:rtl w:val="0"/>
        </w:rPr>
      </w:r>
    </w:p>
    <w:p w:rsidR="00000000" w:rsidDel="00000000" w:rsidP="00000000" w:rsidRDefault="00000000" w:rsidRPr="00000000" w14:paraId="00000027">
      <w:pPr>
        <w:spacing w:after="40" w:before="40" w:lineRule="auto"/>
        <w:rPr>
          <w:sz w:val="24"/>
          <w:szCs w:val="24"/>
        </w:rPr>
      </w:pPr>
      <w:r w:rsidDel="00000000" w:rsidR="00000000" w:rsidRPr="00000000">
        <w:rPr>
          <w:rFonts w:ascii="Arial" w:cs="Arial" w:eastAsia="Arial" w:hAnsi="Arial"/>
          <w:sz w:val="24"/>
          <w:szCs w:val="24"/>
          <w:rtl w:val="0"/>
        </w:rPr>
        <w:t xml:space="preserve">7. Impact on Business Performance and Recommendations …………………… 15</w:t>
      </w:r>
      <w:r w:rsidDel="00000000" w:rsidR="00000000" w:rsidRPr="00000000">
        <w:rPr>
          <w:rtl w:val="0"/>
        </w:rPr>
      </w:r>
    </w:p>
    <w:p w:rsidR="00000000" w:rsidDel="00000000" w:rsidP="00000000" w:rsidRDefault="00000000" w:rsidRPr="00000000" w14:paraId="00000028">
      <w:pPr>
        <w:spacing w:after="40" w:before="40" w:lineRule="auto"/>
        <w:rPr>
          <w:sz w:val="24"/>
          <w:szCs w:val="24"/>
        </w:rPr>
      </w:pPr>
      <w:r w:rsidDel="00000000" w:rsidR="00000000" w:rsidRPr="00000000">
        <w:rPr>
          <w:rFonts w:ascii="Arial" w:cs="Arial" w:eastAsia="Arial" w:hAnsi="Arial"/>
          <w:sz w:val="24"/>
          <w:szCs w:val="24"/>
          <w:rtl w:val="0"/>
        </w:rPr>
        <w:t xml:space="preserve">   7.1  Impact on Business Performance ……………………………………………. 15</w:t>
      </w:r>
      <w:r w:rsidDel="00000000" w:rsidR="00000000" w:rsidRPr="00000000">
        <w:rPr>
          <w:rtl w:val="0"/>
        </w:rPr>
      </w:r>
    </w:p>
    <w:p w:rsidR="00000000" w:rsidDel="00000000" w:rsidP="00000000" w:rsidRDefault="00000000" w:rsidRPr="00000000" w14:paraId="00000029">
      <w:pPr>
        <w:spacing w:after="40" w:before="40" w:lineRule="auto"/>
        <w:rPr>
          <w:sz w:val="24"/>
          <w:szCs w:val="24"/>
        </w:rPr>
      </w:pPr>
      <w:r w:rsidDel="00000000" w:rsidR="00000000" w:rsidRPr="00000000">
        <w:rPr>
          <w:rFonts w:ascii="Arial" w:cs="Arial" w:eastAsia="Arial" w:hAnsi="Arial"/>
          <w:sz w:val="24"/>
          <w:szCs w:val="24"/>
          <w:rtl w:val="0"/>
        </w:rPr>
        <w:t xml:space="preserve">   7.2  Ethical Considerations ………………………………………………………. 16</w:t>
      </w:r>
      <w:r w:rsidDel="00000000" w:rsidR="00000000" w:rsidRPr="00000000">
        <w:rPr>
          <w:rtl w:val="0"/>
        </w:rPr>
      </w:r>
    </w:p>
    <w:p w:rsidR="00000000" w:rsidDel="00000000" w:rsidP="00000000" w:rsidRDefault="00000000" w:rsidRPr="00000000" w14:paraId="0000002A">
      <w:pPr>
        <w:spacing w:after="40" w:before="40" w:lineRule="auto"/>
        <w:rPr>
          <w:sz w:val="24"/>
          <w:szCs w:val="24"/>
        </w:rPr>
      </w:pPr>
      <w:r w:rsidDel="00000000" w:rsidR="00000000" w:rsidRPr="00000000">
        <w:rPr>
          <w:rFonts w:ascii="Arial" w:cs="Arial" w:eastAsia="Arial" w:hAnsi="Arial"/>
          <w:sz w:val="24"/>
          <w:szCs w:val="24"/>
          <w:rtl w:val="0"/>
        </w:rPr>
        <w:t xml:space="preserve">   7.3  Recommendations …………………………………………………………… 17</w:t>
      </w:r>
      <w:r w:rsidDel="00000000" w:rsidR="00000000" w:rsidRPr="00000000">
        <w:rPr>
          <w:rtl w:val="0"/>
        </w:rPr>
      </w:r>
    </w:p>
    <w:p w:rsidR="00000000" w:rsidDel="00000000" w:rsidP="00000000" w:rsidRDefault="00000000" w:rsidRPr="00000000" w14:paraId="0000002B">
      <w:pPr>
        <w:spacing w:after="40" w:before="40" w:lineRule="auto"/>
        <w:rPr>
          <w:sz w:val="24"/>
          <w:szCs w:val="24"/>
        </w:rPr>
      </w:pPr>
      <w:r w:rsidDel="00000000" w:rsidR="00000000" w:rsidRPr="00000000">
        <w:rPr>
          <w:rFonts w:ascii="Arial" w:cs="Arial" w:eastAsia="Arial" w:hAnsi="Arial"/>
          <w:sz w:val="24"/>
          <w:szCs w:val="24"/>
          <w:rtl w:val="0"/>
        </w:rPr>
        <w:t xml:space="preserve">8. Conclusion ………………………………………………………………………………. 18</w:t>
      </w:r>
      <w:r w:rsidDel="00000000" w:rsidR="00000000" w:rsidRPr="00000000">
        <w:rPr>
          <w:rtl w:val="0"/>
        </w:rPr>
      </w:r>
    </w:p>
    <w:p w:rsidR="00000000" w:rsidDel="00000000" w:rsidP="00000000" w:rsidRDefault="00000000" w:rsidRPr="00000000" w14:paraId="0000002C">
      <w:pPr>
        <w:spacing w:after="40" w:before="40" w:lineRule="auto"/>
        <w:rPr>
          <w:sz w:val="24"/>
          <w:szCs w:val="24"/>
        </w:rPr>
      </w:pPr>
      <w:r w:rsidDel="00000000" w:rsidR="00000000" w:rsidRPr="00000000">
        <w:rPr>
          <w:rFonts w:ascii="Arial" w:cs="Arial" w:eastAsia="Arial" w:hAnsi="Arial"/>
          <w:sz w:val="24"/>
          <w:szCs w:val="24"/>
          <w:rtl w:val="0"/>
        </w:rPr>
        <w:t xml:space="preserve">References ………………………………………………………………………………… 19</w:t>
      </w:r>
      <w:r w:rsidDel="00000000" w:rsidR="00000000" w:rsidRPr="00000000">
        <w:rPr>
          <w:rtl w:val="0"/>
        </w:rPr>
      </w:r>
    </w:p>
    <w:p w:rsidR="00000000" w:rsidDel="00000000" w:rsidP="00000000" w:rsidRDefault="00000000" w:rsidRPr="00000000" w14:paraId="0000002D">
      <w:pPr>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1. Introduction: Marriott International and the StaySmart+ Project</w:t>
      </w:r>
      <w:r w:rsidDel="00000000" w:rsidR="00000000" w:rsidRPr="00000000">
        <w:rPr>
          <w:rtl w:val="0"/>
        </w:rPr>
      </w:r>
    </w:p>
    <w:p w:rsidR="00000000" w:rsidDel="00000000" w:rsidP="00000000" w:rsidRDefault="00000000" w:rsidRPr="00000000" w14:paraId="0000002F">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1.1 Key Term Definitions</w:t>
      </w:r>
      <w:r w:rsidDel="00000000" w:rsidR="00000000" w:rsidRPr="00000000">
        <w:rPr>
          <w:rtl w:val="0"/>
        </w:rPr>
      </w:r>
    </w:p>
    <w:p w:rsidR="00000000" w:rsidDel="00000000" w:rsidP="00000000" w:rsidRDefault="00000000" w:rsidRPr="00000000" w14:paraId="00000030">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Before proceeding, it is important to define several key terms that underpin this report:</w:t>
      </w:r>
      <w:r w:rsidDel="00000000" w:rsidR="00000000" w:rsidRPr="00000000">
        <w:rPr>
          <w:rtl w:val="0"/>
        </w:rPr>
      </w:r>
    </w:p>
    <w:p w:rsidR="00000000" w:rsidDel="00000000" w:rsidP="00000000" w:rsidRDefault="00000000" w:rsidRPr="00000000" w14:paraId="00000031">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Stakeholder: </w:t>
      </w:r>
      <w:r w:rsidDel="00000000" w:rsidR="00000000" w:rsidRPr="00000000">
        <w:rPr>
          <w:rFonts w:ascii="Arial" w:cs="Arial" w:eastAsia="Arial" w:hAnsi="Arial"/>
          <w:sz w:val="24"/>
          <w:szCs w:val="24"/>
          <w:rtl w:val="0"/>
        </w:rPr>
        <w:t xml:space="preserve">Freeman (1984, p.46) defines a stakeholder as 'any group or individual who can affect or is affected by the achievement of the organisation's objectives.' This broad definition encompasses both internal groups</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such as employees and managers, and external groups</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such as customers, regulators, and communities.</w:t>
      </w:r>
      <w:r w:rsidDel="00000000" w:rsidR="00000000" w:rsidRPr="00000000">
        <w:rPr>
          <w:rtl w:val="0"/>
        </w:rPr>
      </w:r>
    </w:p>
    <w:p w:rsidR="00000000" w:rsidDel="00000000" w:rsidP="00000000" w:rsidRDefault="00000000" w:rsidRPr="00000000" w14:paraId="00000032">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Stakeholder Engagement: </w:t>
      </w:r>
      <w:r w:rsidDel="00000000" w:rsidR="00000000" w:rsidRPr="00000000">
        <w:rPr>
          <w:rFonts w:ascii="Arial" w:cs="Arial" w:eastAsia="Arial" w:hAnsi="Arial"/>
          <w:sz w:val="24"/>
          <w:szCs w:val="24"/>
          <w:rtl w:val="0"/>
        </w:rPr>
        <w:t xml:space="preserve">Bowen et al. (2010) define stakeholder engagement as 'practices that the organisation undertakes to involve stakeholders </w:t>
      </w:r>
      <w:r w:rsidDel="00000000" w:rsidR="00000000" w:rsidRPr="00000000">
        <w:rPr>
          <w:sz w:val="24"/>
          <w:szCs w:val="24"/>
          <w:rtl w:val="0"/>
        </w:rPr>
        <w:t xml:space="preserve">positively</w:t>
      </w:r>
      <w:r w:rsidDel="00000000" w:rsidR="00000000" w:rsidRPr="00000000">
        <w:rPr>
          <w:rFonts w:ascii="Arial" w:cs="Arial" w:eastAsia="Arial" w:hAnsi="Arial"/>
          <w:sz w:val="24"/>
          <w:szCs w:val="24"/>
          <w:rtl w:val="0"/>
        </w:rPr>
        <w:t xml:space="preserve"> in organisational activities.' It goes beyond one-way communication to encompass dialogue, collaboration, and shared decision-making.</w:t>
      </w:r>
      <w:r w:rsidDel="00000000" w:rsidR="00000000" w:rsidRPr="00000000">
        <w:rPr>
          <w:rtl w:val="0"/>
        </w:rPr>
      </w:r>
    </w:p>
    <w:p w:rsidR="00000000" w:rsidDel="00000000" w:rsidP="00000000" w:rsidRDefault="00000000" w:rsidRPr="00000000" w14:paraId="00000033">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Stakeholder Management: </w:t>
      </w:r>
      <w:r w:rsidDel="00000000" w:rsidR="00000000" w:rsidRPr="00000000">
        <w:rPr>
          <w:rFonts w:ascii="Arial" w:cs="Arial" w:eastAsia="Arial" w:hAnsi="Arial"/>
          <w:sz w:val="24"/>
          <w:szCs w:val="24"/>
          <w:rtl w:val="0"/>
        </w:rPr>
        <w:t xml:space="preserve">Bourne (2009, p.5) defines stakeholder management as 'the systematic identification, analysis, planning, and implementation of actions designed to engage with stakeholders.' It is a continuous process rather than a one-off activity.</w:t>
      </w:r>
      <w:r w:rsidDel="00000000" w:rsidR="00000000" w:rsidRPr="00000000">
        <w:rPr>
          <w:rtl w:val="0"/>
        </w:rPr>
      </w:r>
    </w:p>
    <w:p w:rsidR="00000000" w:rsidDel="00000000" w:rsidP="00000000" w:rsidRDefault="00000000" w:rsidRPr="00000000" w14:paraId="00000034">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Project Management: </w:t>
      </w:r>
      <w:r w:rsidDel="00000000" w:rsidR="00000000" w:rsidRPr="00000000">
        <w:rPr>
          <w:rFonts w:ascii="Arial" w:cs="Arial" w:eastAsia="Arial" w:hAnsi="Arial"/>
          <w:sz w:val="24"/>
          <w:szCs w:val="24"/>
          <w:rtl w:val="0"/>
        </w:rPr>
        <w:t xml:space="preserve">The Project Management Institute (PMI, 2021, p.4) defines a project as 'a temporary endeavour undertaken to create a unique product, service, or result.' The Project Manager is responsible for delivering the project within agreed scope, time, cost, and quality constraints.</w:t>
      </w:r>
      <w:r w:rsidDel="00000000" w:rsidR="00000000" w:rsidRPr="00000000">
        <w:rPr>
          <w:rtl w:val="0"/>
        </w:rPr>
      </w:r>
    </w:p>
    <w:p w:rsidR="00000000" w:rsidDel="00000000" w:rsidP="00000000" w:rsidRDefault="00000000" w:rsidRPr="00000000" w14:paraId="00000035">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The 4C's Model: </w:t>
      </w:r>
      <w:r w:rsidDel="00000000" w:rsidR="00000000" w:rsidRPr="00000000">
        <w:rPr>
          <w:rFonts w:ascii="Arial" w:cs="Arial" w:eastAsia="Arial" w:hAnsi="Arial"/>
          <w:sz w:val="24"/>
          <w:szCs w:val="24"/>
          <w:rtl w:val="0"/>
        </w:rPr>
        <w:t xml:space="preserve">Winch and Bonke (2002) propose that effective stakeholder engagement is built on four pillars: Communication, Collaboration, Consultation, and Commitment. This model provides the operational framework for Section 6 of this report.</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1.2 Overview of the Company</w:t>
      </w:r>
      <w:r w:rsidDel="00000000" w:rsidR="00000000" w:rsidRPr="00000000">
        <w:rPr>
          <w:rtl w:val="0"/>
        </w:rPr>
      </w:r>
    </w:p>
    <w:p w:rsidR="00000000" w:rsidDel="00000000" w:rsidP="00000000" w:rsidRDefault="00000000" w:rsidRPr="00000000" w14:paraId="00000038">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Marriott International is one of the world's largest and most recognised hospitality corporations, headquartered in Bethesda, Maryland, USA, with a substantial European presence centred on London. As reported in Marriott International (2023), the company operates over 8,700 properties across 139 countries and territories, spanning 30 distinct hotel brands</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including The Ritz-Carlton, JW Marriott, W Hotels, Sheraton, and Courtyard. In London alone, flagship properties include the London Marriott Hotel County Hall, the W London</w:t>
      </w:r>
      <w:r w:rsidDel="00000000" w:rsidR="00000000" w:rsidRPr="00000000">
        <w:rPr>
          <w:rFonts w:ascii="Arial" w:cs="Arial" w:eastAsia="Arial" w:hAnsi="Arial"/>
          <w:sz w:val="22"/>
          <w:szCs w:val="22"/>
          <w:rtl w:val="0"/>
        </w:rPr>
        <w:t xml:space="preserve"> Leicester Square, and the Sheraton Grand </w:t>
      </w:r>
      <w:r w:rsidDel="00000000" w:rsidR="00000000" w:rsidRPr="00000000">
        <w:rPr>
          <w:rFonts w:ascii="Arial" w:cs="Arial" w:eastAsia="Arial" w:hAnsi="Arial"/>
          <w:sz w:val="24"/>
          <w:szCs w:val="24"/>
          <w:rtl w:val="0"/>
        </w:rPr>
        <w:t xml:space="preserve">London Park Lane, collectively employing thousands of staff and serving millions of guests each year.</w:t>
      </w:r>
      <w:r w:rsidDel="00000000" w:rsidR="00000000" w:rsidRPr="00000000">
        <w:rPr>
          <w:rtl w:val="0"/>
        </w:rPr>
      </w:r>
    </w:p>
    <w:p w:rsidR="00000000" w:rsidDel="00000000" w:rsidP="00000000" w:rsidRDefault="00000000" w:rsidRPr="00000000" w14:paraId="00000039">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According to Marriott International (2023), the company generated revenues exceeding $23 billion in 2023, driven in significant part by its Marriott Bonvoy loyalty programme</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 competitive asset boasting over 196 million members globally. As Skift Research (2023) notes, Marriott's sophisticated use of data analytics and customer relationship management (CRM) platforms already places it at the forefront of technology-enabled hospitality, making it well-positioned to launch StaySmart+.</w:t>
      </w:r>
      <w:r w:rsidDel="00000000" w:rsidR="00000000" w:rsidRPr="00000000">
        <w:rPr>
          <w:rtl w:val="0"/>
        </w:rPr>
      </w:r>
    </w:p>
    <w:p w:rsidR="00000000" w:rsidDel="00000000" w:rsidP="00000000" w:rsidRDefault="00000000" w:rsidRPr="00000000" w14:paraId="0000003A">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StaySmart+ is a next-generation premium customer experience service that integrates AI-driven guest interaction tools, personalised travel planning algorithms, and sustainability-focused amenities. The service aims to differentiate Marriott's premium offering in an increasingly competitive market, as identified by Deloitte (2023), </w:t>
      </w:r>
      <w:r w:rsidDel="00000000" w:rsidR="00000000" w:rsidRPr="00000000">
        <w:rPr>
          <w:sz w:val="24"/>
          <w:szCs w:val="24"/>
          <w:rtl w:val="0"/>
        </w:rPr>
        <w:t xml:space="preserve">which reports</w:t>
      </w:r>
      <w:r w:rsidDel="00000000" w:rsidR="00000000" w:rsidRPr="00000000">
        <w:rPr>
          <w:rFonts w:ascii="Arial" w:cs="Arial" w:eastAsia="Arial" w:hAnsi="Arial"/>
          <w:sz w:val="24"/>
          <w:szCs w:val="24"/>
          <w:rtl w:val="0"/>
        </w:rPr>
        <w:t xml:space="preserve"> accelerating consumer demand for hyper-personalised, seamlessly technology-enhanced travel experiences. The rollout is planned for six </w:t>
      </w:r>
      <w:r w:rsidDel="00000000" w:rsidR="00000000" w:rsidRPr="00000000">
        <w:rPr>
          <w:sz w:val="24"/>
          <w:szCs w:val="24"/>
          <w:rtl w:val="0"/>
        </w:rPr>
        <w:t xml:space="preserve">months</w:t>
      </w:r>
      <w:r w:rsidDel="00000000" w:rsidR="00000000" w:rsidRPr="00000000">
        <w:rPr>
          <w:rFonts w:ascii="Arial" w:cs="Arial" w:eastAsia="Arial" w:hAnsi="Arial"/>
          <w:sz w:val="24"/>
          <w:szCs w:val="24"/>
          <w:rtl w:val="0"/>
        </w:rPr>
        <w:t xml:space="preserve">, commencing with flagship London properties before scaling internationally. As Project Manager, this report provides a comprehensive stakeholder engagement strategy to guide that process.</w:t>
      </w:r>
      <w:r w:rsidDel="00000000" w:rsidR="00000000" w:rsidRPr="00000000">
        <w:rPr>
          <w:rtl w:val="0"/>
        </w:rPr>
      </w:r>
    </w:p>
    <w:p w:rsidR="00000000" w:rsidDel="00000000" w:rsidP="00000000" w:rsidRDefault="00000000" w:rsidRPr="00000000" w14:paraId="0000003B">
      <w:pPr>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2. Situational Analysis: SWOT, PESTLE, and SMART Objectives</w:t>
      </w:r>
      <w:r w:rsidDel="00000000" w:rsidR="00000000" w:rsidRPr="00000000">
        <w:rPr>
          <w:rtl w:val="0"/>
        </w:rPr>
      </w:r>
    </w:p>
    <w:p w:rsidR="00000000" w:rsidDel="00000000" w:rsidP="00000000" w:rsidRDefault="00000000" w:rsidRPr="00000000" w14:paraId="0000003D">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2.1 SWOT Analysis</w:t>
      </w:r>
      <w:r w:rsidDel="00000000" w:rsidR="00000000" w:rsidRPr="00000000">
        <w:rPr>
          <w:rtl w:val="0"/>
        </w:rPr>
      </w:r>
    </w:p>
    <w:p w:rsidR="00000000" w:rsidDel="00000000" w:rsidP="00000000" w:rsidRDefault="00000000" w:rsidRPr="00000000" w14:paraId="0000003E">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A SWOT analysis is a foundational strategic tool that examines an organisation's internal Strengths and Weaknesses</w:t>
      </w:r>
      <w:r w:rsidDel="00000000" w:rsidR="00000000" w:rsidRPr="00000000">
        <w:rPr>
          <w:sz w:val="24"/>
          <w:szCs w:val="24"/>
          <w:rtl w:val="0"/>
        </w:rPr>
        <w:t xml:space="preserve">, as well as</w:t>
      </w:r>
      <w:r w:rsidDel="00000000" w:rsidR="00000000" w:rsidRPr="00000000">
        <w:rPr>
          <w:rFonts w:ascii="Arial" w:cs="Arial" w:eastAsia="Arial" w:hAnsi="Arial"/>
          <w:sz w:val="24"/>
          <w:szCs w:val="24"/>
          <w:rtl w:val="0"/>
        </w:rPr>
        <w:t xml:space="preserve"> external Opportunities and Threats (Johnson et al., 2017). As illustrated in Table 1</w:t>
      </w:r>
      <w:r w:rsidDel="00000000" w:rsidR="00000000" w:rsidRPr="00000000">
        <w:rPr>
          <w:sz w:val="24"/>
          <w:szCs w:val="24"/>
          <w:rtl w:val="0"/>
        </w:rPr>
        <w:t xml:space="preserve">, Marriott's key strength lies in its global brand equity and established loyalty infrastructure; its primary weakness is the reputational and operational risks</w:t>
      </w:r>
      <w:r w:rsidDel="00000000" w:rsidR="00000000" w:rsidRPr="00000000">
        <w:rPr>
          <w:rFonts w:ascii="Arial" w:cs="Arial" w:eastAsia="Arial" w:hAnsi="Arial"/>
          <w:sz w:val="24"/>
          <w:szCs w:val="24"/>
          <w:rtl w:val="0"/>
        </w:rPr>
        <w:t xml:space="preserve"> arising from the 2018 data breach, which exposed 500 million guest records (ICO, 2019).</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spacing w:after="60" w:before="60" w:lineRule="auto"/>
        <w:jc w:val="center"/>
        <w:rPr/>
      </w:pPr>
      <w:r w:rsidDel="00000000" w:rsidR="00000000" w:rsidRPr="00000000">
        <w:rPr>
          <w:rFonts w:ascii="Arial" w:cs="Arial" w:eastAsia="Arial" w:hAnsi="Arial"/>
          <w:b w:val="1"/>
          <w:bCs w:val="1"/>
          <w:sz w:val="20"/>
          <w:szCs w:val="20"/>
          <w:rtl w:val="0"/>
        </w:rPr>
        <w:t xml:space="preserve">Table 1: SWOT Analysis – Marriott International / StaySmart+ Project</w:t>
      </w:r>
      <w:r w:rsidDel="00000000" w:rsidR="00000000" w:rsidRPr="00000000">
        <w:rPr>
          <w:rtl w:val="0"/>
        </w:rPr>
      </w:r>
    </w:p>
    <w:tbl>
      <w:tblPr>
        <w:tblStyle w:val="Table1"/>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500"/>
        <w:gridCol w:w="4500"/>
        <w:tblGridChange w:id="0">
          <w:tblGrid>
            <w:gridCol w:w="4500"/>
            <w:gridCol w:w="450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1a5276" w:val="clear"/>
            <w:tcMar>
              <w:top w:w="80.0" w:type="dxa"/>
              <w:left w:w="120.0" w:type="dxa"/>
              <w:bottom w:w="80.0" w:type="dxa"/>
              <w:right w:w="120.0" w:type="dxa"/>
            </w:tcMar>
            <w:vAlign w:val="center"/>
          </w:tcPr>
          <w:p w:rsidR="00000000" w:rsidDel="00000000" w:rsidP="00000000" w:rsidRDefault="00000000" w:rsidRPr="00000000" w14:paraId="00000041">
            <w:pPr>
              <w:jc w:val="center"/>
              <w:rPr/>
            </w:pPr>
            <w:r w:rsidDel="00000000" w:rsidR="00000000" w:rsidRPr="00000000">
              <w:rPr>
                <w:rFonts w:ascii="Arial" w:cs="Arial" w:eastAsia="Arial" w:hAnsi="Arial"/>
                <w:b w:val="1"/>
                <w:bCs w:val="1"/>
                <w:color w:val="ffffff"/>
                <w:sz w:val="18"/>
                <w:szCs w:val="18"/>
                <w:rtl w:val="0"/>
              </w:rPr>
              <w:t xml:space="preserve">STRENGTHS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6c3483" w:val="clear"/>
            <w:tcMar>
              <w:top w:w="80.0" w:type="dxa"/>
              <w:left w:w="120.0" w:type="dxa"/>
              <w:bottom w:w="80.0" w:type="dxa"/>
              <w:right w:w="120.0" w:type="dxa"/>
            </w:tcMar>
            <w:vAlign w:val="center"/>
          </w:tcPr>
          <w:p w:rsidR="00000000" w:rsidDel="00000000" w:rsidP="00000000" w:rsidRDefault="00000000" w:rsidRPr="00000000" w14:paraId="00000042">
            <w:pPr>
              <w:jc w:val="center"/>
              <w:rPr/>
            </w:pPr>
            <w:r w:rsidDel="00000000" w:rsidR="00000000" w:rsidRPr="00000000">
              <w:rPr>
                <w:rFonts w:ascii="Arial" w:cs="Arial" w:eastAsia="Arial" w:hAnsi="Arial"/>
                <w:b w:val="1"/>
                <w:bCs w:val="1"/>
                <w:color w:val="ffffff"/>
                <w:sz w:val="18"/>
                <w:szCs w:val="18"/>
                <w:rtl w:val="0"/>
              </w:rPr>
              <w:t xml:space="preserve">WEAKNESSES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d6eaf8" w:val="clear"/>
            <w:tcMar>
              <w:top w:w="80.0" w:type="dxa"/>
              <w:left w:w="120.0" w:type="dxa"/>
              <w:bottom w:w="80.0" w:type="dxa"/>
              <w:right w:w="120.0" w:type="dxa"/>
            </w:tcMar>
          </w:tcPr>
          <w:p w:rsidR="00000000" w:rsidDel="00000000" w:rsidP="00000000" w:rsidRDefault="00000000" w:rsidRPr="00000000" w14:paraId="00000043">
            <w:pPr>
              <w:rPr/>
            </w:pPr>
            <w:r w:rsidDel="00000000" w:rsidR="00000000" w:rsidRPr="00000000">
              <w:rPr>
                <w:rFonts w:ascii="Arial" w:cs="Arial" w:eastAsia="Arial" w:hAnsi="Arial"/>
                <w:sz w:val="18"/>
                <w:szCs w:val="18"/>
                <w:rtl w:val="0"/>
              </w:rPr>
              <w:t xml:space="preserve">• Global brand recognition (196M+ Bonvoy members)</w:t>
            </w:r>
            <w:r w:rsidDel="00000000" w:rsidR="00000000" w:rsidRPr="00000000">
              <w:rPr>
                <w:rtl w:val="0"/>
              </w:rPr>
            </w:r>
          </w:p>
          <w:p w:rsidR="00000000" w:rsidDel="00000000" w:rsidP="00000000" w:rsidRDefault="00000000" w:rsidRPr="00000000" w14:paraId="00000044">
            <w:pPr>
              <w:rPr/>
            </w:pPr>
            <w:r w:rsidDel="00000000" w:rsidR="00000000" w:rsidRPr="00000000">
              <w:rPr>
                <w:rFonts w:ascii="Arial" w:cs="Arial" w:eastAsia="Arial" w:hAnsi="Arial"/>
                <w:sz w:val="18"/>
                <w:szCs w:val="18"/>
                <w:rtl w:val="0"/>
              </w:rPr>
              <w:t xml:space="preserve">• Established AI/CRM technology infrastructure</w:t>
            </w:r>
            <w:r w:rsidDel="00000000" w:rsidR="00000000" w:rsidRPr="00000000">
              <w:rPr>
                <w:rtl w:val="0"/>
              </w:rPr>
            </w:r>
          </w:p>
          <w:p w:rsidR="00000000" w:rsidDel="00000000" w:rsidP="00000000" w:rsidRDefault="00000000" w:rsidRPr="00000000" w14:paraId="00000045">
            <w:pPr>
              <w:rPr/>
            </w:pPr>
            <w:r w:rsidDel="00000000" w:rsidR="00000000" w:rsidRPr="00000000">
              <w:rPr>
                <w:rFonts w:ascii="Arial" w:cs="Arial" w:eastAsia="Arial" w:hAnsi="Arial"/>
                <w:sz w:val="18"/>
                <w:szCs w:val="18"/>
                <w:rtl w:val="0"/>
              </w:rPr>
              <w:t xml:space="preserve">• Diverse portfolio: 30 brands, 139 countries</w:t>
            </w:r>
            <w:r w:rsidDel="00000000" w:rsidR="00000000" w:rsidRPr="00000000">
              <w:rPr>
                <w:rtl w:val="0"/>
              </w:rPr>
            </w:r>
          </w:p>
          <w:p w:rsidR="00000000" w:rsidDel="00000000" w:rsidP="00000000" w:rsidRDefault="00000000" w:rsidRPr="00000000" w14:paraId="00000046">
            <w:pPr>
              <w:rPr/>
            </w:pPr>
            <w:r w:rsidDel="00000000" w:rsidR="00000000" w:rsidRPr="00000000">
              <w:rPr>
                <w:rFonts w:ascii="Arial" w:cs="Arial" w:eastAsia="Arial" w:hAnsi="Arial"/>
                <w:sz w:val="18"/>
                <w:szCs w:val="18"/>
                <w:rtl w:val="0"/>
              </w:rPr>
              <w:t xml:space="preserve">• Strong financial base for innovation investment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5eef8" w:val="clear"/>
            <w:tcMar>
              <w:top w:w="80.0" w:type="dxa"/>
              <w:left w:w="120.0" w:type="dxa"/>
              <w:bottom w:w="80.0" w:type="dxa"/>
              <w:right w:w="120.0" w:type="dxa"/>
            </w:tcMar>
          </w:tcPr>
          <w:p w:rsidR="00000000" w:rsidDel="00000000" w:rsidP="00000000" w:rsidRDefault="00000000" w:rsidRPr="00000000" w14:paraId="00000047">
            <w:pPr>
              <w:rPr/>
            </w:pPr>
            <w:r w:rsidDel="00000000" w:rsidR="00000000" w:rsidRPr="00000000">
              <w:rPr>
                <w:rFonts w:ascii="Arial" w:cs="Arial" w:eastAsia="Arial" w:hAnsi="Arial"/>
                <w:sz w:val="18"/>
                <w:szCs w:val="18"/>
                <w:rtl w:val="0"/>
              </w:rPr>
              <w:t xml:space="preserve">• High operational complexity across 139 countries</w:t>
            </w:r>
            <w:r w:rsidDel="00000000" w:rsidR="00000000" w:rsidRPr="00000000">
              <w:rPr>
                <w:rtl w:val="0"/>
              </w:rPr>
            </w:r>
          </w:p>
          <w:p w:rsidR="00000000" w:rsidDel="00000000" w:rsidP="00000000" w:rsidRDefault="00000000" w:rsidRPr="00000000" w14:paraId="00000048">
            <w:pPr>
              <w:rPr/>
            </w:pPr>
            <w:r w:rsidDel="00000000" w:rsidR="00000000" w:rsidRPr="00000000">
              <w:rPr>
                <w:rFonts w:ascii="Arial" w:cs="Arial" w:eastAsia="Arial" w:hAnsi="Arial"/>
                <w:sz w:val="18"/>
                <w:szCs w:val="18"/>
                <w:rtl w:val="0"/>
              </w:rPr>
              <w:t xml:space="preserve">• Inconsistent service standards between regions</w:t>
            </w:r>
            <w:r w:rsidDel="00000000" w:rsidR="00000000" w:rsidRPr="00000000">
              <w:rPr>
                <w:rtl w:val="0"/>
              </w:rPr>
            </w:r>
          </w:p>
          <w:p w:rsidR="00000000" w:rsidDel="00000000" w:rsidP="00000000" w:rsidRDefault="00000000" w:rsidRPr="00000000" w14:paraId="00000049">
            <w:pPr>
              <w:rPr/>
            </w:pPr>
            <w:r w:rsidDel="00000000" w:rsidR="00000000" w:rsidRPr="00000000">
              <w:rPr>
                <w:rFonts w:ascii="Arial" w:cs="Arial" w:eastAsia="Arial" w:hAnsi="Arial"/>
                <w:sz w:val="18"/>
                <w:szCs w:val="18"/>
                <w:rtl w:val="0"/>
              </w:rPr>
              <w:t xml:space="preserve">• Staff resistance to technological change</w:t>
            </w:r>
            <w:r w:rsidDel="00000000" w:rsidR="00000000" w:rsidRPr="00000000">
              <w:rPr>
                <w:rtl w:val="0"/>
              </w:rPr>
            </w:r>
          </w:p>
          <w:p w:rsidR="00000000" w:rsidDel="00000000" w:rsidP="00000000" w:rsidRDefault="00000000" w:rsidRPr="00000000" w14:paraId="0000004A">
            <w:pPr>
              <w:rPr/>
            </w:pPr>
            <w:r w:rsidDel="00000000" w:rsidR="00000000" w:rsidRPr="00000000">
              <w:rPr>
                <w:rFonts w:ascii="Arial" w:cs="Arial" w:eastAsia="Arial" w:hAnsi="Arial"/>
                <w:sz w:val="18"/>
                <w:szCs w:val="18"/>
                <w:rtl w:val="0"/>
              </w:rPr>
              <w:t xml:space="preserve">• Data privacy reputation risk (2018 breach – 500M records)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1e8449" w:val="clear"/>
            <w:tcMar>
              <w:top w:w="80.0" w:type="dxa"/>
              <w:left w:w="120.0" w:type="dxa"/>
              <w:bottom w:w="80.0" w:type="dxa"/>
              <w:right w:w="120.0" w:type="dxa"/>
            </w:tcMar>
            <w:vAlign w:val="center"/>
          </w:tcPr>
          <w:p w:rsidR="00000000" w:rsidDel="00000000" w:rsidP="00000000" w:rsidRDefault="00000000" w:rsidRPr="00000000" w14:paraId="0000004B">
            <w:pPr>
              <w:jc w:val="center"/>
              <w:rPr/>
            </w:pPr>
            <w:r w:rsidDel="00000000" w:rsidR="00000000" w:rsidRPr="00000000">
              <w:rPr>
                <w:rFonts w:ascii="Arial" w:cs="Arial" w:eastAsia="Arial" w:hAnsi="Arial"/>
                <w:b w:val="1"/>
                <w:bCs w:val="1"/>
                <w:color w:val="ffffff"/>
                <w:sz w:val="18"/>
                <w:szCs w:val="18"/>
                <w:rtl w:val="0"/>
              </w:rPr>
              <w:t xml:space="preserve">OPPORTUNITIES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922b21" w:val="clear"/>
            <w:tcMar>
              <w:top w:w="80.0" w:type="dxa"/>
              <w:left w:w="120.0" w:type="dxa"/>
              <w:bottom w:w="80.0" w:type="dxa"/>
              <w:right w:w="120.0" w:type="dxa"/>
            </w:tcMar>
            <w:vAlign w:val="center"/>
          </w:tcPr>
          <w:p w:rsidR="00000000" w:rsidDel="00000000" w:rsidP="00000000" w:rsidRDefault="00000000" w:rsidRPr="00000000" w14:paraId="0000004C">
            <w:pPr>
              <w:jc w:val="center"/>
              <w:rPr/>
            </w:pPr>
            <w:r w:rsidDel="00000000" w:rsidR="00000000" w:rsidRPr="00000000">
              <w:rPr>
                <w:rFonts w:ascii="Arial" w:cs="Arial" w:eastAsia="Arial" w:hAnsi="Arial"/>
                <w:b w:val="1"/>
                <w:bCs w:val="1"/>
                <w:color w:val="ffffff"/>
                <w:sz w:val="18"/>
                <w:szCs w:val="18"/>
                <w:rtl w:val="0"/>
              </w:rPr>
              <w:t xml:space="preserve">THREATS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4D">
            <w:pPr>
              <w:rPr/>
            </w:pPr>
            <w:r w:rsidDel="00000000" w:rsidR="00000000" w:rsidRPr="00000000">
              <w:rPr>
                <w:rFonts w:ascii="Arial" w:cs="Arial" w:eastAsia="Arial" w:hAnsi="Arial"/>
                <w:sz w:val="18"/>
                <w:szCs w:val="18"/>
                <w:rtl w:val="0"/>
              </w:rPr>
              <w:t xml:space="preserve">• Rising demand for personalised, tech-enhanced travel</w:t>
            </w:r>
            <w:r w:rsidDel="00000000" w:rsidR="00000000" w:rsidRPr="00000000">
              <w:rPr>
                <w:rtl w:val="0"/>
              </w:rPr>
            </w:r>
          </w:p>
          <w:p w:rsidR="00000000" w:rsidDel="00000000" w:rsidP="00000000" w:rsidRDefault="00000000" w:rsidRPr="00000000" w14:paraId="0000004E">
            <w:pPr>
              <w:rPr/>
            </w:pPr>
            <w:r w:rsidDel="00000000" w:rsidR="00000000" w:rsidRPr="00000000">
              <w:rPr>
                <w:rFonts w:ascii="Arial" w:cs="Arial" w:eastAsia="Arial" w:hAnsi="Arial"/>
                <w:sz w:val="18"/>
                <w:szCs w:val="18"/>
                <w:rtl w:val="0"/>
              </w:rPr>
              <w:t xml:space="preserve">• Growing eco-conscious consumer segments</w:t>
            </w:r>
            <w:r w:rsidDel="00000000" w:rsidR="00000000" w:rsidRPr="00000000">
              <w:rPr>
                <w:rtl w:val="0"/>
              </w:rPr>
            </w:r>
          </w:p>
          <w:p w:rsidR="00000000" w:rsidDel="00000000" w:rsidP="00000000" w:rsidRDefault="00000000" w:rsidRPr="00000000" w14:paraId="0000004F">
            <w:pPr>
              <w:rPr/>
            </w:pPr>
            <w:r w:rsidDel="00000000" w:rsidR="00000000" w:rsidRPr="00000000">
              <w:rPr>
                <w:rFonts w:ascii="Arial" w:cs="Arial" w:eastAsia="Arial" w:hAnsi="Arial"/>
                <w:sz w:val="18"/>
                <w:szCs w:val="18"/>
                <w:rtl w:val="0"/>
              </w:rPr>
              <w:t xml:space="preserve">• Rapid AI/ML advancements enabling real-time personalisation</w:t>
            </w:r>
            <w:r w:rsidDel="00000000" w:rsidR="00000000" w:rsidRPr="00000000">
              <w:rPr>
                <w:rtl w:val="0"/>
              </w:rPr>
            </w:r>
          </w:p>
          <w:p w:rsidR="00000000" w:rsidDel="00000000" w:rsidP="00000000" w:rsidRDefault="00000000" w:rsidRPr="00000000" w14:paraId="00000050">
            <w:pPr>
              <w:rPr/>
            </w:pPr>
            <w:r w:rsidDel="00000000" w:rsidR="00000000" w:rsidRPr="00000000">
              <w:rPr>
                <w:rFonts w:ascii="Arial" w:cs="Arial" w:eastAsia="Arial" w:hAnsi="Arial"/>
                <w:sz w:val="18"/>
                <w:szCs w:val="18"/>
                <w:rtl w:val="0"/>
              </w:rPr>
              <w:t xml:space="preserve">• Untapped premium segments in Asia-Pacific markets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51">
            <w:pPr>
              <w:rPr/>
            </w:pPr>
            <w:r w:rsidDel="00000000" w:rsidR="00000000" w:rsidRPr="00000000">
              <w:rPr>
                <w:rFonts w:ascii="Arial" w:cs="Arial" w:eastAsia="Arial" w:hAnsi="Arial"/>
                <w:sz w:val="18"/>
                <w:szCs w:val="18"/>
                <w:rtl w:val="0"/>
              </w:rPr>
              <w:t xml:space="preserve">• Intense competition from tech-first hospitality brands</w:t>
            </w:r>
            <w:r w:rsidDel="00000000" w:rsidR="00000000" w:rsidRPr="00000000">
              <w:rPr>
                <w:rtl w:val="0"/>
              </w:rPr>
            </w:r>
          </w:p>
          <w:p w:rsidR="00000000" w:rsidDel="00000000" w:rsidP="00000000" w:rsidRDefault="00000000" w:rsidRPr="00000000" w14:paraId="00000052">
            <w:pPr>
              <w:rPr/>
            </w:pPr>
            <w:r w:rsidDel="00000000" w:rsidR="00000000" w:rsidRPr="00000000">
              <w:rPr>
                <w:rFonts w:ascii="Arial" w:cs="Arial" w:eastAsia="Arial" w:hAnsi="Arial"/>
                <w:sz w:val="18"/>
                <w:szCs w:val="18"/>
                <w:rtl w:val="0"/>
              </w:rPr>
              <w:t xml:space="preserve">• Varied data regulations (GDPR, PDPA, CCPA)</w:t>
            </w:r>
            <w:r w:rsidDel="00000000" w:rsidR="00000000" w:rsidRPr="00000000">
              <w:rPr>
                <w:rtl w:val="0"/>
              </w:rPr>
            </w:r>
          </w:p>
          <w:p w:rsidR="00000000" w:rsidDel="00000000" w:rsidP="00000000" w:rsidRDefault="00000000" w:rsidRPr="00000000" w14:paraId="00000053">
            <w:pPr>
              <w:rPr/>
            </w:pPr>
            <w:r w:rsidDel="00000000" w:rsidR="00000000" w:rsidRPr="00000000">
              <w:rPr>
                <w:rFonts w:ascii="Arial" w:cs="Arial" w:eastAsia="Arial" w:hAnsi="Arial"/>
                <w:sz w:val="18"/>
                <w:szCs w:val="18"/>
                <w:rtl w:val="0"/>
              </w:rPr>
              <w:t xml:space="preserve">• Cybersecurity threats and reputational risk</w:t>
            </w:r>
            <w:r w:rsidDel="00000000" w:rsidR="00000000" w:rsidRPr="00000000">
              <w:rPr>
                <w:rtl w:val="0"/>
              </w:rPr>
            </w:r>
          </w:p>
          <w:p w:rsidR="00000000" w:rsidDel="00000000" w:rsidP="00000000" w:rsidRDefault="00000000" w:rsidRPr="00000000" w14:paraId="00000054">
            <w:pPr>
              <w:rPr/>
            </w:pPr>
            <w:r w:rsidDel="00000000" w:rsidR="00000000" w:rsidRPr="00000000">
              <w:rPr>
                <w:rFonts w:ascii="Arial" w:cs="Arial" w:eastAsia="Arial" w:hAnsi="Arial"/>
                <w:sz w:val="18"/>
                <w:szCs w:val="18"/>
                <w:rtl w:val="0"/>
              </w:rPr>
              <w:t xml:space="preserve">• Economic uncertainty impacting luxury travel spend</w:t>
            </w:r>
            <w:r w:rsidDel="00000000" w:rsidR="00000000" w:rsidRPr="00000000">
              <w:rPr>
                <w:rtl w:val="0"/>
              </w:rPr>
            </w:r>
          </w:p>
        </w:tc>
      </w:tr>
    </w:tbl>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2.2 PESTLE Analysis</w:t>
      </w:r>
      <w:r w:rsidDel="00000000" w:rsidR="00000000" w:rsidRPr="00000000">
        <w:rPr>
          <w:rtl w:val="0"/>
        </w:rPr>
      </w:r>
    </w:p>
    <w:p w:rsidR="00000000" w:rsidDel="00000000" w:rsidP="00000000" w:rsidRDefault="00000000" w:rsidRPr="00000000" w14:paraId="00000057">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PESTLE is a strategic analytical framework used to examine the external macro-environmental factors that may affect an organisation or project. The acronym stands for Political, Economic, Social, Technological, Legal, and Environmental factors (Johnson et al., 2017). It enables managers to systematically assess the broader context in which a project operates, identifying both opportunities and threats beyond the organisation's direct control. The following PESTLE analysis examines the key external forces shaping the StaySmart+ launch:</w:t>
      </w:r>
      <w:r w:rsidDel="00000000" w:rsidR="00000000" w:rsidRPr="00000000">
        <w:rPr>
          <w:rtl w:val="0"/>
        </w:rPr>
      </w:r>
    </w:p>
    <w:p w:rsidR="00000000" w:rsidDel="00000000" w:rsidP="00000000" w:rsidRDefault="00000000" w:rsidRPr="00000000" w14:paraId="00000058">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Political: </w:t>
      </w:r>
      <w:r w:rsidDel="00000000" w:rsidR="00000000" w:rsidRPr="00000000">
        <w:rPr>
          <w:rFonts w:ascii="Arial" w:cs="Arial" w:eastAsia="Arial" w:hAnsi="Arial"/>
          <w:sz w:val="24"/>
          <w:szCs w:val="24"/>
          <w:rtl w:val="0"/>
        </w:rPr>
        <w:t xml:space="preserve">The operating environment for StaySmart+ is shaped by varying regulatory regimes across markets, including UK data protection legislation and the EU's General Data Protection Regulation (GDPR). The Information Commissioner's Office (ICO, 2019) has previously fined Marriott £18.4 million for the 2018 breach, underscoring the regulatory stakes involved in deploying any new data-intensive service.</w:t>
      </w:r>
      <w:r w:rsidDel="00000000" w:rsidR="00000000" w:rsidRPr="00000000">
        <w:rPr>
          <w:rtl w:val="0"/>
        </w:rPr>
      </w:r>
    </w:p>
    <w:p w:rsidR="00000000" w:rsidDel="00000000" w:rsidP="00000000" w:rsidRDefault="00000000" w:rsidRPr="00000000" w14:paraId="00000059">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Economic: </w:t>
      </w:r>
      <w:r w:rsidDel="00000000" w:rsidR="00000000" w:rsidRPr="00000000">
        <w:rPr>
          <w:rFonts w:ascii="Arial" w:cs="Arial" w:eastAsia="Arial" w:hAnsi="Arial"/>
          <w:sz w:val="24"/>
          <w:szCs w:val="24"/>
          <w:rtl w:val="0"/>
        </w:rPr>
        <w:t xml:space="preserve">According to the United Nations World Tourism </w:t>
      </w:r>
      <w:r w:rsidDel="00000000" w:rsidR="00000000" w:rsidRPr="00000000">
        <w:rPr>
          <w:sz w:val="24"/>
          <w:szCs w:val="24"/>
          <w:rtl w:val="0"/>
        </w:rPr>
        <w:t xml:space="preserve">Organisation</w:t>
      </w:r>
      <w:r w:rsidDel="00000000" w:rsidR="00000000" w:rsidRPr="00000000">
        <w:rPr>
          <w:rFonts w:ascii="Arial" w:cs="Arial" w:eastAsia="Arial" w:hAnsi="Arial"/>
          <w:sz w:val="24"/>
          <w:szCs w:val="24"/>
          <w:rtl w:val="0"/>
        </w:rPr>
        <w:t xml:space="preserve"> (UNWTO, 2023), international tourist arrivals recovered to approximately 88% of pre-pandemic levels in 2022, presenting a significant market opportunity. However, inflationary pressures and rising operational costs, as noted by Deloitte (2023), require careful financial management of the StaySmart+ investment.</w:t>
      </w:r>
      <w:r w:rsidDel="00000000" w:rsidR="00000000" w:rsidRPr="00000000">
        <w:rPr>
          <w:rtl w:val="0"/>
        </w:rPr>
      </w:r>
    </w:p>
    <w:p w:rsidR="00000000" w:rsidDel="00000000" w:rsidP="00000000" w:rsidRDefault="00000000" w:rsidRPr="00000000" w14:paraId="0000005A">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Social: </w:t>
      </w:r>
      <w:r w:rsidDel="00000000" w:rsidR="00000000" w:rsidRPr="00000000">
        <w:rPr>
          <w:rFonts w:ascii="Arial" w:cs="Arial" w:eastAsia="Arial" w:hAnsi="Arial"/>
          <w:sz w:val="24"/>
          <w:szCs w:val="24"/>
          <w:rtl w:val="0"/>
        </w:rPr>
        <w:t xml:space="preserve">Deloitte (2023) identifies an accelerating consumer shift towards personalised, sustainable travel experiences, particularly among millennial and Generation Z demographics. This creates a direct market opportunity for StaySmart+, provided the service genuinely delivers on both personalisation and sustainability credentials rather than engaging in 'greenwashing' (Carroll, 1991).</w:t>
      </w:r>
      <w:r w:rsidDel="00000000" w:rsidR="00000000" w:rsidRPr="00000000">
        <w:rPr>
          <w:rtl w:val="0"/>
        </w:rPr>
      </w:r>
    </w:p>
    <w:p w:rsidR="00000000" w:rsidDel="00000000" w:rsidP="00000000" w:rsidRDefault="00000000" w:rsidRPr="00000000" w14:paraId="0000005B">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Technological: </w:t>
      </w:r>
      <w:r w:rsidDel="00000000" w:rsidR="00000000" w:rsidRPr="00000000">
        <w:rPr>
          <w:rFonts w:ascii="Arial" w:cs="Arial" w:eastAsia="Arial" w:hAnsi="Arial"/>
          <w:sz w:val="24"/>
          <w:szCs w:val="24"/>
          <w:rtl w:val="0"/>
        </w:rPr>
        <w:t xml:space="preserve">Rapid advancements in artificial intelligence, machine learning, and the Internet of Things (IoT) create significant technical enablers for StaySmart+. As Skift Research (2023) notes, competitor brands</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including Hilton's Connected Room and IHG's hybrid check-in models</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demonstrate the commercial viability of AI-driven hospitality innovation, validating Marriott's strategic direction.</w:t>
      </w:r>
      <w:r w:rsidDel="00000000" w:rsidR="00000000" w:rsidRPr="00000000">
        <w:rPr>
          <w:rtl w:val="0"/>
        </w:rPr>
      </w:r>
    </w:p>
    <w:p w:rsidR="00000000" w:rsidDel="00000000" w:rsidP="00000000" w:rsidRDefault="00000000" w:rsidRPr="00000000" w14:paraId="0000005C">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Legal: </w:t>
      </w:r>
      <w:r w:rsidDel="00000000" w:rsidR="00000000" w:rsidRPr="00000000">
        <w:rPr>
          <w:rFonts w:ascii="Arial" w:cs="Arial" w:eastAsia="Arial" w:hAnsi="Arial"/>
          <w:sz w:val="24"/>
          <w:szCs w:val="24"/>
          <w:rtl w:val="0"/>
        </w:rPr>
        <w:t xml:space="preserve">Beyond GDPR, the project must navigate data privacy legislation across multiple jurisdictions, including Singapore's Personal Data Protection Act (PDPA) and California's Consumer Privacy Act (CCPA). Cavoukian's (2009) Privacy by Design framework, requiring privacy to be embedded at the design stage rather than retrofitted, is a legal and ethical imperative for StaySmart+.</w:t>
      </w:r>
      <w:r w:rsidDel="00000000" w:rsidR="00000000" w:rsidRPr="00000000">
        <w:rPr>
          <w:rtl w:val="0"/>
        </w:rPr>
      </w:r>
    </w:p>
    <w:p w:rsidR="00000000" w:rsidDel="00000000" w:rsidP="00000000" w:rsidRDefault="00000000" w:rsidRPr="00000000" w14:paraId="0000005D">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Environmental: </w:t>
      </w:r>
      <w:r w:rsidDel="00000000" w:rsidR="00000000" w:rsidRPr="00000000">
        <w:rPr>
          <w:rFonts w:ascii="Arial" w:cs="Arial" w:eastAsia="Arial" w:hAnsi="Arial"/>
          <w:sz w:val="24"/>
          <w:szCs w:val="24"/>
          <w:rtl w:val="0"/>
        </w:rPr>
        <w:t xml:space="preserve">The sustainability dimension of StaySmart+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encompassing eco-friendly amenities, carbon footprint tracking tools, and responsible sourcing directories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responds directly to escalating ESG expectations from both investors and regulators (Eccles, Ioannou and Serafeim, 2014). Engagement with sustainability certification bodies such as the Carbon Trust is therefore both a reputational and a commercial priority.</w:t>
      </w:r>
      <w:r w:rsidDel="00000000" w:rsidR="00000000" w:rsidRPr="00000000">
        <w:rPr>
          <w:rtl w:val="0"/>
        </w:rPr>
      </w:r>
    </w:p>
    <w:p w:rsidR="00000000" w:rsidDel="00000000" w:rsidP="00000000" w:rsidRDefault="00000000" w:rsidRPr="00000000" w14:paraId="0000005E">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2.3 SMART Objectives</w:t>
      </w:r>
      <w:r w:rsidDel="00000000" w:rsidR="00000000" w:rsidRPr="00000000">
        <w:rPr>
          <w:rtl w:val="0"/>
        </w:rPr>
      </w:r>
    </w:p>
    <w:p w:rsidR="00000000" w:rsidDel="00000000" w:rsidP="00000000" w:rsidRDefault="00000000" w:rsidRPr="00000000" w14:paraId="0000005F">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Doran (1981) introduced the SMART framework as a tool for setting clear, actionable objectives. The following three objectives govern the StaySmart+ project:</w:t>
      </w:r>
      <w:r w:rsidDel="00000000" w:rsidR="00000000" w:rsidRPr="00000000">
        <w:rPr>
          <w:rtl w:val="0"/>
        </w:rPr>
      </w:r>
    </w:p>
    <w:p w:rsidR="00000000" w:rsidDel="00000000" w:rsidP="00000000" w:rsidRDefault="00000000" w:rsidRPr="00000000" w14:paraId="00000060">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1.  Successfully launch StaySmart+ across 15 flagship global properties within six months of the project start date.</w:t>
      </w:r>
      <w:r w:rsidDel="00000000" w:rsidR="00000000" w:rsidRPr="00000000">
        <w:rPr>
          <w:rtl w:val="0"/>
        </w:rPr>
      </w:r>
    </w:p>
    <w:p w:rsidR="00000000" w:rsidDel="00000000" w:rsidP="00000000" w:rsidRDefault="00000000" w:rsidRPr="00000000" w14:paraId="00000061">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2.  Achieve a minimum Net Promoter Score (NPS) improvement of 15 points at all pilot properties within three months of launch.</w:t>
      </w:r>
      <w:r w:rsidDel="00000000" w:rsidR="00000000" w:rsidRPr="00000000">
        <w:rPr>
          <w:rtl w:val="0"/>
        </w:rPr>
      </w:r>
    </w:p>
    <w:p w:rsidR="00000000" w:rsidDel="00000000" w:rsidP="00000000" w:rsidRDefault="00000000" w:rsidRPr="00000000" w14:paraId="00000062">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3.  Complete the training of 100% of front-line staff at all pilot properties on StaySmart+ service delivery </w:t>
      </w:r>
      <w:r w:rsidDel="00000000" w:rsidR="00000000" w:rsidRPr="00000000">
        <w:rPr>
          <w:sz w:val="24"/>
          <w:szCs w:val="24"/>
          <w:rtl w:val="0"/>
        </w:rPr>
        <w:t xml:space="preserve">before</w:t>
      </w:r>
      <w:r w:rsidDel="00000000" w:rsidR="00000000" w:rsidRPr="00000000">
        <w:rPr>
          <w:rFonts w:ascii="Arial" w:cs="Arial" w:eastAsia="Arial" w:hAnsi="Arial"/>
          <w:sz w:val="24"/>
          <w:szCs w:val="24"/>
          <w:rtl w:val="0"/>
        </w:rPr>
        <w:t xml:space="preserve"> the launch date.</w:t>
      </w:r>
      <w:r w:rsidDel="00000000" w:rsidR="00000000" w:rsidRPr="00000000">
        <w:rPr>
          <w:rtl w:val="0"/>
        </w:rPr>
      </w:r>
    </w:p>
    <w:p w:rsidR="00000000" w:rsidDel="00000000" w:rsidP="00000000" w:rsidRDefault="00000000" w:rsidRPr="00000000" w14:paraId="00000063">
      <w:pPr>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3. Key Stakeholder Identification and Categorisation</w:t>
      </w:r>
      <w:r w:rsidDel="00000000" w:rsidR="00000000" w:rsidRPr="00000000">
        <w:rPr>
          <w:rtl w:val="0"/>
        </w:rPr>
      </w:r>
    </w:p>
    <w:p w:rsidR="00000000" w:rsidDel="00000000" w:rsidP="00000000" w:rsidRDefault="00000000" w:rsidRPr="00000000" w14:paraId="00000065">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Freeman's (1984) foundational stakeholder theory defines stakeholders as any group or individual who can affect or is affected by the achievement of the organisation's objectives. This definition forms the basis for stakeholder identification in the StaySmart+ project. Building on this, Mitchell, Agle</w:t>
      </w:r>
      <w:r w:rsidDel="00000000" w:rsidR="00000000" w:rsidRPr="00000000">
        <w:rPr>
          <w:sz w:val="24"/>
          <w:szCs w:val="24"/>
          <w:rtl w:val="0"/>
        </w:rPr>
        <w:t xml:space="preserve">,</w:t>
      </w:r>
      <w:r w:rsidDel="00000000" w:rsidR="00000000" w:rsidRPr="00000000">
        <w:rPr>
          <w:rFonts w:ascii="Arial" w:cs="Arial" w:eastAsia="Arial" w:hAnsi="Arial"/>
          <w:sz w:val="24"/>
          <w:szCs w:val="24"/>
          <w:rtl w:val="0"/>
        </w:rPr>
        <w:t xml:space="preserve"> and Wood (1997) propose a salience model that categorises stakeholders according to three attributes: power (the ability to impose one's will), legitimacy (socially accepted and expected behaviour), and urgency (the degree to which stakeholder claims call for immediate attention). Stakeholders possessing all three attributes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'definitive stakeholders' in Mitchell et al.'s (1997) typology</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must receive priority management attention.</w:t>
      </w:r>
      <w:r w:rsidDel="00000000" w:rsidR="00000000" w:rsidRPr="00000000">
        <w:rPr>
          <w:rtl w:val="0"/>
        </w:rPr>
      </w:r>
    </w:p>
    <w:p w:rsidR="00000000" w:rsidDel="00000000" w:rsidP="00000000" w:rsidRDefault="00000000" w:rsidRPr="00000000" w14:paraId="00000066">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For StaySmart+, stakeholders are categorised into two primary groups: internal stakeholders (those within Marriott's organisational structure) and external stakeholders (those outside the organisation but significantly affecting or affected by the project). Table 2 below presents the full stakeholder register:</w:t>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spacing w:after="60" w:before="60" w:lineRule="auto"/>
        <w:jc w:val="center"/>
        <w:rPr/>
      </w:pPr>
      <w:r w:rsidDel="00000000" w:rsidR="00000000" w:rsidRPr="00000000">
        <w:rPr>
          <w:rFonts w:ascii="Arial" w:cs="Arial" w:eastAsia="Arial" w:hAnsi="Arial"/>
          <w:b w:val="1"/>
          <w:bCs w:val="1"/>
          <w:sz w:val="20"/>
          <w:szCs w:val="20"/>
          <w:rtl w:val="0"/>
        </w:rPr>
        <w:t xml:space="preserve">Table 2: StaySmart+ Stakeholder Register</w:t>
      </w:r>
      <w:r w:rsidDel="00000000" w:rsidR="00000000" w:rsidRPr="00000000">
        <w:rPr>
          <w:rtl w:val="0"/>
        </w:rPr>
      </w:r>
    </w:p>
    <w:tbl>
      <w:tblPr>
        <w:tblStyle w:val="Table2"/>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0"/>
        <w:gridCol w:w="2400"/>
        <w:gridCol w:w="1800"/>
        <w:gridCol w:w="1300"/>
        <w:gridCol w:w="1200"/>
        <w:tblGridChange w:id="0">
          <w:tblGrid>
            <w:gridCol w:w="2300"/>
            <w:gridCol w:w="2400"/>
            <w:gridCol w:w="1800"/>
            <w:gridCol w:w="1300"/>
            <w:gridCol w:w="120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69">
            <w:pPr>
              <w:jc w:val="center"/>
              <w:rPr/>
            </w:pPr>
            <w:r w:rsidDel="00000000" w:rsidR="00000000" w:rsidRPr="00000000">
              <w:rPr>
                <w:rFonts w:ascii="Arial" w:cs="Arial" w:eastAsia="Arial" w:hAnsi="Arial"/>
                <w:b w:val="1"/>
                <w:bCs w:val="1"/>
                <w:color w:val="ffffff"/>
                <w:sz w:val="18"/>
                <w:szCs w:val="18"/>
                <w:rtl w:val="0"/>
              </w:rPr>
              <w:t xml:space="preserve">Stakeholder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6A">
            <w:pPr>
              <w:jc w:val="center"/>
              <w:rPr/>
            </w:pPr>
            <w:r w:rsidDel="00000000" w:rsidR="00000000" w:rsidRPr="00000000">
              <w:rPr>
                <w:rFonts w:ascii="Arial" w:cs="Arial" w:eastAsia="Arial" w:hAnsi="Arial"/>
                <w:b w:val="1"/>
                <w:bCs w:val="1"/>
                <w:color w:val="ffffff"/>
                <w:sz w:val="18"/>
                <w:szCs w:val="18"/>
                <w:rtl w:val="0"/>
              </w:rPr>
              <w:t xml:space="preserve">Role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6B">
            <w:pPr>
              <w:jc w:val="center"/>
              <w:rPr/>
            </w:pPr>
            <w:r w:rsidDel="00000000" w:rsidR="00000000" w:rsidRPr="00000000">
              <w:rPr>
                <w:rFonts w:ascii="Arial" w:cs="Arial" w:eastAsia="Arial" w:hAnsi="Arial"/>
                <w:b w:val="1"/>
                <w:bCs w:val="1"/>
                <w:color w:val="ffffff"/>
                <w:sz w:val="18"/>
                <w:szCs w:val="18"/>
                <w:rtl w:val="0"/>
              </w:rPr>
              <w:t xml:space="preserve">Type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6C">
            <w:pPr>
              <w:jc w:val="center"/>
              <w:rPr/>
            </w:pPr>
            <w:r w:rsidDel="00000000" w:rsidR="00000000" w:rsidRPr="00000000">
              <w:rPr>
                <w:rFonts w:ascii="Arial" w:cs="Arial" w:eastAsia="Arial" w:hAnsi="Arial"/>
                <w:b w:val="1"/>
                <w:bCs w:val="1"/>
                <w:color w:val="ffffff"/>
                <w:sz w:val="18"/>
                <w:szCs w:val="18"/>
                <w:rtl w:val="0"/>
              </w:rPr>
              <w:t xml:space="preserve">Interest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6D">
            <w:pPr>
              <w:jc w:val="center"/>
              <w:rPr/>
            </w:pPr>
            <w:r w:rsidDel="00000000" w:rsidR="00000000" w:rsidRPr="00000000">
              <w:rPr>
                <w:rFonts w:ascii="Arial" w:cs="Arial" w:eastAsia="Arial" w:hAnsi="Arial"/>
                <w:b w:val="1"/>
                <w:bCs w:val="1"/>
                <w:color w:val="ffffff"/>
                <w:sz w:val="18"/>
                <w:szCs w:val="18"/>
                <w:rtl w:val="0"/>
              </w:rPr>
              <w:t xml:space="preserve">Matrix</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6E">
            <w:pPr>
              <w:rPr/>
            </w:pPr>
            <w:r w:rsidDel="00000000" w:rsidR="00000000" w:rsidRPr="00000000">
              <w:rPr>
                <w:rFonts w:ascii="Arial" w:cs="Arial" w:eastAsia="Arial" w:hAnsi="Arial"/>
                <w:b w:val="1"/>
                <w:bCs w:val="1"/>
                <w:sz w:val="18"/>
                <w:szCs w:val="18"/>
                <w:rtl w:val="0"/>
              </w:rPr>
              <w:t xml:space="preserve">Senior Leadership / Board</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6F">
            <w:pPr>
              <w:rPr/>
            </w:pPr>
            <w:r w:rsidDel="00000000" w:rsidR="00000000" w:rsidRPr="00000000">
              <w:rPr>
                <w:rFonts w:ascii="Arial" w:cs="Arial" w:eastAsia="Arial" w:hAnsi="Arial"/>
                <w:b w:val="0"/>
                <w:bCs w:val="0"/>
                <w:sz w:val="18"/>
                <w:szCs w:val="18"/>
                <w:rtl w:val="0"/>
              </w:rPr>
              <w:t xml:space="preserve">Strategic oversight &amp; resource allocation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0">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1">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2">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3">
            <w:pPr>
              <w:rPr/>
            </w:pPr>
            <w:r w:rsidDel="00000000" w:rsidR="00000000" w:rsidRPr="00000000">
              <w:rPr>
                <w:rFonts w:ascii="Arial" w:cs="Arial" w:eastAsia="Arial" w:hAnsi="Arial"/>
                <w:b w:val="1"/>
                <w:bCs w:val="1"/>
                <w:sz w:val="18"/>
                <w:szCs w:val="18"/>
                <w:rtl w:val="0"/>
              </w:rPr>
              <w:t xml:space="preserve">Product Development Team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4">
            <w:pPr>
              <w:rPr/>
            </w:pPr>
            <w:r w:rsidDel="00000000" w:rsidR="00000000" w:rsidRPr="00000000">
              <w:rPr>
                <w:rFonts w:ascii="Arial" w:cs="Arial" w:eastAsia="Arial" w:hAnsi="Arial"/>
                <w:b w:val="0"/>
                <w:bCs w:val="0"/>
                <w:sz w:val="18"/>
                <w:szCs w:val="18"/>
                <w:rtl w:val="0"/>
              </w:rPr>
              <w:t xml:space="preserve">Design &amp; build StaySmart+ features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5">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6">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7">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8">
            <w:pPr>
              <w:rPr/>
            </w:pPr>
            <w:r w:rsidDel="00000000" w:rsidR="00000000" w:rsidRPr="00000000">
              <w:rPr>
                <w:rFonts w:ascii="Arial" w:cs="Arial" w:eastAsia="Arial" w:hAnsi="Arial"/>
                <w:b w:val="1"/>
                <w:bCs w:val="1"/>
                <w:sz w:val="18"/>
                <w:szCs w:val="18"/>
                <w:rtl w:val="0"/>
              </w:rPr>
              <w:t xml:space="preserve">Marketing &amp; Sales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9">
            <w:pPr>
              <w:rPr/>
            </w:pPr>
            <w:r w:rsidDel="00000000" w:rsidR="00000000" w:rsidRPr="00000000">
              <w:rPr>
                <w:rFonts w:ascii="Arial" w:cs="Arial" w:eastAsia="Arial" w:hAnsi="Arial"/>
                <w:b w:val="0"/>
                <w:bCs w:val="0"/>
                <w:sz w:val="18"/>
                <w:szCs w:val="18"/>
                <w:rtl w:val="0"/>
              </w:rPr>
              <w:t xml:space="preserve">Brand positioning &amp; guest acquisition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A">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B">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7C">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D">
            <w:pPr>
              <w:rPr/>
            </w:pPr>
            <w:r w:rsidDel="00000000" w:rsidR="00000000" w:rsidRPr="00000000">
              <w:rPr>
                <w:rFonts w:ascii="Arial" w:cs="Arial" w:eastAsia="Arial" w:hAnsi="Arial"/>
                <w:b w:val="1"/>
                <w:bCs w:val="1"/>
                <w:sz w:val="18"/>
                <w:szCs w:val="18"/>
                <w:rtl w:val="0"/>
              </w:rPr>
              <w:t xml:space="preserve">IT &amp; Data Analytics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E">
            <w:pPr>
              <w:rPr/>
            </w:pPr>
            <w:r w:rsidDel="00000000" w:rsidR="00000000" w:rsidRPr="00000000">
              <w:rPr>
                <w:rFonts w:ascii="Arial" w:cs="Arial" w:eastAsia="Arial" w:hAnsi="Arial"/>
                <w:b w:val="0"/>
                <w:bCs w:val="0"/>
                <w:sz w:val="18"/>
                <w:szCs w:val="18"/>
                <w:rtl w:val="0"/>
              </w:rPr>
              <w:t xml:space="preserve">System integration &amp; data governance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7F">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0">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1">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2">
            <w:pPr>
              <w:rPr/>
            </w:pPr>
            <w:r w:rsidDel="00000000" w:rsidR="00000000" w:rsidRPr="00000000">
              <w:rPr>
                <w:rFonts w:ascii="Arial" w:cs="Arial" w:eastAsia="Arial" w:hAnsi="Arial"/>
                <w:b w:val="1"/>
                <w:bCs w:val="1"/>
                <w:sz w:val="18"/>
                <w:szCs w:val="18"/>
                <w:rtl w:val="0"/>
              </w:rPr>
              <w:t xml:space="preserve">Hotel General Managers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3">
            <w:pPr>
              <w:rPr/>
            </w:pPr>
            <w:r w:rsidDel="00000000" w:rsidR="00000000" w:rsidRPr="00000000">
              <w:rPr>
                <w:rFonts w:ascii="Arial" w:cs="Arial" w:eastAsia="Arial" w:hAnsi="Arial"/>
                <w:b w:val="0"/>
                <w:bCs w:val="0"/>
                <w:sz w:val="18"/>
                <w:szCs w:val="18"/>
                <w:rtl w:val="0"/>
              </w:rPr>
              <w:t xml:space="preserve">Operational delivery at property level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4">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5">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6">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7">
            <w:pPr>
              <w:rPr/>
            </w:pPr>
            <w:r w:rsidDel="00000000" w:rsidR="00000000" w:rsidRPr="00000000">
              <w:rPr>
                <w:rFonts w:ascii="Arial" w:cs="Arial" w:eastAsia="Arial" w:hAnsi="Arial"/>
                <w:b w:val="1"/>
                <w:bCs w:val="1"/>
                <w:sz w:val="18"/>
                <w:szCs w:val="18"/>
                <w:rtl w:val="0"/>
              </w:rPr>
              <w:t xml:space="preserve">Front-line Staff</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8">
            <w:pPr>
              <w:rPr/>
            </w:pPr>
            <w:r w:rsidDel="00000000" w:rsidR="00000000" w:rsidRPr="00000000">
              <w:rPr>
                <w:rFonts w:ascii="Arial" w:cs="Arial" w:eastAsia="Arial" w:hAnsi="Arial"/>
                <w:b w:val="0"/>
                <w:bCs w:val="0"/>
                <w:sz w:val="18"/>
                <w:szCs w:val="18"/>
                <w:rtl w:val="0"/>
              </w:rPr>
              <w:t xml:space="preserve">Direct delivery of guest experience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9">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A">
            <w:pPr>
              <w:rPr/>
            </w:pPr>
            <w:r w:rsidDel="00000000" w:rsidR="00000000" w:rsidRPr="00000000">
              <w:rPr>
                <w:rFonts w:ascii="Arial" w:cs="Arial" w:eastAsia="Arial" w:hAnsi="Arial"/>
                <w:b w:val="0"/>
                <w:bCs w:val="0"/>
                <w:sz w:val="18"/>
                <w:szCs w:val="18"/>
                <w:rtl w:val="0"/>
              </w:rPr>
              <w:t xml:space="preserve">Med-High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8B">
            <w:pPr>
              <w:rPr/>
            </w:pPr>
            <w:r w:rsidDel="00000000" w:rsidR="00000000" w:rsidRPr="00000000">
              <w:rPr>
                <w:rFonts w:ascii="Arial" w:cs="Arial" w:eastAsia="Arial" w:hAnsi="Arial"/>
                <w:b w:val="0"/>
                <w:bCs w:val="0"/>
                <w:sz w:val="18"/>
                <w:szCs w:val="18"/>
                <w:rtl w:val="0"/>
              </w:rPr>
              <w:t xml:space="preserve">Keep Satisfied</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C">
            <w:pPr>
              <w:rPr/>
            </w:pPr>
            <w:r w:rsidDel="00000000" w:rsidR="00000000" w:rsidRPr="00000000">
              <w:rPr>
                <w:rFonts w:ascii="Arial" w:cs="Arial" w:eastAsia="Arial" w:hAnsi="Arial"/>
                <w:b w:val="1"/>
                <w:bCs w:val="1"/>
                <w:sz w:val="18"/>
                <w:szCs w:val="18"/>
                <w:rtl w:val="0"/>
              </w:rPr>
              <w:t xml:space="preserve">HR Department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D">
            <w:pPr>
              <w:rPr/>
            </w:pPr>
            <w:r w:rsidDel="00000000" w:rsidR="00000000" w:rsidRPr="00000000">
              <w:rPr>
                <w:rFonts w:ascii="Arial" w:cs="Arial" w:eastAsia="Arial" w:hAnsi="Arial"/>
                <w:b w:val="0"/>
                <w:bCs w:val="0"/>
                <w:sz w:val="18"/>
                <w:szCs w:val="18"/>
                <w:rtl w:val="0"/>
              </w:rPr>
              <w:t xml:space="preserve">Training, culture &amp; change management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E">
            <w:pPr>
              <w:rPr/>
            </w:pPr>
            <w:r w:rsidDel="00000000" w:rsidR="00000000" w:rsidRPr="00000000">
              <w:rPr>
                <w:rFonts w:ascii="Arial" w:cs="Arial" w:eastAsia="Arial" w:hAnsi="Arial"/>
                <w:b w:val="0"/>
                <w:bCs w:val="0"/>
                <w:sz w:val="18"/>
                <w:szCs w:val="18"/>
                <w:rtl w:val="0"/>
              </w:rPr>
              <w:t xml:space="preserve">Internal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8F">
            <w:pPr>
              <w:rPr/>
            </w:pPr>
            <w:r w:rsidDel="00000000" w:rsidR="00000000" w:rsidRPr="00000000">
              <w:rPr>
                <w:rFonts w:ascii="Arial" w:cs="Arial" w:eastAsia="Arial" w:hAnsi="Arial"/>
                <w:b w:val="0"/>
                <w:bCs w:val="0"/>
                <w:sz w:val="18"/>
                <w:szCs w:val="18"/>
                <w:rtl w:val="0"/>
              </w:rPr>
              <w:t xml:space="preserve">Medium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0">
            <w:pPr>
              <w:rPr/>
            </w:pPr>
            <w:r w:rsidDel="00000000" w:rsidR="00000000" w:rsidRPr="00000000">
              <w:rPr>
                <w:rFonts w:ascii="Arial" w:cs="Arial" w:eastAsia="Arial" w:hAnsi="Arial"/>
                <w:b w:val="0"/>
                <w:bCs w:val="0"/>
                <w:sz w:val="18"/>
                <w:szCs w:val="18"/>
                <w:rtl w:val="0"/>
              </w:rPr>
              <w:t xml:space="preserve">Keep Satisfied</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1">
            <w:pPr>
              <w:rPr/>
            </w:pPr>
            <w:r w:rsidDel="00000000" w:rsidR="00000000" w:rsidRPr="00000000">
              <w:rPr>
                <w:rFonts w:ascii="Arial" w:cs="Arial" w:eastAsia="Arial" w:hAnsi="Arial"/>
                <w:b w:val="1"/>
                <w:bCs w:val="1"/>
                <w:sz w:val="18"/>
                <w:szCs w:val="18"/>
                <w:rtl w:val="0"/>
              </w:rPr>
              <w:t xml:space="preserve">Guests / Customers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2">
            <w:pPr>
              <w:rPr/>
            </w:pPr>
            <w:r w:rsidDel="00000000" w:rsidR="00000000" w:rsidRPr="00000000">
              <w:rPr>
                <w:rFonts w:ascii="Arial" w:cs="Arial" w:eastAsia="Arial" w:hAnsi="Arial"/>
                <w:b w:val="0"/>
                <w:bCs w:val="0"/>
                <w:sz w:val="18"/>
                <w:szCs w:val="18"/>
                <w:rtl w:val="0"/>
              </w:rPr>
              <w:t xml:space="preserve">End-users of StaySmart+ service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3">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4">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5">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6">
            <w:pPr>
              <w:rPr/>
            </w:pPr>
            <w:r w:rsidDel="00000000" w:rsidR="00000000" w:rsidRPr="00000000">
              <w:rPr>
                <w:rFonts w:ascii="Arial" w:cs="Arial" w:eastAsia="Arial" w:hAnsi="Arial"/>
                <w:b w:val="1"/>
                <w:bCs w:val="1"/>
                <w:sz w:val="18"/>
                <w:szCs w:val="18"/>
                <w:rtl w:val="0"/>
              </w:rPr>
              <w:t xml:space="preserve">Technology Partners (AI vendors)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7">
            <w:pPr>
              <w:rPr/>
            </w:pPr>
            <w:r w:rsidDel="00000000" w:rsidR="00000000" w:rsidRPr="00000000">
              <w:rPr>
                <w:rFonts w:ascii="Arial" w:cs="Arial" w:eastAsia="Arial" w:hAnsi="Arial"/>
                <w:b w:val="0"/>
                <w:bCs w:val="0"/>
                <w:sz w:val="18"/>
                <w:szCs w:val="18"/>
                <w:rtl w:val="0"/>
              </w:rPr>
              <w:t xml:space="preserve">Platform &amp; AI infrastructure provision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8">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9">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9A">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B">
            <w:pPr>
              <w:rPr/>
            </w:pPr>
            <w:r w:rsidDel="00000000" w:rsidR="00000000" w:rsidRPr="00000000">
              <w:rPr>
                <w:rFonts w:ascii="Arial" w:cs="Arial" w:eastAsia="Arial" w:hAnsi="Arial"/>
                <w:b w:val="1"/>
                <w:bCs w:val="1"/>
                <w:sz w:val="18"/>
                <w:szCs w:val="18"/>
                <w:rtl w:val="0"/>
              </w:rPr>
              <w:t xml:space="preserve">Regulatory Bodies (ICO, GDPR)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C">
            <w:pPr>
              <w:rPr/>
            </w:pPr>
            <w:r w:rsidDel="00000000" w:rsidR="00000000" w:rsidRPr="00000000">
              <w:rPr>
                <w:rFonts w:ascii="Arial" w:cs="Arial" w:eastAsia="Arial" w:hAnsi="Arial"/>
                <w:b w:val="0"/>
                <w:bCs w:val="0"/>
                <w:sz w:val="18"/>
                <w:szCs w:val="18"/>
                <w:rtl w:val="0"/>
              </w:rPr>
              <w:t xml:space="preserve">Compliance framework &amp; oversight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D">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E">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9F">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0">
            <w:pPr>
              <w:rPr/>
            </w:pPr>
            <w:r w:rsidDel="00000000" w:rsidR="00000000" w:rsidRPr="00000000">
              <w:rPr>
                <w:rFonts w:ascii="Arial" w:cs="Arial" w:eastAsia="Arial" w:hAnsi="Arial"/>
                <w:b w:val="1"/>
                <w:bCs w:val="1"/>
                <w:sz w:val="18"/>
                <w:szCs w:val="18"/>
                <w:rtl w:val="0"/>
              </w:rPr>
              <w:t xml:space="preserve">Travel Agents &amp; OTAs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1">
            <w:pPr>
              <w:rPr/>
            </w:pPr>
            <w:r w:rsidDel="00000000" w:rsidR="00000000" w:rsidRPr="00000000">
              <w:rPr>
                <w:rFonts w:ascii="Arial" w:cs="Arial" w:eastAsia="Arial" w:hAnsi="Arial"/>
                <w:b w:val="0"/>
                <w:bCs w:val="0"/>
                <w:sz w:val="18"/>
                <w:szCs w:val="18"/>
                <w:rtl w:val="0"/>
              </w:rPr>
              <w:t xml:space="preserve">Distribution &amp; promotional channels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2">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3">
            <w:pPr>
              <w:rPr/>
            </w:pPr>
            <w:r w:rsidDel="00000000" w:rsidR="00000000" w:rsidRPr="00000000">
              <w:rPr>
                <w:rFonts w:ascii="Arial" w:cs="Arial" w:eastAsia="Arial" w:hAnsi="Arial"/>
                <w:b w:val="0"/>
                <w:bCs w:val="0"/>
                <w:sz w:val="18"/>
                <w:szCs w:val="18"/>
                <w:rtl w:val="0"/>
              </w:rPr>
              <w:t xml:space="preserve">Medium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4">
            <w:pPr>
              <w:rPr/>
            </w:pPr>
            <w:r w:rsidDel="00000000" w:rsidR="00000000" w:rsidRPr="00000000">
              <w:rPr>
                <w:rFonts w:ascii="Arial" w:cs="Arial" w:eastAsia="Arial" w:hAnsi="Arial"/>
                <w:b w:val="0"/>
                <w:bCs w:val="0"/>
                <w:sz w:val="18"/>
                <w:szCs w:val="18"/>
                <w:rtl w:val="0"/>
              </w:rPr>
              <w:t xml:space="preserve">Keep Informed</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5">
            <w:pPr>
              <w:rPr/>
            </w:pPr>
            <w:r w:rsidDel="00000000" w:rsidR="00000000" w:rsidRPr="00000000">
              <w:rPr>
                <w:rFonts w:ascii="Arial" w:cs="Arial" w:eastAsia="Arial" w:hAnsi="Arial"/>
                <w:b w:val="1"/>
                <w:bCs w:val="1"/>
                <w:sz w:val="18"/>
                <w:szCs w:val="18"/>
                <w:rtl w:val="0"/>
              </w:rPr>
              <w:t xml:space="preserve">Sustainability NGOs (Carbon Trust)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6">
            <w:pPr>
              <w:rPr/>
            </w:pPr>
            <w:r w:rsidDel="00000000" w:rsidR="00000000" w:rsidRPr="00000000">
              <w:rPr>
                <w:rFonts w:ascii="Arial" w:cs="Arial" w:eastAsia="Arial" w:hAnsi="Arial"/>
                <w:b w:val="0"/>
                <w:bCs w:val="0"/>
                <w:sz w:val="18"/>
                <w:szCs w:val="18"/>
                <w:rtl w:val="0"/>
              </w:rPr>
              <w:t xml:space="preserve">Environmental credential validation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7">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8">
            <w:pPr>
              <w:rPr/>
            </w:pPr>
            <w:r w:rsidDel="00000000" w:rsidR="00000000" w:rsidRPr="00000000">
              <w:rPr>
                <w:rFonts w:ascii="Arial" w:cs="Arial" w:eastAsia="Arial" w:hAnsi="Arial"/>
                <w:b w:val="0"/>
                <w:bCs w:val="0"/>
                <w:sz w:val="18"/>
                <w:szCs w:val="18"/>
                <w:rtl w:val="0"/>
              </w:rPr>
              <w:t xml:space="preserve">Medium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9">
            <w:pPr>
              <w:rPr/>
            </w:pPr>
            <w:r w:rsidDel="00000000" w:rsidR="00000000" w:rsidRPr="00000000">
              <w:rPr>
                <w:rFonts w:ascii="Arial" w:cs="Arial" w:eastAsia="Arial" w:hAnsi="Arial"/>
                <w:b w:val="0"/>
                <w:bCs w:val="0"/>
                <w:sz w:val="18"/>
                <w:szCs w:val="18"/>
                <w:rtl w:val="0"/>
              </w:rPr>
              <w:t xml:space="preserve">Keep Informed</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A">
            <w:pPr>
              <w:rPr/>
            </w:pPr>
            <w:r w:rsidDel="00000000" w:rsidR="00000000" w:rsidRPr="00000000">
              <w:rPr>
                <w:rFonts w:ascii="Arial" w:cs="Arial" w:eastAsia="Arial" w:hAnsi="Arial"/>
                <w:b w:val="1"/>
                <w:bCs w:val="1"/>
                <w:sz w:val="18"/>
                <w:szCs w:val="18"/>
                <w:rtl w:val="0"/>
              </w:rPr>
              <w:t xml:space="preserve">Investors &amp; Shareholders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B">
            <w:pPr>
              <w:rPr/>
            </w:pPr>
            <w:r w:rsidDel="00000000" w:rsidR="00000000" w:rsidRPr="00000000">
              <w:rPr>
                <w:rFonts w:ascii="Arial" w:cs="Arial" w:eastAsia="Arial" w:hAnsi="Arial"/>
                <w:b w:val="0"/>
                <w:bCs w:val="0"/>
                <w:sz w:val="18"/>
                <w:szCs w:val="18"/>
                <w:rtl w:val="0"/>
              </w:rPr>
              <w:t xml:space="preserve">Financial returns &amp; brand reputation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C">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D">
            <w:pPr>
              <w:rPr/>
            </w:pPr>
            <w:r w:rsidDel="00000000" w:rsidR="00000000" w:rsidRPr="00000000">
              <w:rPr>
                <w:rFonts w:ascii="Arial" w:cs="Arial" w:eastAsia="Arial" w:hAnsi="Arial"/>
                <w:b w:val="0"/>
                <w:bCs w:val="0"/>
                <w:sz w:val="18"/>
                <w:szCs w:val="18"/>
                <w:rtl w:val="0"/>
              </w:rPr>
              <w:t xml:space="preserve">High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AE">
            <w:pPr>
              <w:rPr/>
            </w:pPr>
            <w:r w:rsidDel="00000000" w:rsidR="00000000" w:rsidRPr="00000000">
              <w:rPr>
                <w:rFonts w:ascii="Arial" w:cs="Arial" w:eastAsia="Arial" w:hAnsi="Arial"/>
                <w:b w:val="0"/>
                <w:bCs w:val="0"/>
                <w:sz w:val="18"/>
                <w:szCs w:val="18"/>
                <w:rtl w:val="0"/>
              </w:rPr>
              <w:t xml:space="preserve">Manage Closely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AF">
            <w:pPr>
              <w:rPr/>
            </w:pPr>
            <w:r w:rsidDel="00000000" w:rsidR="00000000" w:rsidRPr="00000000">
              <w:rPr>
                <w:rFonts w:ascii="Arial" w:cs="Arial" w:eastAsia="Arial" w:hAnsi="Arial"/>
                <w:b w:val="1"/>
                <w:bCs w:val="1"/>
                <w:sz w:val="18"/>
                <w:szCs w:val="18"/>
                <w:rtl w:val="0"/>
              </w:rPr>
              <w:t xml:space="preserve">Local Communities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B0">
            <w:pPr>
              <w:rPr/>
            </w:pPr>
            <w:r w:rsidDel="00000000" w:rsidR="00000000" w:rsidRPr="00000000">
              <w:rPr>
                <w:rFonts w:ascii="Arial" w:cs="Arial" w:eastAsia="Arial" w:hAnsi="Arial"/>
                <w:b w:val="0"/>
                <w:bCs w:val="0"/>
                <w:sz w:val="18"/>
                <w:szCs w:val="18"/>
                <w:rtl w:val="0"/>
              </w:rPr>
              <w:t xml:space="preserve">Social licence to operate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B1">
            <w:pPr>
              <w:rPr/>
            </w:pPr>
            <w:r w:rsidDel="00000000" w:rsidR="00000000" w:rsidRPr="00000000">
              <w:rPr>
                <w:rFonts w:ascii="Arial" w:cs="Arial" w:eastAsia="Arial" w:hAnsi="Arial"/>
                <w:b w:val="0"/>
                <w:bCs w:val="0"/>
                <w:sz w:val="18"/>
                <w:szCs w:val="18"/>
                <w:rtl w:val="0"/>
              </w:rPr>
              <w:t xml:space="preserve">External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B2">
            <w:pPr>
              <w:rPr/>
            </w:pPr>
            <w:r w:rsidDel="00000000" w:rsidR="00000000" w:rsidRPr="00000000">
              <w:rPr>
                <w:rFonts w:ascii="Arial" w:cs="Arial" w:eastAsia="Arial" w:hAnsi="Arial"/>
                <w:b w:val="0"/>
                <w:bCs w:val="0"/>
                <w:sz w:val="18"/>
                <w:szCs w:val="18"/>
                <w:rtl w:val="0"/>
              </w:rPr>
              <w:t xml:space="preserve">Low</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B3">
            <w:pPr>
              <w:rPr/>
            </w:pPr>
            <w:r w:rsidDel="00000000" w:rsidR="00000000" w:rsidRPr="00000000">
              <w:rPr>
                <w:rFonts w:ascii="Arial" w:cs="Arial" w:eastAsia="Arial" w:hAnsi="Arial"/>
                <w:b w:val="0"/>
                <w:bCs w:val="0"/>
                <w:sz w:val="18"/>
                <w:szCs w:val="18"/>
                <w:rtl w:val="0"/>
              </w:rPr>
              <w:t xml:space="preserve">Monitor</w:t>
            </w:r>
            <w:r w:rsidDel="00000000" w:rsidR="00000000" w:rsidRPr="00000000">
              <w:rPr>
                <w:rtl w:val="0"/>
              </w:rPr>
            </w:r>
          </w:p>
        </w:tc>
      </w:tr>
    </w:tbl>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3.1 Stakeholder Map and Power-Interest Matrix</w:t>
      </w:r>
      <w:r w:rsidDel="00000000" w:rsidR="00000000" w:rsidRPr="00000000">
        <w:rPr>
          <w:rtl w:val="0"/>
        </w:rPr>
      </w:r>
    </w:p>
    <w:p w:rsidR="00000000" w:rsidDel="00000000" w:rsidP="00000000" w:rsidRDefault="00000000" w:rsidRPr="00000000" w14:paraId="000000B6">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Mendelow (1991) developed the Power-Interest Matrix as a practical tool for prioritising stakeholder engagement efforts, plotting stakeholders according to their level of power over the project and their degree of interest in its outcomes. As Johnson et al. (2017, p.100) explain, this matrix suggests four engagement strategies: 'Manage Closely' (high power, high interest), 'Keep Satisfied' (high power, low interest), 'Keep Informed' (low power, high interest), and 'Monitor' (low power, low interest). The positioning of StaySmart+ stakeholders within this matrix is illustrated in Table 3 below.</w:t>
      </w: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spacing w:after="60" w:before="60" w:lineRule="auto"/>
        <w:jc w:val="center"/>
        <w:rPr/>
      </w:pPr>
      <w:r w:rsidDel="00000000" w:rsidR="00000000" w:rsidRPr="00000000">
        <w:rPr>
          <w:rFonts w:ascii="Arial" w:cs="Arial" w:eastAsia="Arial" w:hAnsi="Arial"/>
          <w:b w:val="1"/>
          <w:bCs w:val="1"/>
          <w:sz w:val="20"/>
          <w:szCs w:val="20"/>
          <w:rtl w:val="0"/>
        </w:rPr>
        <w:t xml:space="preserve">Table 3: Power-Interest Matrix – StaySmart+ Stakeholders</w:t>
      </w:r>
      <w:r w:rsidDel="00000000" w:rsidR="00000000" w:rsidRPr="00000000">
        <w:rPr>
          <w:rtl w:val="0"/>
        </w:rPr>
      </w:r>
    </w:p>
    <w:tbl>
      <w:tblPr>
        <w:tblStyle w:val="Table3"/>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50"/>
        <w:gridCol w:w="2250"/>
        <w:gridCol w:w="2250"/>
        <w:gridCol w:w="2250"/>
        <w:tblGridChange w:id="0">
          <w:tblGrid>
            <w:gridCol w:w="2250"/>
            <w:gridCol w:w="2250"/>
            <w:gridCol w:w="2250"/>
            <w:gridCol w:w="225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aaaaaa" w:val="clear"/>
            <w:tcMar>
              <w:top w:w="80.0" w:type="dxa"/>
              <w:left w:w="120.0" w:type="dxa"/>
              <w:bottom w:w="80.0" w:type="dxa"/>
              <w:right w:w="120.0" w:type="dxa"/>
            </w:tcMar>
            <w:vAlign w:val="center"/>
          </w:tcPr>
          <w:p w:rsidR="00000000" w:rsidDel="00000000" w:rsidP="00000000" w:rsidRDefault="00000000" w:rsidRPr="00000000" w14:paraId="000000B9">
            <w:pPr>
              <w:jc w:val="center"/>
              <w:rPr/>
            </w:pP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555555" w:val="clear"/>
            <w:tcMar>
              <w:top w:w="80.0" w:type="dxa"/>
              <w:left w:w="120.0" w:type="dxa"/>
              <w:bottom w:w="80.0" w:type="dxa"/>
              <w:right w:w="120.0" w:type="dxa"/>
            </w:tcMar>
            <w:vAlign w:val="center"/>
          </w:tcPr>
          <w:p w:rsidR="00000000" w:rsidDel="00000000" w:rsidP="00000000" w:rsidRDefault="00000000" w:rsidRPr="00000000" w14:paraId="000000BA">
            <w:pPr>
              <w:jc w:val="center"/>
              <w:rPr/>
            </w:pPr>
            <w:r w:rsidDel="00000000" w:rsidR="00000000" w:rsidRPr="00000000">
              <w:rPr>
                <w:rFonts w:ascii="Arial" w:cs="Arial" w:eastAsia="Arial" w:hAnsi="Arial"/>
                <w:b w:val="1"/>
                <w:bCs w:val="1"/>
                <w:color w:val="ffffff"/>
                <w:sz w:val="18"/>
                <w:szCs w:val="18"/>
                <w:rtl w:val="0"/>
              </w:rPr>
              <w:t xml:space="preserve">LOW INTEREST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555555" w:val="clear"/>
            <w:tcMar>
              <w:top w:w="80.0" w:type="dxa"/>
              <w:left w:w="120.0" w:type="dxa"/>
              <w:bottom w:w="80.0" w:type="dxa"/>
              <w:right w:w="120.0" w:type="dxa"/>
            </w:tcMar>
            <w:vAlign w:val="center"/>
          </w:tcPr>
          <w:p w:rsidR="00000000" w:rsidDel="00000000" w:rsidP="00000000" w:rsidRDefault="00000000" w:rsidRPr="00000000" w14:paraId="000000BB">
            <w:pPr>
              <w:jc w:val="center"/>
              <w:rPr/>
            </w:pPr>
            <w:r w:rsidDel="00000000" w:rsidR="00000000" w:rsidRPr="00000000">
              <w:rPr>
                <w:rFonts w:ascii="Arial" w:cs="Arial" w:eastAsia="Arial" w:hAnsi="Arial"/>
                <w:b w:val="1"/>
                <w:bCs w:val="1"/>
                <w:color w:val="ffffff"/>
                <w:sz w:val="18"/>
                <w:szCs w:val="18"/>
                <w:rtl w:val="0"/>
              </w:rPr>
              <w:t xml:space="preserve">HIGH INTEREST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555555" w:val="clear"/>
            <w:tcMar>
              <w:top w:w="80.0" w:type="dxa"/>
              <w:left w:w="120.0" w:type="dxa"/>
              <w:bottom w:w="80.0" w:type="dxa"/>
              <w:right w:w="120.0" w:type="dxa"/>
            </w:tcMar>
            <w:vAlign w:val="center"/>
          </w:tcPr>
          <w:p w:rsidR="00000000" w:rsidDel="00000000" w:rsidP="00000000" w:rsidRDefault="00000000" w:rsidRPr="00000000" w14:paraId="000000BC">
            <w:pPr>
              <w:jc w:val="center"/>
              <w:rPr/>
            </w:pPr>
            <w:r w:rsidDel="00000000" w:rsidR="00000000" w:rsidRPr="00000000">
              <w:rPr>
                <w:rFonts w:ascii="Arial" w:cs="Arial" w:eastAsia="Arial" w:hAnsi="Arial"/>
                <w:b w:val="1"/>
                <w:bCs w:val="1"/>
                <w:color w:val="ffffff"/>
                <w:sz w:val="18"/>
                <w:szCs w:val="18"/>
                <w:rtl w:val="0"/>
              </w:rPr>
              <w:t xml:space="preserve">Strategy</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BD">
            <w:pPr>
              <w:jc w:val="center"/>
              <w:rPr/>
            </w:pPr>
            <w:r w:rsidDel="00000000" w:rsidR="00000000" w:rsidRPr="00000000">
              <w:rPr>
                <w:rFonts w:ascii="Arial" w:cs="Arial" w:eastAsia="Arial" w:hAnsi="Arial"/>
                <w:b w:val="1"/>
                <w:bCs w:val="1"/>
                <w:color w:val="ffffff"/>
                <w:sz w:val="18"/>
                <w:szCs w:val="18"/>
                <w:rtl w:val="0"/>
              </w:rPr>
              <w:t xml:space="preserve">HIGH POWER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6eaf8" w:val="clear"/>
            <w:tcMar>
              <w:top w:w="80.0" w:type="dxa"/>
              <w:left w:w="120.0" w:type="dxa"/>
              <w:bottom w:w="80.0" w:type="dxa"/>
              <w:right w:w="120.0" w:type="dxa"/>
            </w:tcMar>
          </w:tcPr>
          <w:p w:rsidR="00000000" w:rsidDel="00000000" w:rsidP="00000000" w:rsidRDefault="00000000" w:rsidRPr="00000000" w14:paraId="000000BE">
            <w:pPr>
              <w:rPr/>
            </w:pPr>
            <w:r w:rsidDel="00000000" w:rsidR="00000000" w:rsidRPr="00000000">
              <w:rPr>
                <w:rFonts w:ascii="Arial" w:cs="Arial" w:eastAsia="Arial" w:hAnsi="Arial"/>
                <w:b w:val="0"/>
                <w:bCs w:val="0"/>
                <w:sz w:val="18"/>
                <w:szCs w:val="18"/>
                <w:rtl w:val="0"/>
              </w:rPr>
              <w:t xml:space="preserve">Investors (passive)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BF">
            <w:pPr>
              <w:rPr/>
            </w:pPr>
            <w:r w:rsidDel="00000000" w:rsidR="00000000" w:rsidRPr="00000000">
              <w:rPr>
                <w:rFonts w:ascii="Arial" w:cs="Arial" w:eastAsia="Arial" w:hAnsi="Arial"/>
                <w:b w:val="1"/>
                <w:bCs w:val="1"/>
                <w:sz w:val="18"/>
                <w:szCs w:val="18"/>
                <w:rtl w:val="0"/>
              </w:rPr>
              <w:t xml:space="preserve">Senior Leadership, Regulators, Technology Partners, Guests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C0">
            <w:pPr>
              <w:rPr/>
            </w:pPr>
            <w:r w:rsidDel="00000000" w:rsidR="00000000" w:rsidRPr="00000000">
              <w:rPr>
                <w:rFonts w:ascii="Arial" w:cs="Arial" w:eastAsia="Arial" w:hAnsi="Arial"/>
                <w:b w:val="0"/>
                <w:bCs w:val="0"/>
                <w:sz w:val="18"/>
                <w:szCs w:val="18"/>
                <w:rtl w:val="0"/>
              </w:rPr>
              <w:t xml:space="preserve">Manage Closely – intensive engagement</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003366" w:val="clear"/>
            <w:tcMar>
              <w:top w:w="80.0" w:type="dxa"/>
              <w:left w:w="120.0" w:type="dxa"/>
              <w:bottom w:w="80.0" w:type="dxa"/>
              <w:right w:w="120.0" w:type="dxa"/>
            </w:tcMar>
            <w:vAlign w:val="center"/>
          </w:tcPr>
          <w:p w:rsidR="00000000" w:rsidDel="00000000" w:rsidP="00000000" w:rsidRDefault="00000000" w:rsidRPr="00000000" w14:paraId="000000C1">
            <w:pPr>
              <w:jc w:val="center"/>
              <w:rPr/>
            </w:pPr>
            <w:r w:rsidDel="00000000" w:rsidR="00000000" w:rsidRPr="00000000">
              <w:rPr>
                <w:rFonts w:ascii="Arial" w:cs="Arial" w:eastAsia="Arial" w:hAnsi="Arial"/>
                <w:b w:val="1"/>
                <w:bCs w:val="1"/>
                <w:color w:val="ffffff"/>
                <w:sz w:val="18"/>
                <w:szCs w:val="18"/>
                <w:rtl w:val="0"/>
              </w:rPr>
              <w:t xml:space="preserve">LOW POWER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C2">
            <w:pPr>
              <w:rPr/>
            </w:pPr>
            <w:r w:rsidDel="00000000" w:rsidR="00000000" w:rsidRPr="00000000">
              <w:rPr>
                <w:rFonts w:ascii="Arial" w:cs="Arial" w:eastAsia="Arial" w:hAnsi="Arial"/>
                <w:b w:val="0"/>
                <w:bCs w:val="0"/>
                <w:sz w:val="18"/>
                <w:szCs w:val="18"/>
                <w:rtl w:val="0"/>
              </w:rPr>
              <w:t xml:space="preserve">Local Communities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C3">
            <w:pPr>
              <w:rPr/>
            </w:pPr>
            <w:r w:rsidDel="00000000" w:rsidR="00000000" w:rsidRPr="00000000">
              <w:rPr>
                <w:rFonts w:ascii="Arial" w:cs="Arial" w:eastAsia="Arial" w:hAnsi="Arial"/>
                <w:b w:val="0"/>
                <w:bCs w:val="0"/>
                <w:sz w:val="18"/>
                <w:szCs w:val="18"/>
                <w:rtl w:val="0"/>
              </w:rPr>
              <w:t xml:space="preserve">Front-line Staff, Travel Agents, Sustainability NGOs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C4">
            <w:pPr>
              <w:rPr/>
            </w:pPr>
            <w:r w:rsidDel="00000000" w:rsidR="00000000" w:rsidRPr="00000000">
              <w:rPr>
                <w:rFonts w:ascii="Arial" w:cs="Arial" w:eastAsia="Arial" w:hAnsi="Arial"/>
                <w:b w:val="0"/>
                <w:bCs w:val="0"/>
                <w:sz w:val="18"/>
                <w:szCs w:val="18"/>
                <w:rtl w:val="0"/>
              </w:rPr>
              <w:t xml:space="preserve">Keep Informed / Keep Satisfied</w:t>
            </w:r>
            <w:r w:rsidDel="00000000" w:rsidR="00000000" w:rsidRPr="00000000">
              <w:rPr>
                <w:rtl w:val="0"/>
              </w:rPr>
            </w:r>
          </w:p>
        </w:tc>
      </w:tr>
    </w:tbl>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Critically, Rowley (1997) argues that Mendelow's dyadic model oversimplifies stakeholder dynamics by treating each relationship in isolation. In practice, stakeholders form interconnected networks in which, for example, a technology partner's lobbying of a regulatory body can indirectly affect Marriott's compliance timeline. This network perspective, as articulated by Rowley (1997), reinforces the need for dynamic and continuously updated stakeholder analysis throughout the project lifecycle, not merely at inception.</w:t>
      </w:r>
      <w:r w:rsidDel="00000000" w:rsidR="00000000" w:rsidRPr="00000000">
        <w:rPr>
          <w:rtl w:val="0"/>
        </w:rPr>
      </w:r>
    </w:p>
    <w:p w:rsidR="00000000" w:rsidDel="00000000" w:rsidP="00000000" w:rsidRDefault="00000000" w:rsidRPr="00000000" w14:paraId="000000C7">
      <w:pPr>
        <w:rPr/>
      </w:pPr>
      <w:r w:rsidDel="00000000" w:rsidR="00000000" w:rsidRPr="00000000">
        <w:br w:type="page"/>
      </w:r>
      <w:r w:rsidDel="00000000" w:rsidR="00000000" w:rsidRPr="00000000">
        <w:rPr>
          <w:rtl w:val="0"/>
        </w:rPr>
      </w:r>
    </w:p>
    <w:p w:rsidR="00000000" w:rsidDel="00000000" w:rsidP="00000000" w:rsidRDefault="00000000" w:rsidRPr="00000000" w14:paraId="000000C8">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4. Roles, Responsibilities, Benefits, and Challenges of Key Stakeholders</w:t>
      </w:r>
      <w:r w:rsidDel="00000000" w:rsidR="00000000" w:rsidRPr="00000000">
        <w:rPr>
          <w:rtl w:val="0"/>
        </w:rPr>
      </w:r>
    </w:p>
    <w:p w:rsidR="00000000" w:rsidDel="00000000" w:rsidP="00000000" w:rsidRDefault="00000000" w:rsidRPr="00000000" w14:paraId="000000C9">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Drawing on Christopher, Payne and Ballantyne's (2013) relationship marketing framework, stakeholder value is created through sustained, mutually beneficial relationships rather than transactional exchanges. Each stakeholder group carries distinct responsibilities, brings specific benefits to the project, and faces context-specific challenges.</w:t>
      </w:r>
      <w:r w:rsidDel="00000000" w:rsidR="00000000" w:rsidRPr="00000000">
        <w:rPr>
          <w:rtl w:val="0"/>
        </w:rPr>
      </w:r>
    </w:p>
    <w:p w:rsidR="00000000" w:rsidDel="00000000" w:rsidP="00000000" w:rsidRDefault="00000000" w:rsidRPr="00000000" w14:paraId="000000CA">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Senior Leadership and the Board of Directors </w:t>
      </w:r>
      <w:r w:rsidDel="00000000" w:rsidR="00000000" w:rsidRPr="00000000">
        <w:rPr>
          <w:rFonts w:ascii="Arial" w:cs="Arial" w:eastAsia="Arial" w:hAnsi="Arial"/>
          <w:sz w:val="24"/>
          <w:szCs w:val="24"/>
          <w:rtl w:val="0"/>
        </w:rPr>
        <w:t xml:space="preserve">bear ultimate accountability for the project's strategic direction and resource allocation. Their primary benefit is the ability to remove institutional barriers and secure funding; however, Kotter (2012) cautions that leaders often struggle to balance short-term financial pressures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including investor expectations of quarterly returns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against the longer-term investment horizon required for technology innovation projects such as StaySmart+. Misalignment between leadership and the project team on timelines is therefore a predictable conflict risk.</w:t>
      </w:r>
      <w:r w:rsidDel="00000000" w:rsidR="00000000" w:rsidRPr="00000000">
        <w:rPr>
          <w:rtl w:val="0"/>
        </w:rPr>
      </w:r>
    </w:p>
    <w:p w:rsidR="00000000" w:rsidDel="00000000" w:rsidP="00000000" w:rsidRDefault="00000000" w:rsidRPr="00000000" w14:paraId="000000CB">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The Product Development Team </w:t>
      </w:r>
      <w:r w:rsidDel="00000000" w:rsidR="00000000" w:rsidRPr="00000000">
        <w:rPr>
          <w:rFonts w:ascii="Arial" w:cs="Arial" w:eastAsia="Arial" w:hAnsi="Arial"/>
          <w:sz w:val="24"/>
          <w:szCs w:val="24"/>
          <w:rtl w:val="0"/>
        </w:rPr>
        <w:t xml:space="preserve">is responsible for designing, building, and iterating StaySmart+ features. Their specialist expertise constitutes a significant organisational asset, but as Huxham and Vangen (2005) note, cross-functional project teams frequently experience 'collaborative inertia'</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the tendency for multi-party collaboration to slow progress rather than accelerate it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particularly when technical and commercial imperatives conflict. Managing this tension is a key responsibility of the Project Manager.</w:t>
      </w:r>
      <w:r w:rsidDel="00000000" w:rsidR="00000000" w:rsidRPr="00000000">
        <w:rPr>
          <w:rtl w:val="0"/>
        </w:rPr>
      </w:r>
    </w:p>
    <w:p w:rsidR="00000000" w:rsidDel="00000000" w:rsidP="00000000" w:rsidRDefault="00000000" w:rsidRPr="00000000" w14:paraId="000000CC">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Hotel General Managers </w:t>
      </w:r>
      <w:r w:rsidDel="00000000" w:rsidR="00000000" w:rsidRPr="00000000">
        <w:rPr>
          <w:rFonts w:ascii="Arial" w:cs="Arial" w:eastAsia="Arial" w:hAnsi="Arial"/>
          <w:sz w:val="24"/>
          <w:szCs w:val="24"/>
          <w:rtl w:val="0"/>
        </w:rPr>
        <w:t xml:space="preserve">serve as the critical bridge between corporate strategy and operational reality. Kotter (2012) and Lewin's (1951) change model both emphasise that resistance to change is greatest when employees perceive their professional identity or job security to be threatened; for Hotel Managers, whose authority may appear diminished by AI-driven decision-making tools, proactive engagement and co-ownership of the implementation process are essential for securing buy-in.</w:t>
      </w:r>
      <w:r w:rsidDel="00000000" w:rsidR="00000000" w:rsidRPr="00000000">
        <w:rPr>
          <w:rtl w:val="0"/>
        </w:rPr>
      </w:r>
    </w:p>
    <w:p w:rsidR="00000000" w:rsidDel="00000000" w:rsidP="00000000" w:rsidRDefault="00000000" w:rsidRPr="00000000" w14:paraId="000000CD">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Guests and Customers </w:t>
      </w:r>
      <w:r w:rsidDel="00000000" w:rsidR="00000000" w:rsidRPr="00000000">
        <w:rPr>
          <w:rFonts w:ascii="Arial" w:cs="Arial" w:eastAsia="Arial" w:hAnsi="Arial"/>
          <w:sz w:val="24"/>
          <w:szCs w:val="24"/>
          <w:rtl w:val="0"/>
        </w:rPr>
        <w:t xml:space="preserve">represent the ultimate beneficiaries and the primary commercial test of StaySmart+. Their adoption and satisfaction directly determine the service's viability. A critical challenge identified by Prahalad and Ramaswamy (2004) is that value co-creation with customers requires moving from a product-centric to an experience-centric model, demanding significant cultural and operational change within Marriott. Furthermore, not all guest segments will equally welcome AI-driven interaction; privacy-conscious and older travellers may require human-first service options to remain within the system (Deloitte, 2023).</w:t>
      </w:r>
      <w:r w:rsidDel="00000000" w:rsidR="00000000" w:rsidRPr="00000000">
        <w:rPr>
          <w:rtl w:val="0"/>
        </w:rPr>
      </w:r>
    </w:p>
    <w:p w:rsidR="00000000" w:rsidDel="00000000" w:rsidP="00000000" w:rsidRDefault="00000000" w:rsidRPr="00000000" w14:paraId="000000CE">
      <w:pPr>
        <w:spacing w:after="100" w:before="100" w:line="360" w:lineRule="auto"/>
        <w:jc w:val="both"/>
        <w:rPr>
          <w:sz w:val="24"/>
          <w:szCs w:val="24"/>
        </w:rPr>
      </w:pPr>
      <w:r w:rsidDel="00000000" w:rsidR="00000000" w:rsidRPr="00000000">
        <w:rPr>
          <w:rFonts w:ascii="Arial" w:cs="Arial" w:eastAsia="Arial" w:hAnsi="Arial"/>
          <w:b w:val="1"/>
          <w:bCs w:val="1"/>
          <w:sz w:val="22"/>
          <w:szCs w:val="22"/>
          <w:rtl w:val="0"/>
        </w:rPr>
        <w:t xml:space="preserve">Technology Partners (AI Vendors and IoT Providers) </w:t>
      </w:r>
      <w:r w:rsidDel="00000000" w:rsidR="00000000" w:rsidRPr="00000000">
        <w:rPr>
          <w:rFonts w:ascii="Arial" w:cs="Arial" w:eastAsia="Arial" w:hAnsi="Arial"/>
          <w:sz w:val="24"/>
          <w:szCs w:val="24"/>
          <w:rtl w:val="0"/>
        </w:rPr>
        <w:t xml:space="preserve">are essential enablers of the technical infrastructure. Their challenge is meeting Marriott's customisation requirements while protecting intellectual property and managing contractual risk. Ashcroft et al. (2016) </w:t>
      </w:r>
      <w:r w:rsidDel="00000000" w:rsidR="00000000" w:rsidRPr="00000000">
        <w:rPr>
          <w:sz w:val="24"/>
          <w:szCs w:val="24"/>
          <w:rtl w:val="0"/>
        </w:rPr>
        <w:t xml:space="preserve">argue</w:t>
      </w:r>
      <w:r w:rsidDel="00000000" w:rsidR="00000000" w:rsidRPr="00000000">
        <w:rPr>
          <w:rFonts w:ascii="Arial" w:cs="Arial" w:eastAsia="Arial" w:hAnsi="Arial"/>
          <w:sz w:val="24"/>
          <w:szCs w:val="24"/>
          <w:rtl w:val="0"/>
        </w:rPr>
        <w:t xml:space="preserve"> that the quality of an organisation's external relationships is a leading indicator of its long-term performance, making the governance of technology partnerships a strategic, not merely contractual, matter.</w:t>
      </w:r>
      <w:r w:rsidDel="00000000" w:rsidR="00000000" w:rsidRPr="00000000">
        <w:rPr>
          <w:rtl w:val="0"/>
        </w:rPr>
      </w:r>
    </w:p>
    <w:p w:rsidR="00000000" w:rsidDel="00000000" w:rsidP="00000000" w:rsidRDefault="00000000" w:rsidRPr="00000000" w14:paraId="000000CF">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Regulatory Bodies </w:t>
      </w:r>
      <w:r w:rsidDel="00000000" w:rsidR="00000000" w:rsidRPr="00000000">
        <w:rPr>
          <w:rFonts w:ascii="Arial" w:cs="Arial" w:eastAsia="Arial" w:hAnsi="Arial"/>
          <w:sz w:val="24"/>
          <w:szCs w:val="24"/>
          <w:rtl w:val="0"/>
        </w:rPr>
        <w:t xml:space="preserve">(including the UK Information Commissioner's Office and equivalent GDPR authorities) represent both a compliance obligation and, if engaged proactively, a reputational asset. Early regulatory consultation reduces the probability of enforcement action and demonstrates corporate responsibility</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 position supported by Carroll's (1991) CSR pyramid, which places legal responsibility as foundational to ethical and philanthropic obligations.</w:t>
      </w:r>
      <w:r w:rsidDel="00000000" w:rsidR="00000000" w:rsidRPr="00000000">
        <w:rPr>
          <w:rtl w:val="0"/>
        </w:rPr>
      </w:r>
    </w:p>
    <w:p w:rsidR="00000000" w:rsidDel="00000000" w:rsidP="00000000" w:rsidRDefault="00000000" w:rsidRPr="00000000" w14:paraId="000000D0">
      <w:pPr>
        <w:rPr/>
      </w:pPr>
      <w:r w:rsidDel="00000000" w:rsidR="00000000" w:rsidRPr="00000000">
        <w:br w:type="page"/>
      </w:r>
      <w:r w:rsidDel="00000000" w:rsidR="00000000" w:rsidRPr="00000000">
        <w:rPr>
          <w:rtl w:val="0"/>
        </w:rPr>
      </w:r>
    </w:p>
    <w:p w:rsidR="00000000" w:rsidDel="00000000" w:rsidP="00000000" w:rsidRDefault="00000000" w:rsidRPr="00000000" w14:paraId="000000D1">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5. Stakeholder Engagement Frameworks, Models, and Tools</w:t>
      </w:r>
      <w:r w:rsidDel="00000000" w:rsidR="00000000" w:rsidRPr="00000000">
        <w:rPr>
          <w:rtl w:val="0"/>
        </w:rPr>
      </w:r>
    </w:p>
    <w:p w:rsidR="00000000" w:rsidDel="00000000" w:rsidP="00000000" w:rsidRDefault="00000000" w:rsidRPr="00000000" w14:paraId="000000D2">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5.1 RACI Matrix</w:t>
      </w:r>
      <w:r w:rsidDel="00000000" w:rsidR="00000000" w:rsidRPr="00000000">
        <w:rPr>
          <w:rtl w:val="0"/>
        </w:rPr>
      </w:r>
    </w:p>
    <w:p w:rsidR="00000000" w:rsidDel="00000000" w:rsidP="00000000" w:rsidRDefault="00000000" w:rsidRPr="00000000" w14:paraId="000000D3">
      <w:pPr>
        <w:spacing w:after="100" w:before="100" w:line="360" w:lineRule="auto"/>
        <w:jc w:val="both"/>
        <w:rPr/>
      </w:pPr>
      <w:r w:rsidDel="00000000" w:rsidR="00000000" w:rsidRPr="00000000">
        <w:rPr>
          <w:rFonts w:ascii="Arial" w:cs="Arial" w:eastAsia="Arial" w:hAnsi="Arial"/>
          <w:sz w:val="22"/>
          <w:szCs w:val="22"/>
          <w:rtl w:val="0"/>
        </w:rPr>
        <w:t xml:space="preserve">The RACI Matrix</w:t>
      </w:r>
      <w:r w:rsidDel="00000000" w:rsidR="00000000" w:rsidRPr="00000000">
        <w:rPr>
          <w:rtl w:val="0"/>
        </w:rPr>
        <w:t xml:space="preserve">, </w:t>
      </w:r>
      <w:r w:rsidDel="00000000" w:rsidR="00000000" w:rsidRPr="00000000">
        <w:rPr>
          <w:rFonts w:ascii="Arial" w:cs="Arial" w:eastAsia="Arial" w:hAnsi="Arial"/>
          <w:sz w:val="22"/>
          <w:szCs w:val="22"/>
          <w:rtl w:val="0"/>
        </w:rPr>
        <w:t xml:space="preserve">standing for Responsible, Accountable, Consulted, and Informed</w:t>
      </w:r>
      <w:r w:rsidDel="00000000" w:rsidR="00000000" w:rsidRPr="00000000">
        <w:rPr>
          <w:rtl w:val="0"/>
        </w:rPr>
        <w:t xml:space="preserve">, </w:t>
      </w:r>
      <w:r w:rsidDel="00000000" w:rsidR="00000000" w:rsidRPr="00000000">
        <w:rPr>
          <w:rFonts w:ascii="Arial" w:cs="Arial" w:eastAsia="Arial" w:hAnsi="Arial"/>
          <w:sz w:val="22"/>
          <w:szCs w:val="22"/>
          <w:rtl w:val="0"/>
        </w:rPr>
        <w:t xml:space="preserve">is a widely adopted project governance tool that clarifies role allocation and prevents duplication or gaps in responsibility (Smith and Erwin, 2005). As Bourne (2009) notes, ambiguity in responsibility is one of the most common sources of project conflict and delay; the RACI Matrix directly addresses this by ensuring all stakeholders understand their obligations at each stage of the project. Table 4 below presents the RACI Matrix for the StaySmart+ project:</w:t>
      </w: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spacing w:after="60" w:before="60" w:lineRule="auto"/>
        <w:jc w:val="center"/>
        <w:rPr/>
      </w:pPr>
      <w:r w:rsidDel="00000000" w:rsidR="00000000" w:rsidRPr="00000000">
        <w:rPr>
          <w:rFonts w:ascii="Arial" w:cs="Arial" w:eastAsia="Arial" w:hAnsi="Arial"/>
          <w:b w:val="1"/>
          <w:bCs w:val="1"/>
          <w:sz w:val="20"/>
          <w:szCs w:val="20"/>
          <w:rtl w:val="0"/>
        </w:rPr>
        <w:t xml:space="preserve">Table 4: RACI Matrix – StaySmart+ Key Activities</w:t>
      </w:r>
      <w:r w:rsidDel="00000000" w:rsidR="00000000" w:rsidRPr="00000000">
        <w:rPr>
          <w:rtl w:val="0"/>
        </w:rPr>
      </w:r>
    </w:p>
    <w:tbl>
      <w:tblPr>
        <w:tblStyle w:val="Table4"/>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0"/>
        <w:gridCol w:w="1240"/>
        <w:gridCol w:w="1240"/>
        <w:gridCol w:w="1240"/>
        <w:gridCol w:w="1240"/>
        <w:gridCol w:w="1240"/>
        <w:tblGridChange w:id="0">
          <w:tblGrid>
            <w:gridCol w:w="2800"/>
            <w:gridCol w:w="1240"/>
            <w:gridCol w:w="1240"/>
            <w:gridCol w:w="1240"/>
            <w:gridCol w:w="1240"/>
            <w:gridCol w:w="124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6">
            <w:pPr>
              <w:jc w:val="center"/>
              <w:rPr/>
            </w:pPr>
            <w:r w:rsidDel="00000000" w:rsidR="00000000" w:rsidRPr="00000000">
              <w:rPr>
                <w:rFonts w:ascii="Arial" w:cs="Arial" w:eastAsia="Arial" w:hAnsi="Arial"/>
                <w:b w:val="1"/>
                <w:bCs w:val="1"/>
                <w:color w:val="ffffff"/>
                <w:sz w:val="18"/>
                <w:szCs w:val="18"/>
                <w:rtl w:val="0"/>
              </w:rPr>
              <w:t xml:space="preserve">Activity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7">
            <w:pPr>
              <w:jc w:val="center"/>
              <w:rPr/>
            </w:pPr>
            <w:r w:rsidDel="00000000" w:rsidR="00000000" w:rsidRPr="00000000">
              <w:rPr>
                <w:rFonts w:ascii="Arial" w:cs="Arial" w:eastAsia="Arial" w:hAnsi="Arial"/>
                <w:b w:val="1"/>
                <w:bCs w:val="1"/>
                <w:color w:val="ffffff"/>
                <w:sz w:val="18"/>
                <w:szCs w:val="18"/>
                <w:rtl w:val="0"/>
              </w:rPr>
              <w:t xml:space="preserve">SeniorLeadership</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8">
            <w:pPr>
              <w:jc w:val="center"/>
              <w:rPr/>
            </w:pPr>
            <w:r w:rsidDel="00000000" w:rsidR="00000000" w:rsidRPr="00000000">
              <w:rPr>
                <w:rFonts w:ascii="Arial" w:cs="Arial" w:eastAsia="Arial" w:hAnsi="Arial"/>
                <w:b w:val="1"/>
                <w:bCs w:val="1"/>
                <w:color w:val="ffffff"/>
                <w:sz w:val="18"/>
                <w:szCs w:val="18"/>
                <w:rtl w:val="0"/>
              </w:rPr>
              <w:t xml:space="preserve">Product DevTeam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9">
            <w:pPr>
              <w:jc w:val="center"/>
              <w:rPr/>
            </w:pPr>
            <w:r w:rsidDel="00000000" w:rsidR="00000000" w:rsidRPr="00000000">
              <w:rPr>
                <w:rFonts w:ascii="Arial" w:cs="Arial" w:eastAsia="Arial" w:hAnsi="Arial"/>
                <w:b w:val="1"/>
                <w:bCs w:val="1"/>
                <w:color w:val="ffffff"/>
                <w:sz w:val="18"/>
                <w:szCs w:val="18"/>
                <w:rtl w:val="0"/>
              </w:rPr>
              <w:t xml:space="preserve">IT Team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A">
            <w:pPr>
              <w:jc w:val="center"/>
              <w:rPr/>
            </w:pPr>
            <w:r w:rsidDel="00000000" w:rsidR="00000000" w:rsidRPr="00000000">
              <w:rPr>
                <w:rFonts w:ascii="Arial" w:cs="Arial" w:eastAsia="Arial" w:hAnsi="Arial"/>
                <w:b w:val="1"/>
                <w:bCs w:val="1"/>
                <w:color w:val="ffffff"/>
                <w:sz w:val="18"/>
                <w:szCs w:val="18"/>
                <w:rtl w:val="0"/>
              </w:rPr>
              <w:t xml:space="preserve">HotelManagers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0DB">
            <w:pPr>
              <w:jc w:val="center"/>
              <w:rPr/>
            </w:pPr>
            <w:r w:rsidDel="00000000" w:rsidR="00000000" w:rsidRPr="00000000">
              <w:rPr>
                <w:rFonts w:ascii="Arial" w:cs="Arial" w:eastAsia="Arial" w:hAnsi="Arial"/>
                <w:b w:val="1"/>
                <w:bCs w:val="1"/>
                <w:color w:val="ffffff"/>
                <w:sz w:val="18"/>
                <w:szCs w:val="18"/>
                <w:rtl w:val="0"/>
              </w:rPr>
              <w:t xml:space="preserve">Marketing</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DC">
            <w:pPr>
              <w:rPr/>
            </w:pPr>
            <w:r w:rsidDel="00000000" w:rsidR="00000000" w:rsidRPr="00000000">
              <w:rPr>
                <w:rFonts w:ascii="Arial" w:cs="Arial" w:eastAsia="Arial" w:hAnsi="Arial"/>
                <w:b w:val="1"/>
                <w:bCs w:val="1"/>
                <w:sz w:val="18"/>
                <w:szCs w:val="18"/>
                <w:rtl w:val="0"/>
              </w:rPr>
              <w:t xml:space="preserve">Strategic Planning</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DD">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DE">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DF">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E0">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E1">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E2">
            <w:pPr>
              <w:rPr/>
            </w:pPr>
            <w:r w:rsidDel="00000000" w:rsidR="00000000" w:rsidRPr="00000000">
              <w:rPr>
                <w:rFonts w:ascii="Arial" w:cs="Arial" w:eastAsia="Arial" w:hAnsi="Arial"/>
                <w:b w:val="1"/>
                <w:bCs w:val="1"/>
                <w:sz w:val="18"/>
                <w:szCs w:val="18"/>
                <w:rtl w:val="0"/>
              </w:rPr>
              <w:t xml:space="preserve">Technology Integration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E3">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E4">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E5">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E6">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E7">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E8">
            <w:pPr>
              <w:rPr/>
            </w:pPr>
            <w:r w:rsidDel="00000000" w:rsidR="00000000" w:rsidRPr="00000000">
              <w:rPr>
                <w:rFonts w:ascii="Arial" w:cs="Arial" w:eastAsia="Arial" w:hAnsi="Arial"/>
                <w:b w:val="1"/>
                <w:bCs w:val="1"/>
                <w:sz w:val="18"/>
                <w:szCs w:val="18"/>
                <w:rtl w:val="0"/>
              </w:rPr>
              <w:t xml:space="preserve">Staff Training &amp; Rollout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E9">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EA">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EB">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EC">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ED">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EE">
            <w:pPr>
              <w:rPr/>
            </w:pPr>
            <w:r w:rsidDel="00000000" w:rsidR="00000000" w:rsidRPr="00000000">
              <w:rPr>
                <w:rFonts w:ascii="Arial" w:cs="Arial" w:eastAsia="Arial" w:hAnsi="Arial"/>
                <w:b w:val="1"/>
                <w:bCs w:val="1"/>
                <w:sz w:val="18"/>
                <w:szCs w:val="18"/>
                <w:rtl w:val="0"/>
              </w:rPr>
              <w:t xml:space="preserve">Marketing Campaign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EF">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F0">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F1">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F2">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F3">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0F4">
            <w:pPr>
              <w:rPr/>
            </w:pPr>
            <w:r w:rsidDel="00000000" w:rsidR="00000000" w:rsidRPr="00000000">
              <w:rPr>
                <w:rFonts w:ascii="Arial" w:cs="Arial" w:eastAsia="Arial" w:hAnsi="Arial"/>
                <w:b w:val="1"/>
                <w:bCs w:val="1"/>
                <w:sz w:val="18"/>
                <w:szCs w:val="18"/>
                <w:rtl w:val="0"/>
              </w:rPr>
              <w:t xml:space="preserve">Guest Data Management</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F5">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F6">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F7">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F8">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0F9">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0FA">
            <w:pPr>
              <w:rPr/>
            </w:pPr>
            <w:r w:rsidDel="00000000" w:rsidR="00000000" w:rsidRPr="00000000">
              <w:rPr>
                <w:rFonts w:ascii="Arial" w:cs="Arial" w:eastAsia="Arial" w:hAnsi="Arial"/>
                <w:b w:val="1"/>
                <w:bCs w:val="1"/>
                <w:sz w:val="18"/>
                <w:szCs w:val="18"/>
                <w:rtl w:val="0"/>
              </w:rPr>
              <w:t xml:space="preserve">Sustainability Compliance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0FB">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FC">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FD">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0FE">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0FF">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00">
            <w:pPr>
              <w:rPr/>
            </w:pPr>
            <w:r w:rsidDel="00000000" w:rsidR="00000000" w:rsidRPr="00000000">
              <w:rPr>
                <w:rFonts w:ascii="Arial" w:cs="Arial" w:eastAsia="Arial" w:hAnsi="Arial"/>
                <w:b w:val="1"/>
                <w:bCs w:val="1"/>
                <w:sz w:val="18"/>
                <w:szCs w:val="18"/>
                <w:rtl w:val="0"/>
              </w:rPr>
              <w:t xml:space="preserve">Stakeholder Communication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adbd8" w:val="clear"/>
            <w:tcMar>
              <w:top w:w="80.0" w:type="dxa"/>
              <w:left w:w="120.0" w:type="dxa"/>
              <w:bottom w:w="80.0" w:type="dxa"/>
              <w:right w:w="120.0" w:type="dxa"/>
            </w:tcMar>
          </w:tcPr>
          <w:p w:rsidR="00000000" w:rsidDel="00000000" w:rsidP="00000000" w:rsidRDefault="00000000" w:rsidRPr="00000000" w14:paraId="00000101">
            <w:pPr>
              <w:rPr/>
            </w:pPr>
            <w:r w:rsidDel="00000000" w:rsidR="00000000" w:rsidRPr="00000000">
              <w:rPr>
                <w:rFonts w:ascii="Arial" w:cs="Arial" w:eastAsia="Arial" w:hAnsi="Arial"/>
                <w:b w:val="0"/>
                <w:bCs w:val="0"/>
                <w:sz w:val="18"/>
                <w:szCs w:val="18"/>
                <w:rtl w:val="0"/>
              </w:rPr>
              <w:t xml:space="preserve">A</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ef9e7" w:val="clear"/>
            <w:tcMar>
              <w:top w:w="80.0" w:type="dxa"/>
              <w:left w:w="120.0" w:type="dxa"/>
              <w:bottom w:w="80.0" w:type="dxa"/>
              <w:right w:w="120.0" w:type="dxa"/>
            </w:tcMar>
          </w:tcPr>
          <w:p w:rsidR="00000000" w:rsidDel="00000000" w:rsidP="00000000" w:rsidRDefault="00000000" w:rsidRPr="00000000" w14:paraId="00000102">
            <w:pPr>
              <w:rPr/>
            </w:pPr>
            <w:r w:rsidDel="00000000" w:rsidR="00000000" w:rsidRPr="00000000">
              <w:rPr>
                <w:rFonts w:ascii="Arial" w:cs="Arial" w:eastAsia="Arial" w:hAnsi="Arial"/>
                <w:b w:val="0"/>
                <w:bCs w:val="0"/>
                <w:sz w:val="18"/>
                <w:szCs w:val="18"/>
                <w:rtl w:val="0"/>
              </w:rPr>
              <w:t xml:space="preserve">C</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2f3f4" w:val="clear"/>
            <w:tcMar>
              <w:top w:w="80.0" w:type="dxa"/>
              <w:left w:w="120.0" w:type="dxa"/>
              <w:bottom w:w="80.0" w:type="dxa"/>
              <w:right w:w="120.0" w:type="dxa"/>
            </w:tcMar>
          </w:tcPr>
          <w:p w:rsidR="00000000" w:rsidDel="00000000" w:rsidP="00000000" w:rsidRDefault="00000000" w:rsidRPr="00000000" w14:paraId="00000103">
            <w:pPr>
              <w:rPr/>
            </w:pPr>
            <w:r w:rsidDel="00000000" w:rsidR="00000000" w:rsidRPr="00000000">
              <w:rPr>
                <w:rFonts w:ascii="Arial" w:cs="Arial" w:eastAsia="Arial" w:hAnsi="Arial"/>
                <w:b w:val="0"/>
                <w:bCs w:val="0"/>
                <w:sz w:val="18"/>
                <w:szCs w:val="18"/>
                <w:rtl w:val="0"/>
              </w:rPr>
              <w:t xml:space="preserve">I</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104">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d5f5e3" w:val="clear"/>
            <w:tcMar>
              <w:top w:w="80.0" w:type="dxa"/>
              <w:left w:w="120.0" w:type="dxa"/>
              <w:bottom w:w="80.0" w:type="dxa"/>
              <w:right w:w="120.0" w:type="dxa"/>
            </w:tcMar>
          </w:tcPr>
          <w:p w:rsidR="00000000" w:rsidDel="00000000" w:rsidP="00000000" w:rsidRDefault="00000000" w:rsidRPr="00000000" w14:paraId="00000105">
            <w:pPr>
              <w:rPr/>
            </w:pPr>
            <w:r w:rsidDel="00000000" w:rsidR="00000000" w:rsidRPr="00000000">
              <w:rPr>
                <w:rFonts w:ascii="Arial" w:cs="Arial" w:eastAsia="Arial" w:hAnsi="Arial"/>
                <w:b w:val="0"/>
                <w:bCs w:val="0"/>
                <w:sz w:val="18"/>
                <w:szCs w:val="18"/>
                <w:rtl w:val="0"/>
              </w:rPr>
              <w:t xml:space="preserve">R</w:t>
            </w:r>
            <w:r w:rsidDel="00000000" w:rsidR="00000000" w:rsidRPr="00000000">
              <w:rPr>
                <w:rtl w:val="0"/>
              </w:rPr>
            </w:r>
          </w:p>
        </w:tc>
      </w:tr>
    </w:tbl>
    <w:p w:rsidR="00000000" w:rsidDel="00000000" w:rsidP="00000000" w:rsidRDefault="00000000" w:rsidRPr="00000000" w14:paraId="00000106">
      <w:pPr>
        <w:spacing w:after="60" w:before="60" w:lineRule="auto"/>
        <w:rPr/>
      </w:pPr>
      <w:r w:rsidDel="00000000" w:rsidR="00000000" w:rsidRPr="00000000">
        <w:rPr>
          <w:rFonts w:ascii="Arial" w:cs="Arial" w:eastAsia="Arial" w:hAnsi="Arial"/>
          <w:i w:val="1"/>
          <w:iCs w:val="1"/>
          <w:color w:val="555555"/>
          <w:sz w:val="18"/>
          <w:szCs w:val="18"/>
          <w:rtl w:val="0"/>
        </w:rPr>
        <w:t xml:space="preserve">Key: R = Responsible | A = Accountable | C = Consulted | I = Informed</w:t>
      </w: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5.2 Stakeholder Engagement Plan</w:t>
      </w:r>
      <w:r w:rsidDel="00000000" w:rsidR="00000000" w:rsidRPr="00000000">
        <w:rPr>
          <w:rtl w:val="0"/>
        </w:rPr>
      </w:r>
    </w:p>
    <w:p w:rsidR="00000000" w:rsidDel="00000000" w:rsidP="00000000" w:rsidRDefault="00000000" w:rsidRPr="00000000" w14:paraId="00000109">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The stakeholder engagement plan for StaySmart+ is structured across three phases, aligned with Ashcroft et al.'s (2016) relationship lifecycle model, which emphasises that engagement must evolve from awareness-building through active collaboration to institutionalised governance. Table 5 below presents this phased plan:</w:t>
      </w: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spacing w:after="60" w:before="60" w:lineRule="auto"/>
        <w:jc w:val="center"/>
        <w:rPr/>
      </w:pPr>
      <w:r w:rsidDel="00000000" w:rsidR="00000000" w:rsidRPr="00000000">
        <w:rPr>
          <w:rFonts w:ascii="Arial" w:cs="Arial" w:eastAsia="Arial" w:hAnsi="Arial"/>
          <w:b w:val="1"/>
          <w:bCs w:val="1"/>
          <w:sz w:val="20"/>
          <w:szCs w:val="20"/>
          <w:rtl w:val="0"/>
        </w:rPr>
        <w:t xml:space="preserve">Table 5: StaySmart+ Stakeholder Engagement Plan</w:t>
      </w:r>
      <w:r w:rsidDel="00000000" w:rsidR="00000000" w:rsidRPr="00000000">
        <w:rPr>
          <w:rtl w:val="0"/>
        </w:rPr>
      </w:r>
    </w:p>
    <w:tbl>
      <w:tblPr>
        <w:tblStyle w:val="Table5"/>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400"/>
        <w:gridCol w:w="2500"/>
        <w:gridCol w:w="2600"/>
        <w:gridCol w:w="2500"/>
        <w:tblGridChange w:id="0">
          <w:tblGrid>
            <w:gridCol w:w="1400"/>
            <w:gridCol w:w="2500"/>
            <w:gridCol w:w="2600"/>
            <w:gridCol w:w="250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0C">
            <w:pPr>
              <w:jc w:val="center"/>
              <w:rPr/>
            </w:pPr>
            <w:r w:rsidDel="00000000" w:rsidR="00000000" w:rsidRPr="00000000">
              <w:rPr>
                <w:rFonts w:ascii="Arial" w:cs="Arial" w:eastAsia="Arial" w:hAnsi="Arial"/>
                <w:b w:val="1"/>
                <w:bCs w:val="1"/>
                <w:color w:val="ffffff"/>
                <w:sz w:val="18"/>
                <w:szCs w:val="18"/>
                <w:rtl w:val="0"/>
              </w:rPr>
              <w:t xml:space="preserve">Phase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0D">
            <w:pPr>
              <w:jc w:val="center"/>
              <w:rPr/>
            </w:pPr>
            <w:r w:rsidDel="00000000" w:rsidR="00000000" w:rsidRPr="00000000">
              <w:rPr>
                <w:rFonts w:ascii="Arial" w:cs="Arial" w:eastAsia="Arial" w:hAnsi="Arial"/>
                <w:b w:val="1"/>
                <w:bCs w:val="1"/>
                <w:color w:val="ffffff"/>
                <w:sz w:val="18"/>
                <w:szCs w:val="18"/>
                <w:rtl w:val="0"/>
              </w:rPr>
              <w:t xml:space="preserve">Key Stakeholders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0E">
            <w:pPr>
              <w:jc w:val="center"/>
              <w:rPr/>
            </w:pPr>
            <w:r w:rsidDel="00000000" w:rsidR="00000000" w:rsidRPr="00000000">
              <w:rPr>
                <w:rFonts w:ascii="Arial" w:cs="Arial" w:eastAsia="Arial" w:hAnsi="Arial"/>
                <w:b w:val="1"/>
                <w:bCs w:val="1"/>
                <w:color w:val="ffffff"/>
                <w:sz w:val="18"/>
                <w:szCs w:val="18"/>
                <w:rtl w:val="0"/>
              </w:rPr>
              <w:t xml:space="preserve">Key Activities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0F">
            <w:pPr>
              <w:jc w:val="center"/>
              <w:rPr/>
            </w:pPr>
            <w:r w:rsidDel="00000000" w:rsidR="00000000" w:rsidRPr="00000000">
              <w:rPr>
                <w:rFonts w:ascii="Arial" w:cs="Arial" w:eastAsia="Arial" w:hAnsi="Arial"/>
                <w:b w:val="1"/>
                <w:bCs w:val="1"/>
                <w:color w:val="ffffff"/>
                <w:sz w:val="18"/>
                <w:szCs w:val="18"/>
                <w:rtl w:val="0"/>
              </w:rPr>
              <w:t xml:space="preserve">Objectives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0">
            <w:pPr>
              <w:rPr/>
            </w:pPr>
            <w:r w:rsidDel="00000000" w:rsidR="00000000" w:rsidRPr="00000000">
              <w:rPr>
                <w:rFonts w:ascii="Arial" w:cs="Arial" w:eastAsia="Arial" w:hAnsi="Arial"/>
                <w:b w:val="1"/>
                <w:bCs w:val="1"/>
                <w:sz w:val="18"/>
                <w:szCs w:val="18"/>
                <w:rtl w:val="0"/>
              </w:rPr>
              <w:t xml:space="preserve">Phase 1Months 1–2(Pre-Launch)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1">
            <w:pPr>
              <w:rPr/>
            </w:pPr>
            <w:r w:rsidDel="00000000" w:rsidR="00000000" w:rsidRPr="00000000">
              <w:rPr>
                <w:rFonts w:ascii="Arial" w:cs="Arial" w:eastAsia="Arial" w:hAnsi="Arial"/>
                <w:b w:val="0"/>
                <w:bCs w:val="0"/>
                <w:sz w:val="18"/>
                <w:szCs w:val="18"/>
                <w:rtl w:val="0"/>
              </w:rPr>
              <w:t xml:space="preserve">Senior Leadership, Regulators, Technology Partners, HR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2">
            <w:pPr>
              <w:rPr/>
            </w:pPr>
            <w:r w:rsidDel="00000000" w:rsidR="00000000" w:rsidRPr="00000000">
              <w:rPr>
                <w:rFonts w:ascii="Arial" w:cs="Arial" w:eastAsia="Arial" w:hAnsi="Arial"/>
                <w:b w:val="0"/>
                <w:bCs w:val="0"/>
                <w:sz w:val="18"/>
                <w:szCs w:val="18"/>
                <w:rtl w:val="0"/>
              </w:rPr>
              <w:t xml:space="preserve">Co-design workshops, regulatory consultation, business case sign-off, NDA execution with tech partners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3">
            <w:pPr>
              <w:rPr/>
            </w:pPr>
            <w:r w:rsidDel="00000000" w:rsidR="00000000" w:rsidRPr="00000000">
              <w:rPr>
                <w:rFonts w:ascii="Arial" w:cs="Arial" w:eastAsia="Arial" w:hAnsi="Arial"/>
                <w:b w:val="0"/>
                <w:bCs w:val="0"/>
                <w:sz w:val="18"/>
                <w:szCs w:val="18"/>
                <w:rtl w:val="0"/>
              </w:rPr>
              <w:t xml:space="preserve">Awareness, alignment, regulatory compliance foundation</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14">
            <w:pPr>
              <w:rPr/>
            </w:pPr>
            <w:r w:rsidDel="00000000" w:rsidR="00000000" w:rsidRPr="00000000">
              <w:rPr>
                <w:rFonts w:ascii="Arial" w:cs="Arial" w:eastAsia="Arial" w:hAnsi="Arial"/>
                <w:b w:val="1"/>
                <w:bCs w:val="1"/>
                <w:sz w:val="18"/>
                <w:szCs w:val="18"/>
                <w:rtl w:val="0"/>
              </w:rPr>
              <w:t xml:space="preserve">Phase 2Months 3–5(Implementation)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15">
            <w:pPr>
              <w:rPr/>
            </w:pPr>
            <w:r w:rsidDel="00000000" w:rsidR="00000000" w:rsidRPr="00000000">
              <w:rPr>
                <w:rFonts w:ascii="Arial" w:cs="Arial" w:eastAsia="Arial" w:hAnsi="Arial"/>
                <w:b w:val="0"/>
                <w:bCs w:val="0"/>
                <w:sz w:val="18"/>
                <w:szCs w:val="18"/>
                <w:rtl w:val="0"/>
              </w:rPr>
              <w:t xml:space="preserve">Hotel Managers, Front-line Staff, Marketing, IT, Guest Beta Group</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16">
            <w:pPr>
              <w:rPr/>
            </w:pPr>
            <w:r w:rsidDel="00000000" w:rsidR="00000000" w:rsidRPr="00000000">
              <w:rPr>
                <w:rFonts w:ascii="Arial" w:cs="Arial" w:eastAsia="Arial" w:hAnsi="Arial"/>
                <w:b w:val="0"/>
                <w:bCs w:val="0"/>
                <w:sz w:val="18"/>
                <w:szCs w:val="18"/>
                <w:rtl w:val="0"/>
              </w:rPr>
              <w:t xml:space="preserve">Training delivery, sprint reviews, beta programme, real-time feedback loops, regional comms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17">
            <w:pPr>
              <w:rPr/>
            </w:pPr>
            <w:r w:rsidDel="00000000" w:rsidR="00000000" w:rsidRPr="00000000">
              <w:rPr>
                <w:rFonts w:ascii="Arial" w:cs="Arial" w:eastAsia="Arial" w:hAnsi="Arial"/>
                <w:b w:val="0"/>
                <w:bCs w:val="0"/>
                <w:sz w:val="18"/>
                <w:szCs w:val="18"/>
                <w:rtl w:val="0"/>
              </w:rPr>
              <w:t xml:space="preserve">Active collaboration, operational readiness, guest co-design</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8">
            <w:pPr>
              <w:rPr/>
            </w:pPr>
            <w:r w:rsidDel="00000000" w:rsidR="00000000" w:rsidRPr="00000000">
              <w:rPr>
                <w:rFonts w:ascii="Arial" w:cs="Arial" w:eastAsia="Arial" w:hAnsi="Arial"/>
                <w:b w:val="1"/>
                <w:bCs w:val="1"/>
                <w:sz w:val="18"/>
                <w:szCs w:val="18"/>
                <w:rtl w:val="0"/>
              </w:rPr>
              <w:t xml:space="preserve">Phase 3Month 6+(Post-Launch)</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9">
            <w:pPr>
              <w:rPr/>
            </w:pPr>
            <w:r w:rsidDel="00000000" w:rsidR="00000000" w:rsidRPr="00000000">
              <w:rPr>
                <w:rFonts w:ascii="Arial" w:cs="Arial" w:eastAsia="Arial" w:hAnsi="Arial"/>
                <w:b w:val="0"/>
                <w:bCs w:val="0"/>
                <w:sz w:val="18"/>
                <w:szCs w:val="18"/>
                <w:rtl w:val="0"/>
              </w:rPr>
              <w:t xml:space="preserve">All stakeholder groups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A">
            <w:pPr>
              <w:rPr/>
            </w:pPr>
            <w:r w:rsidDel="00000000" w:rsidR="00000000" w:rsidRPr="00000000">
              <w:rPr>
                <w:rFonts w:ascii="Arial" w:cs="Arial" w:eastAsia="Arial" w:hAnsi="Arial"/>
                <w:b w:val="0"/>
                <w:bCs w:val="0"/>
                <w:sz w:val="18"/>
                <w:szCs w:val="18"/>
                <w:rtl w:val="0"/>
              </w:rPr>
              <w:t xml:space="preserve">Impact evaluation, stakeholder debriefs, governance committees, annual engagement report publication</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1B">
            <w:pPr>
              <w:rPr/>
            </w:pPr>
            <w:r w:rsidDel="00000000" w:rsidR="00000000" w:rsidRPr="00000000">
              <w:rPr>
                <w:rFonts w:ascii="Arial" w:cs="Arial" w:eastAsia="Arial" w:hAnsi="Arial"/>
                <w:b w:val="0"/>
                <w:bCs w:val="0"/>
                <w:sz w:val="18"/>
                <w:szCs w:val="18"/>
                <w:rtl w:val="0"/>
              </w:rPr>
              <w:t xml:space="preserve">Evaluation, continuous improvement, long-term trust building</w:t>
            </w:r>
            <w:r w:rsidDel="00000000" w:rsidR="00000000" w:rsidRPr="00000000">
              <w:rPr>
                <w:rtl w:val="0"/>
              </w:rPr>
            </w:r>
          </w:p>
        </w:tc>
      </w:tr>
    </w:tbl>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The engagement plan explicitly incorporates cultural intelligence (CQ), as developed by Earley and Ang (2003), recognising that engagement strategies must be calibrated for different cultural contexts. Hofstede, Hofstede and Minkov (2010) identify power distance as a particularly relevant cultural dimension for hospitality management: in high-power-distance markets such as Japan and the Middle East, engagement with hotel management requires greater attention to hierarchical protocol and relationship-building before commercial discussions commence. Applying a standardised, culturally neutral engagement approach across all markets would constitute a significant strategic error.</w:t>
      </w:r>
      <w:r w:rsidDel="00000000" w:rsidR="00000000" w:rsidRPr="00000000">
        <w:rPr>
          <w:rtl w:val="0"/>
        </w:rPr>
      </w:r>
    </w:p>
    <w:p w:rsidR="00000000" w:rsidDel="00000000" w:rsidP="00000000" w:rsidRDefault="00000000" w:rsidRPr="00000000" w14:paraId="0000011E">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5.3 Communication Plan</w:t>
      </w:r>
      <w:r w:rsidDel="00000000" w:rsidR="00000000" w:rsidRPr="00000000">
        <w:rPr>
          <w:rtl w:val="0"/>
        </w:rPr>
      </w:r>
    </w:p>
    <w:p w:rsidR="00000000" w:rsidDel="00000000" w:rsidP="00000000" w:rsidRDefault="00000000" w:rsidRPr="00000000" w14:paraId="0000011F">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Effective communication is foundational to stakeholder engagement. As Cleland (1995) states, 'the project manager who does not communicate effectively will find it nearly impossible to manage the project stakeholders.' The communication plan operationalises the International Association for Public Participation's (IAP2, 2018) spectrum of engagement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ranging from informing to empowering</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and ensures that each stakeholder group receives appropriately tailored, timely, and relevant communications. Table 6 below presents the plan:</w:t>
      </w: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spacing w:after="60" w:before="60" w:lineRule="auto"/>
        <w:jc w:val="center"/>
        <w:rPr/>
      </w:pPr>
      <w:r w:rsidDel="00000000" w:rsidR="00000000" w:rsidRPr="00000000">
        <w:rPr>
          <w:rFonts w:ascii="Arial" w:cs="Arial" w:eastAsia="Arial" w:hAnsi="Arial"/>
          <w:b w:val="1"/>
          <w:bCs w:val="1"/>
          <w:sz w:val="20"/>
          <w:szCs w:val="20"/>
          <w:rtl w:val="0"/>
        </w:rPr>
        <w:t xml:space="preserve">Table 6: StaySmart+ Communication Plan</w:t>
      </w:r>
      <w:r w:rsidDel="00000000" w:rsidR="00000000" w:rsidRPr="00000000">
        <w:rPr>
          <w:rtl w:val="0"/>
        </w:rPr>
      </w:r>
    </w:p>
    <w:tbl>
      <w:tblPr>
        <w:tblStyle w:val="Table6"/>
        <w:tblW w:w="90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800"/>
        <w:gridCol w:w="2000"/>
        <w:gridCol w:w="1600"/>
        <w:gridCol w:w="1800"/>
        <w:gridCol w:w="1800"/>
        <w:tblGridChange w:id="0">
          <w:tblGrid>
            <w:gridCol w:w="1800"/>
            <w:gridCol w:w="2000"/>
            <w:gridCol w:w="1600"/>
            <w:gridCol w:w="1800"/>
            <w:gridCol w:w="1800"/>
          </w:tblGrid>
        </w:tblGridChange>
      </w:tblGrid>
      <w:tr>
        <w:trPr>
          <w:cantSplit w:val="0"/>
          <w:tblHeader w:val="0"/>
        </w:trPr>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22">
            <w:pPr>
              <w:jc w:val="center"/>
              <w:rPr/>
            </w:pPr>
            <w:r w:rsidDel="00000000" w:rsidR="00000000" w:rsidRPr="00000000">
              <w:rPr>
                <w:rFonts w:ascii="Arial" w:cs="Arial" w:eastAsia="Arial" w:hAnsi="Arial"/>
                <w:b w:val="1"/>
                <w:bCs w:val="1"/>
                <w:color w:val="ffffff"/>
                <w:sz w:val="18"/>
                <w:szCs w:val="18"/>
                <w:rtl w:val="0"/>
              </w:rPr>
              <w:t xml:space="preserve">Stakeholder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23">
            <w:pPr>
              <w:jc w:val="center"/>
              <w:rPr/>
            </w:pPr>
            <w:r w:rsidDel="00000000" w:rsidR="00000000" w:rsidRPr="00000000">
              <w:rPr>
                <w:rFonts w:ascii="Arial" w:cs="Arial" w:eastAsia="Arial" w:hAnsi="Arial"/>
                <w:b w:val="1"/>
                <w:bCs w:val="1"/>
                <w:color w:val="ffffff"/>
                <w:sz w:val="18"/>
                <w:szCs w:val="18"/>
                <w:rtl w:val="0"/>
              </w:rPr>
              <w:t xml:space="preserve">Method</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24">
            <w:pPr>
              <w:jc w:val="center"/>
              <w:rPr/>
            </w:pPr>
            <w:r w:rsidDel="00000000" w:rsidR="00000000" w:rsidRPr="00000000">
              <w:rPr>
                <w:rFonts w:ascii="Arial" w:cs="Arial" w:eastAsia="Arial" w:hAnsi="Arial"/>
                <w:b w:val="1"/>
                <w:bCs w:val="1"/>
                <w:color w:val="ffffff"/>
                <w:sz w:val="18"/>
                <w:szCs w:val="18"/>
                <w:rtl w:val="0"/>
              </w:rPr>
              <w:t xml:space="preserve">Frequency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25">
            <w:pPr>
              <w:jc w:val="center"/>
              <w:rPr/>
            </w:pPr>
            <w:r w:rsidDel="00000000" w:rsidR="00000000" w:rsidRPr="00000000">
              <w:rPr>
                <w:rFonts w:ascii="Arial" w:cs="Arial" w:eastAsia="Arial" w:hAnsi="Arial"/>
                <w:b w:val="1"/>
                <w:bCs w:val="1"/>
                <w:color w:val="ffffff"/>
                <w:sz w:val="18"/>
                <w:szCs w:val="18"/>
                <w:rtl w:val="0"/>
              </w:rPr>
              <w:t xml:space="preserve">Responsible</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1a3e6a" w:val="clear"/>
            <w:tcMar>
              <w:top w:w="80.0" w:type="dxa"/>
              <w:left w:w="120.0" w:type="dxa"/>
              <w:bottom w:w="80.0" w:type="dxa"/>
              <w:right w:w="120.0" w:type="dxa"/>
            </w:tcMar>
            <w:vAlign w:val="center"/>
          </w:tcPr>
          <w:p w:rsidR="00000000" w:rsidDel="00000000" w:rsidP="00000000" w:rsidRDefault="00000000" w:rsidRPr="00000000" w14:paraId="00000126">
            <w:pPr>
              <w:jc w:val="center"/>
              <w:rPr/>
            </w:pPr>
            <w:r w:rsidDel="00000000" w:rsidR="00000000" w:rsidRPr="00000000">
              <w:rPr>
                <w:rFonts w:ascii="Arial" w:cs="Arial" w:eastAsia="Arial" w:hAnsi="Arial"/>
                <w:b w:val="1"/>
                <w:bCs w:val="1"/>
                <w:color w:val="ffffff"/>
                <w:sz w:val="18"/>
                <w:szCs w:val="18"/>
                <w:rtl w:val="0"/>
              </w:rPr>
              <w:t xml:space="preserve">Objective</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27">
            <w:pPr>
              <w:rPr/>
            </w:pPr>
            <w:r w:rsidDel="00000000" w:rsidR="00000000" w:rsidRPr="00000000">
              <w:rPr>
                <w:rFonts w:ascii="Arial" w:cs="Arial" w:eastAsia="Arial" w:hAnsi="Arial"/>
                <w:b w:val="1"/>
                <w:bCs w:val="1"/>
                <w:sz w:val="18"/>
                <w:szCs w:val="18"/>
                <w:rtl w:val="0"/>
              </w:rPr>
              <w:t xml:space="preserve">Senior Leadership</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28">
            <w:pPr>
              <w:rPr/>
            </w:pPr>
            <w:r w:rsidDel="00000000" w:rsidR="00000000" w:rsidRPr="00000000">
              <w:rPr>
                <w:rFonts w:ascii="Arial" w:cs="Arial" w:eastAsia="Arial" w:hAnsi="Arial"/>
                <w:b w:val="0"/>
                <w:bCs w:val="0"/>
                <w:sz w:val="18"/>
                <w:szCs w:val="18"/>
                <w:rtl w:val="0"/>
              </w:rPr>
              <w:t xml:space="preserve">Board briefings, executive dashboards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29">
            <w:pPr>
              <w:rPr/>
            </w:pPr>
            <w:r w:rsidDel="00000000" w:rsidR="00000000" w:rsidRPr="00000000">
              <w:rPr>
                <w:rFonts w:ascii="Arial" w:cs="Arial" w:eastAsia="Arial" w:hAnsi="Arial"/>
                <w:b w:val="0"/>
                <w:bCs w:val="0"/>
                <w:sz w:val="18"/>
                <w:szCs w:val="18"/>
                <w:rtl w:val="0"/>
              </w:rPr>
              <w:t xml:space="preserve">Monthly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2A">
            <w:pPr>
              <w:rPr/>
            </w:pPr>
            <w:r w:rsidDel="00000000" w:rsidR="00000000" w:rsidRPr="00000000">
              <w:rPr>
                <w:rFonts w:ascii="Arial" w:cs="Arial" w:eastAsia="Arial" w:hAnsi="Arial"/>
                <w:b w:val="0"/>
                <w:bCs w:val="0"/>
                <w:sz w:val="18"/>
                <w:szCs w:val="18"/>
                <w:rtl w:val="0"/>
              </w:rPr>
              <w:t xml:space="preserve">Project Manager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2B">
            <w:pPr>
              <w:rPr/>
            </w:pPr>
            <w:r w:rsidDel="00000000" w:rsidR="00000000" w:rsidRPr="00000000">
              <w:rPr>
                <w:rFonts w:ascii="Arial" w:cs="Arial" w:eastAsia="Arial" w:hAnsi="Arial"/>
                <w:b w:val="0"/>
                <w:bCs w:val="0"/>
                <w:sz w:val="18"/>
                <w:szCs w:val="18"/>
                <w:rtl w:val="0"/>
              </w:rPr>
              <w:t xml:space="preserve">Strategic alignment &amp; approvals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2C">
            <w:pPr>
              <w:rPr/>
            </w:pPr>
            <w:r w:rsidDel="00000000" w:rsidR="00000000" w:rsidRPr="00000000">
              <w:rPr>
                <w:rFonts w:ascii="Arial" w:cs="Arial" w:eastAsia="Arial" w:hAnsi="Arial"/>
                <w:b w:val="1"/>
                <w:bCs w:val="1"/>
                <w:sz w:val="18"/>
                <w:szCs w:val="18"/>
                <w:rtl w:val="0"/>
              </w:rPr>
              <w:t xml:space="preserve">Product Dev Team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2D">
            <w:pPr>
              <w:rPr/>
            </w:pPr>
            <w:r w:rsidDel="00000000" w:rsidR="00000000" w:rsidRPr="00000000">
              <w:rPr>
                <w:rFonts w:ascii="Arial" w:cs="Arial" w:eastAsia="Arial" w:hAnsi="Arial"/>
                <w:b w:val="0"/>
                <w:bCs w:val="0"/>
                <w:sz w:val="18"/>
                <w:szCs w:val="18"/>
                <w:rtl w:val="0"/>
              </w:rPr>
              <w:t xml:space="preserve">Sprint reviews, Slack/Jira channels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2E">
            <w:pPr>
              <w:rPr/>
            </w:pPr>
            <w:r w:rsidDel="00000000" w:rsidR="00000000" w:rsidRPr="00000000">
              <w:rPr>
                <w:rFonts w:ascii="Arial" w:cs="Arial" w:eastAsia="Arial" w:hAnsi="Arial"/>
                <w:b w:val="0"/>
                <w:bCs w:val="0"/>
                <w:sz w:val="18"/>
                <w:szCs w:val="18"/>
                <w:rtl w:val="0"/>
              </w:rPr>
              <w:t xml:space="preserve">Weekly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2F">
            <w:pPr>
              <w:rPr/>
            </w:pPr>
            <w:r w:rsidDel="00000000" w:rsidR="00000000" w:rsidRPr="00000000">
              <w:rPr>
                <w:rFonts w:ascii="Arial" w:cs="Arial" w:eastAsia="Arial" w:hAnsi="Arial"/>
                <w:b w:val="0"/>
                <w:bCs w:val="0"/>
                <w:sz w:val="18"/>
                <w:szCs w:val="18"/>
                <w:rtl w:val="0"/>
              </w:rPr>
              <w:t xml:space="preserve">Product Lead</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0">
            <w:pPr>
              <w:rPr/>
            </w:pPr>
            <w:r w:rsidDel="00000000" w:rsidR="00000000" w:rsidRPr="00000000">
              <w:rPr>
                <w:rFonts w:ascii="Arial" w:cs="Arial" w:eastAsia="Arial" w:hAnsi="Arial"/>
                <w:b w:val="0"/>
                <w:bCs w:val="0"/>
                <w:sz w:val="18"/>
                <w:szCs w:val="18"/>
                <w:rtl w:val="0"/>
              </w:rPr>
              <w:t xml:space="preserve">Progress tracking &amp; iteration</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1">
            <w:pPr>
              <w:rPr/>
            </w:pPr>
            <w:r w:rsidDel="00000000" w:rsidR="00000000" w:rsidRPr="00000000">
              <w:rPr>
                <w:rFonts w:ascii="Arial" w:cs="Arial" w:eastAsia="Arial" w:hAnsi="Arial"/>
                <w:b w:val="1"/>
                <w:bCs w:val="1"/>
                <w:sz w:val="18"/>
                <w:szCs w:val="18"/>
                <w:rtl w:val="0"/>
              </w:rPr>
              <w:t xml:space="preserve">Hotel Managers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2">
            <w:pPr>
              <w:rPr/>
            </w:pPr>
            <w:r w:rsidDel="00000000" w:rsidR="00000000" w:rsidRPr="00000000">
              <w:rPr>
                <w:rFonts w:ascii="Arial" w:cs="Arial" w:eastAsia="Arial" w:hAnsi="Arial"/>
                <w:b w:val="0"/>
                <w:bCs w:val="0"/>
                <w:sz w:val="18"/>
                <w:szCs w:val="18"/>
                <w:rtl w:val="0"/>
              </w:rPr>
              <w:t xml:space="preserve">Regional workshops, video calls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3">
            <w:pPr>
              <w:rPr/>
            </w:pPr>
            <w:r w:rsidDel="00000000" w:rsidR="00000000" w:rsidRPr="00000000">
              <w:rPr>
                <w:rFonts w:ascii="Arial" w:cs="Arial" w:eastAsia="Arial" w:hAnsi="Arial"/>
                <w:b w:val="0"/>
                <w:bCs w:val="0"/>
                <w:sz w:val="18"/>
                <w:szCs w:val="18"/>
                <w:rtl w:val="0"/>
              </w:rPr>
              <w:t xml:space="preserve">Bi-weekly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4">
            <w:pPr>
              <w:rPr/>
            </w:pPr>
            <w:r w:rsidDel="00000000" w:rsidR="00000000" w:rsidRPr="00000000">
              <w:rPr>
                <w:rFonts w:ascii="Arial" w:cs="Arial" w:eastAsia="Arial" w:hAnsi="Arial"/>
                <w:b w:val="0"/>
                <w:bCs w:val="0"/>
                <w:sz w:val="18"/>
                <w:szCs w:val="18"/>
                <w:rtl w:val="0"/>
              </w:rPr>
              <w:t xml:space="preserve">PM &amp; HR Director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5">
            <w:pPr>
              <w:rPr/>
            </w:pPr>
            <w:r w:rsidDel="00000000" w:rsidR="00000000" w:rsidRPr="00000000">
              <w:rPr>
                <w:rFonts w:ascii="Arial" w:cs="Arial" w:eastAsia="Arial" w:hAnsi="Arial"/>
                <w:b w:val="0"/>
                <w:bCs w:val="0"/>
                <w:sz w:val="18"/>
                <w:szCs w:val="18"/>
                <w:rtl w:val="0"/>
              </w:rPr>
              <w:t xml:space="preserve">Operational readiness</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6">
            <w:pPr>
              <w:rPr/>
            </w:pPr>
            <w:r w:rsidDel="00000000" w:rsidR="00000000" w:rsidRPr="00000000">
              <w:rPr>
                <w:rFonts w:ascii="Arial" w:cs="Arial" w:eastAsia="Arial" w:hAnsi="Arial"/>
                <w:b w:val="1"/>
                <w:bCs w:val="1"/>
                <w:sz w:val="18"/>
                <w:szCs w:val="18"/>
                <w:rtl w:val="0"/>
              </w:rPr>
              <w:t xml:space="preserve">Front-line Staff</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7">
            <w:pPr>
              <w:rPr/>
            </w:pPr>
            <w:r w:rsidDel="00000000" w:rsidR="00000000" w:rsidRPr="00000000">
              <w:rPr>
                <w:rFonts w:ascii="Arial" w:cs="Arial" w:eastAsia="Arial" w:hAnsi="Arial"/>
                <w:b w:val="0"/>
                <w:bCs w:val="0"/>
                <w:sz w:val="18"/>
                <w:szCs w:val="18"/>
                <w:rtl w:val="0"/>
              </w:rPr>
              <w:t xml:space="preserve">Training sessions, internal newsletters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8">
            <w:pPr>
              <w:rPr/>
            </w:pPr>
            <w:r w:rsidDel="00000000" w:rsidR="00000000" w:rsidRPr="00000000">
              <w:rPr>
                <w:rFonts w:ascii="Arial" w:cs="Arial" w:eastAsia="Arial" w:hAnsi="Arial"/>
                <w:b w:val="0"/>
                <w:bCs w:val="0"/>
                <w:sz w:val="18"/>
                <w:szCs w:val="18"/>
                <w:rtl w:val="0"/>
              </w:rPr>
              <w:t xml:space="preserve">Monthly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9">
            <w:pPr>
              <w:rPr/>
            </w:pPr>
            <w:r w:rsidDel="00000000" w:rsidR="00000000" w:rsidRPr="00000000">
              <w:rPr>
                <w:rFonts w:ascii="Arial" w:cs="Arial" w:eastAsia="Arial" w:hAnsi="Arial"/>
                <w:b w:val="0"/>
                <w:bCs w:val="0"/>
                <w:sz w:val="18"/>
                <w:szCs w:val="18"/>
                <w:rtl w:val="0"/>
              </w:rPr>
              <w:t xml:space="preserve">HR &amp; Ops Manager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3A">
            <w:pPr>
              <w:rPr/>
            </w:pPr>
            <w:r w:rsidDel="00000000" w:rsidR="00000000" w:rsidRPr="00000000">
              <w:rPr>
                <w:rFonts w:ascii="Arial" w:cs="Arial" w:eastAsia="Arial" w:hAnsi="Arial"/>
                <w:b w:val="0"/>
                <w:bCs w:val="0"/>
                <w:sz w:val="18"/>
                <w:szCs w:val="18"/>
                <w:rtl w:val="0"/>
              </w:rPr>
              <w:t xml:space="preserve">Buy-in &amp; capability building</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B">
            <w:pPr>
              <w:rPr/>
            </w:pPr>
            <w:r w:rsidDel="00000000" w:rsidR="00000000" w:rsidRPr="00000000">
              <w:rPr>
                <w:rFonts w:ascii="Arial" w:cs="Arial" w:eastAsia="Arial" w:hAnsi="Arial"/>
                <w:b w:val="1"/>
                <w:bCs w:val="1"/>
                <w:sz w:val="18"/>
                <w:szCs w:val="18"/>
                <w:rtl w:val="0"/>
              </w:rPr>
              <w:t xml:space="preserve">Technology Partners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C">
            <w:pPr>
              <w:rPr/>
            </w:pPr>
            <w:r w:rsidDel="00000000" w:rsidR="00000000" w:rsidRPr="00000000">
              <w:rPr>
                <w:rFonts w:ascii="Arial" w:cs="Arial" w:eastAsia="Arial" w:hAnsi="Arial"/>
                <w:b w:val="0"/>
                <w:bCs w:val="0"/>
                <w:sz w:val="18"/>
                <w:szCs w:val="18"/>
                <w:rtl w:val="0"/>
              </w:rPr>
              <w:t xml:space="preserve">Technical steering committees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D">
            <w:pPr>
              <w:rPr/>
            </w:pPr>
            <w:r w:rsidDel="00000000" w:rsidR="00000000" w:rsidRPr="00000000">
              <w:rPr>
                <w:rFonts w:ascii="Arial" w:cs="Arial" w:eastAsia="Arial" w:hAnsi="Arial"/>
                <w:b w:val="0"/>
                <w:bCs w:val="0"/>
                <w:sz w:val="18"/>
                <w:szCs w:val="18"/>
                <w:rtl w:val="0"/>
              </w:rPr>
              <w:t xml:space="preserve">Bi-weekly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E">
            <w:pPr>
              <w:rPr/>
            </w:pPr>
            <w:r w:rsidDel="00000000" w:rsidR="00000000" w:rsidRPr="00000000">
              <w:rPr>
                <w:rFonts w:ascii="Arial" w:cs="Arial" w:eastAsia="Arial" w:hAnsi="Arial"/>
                <w:b w:val="0"/>
                <w:bCs w:val="0"/>
                <w:sz w:val="18"/>
                <w:szCs w:val="18"/>
                <w:rtl w:val="0"/>
              </w:rPr>
              <w:t xml:space="preserve">IT Director</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3F">
            <w:pPr>
              <w:rPr/>
            </w:pPr>
            <w:r w:rsidDel="00000000" w:rsidR="00000000" w:rsidRPr="00000000">
              <w:rPr>
                <w:rFonts w:ascii="Arial" w:cs="Arial" w:eastAsia="Arial" w:hAnsi="Arial"/>
                <w:b w:val="0"/>
                <w:bCs w:val="0"/>
                <w:sz w:val="18"/>
                <w:szCs w:val="18"/>
                <w:rtl w:val="0"/>
              </w:rPr>
              <w:t xml:space="preserve">Integration milestone management</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0">
            <w:pPr>
              <w:rPr/>
            </w:pPr>
            <w:r w:rsidDel="00000000" w:rsidR="00000000" w:rsidRPr="00000000">
              <w:rPr>
                <w:rFonts w:ascii="Arial" w:cs="Arial" w:eastAsia="Arial" w:hAnsi="Arial"/>
                <w:b w:val="1"/>
                <w:bCs w:val="1"/>
                <w:sz w:val="18"/>
                <w:szCs w:val="18"/>
                <w:rtl w:val="0"/>
              </w:rPr>
              <w:t xml:space="preserve">Guests / Customers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1">
            <w:pPr>
              <w:rPr/>
            </w:pPr>
            <w:r w:rsidDel="00000000" w:rsidR="00000000" w:rsidRPr="00000000">
              <w:rPr>
                <w:rFonts w:ascii="Arial" w:cs="Arial" w:eastAsia="Arial" w:hAnsi="Arial"/>
                <w:b w:val="0"/>
                <w:bCs w:val="0"/>
                <w:sz w:val="18"/>
                <w:szCs w:val="18"/>
                <w:rtl w:val="0"/>
              </w:rPr>
              <w:t xml:space="preserve">Beta programme, surveys, app updates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2">
            <w:pPr>
              <w:rPr/>
            </w:pPr>
            <w:r w:rsidDel="00000000" w:rsidR="00000000" w:rsidRPr="00000000">
              <w:rPr>
                <w:rFonts w:ascii="Arial" w:cs="Arial" w:eastAsia="Arial" w:hAnsi="Arial"/>
                <w:b w:val="0"/>
                <w:bCs w:val="0"/>
                <w:sz w:val="18"/>
                <w:szCs w:val="18"/>
                <w:rtl w:val="0"/>
              </w:rPr>
              <w:t xml:space="preserve">Ongoing</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3">
            <w:pPr>
              <w:rPr/>
            </w:pPr>
            <w:r w:rsidDel="00000000" w:rsidR="00000000" w:rsidRPr="00000000">
              <w:rPr>
                <w:rFonts w:ascii="Arial" w:cs="Arial" w:eastAsia="Arial" w:hAnsi="Arial"/>
                <w:b w:val="0"/>
                <w:bCs w:val="0"/>
                <w:sz w:val="18"/>
                <w:szCs w:val="18"/>
                <w:rtl w:val="0"/>
              </w:rPr>
              <w:t xml:space="preserve">Marketing Team</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4">
            <w:pPr>
              <w:rPr/>
            </w:pPr>
            <w:r w:rsidDel="00000000" w:rsidR="00000000" w:rsidRPr="00000000">
              <w:rPr>
                <w:rFonts w:ascii="Arial" w:cs="Arial" w:eastAsia="Arial" w:hAnsi="Arial"/>
                <w:b w:val="0"/>
                <w:bCs w:val="0"/>
                <w:sz w:val="18"/>
                <w:szCs w:val="18"/>
                <w:rtl w:val="0"/>
              </w:rPr>
              <w:t xml:space="preserve">Experience feedback &amp; co-design</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45">
            <w:pPr>
              <w:rPr/>
            </w:pPr>
            <w:r w:rsidDel="00000000" w:rsidR="00000000" w:rsidRPr="00000000">
              <w:rPr>
                <w:rFonts w:ascii="Arial" w:cs="Arial" w:eastAsia="Arial" w:hAnsi="Arial"/>
                <w:b w:val="1"/>
                <w:bCs w:val="1"/>
                <w:sz w:val="18"/>
                <w:szCs w:val="18"/>
                <w:rtl w:val="0"/>
              </w:rPr>
              <w:t xml:space="preserve">Regulatory Bodies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46">
            <w:pPr>
              <w:rPr/>
            </w:pPr>
            <w:r w:rsidDel="00000000" w:rsidR="00000000" w:rsidRPr="00000000">
              <w:rPr>
                <w:rFonts w:ascii="Arial" w:cs="Arial" w:eastAsia="Arial" w:hAnsi="Arial"/>
                <w:b w:val="0"/>
                <w:bCs w:val="0"/>
                <w:sz w:val="18"/>
                <w:szCs w:val="18"/>
                <w:rtl w:val="0"/>
              </w:rPr>
              <w:t xml:space="preserve">Compliance reports, legal consultations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47">
            <w:pPr>
              <w:rPr/>
            </w:pPr>
            <w:r w:rsidDel="00000000" w:rsidR="00000000" w:rsidRPr="00000000">
              <w:rPr>
                <w:rFonts w:ascii="Arial" w:cs="Arial" w:eastAsia="Arial" w:hAnsi="Arial"/>
                <w:b w:val="0"/>
                <w:bCs w:val="0"/>
                <w:sz w:val="18"/>
                <w:szCs w:val="18"/>
                <w:rtl w:val="0"/>
              </w:rPr>
              <w:t xml:space="preserve">Quarterly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48">
            <w:pPr>
              <w:rPr/>
            </w:pPr>
            <w:r w:rsidDel="00000000" w:rsidR="00000000" w:rsidRPr="00000000">
              <w:rPr>
                <w:rFonts w:ascii="Arial" w:cs="Arial" w:eastAsia="Arial" w:hAnsi="Arial"/>
                <w:b w:val="0"/>
                <w:bCs w:val="0"/>
                <w:sz w:val="18"/>
                <w:szCs w:val="18"/>
                <w:rtl w:val="0"/>
              </w:rPr>
              <w:t xml:space="preserve">Legal Counsel</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eaf4ff" w:val="clear"/>
            <w:tcMar>
              <w:top w:w="80.0" w:type="dxa"/>
              <w:left w:w="120.0" w:type="dxa"/>
              <w:bottom w:w="80.0" w:type="dxa"/>
              <w:right w:w="120.0" w:type="dxa"/>
            </w:tcMar>
          </w:tcPr>
          <w:p w:rsidR="00000000" w:rsidDel="00000000" w:rsidP="00000000" w:rsidRDefault="00000000" w:rsidRPr="00000000" w14:paraId="00000149">
            <w:pPr>
              <w:rPr/>
            </w:pPr>
            <w:r w:rsidDel="00000000" w:rsidR="00000000" w:rsidRPr="00000000">
              <w:rPr>
                <w:rFonts w:ascii="Arial" w:cs="Arial" w:eastAsia="Arial" w:hAnsi="Arial"/>
                <w:b w:val="0"/>
                <w:bCs w:val="0"/>
                <w:sz w:val="18"/>
                <w:szCs w:val="18"/>
                <w:rtl w:val="0"/>
              </w:rPr>
              <w:t xml:space="preserve">Regulatory adherence &amp; risk</w:t>
            </w:r>
            <w:r w:rsidDel="00000000" w:rsidR="00000000" w:rsidRPr="00000000">
              <w:rPr>
                <w:rtl w:val="0"/>
              </w:rPr>
            </w:r>
          </w:p>
        </w:tc>
      </w:tr>
      <w:tr>
        <w:trPr>
          <w:cantSplit w:val="0"/>
          <w:tblHeader w:val="0"/>
        </w:trPr>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A">
            <w:pPr>
              <w:rPr/>
            </w:pPr>
            <w:r w:rsidDel="00000000" w:rsidR="00000000" w:rsidRPr="00000000">
              <w:rPr>
                <w:rFonts w:ascii="Arial" w:cs="Arial" w:eastAsia="Arial" w:hAnsi="Arial"/>
                <w:b w:val="1"/>
                <w:bCs w:val="1"/>
                <w:sz w:val="18"/>
                <w:szCs w:val="18"/>
                <w:rtl w:val="0"/>
              </w:rPr>
              <w:t xml:space="preserve">Investors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B">
            <w:pPr>
              <w:rPr/>
            </w:pPr>
            <w:r w:rsidDel="00000000" w:rsidR="00000000" w:rsidRPr="00000000">
              <w:rPr>
                <w:rFonts w:ascii="Arial" w:cs="Arial" w:eastAsia="Arial" w:hAnsi="Arial"/>
                <w:b w:val="0"/>
                <w:bCs w:val="0"/>
                <w:sz w:val="18"/>
                <w:szCs w:val="18"/>
                <w:rtl w:val="0"/>
              </w:rPr>
              <w:t xml:space="preserve">Investor relations updates, press releases</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C">
            <w:pPr>
              <w:rPr/>
            </w:pPr>
            <w:r w:rsidDel="00000000" w:rsidR="00000000" w:rsidRPr="00000000">
              <w:rPr>
                <w:rFonts w:ascii="Arial" w:cs="Arial" w:eastAsia="Arial" w:hAnsi="Arial"/>
                <w:b w:val="0"/>
                <w:bCs w:val="0"/>
                <w:sz w:val="18"/>
                <w:szCs w:val="18"/>
                <w:rtl w:val="0"/>
              </w:rPr>
              <w:t xml:space="preserve">Quarterly</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D">
            <w:pPr>
              <w:rPr/>
            </w:pPr>
            <w:r w:rsidDel="00000000" w:rsidR="00000000" w:rsidRPr="00000000">
              <w:rPr>
                <w:rFonts w:ascii="Arial" w:cs="Arial" w:eastAsia="Arial" w:hAnsi="Arial"/>
                <w:b w:val="0"/>
                <w:bCs w:val="0"/>
                <w:sz w:val="18"/>
                <w:szCs w:val="18"/>
                <w:rtl w:val="0"/>
              </w:rPr>
              <w:t xml:space="preserve">CEO / CFO</w:t>
            </w:r>
            <w:r w:rsidDel="00000000" w:rsidR="00000000" w:rsidRPr="00000000">
              <w:rPr>
                <w:rtl w:val="0"/>
              </w:rPr>
            </w:r>
          </w:p>
        </w:tc>
        <w:tc>
          <w:tcPr>
            <w:tcBorders>
              <w:top w:color="aaaaaa" w:space="0" w:sz="4" w:val="single"/>
              <w:left w:color="aaaaaa" w:space="0" w:sz="4" w:val="single"/>
              <w:bottom w:color="aaaaaa" w:space="0" w:sz="4" w:val="single"/>
              <w:right w:color="aaaaaa" w:space="0" w:sz="4" w:val="single"/>
            </w:tcBorders>
            <w:shd w:fill="ffffff" w:val="clear"/>
            <w:tcMar>
              <w:top w:w="80.0" w:type="dxa"/>
              <w:left w:w="120.0" w:type="dxa"/>
              <w:bottom w:w="80.0" w:type="dxa"/>
              <w:right w:w="120.0" w:type="dxa"/>
            </w:tcMar>
          </w:tcPr>
          <w:p w:rsidR="00000000" w:rsidDel="00000000" w:rsidP="00000000" w:rsidRDefault="00000000" w:rsidRPr="00000000" w14:paraId="0000014E">
            <w:pPr>
              <w:rPr/>
            </w:pPr>
            <w:r w:rsidDel="00000000" w:rsidR="00000000" w:rsidRPr="00000000">
              <w:rPr>
                <w:rFonts w:ascii="Arial" w:cs="Arial" w:eastAsia="Arial" w:hAnsi="Arial"/>
                <w:b w:val="0"/>
                <w:bCs w:val="0"/>
                <w:sz w:val="18"/>
                <w:szCs w:val="18"/>
                <w:rtl w:val="0"/>
              </w:rPr>
              <w:t xml:space="preserve">Confidence &amp; ROI transparency</w:t>
            </w:r>
            <w:r w:rsidDel="00000000" w:rsidR="00000000" w:rsidRPr="00000000">
              <w:rPr>
                <w:rtl w:val="0"/>
              </w:rPr>
            </w:r>
          </w:p>
        </w:tc>
      </w:tr>
    </w:tbl>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br w:type="page"/>
      </w:r>
      <w:r w:rsidDel="00000000" w:rsidR="00000000" w:rsidRPr="00000000">
        <w:rPr>
          <w:rtl w:val="0"/>
        </w:rPr>
      </w:r>
    </w:p>
    <w:p w:rsidR="00000000" w:rsidDel="00000000" w:rsidP="00000000" w:rsidRDefault="00000000" w:rsidRPr="00000000" w14:paraId="00000151">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6. The Stakeholder Engagement Process: The 4C's Model</w:t>
      </w:r>
      <w:r w:rsidDel="00000000" w:rsidR="00000000" w:rsidRPr="00000000">
        <w:rPr>
          <w:rtl w:val="0"/>
        </w:rPr>
      </w:r>
    </w:p>
    <w:p w:rsidR="00000000" w:rsidDel="00000000" w:rsidP="00000000" w:rsidRDefault="00000000" w:rsidRPr="00000000" w14:paraId="00000152">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Winch and Bonke (2002) propose the 4C's Model as a structured framework for operationalising stakeholder engagement, comprising four interdependent pillars: Communication, Collaboration, Consultation, and Commitment. As Project Manager for StaySmart+, this model guides the engagement process across all stakeholder groups and project phases.</w:t>
      </w:r>
      <w:r w:rsidDel="00000000" w:rsidR="00000000" w:rsidRPr="00000000">
        <w:rPr>
          <w:rtl w:val="0"/>
        </w:rPr>
      </w:r>
    </w:p>
    <w:p w:rsidR="00000000" w:rsidDel="00000000" w:rsidP="00000000" w:rsidRDefault="00000000" w:rsidRPr="00000000" w14:paraId="00000153">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6.1 Communication</w:t>
      </w:r>
      <w:r w:rsidDel="00000000" w:rsidR="00000000" w:rsidRPr="00000000">
        <w:rPr>
          <w:rtl w:val="0"/>
        </w:rPr>
      </w:r>
    </w:p>
    <w:p w:rsidR="00000000" w:rsidDel="00000000" w:rsidP="00000000" w:rsidRDefault="00000000" w:rsidRPr="00000000" w14:paraId="00000154">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Communication is the foundational pillar of stakeholder engagement. Cleland (1995) emphasises that project success is significantly determined by the quality and consistency of stakeholder communications; without reliable information flows, trust erodes and conflict escalates. For StaySmart+, the project employs a tiered communication architecture: at the executive level, monthly steering committee briefings provide strategic updates and decision-making forums aligned with the board's high power, high interest positioning (Mendelow, 1991). At the operational level, bi-weekly touchpoints with Hotel General Managers ensure implementation challenges are surfaced promptly.</w:t>
      </w:r>
      <w:r w:rsidDel="00000000" w:rsidR="00000000" w:rsidRPr="00000000">
        <w:rPr>
          <w:rtl w:val="0"/>
        </w:rPr>
      </w:r>
    </w:p>
    <w:p w:rsidR="00000000" w:rsidDel="00000000" w:rsidP="00000000" w:rsidRDefault="00000000" w:rsidRPr="00000000" w14:paraId="00000155">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Digital tools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including a dedicated StaySmart+ intranet portal, Microsoft Teams channels for cross-functional working groups, and a real-time dashboard accessible to all senior stakeholders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ensure transparency and reduce information asymmetry, a critical requirement given Freeman's (1984) argument that stakeholders cannot fulfil their responsibilities without adequate information. For external stakeholders, particularly regulatory bodies, formal written communications are supplemented by face-to-face meetings to ensure nuanced compliance discussions are not diluted in written correspondence.</w:t>
      </w:r>
      <w:r w:rsidDel="00000000" w:rsidR="00000000" w:rsidRPr="00000000">
        <w:rPr>
          <w:rtl w:val="0"/>
        </w:rPr>
      </w:r>
    </w:p>
    <w:p w:rsidR="00000000" w:rsidDel="00000000" w:rsidP="00000000" w:rsidRDefault="00000000" w:rsidRPr="00000000" w14:paraId="00000156">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Critically, communication in multicultural contexts requires more than translation; it demands cultural calibration (Hofstede, Hofstede and Minkov, 2010). The project therefore employs regional communication leads in Asia-Pacific, the Middle East, and Europe, ensuring messages are linguistically and culturally appropriate. As De Wit and Meyer (2010) observe, globally consistent messaging can paradoxically reduce stakeholder alignment if cultural context is disregarded.</w:t>
      </w:r>
      <w:r w:rsidDel="00000000" w:rsidR="00000000" w:rsidRPr="00000000">
        <w:rPr>
          <w:rtl w:val="0"/>
        </w:rPr>
      </w:r>
    </w:p>
    <w:p w:rsidR="00000000" w:rsidDel="00000000" w:rsidP="00000000" w:rsidRDefault="00000000" w:rsidRPr="00000000" w14:paraId="00000157">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6.2 Collaboration</w:t>
      </w:r>
      <w:r w:rsidDel="00000000" w:rsidR="00000000" w:rsidRPr="00000000">
        <w:rPr>
          <w:rtl w:val="0"/>
        </w:rPr>
      </w:r>
    </w:p>
    <w:p w:rsidR="00000000" w:rsidDel="00000000" w:rsidP="00000000" w:rsidRDefault="00000000" w:rsidRPr="00000000" w14:paraId="00000158">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Collaboration moves beyond information-sharing to active co-creation of solutions. Huxham and Vangen (2005) develop the concept of 'collaborative advantage'</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the proposition that genuine collaboration generates outcomes unavailable to organisations acting in isolation</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and identify shared purpose, trust, and mutual dependency as its foundational conditions. For StaySmart+, cross-functional project teams including Product Development, IT, Marketing, and Hotel Operations ensure diverse perspectives are embedded in the design process from the outset.</w:t>
      </w:r>
      <w:r w:rsidDel="00000000" w:rsidR="00000000" w:rsidRPr="00000000">
        <w:rPr>
          <w:rtl w:val="0"/>
        </w:rPr>
      </w:r>
    </w:p>
    <w:p w:rsidR="00000000" w:rsidDel="00000000" w:rsidP="00000000" w:rsidRDefault="00000000" w:rsidRPr="00000000" w14:paraId="00000159">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A distinctive feature of the StaySmart+ collaboration strategy is guest co-design: a beta programme invites selected Marriott Bonvoy members to participate in user testing, providing iterative feedback that shapes the final product. This approach embodies Prahalad and Ramaswamy's (2004) concept of value co-creation, transforming guests from passive consumers into active partners in service design. Critically, it also generates a cohort of engaged brand advocates before the full launch, reducing commercial risk.</w:t>
      </w:r>
      <w:r w:rsidDel="00000000" w:rsidR="00000000" w:rsidRPr="00000000">
        <w:rPr>
          <w:rtl w:val="0"/>
        </w:rPr>
      </w:r>
    </w:p>
    <w:p w:rsidR="00000000" w:rsidDel="00000000" w:rsidP="00000000" w:rsidRDefault="00000000" w:rsidRPr="00000000" w14:paraId="0000015A">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Technology partner collaboration is managed through joint steering committees where Marriott's IT and product teams work alongside AI vendors to resolve integration challenges. Intellectual property boundaries and liability frameworks are established through NDAs and contractual schedules at project inception, drawing on the contractual governance principles outlined by Ashcroft et al. (2016) for managing complex relational ecosystems.</w:t>
      </w:r>
      <w:r w:rsidDel="00000000" w:rsidR="00000000" w:rsidRPr="00000000">
        <w:rPr>
          <w:rtl w:val="0"/>
        </w:rPr>
      </w:r>
    </w:p>
    <w:p w:rsidR="00000000" w:rsidDel="00000000" w:rsidP="00000000" w:rsidRDefault="00000000" w:rsidRPr="00000000" w14:paraId="0000015B">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6.3 Consultation</w:t>
      </w:r>
      <w:r w:rsidDel="00000000" w:rsidR="00000000" w:rsidRPr="00000000">
        <w:rPr>
          <w:rtl w:val="0"/>
        </w:rPr>
      </w:r>
    </w:p>
    <w:p w:rsidR="00000000" w:rsidDel="00000000" w:rsidP="00000000" w:rsidRDefault="00000000" w:rsidRPr="00000000" w14:paraId="0000015C">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Consultation refers to the systematic solicitation of stakeholder input before decisions are finalised, ensuring diverse expertise informs project direction (IAP2, 2018). The IAP2 spectrum distinguishes between passive 'inform' and active 'empower' engagement; for StaySmart+, the target for key internal stakeholders is the 'involve' level</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working directly with stakeholders throughout the project to ensure their concerns are consistently understood and reflected in decisions.</w:t>
      </w:r>
      <w:r w:rsidDel="00000000" w:rsidR="00000000" w:rsidRPr="00000000">
        <w:rPr>
          <w:rtl w:val="0"/>
        </w:rPr>
      </w:r>
    </w:p>
    <w:p w:rsidR="00000000" w:rsidDel="00000000" w:rsidP="00000000" w:rsidRDefault="00000000" w:rsidRPr="00000000" w14:paraId="0000015D">
      <w:pPr>
        <w:spacing w:after="100" w:before="100" w:line="360" w:lineRule="auto"/>
        <w:jc w:val="both"/>
        <w:rPr>
          <w:sz w:val="24"/>
          <w:szCs w:val="24"/>
        </w:rPr>
      </w:pPr>
      <w:r w:rsidDel="00000000" w:rsidR="00000000" w:rsidRPr="00000000">
        <w:rPr>
          <w:sz w:val="24"/>
          <w:szCs w:val="24"/>
          <w:rtl w:val="0"/>
        </w:rPr>
        <w:t xml:space="preserve">Before</w:t>
      </w:r>
      <w:r w:rsidDel="00000000" w:rsidR="00000000" w:rsidRPr="00000000">
        <w:rPr>
          <w:rFonts w:ascii="Arial" w:cs="Arial" w:eastAsia="Arial" w:hAnsi="Arial"/>
          <w:sz w:val="24"/>
          <w:szCs w:val="24"/>
          <w:rtl w:val="0"/>
        </w:rPr>
        <w:t xml:space="preserve"> finalising the AI interaction design, structured consultation workshops are conducted with front-line staff to identify practical service delivery concerns, and with a representative guest sample to assess acceptability of data collection and personalisation practices. This approach reflects Carroll's (1991) ethical responsibility dimension, acknowledging that organisations have obligations beyond legal compliance to act fairly and transparently with all stakeholders.</w:t>
      </w:r>
      <w:r w:rsidDel="00000000" w:rsidR="00000000" w:rsidRPr="00000000">
        <w:rPr>
          <w:rtl w:val="0"/>
        </w:rPr>
      </w:r>
    </w:p>
    <w:p w:rsidR="00000000" w:rsidDel="00000000" w:rsidP="00000000" w:rsidRDefault="00000000" w:rsidRPr="00000000" w14:paraId="0000015E">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Regulatory consultation is particularly critical given the data-intensive nature of StaySmart+. Early engagement with the UK Information Commissioner's Office (ICO) and equivalent bodies in target markets ensures the service's data architecture is GDPR-compliant from design, implementing Privacy by Design as recommended by Cavoukian (2009) and mandated by GDPR Article 25. This proactive approach, as Cavoukian (2009) demonstrates, significantly reduces the probability of costly post-launch regulatory enforcement.</w:t>
      </w:r>
      <w:r w:rsidDel="00000000" w:rsidR="00000000" w:rsidRPr="00000000">
        <w:rPr>
          <w:rtl w:val="0"/>
        </w:rPr>
      </w:r>
    </w:p>
    <w:p w:rsidR="00000000" w:rsidDel="00000000" w:rsidP="00000000" w:rsidRDefault="00000000" w:rsidRPr="00000000" w14:paraId="0000015F">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Consultation with sustainability organisations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including the Carbon Trust and WWF's Green Office programme</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validates Marriott's environmental claims for StaySmart+ and provides third-party credibility that differentiates the service from competitor offerings susceptible to accusations of greenwashing (Eccles, Ioannou and Serafeim, 2014).</w:t>
      </w:r>
      <w:r w:rsidDel="00000000" w:rsidR="00000000" w:rsidRPr="00000000">
        <w:rPr>
          <w:rtl w:val="0"/>
        </w:rPr>
      </w:r>
    </w:p>
    <w:p w:rsidR="00000000" w:rsidDel="00000000" w:rsidP="00000000" w:rsidRDefault="00000000" w:rsidRPr="00000000" w14:paraId="00000160">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6.4 Commitment</w:t>
      </w:r>
      <w:r w:rsidDel="00000000" w:rsidR="00000000" w:rsidRPr="00000000">
        <w:rPr>
          <w:rtl w:val="0"/>
        </w:rPr>
      </w:r>
    </w:p>
    <w:p w:rsidR="00000000" w:rsidDel="00000000" w:rsidP="00000000" w:rsidRDefault="00000000" w:rsidRPr="00000000" w14:paraId="00000161">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Commitment represents the highest level of the 4C's framework, describing active, sustained dedication to the project's success rather than passive compliance. Freeman (1984) argues that genuine stakeholder commitment can only be secured when organisations demonstrate authentic regard for stakeholders' interests, not merely their instrumental value to the project. For StaySmart+, securing commitment requires addressing stakeholders' underlying motivations and concerns.</w:t>
      </w:r>
      <w:r w:rsidDel="00000000" w:rsidR="00000000" w:rsidRPr="00000000">
        <w:rPr>
          <w:rtl w:val="0"/>
        </w:rPr>
      </w:r>
    </w:p>
    <w:p w:rsidR="00000000" w:rsidDel="00000000" w:rsidP="00000000" w:rsidRDefault="00000000" w:rsidRPr="00000000" w14:paraId="00000162">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For senior leadership, commitment is reinforced through a compelling business case demonstrating projected ROI, competitive differentiation, and ESG performance improvements. For front-line staff, commitment is cultivated through comprehensive change management programmes inspired by Kotter's (2012) eight-step model, which frames StaySmart+ not as a threat to employment but as a tool that enhances staff capability to deliver exceptional service</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reducing administrative burden and freeing time for genuine human connection with guests. As Lewin (1951) demonstrated in his change model, sustained commitment requires 'refreezing' new behaviours through ongoing reinforcement, recognition, and reward.</w:t>
      </w:r>
      <w:r w:rsidDel="00000000" w:rsidR="00000000" w:rsidRPr="00000000">
        <w:rPr>
          <w:rtl w:val="0"/>
        </w:rPr>
      </w:r>
    </w:p>
    <w:p w:rsidR="00000000" w:rsidDel="00000000" w:rsidP="00000000" w:rsidRDefault="00000000" w:rsidRPr="00000000" w14:paraId="00000163">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Technology partners' commitment is secured through long-term partnership agreements providing commercial certainty and joint product development opportunities. Guest commitment manifests as enrolment in the beta programme and, ultimately, as adoption and loyalty, measured through NPS and repeat booking rates.</w:t>
      </w:r>
      <w:r w:rsidDel="00000000" w:rsidR="00000000" w:rsidRPr="00000000">
        <w:rPr>
          <w:rtl w:val="0"/>
        </w:rPr>
      </w:r>
    </w:p>
    <w:p w:rsidR="00000000" w:rsidDel="00000000" w:rsidP="00000000" w:rsidRDefault="00000000" w:rsidRPr="00000000" w14:paraId="00000164">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6.5 Managing Conflict</w:t>
      </w:r>
      <w:r w:rsidDel="00000000" w:rsidR="00000000" w:rsidRPr="00000000">
        <w:rPr>
          <w:rtl w:val="0"/>
        </w:rPr>
      </w:r>
    </w:p>
    <w:p w:rsidR="00000000" w:rsidDel="00000000" w:rsidP="00000000" w:rsidRDefault="00000000" w:rsidRPr="00000000" w14:paraId="00000165">
      <w:pPr>
        <w:spacing w:after="100" w:before="100" w:line="360" w:lineRule="auto"/>
        <w:jc w:val="both"/>
        <w:rPr/>
      </w:pPr>
      <w:r w:rsidDel="00000000" w:rsidR="00000000" w:rsidRPr="00000000">
        <w:rPr>
          <w:rFonts w:ascii="Arial" w:cs="Arial" w:eastAsia="Arial" w:hAnsi="Arial"/>
          <w:sz w:val="22"/>
          <w:szCs w:val="22"/>
          <w:rtl w:val="0"/>
        </w:rPr>
        <w:t xml:space="preserve">Conflict in complex, multi-stakeholder projects is inevitable and, when managed constructively, can be a source of creative problem-solving rather than a threat to project stability (De Wit and Meyer, 2010). As Project Manager, the conflict management strategy draws on Thomas and Kilmann's (1974) Conflict Mode Instrument, which identifies five conflict management styles: competing, collaborating, compromising, avoiding, and accommodating. The collaborating style</w:t>
      </w:r>
      <w:r w:rsidDel="00000000" w:rsidR="00000000" w:rsidRPr="00000000">
        <w:rPr>
          <w:rtl w:val="0"/>
        </w:rPr>
        <w:t xml:space="preserve"> </w:t>
      </w:r>
      <w:r w:rsidDel="00000000" w:rsidR="00000000" w:rsidRPr="00000000">
        <w:rPr>
          <w:rFonts w:ascii="Arial" w:cs="Arial" w:eastAsia="Arial" w:hAnsi="Arial"/>
          <w:sz w:val="22"/>
          <w:szCs w:val="22"/>
          <w:rtl w:val="0"/>
        </w:rPr>
        <w:t xml:space="preserve">seeking mutually beneficial outcomes that address all parties' core interests</w:t>
      </w:r>
      <w:r w:rsidDel="00000000" w:rsidR="00000000" w:rsidRPr="00000000">
        <w:rPr>
          <w:rtl w:val="0"/>
        </w:rPr>
        <w:t xml:space="preserve"> </w:t>
      </w:r>
      <w:r w:rsidDel="00000000" w:rsidR="00000000" w:rsidRPr="00000000">
        <w:rPr>
          <w:rFonts w:ascii="Arial" w:cs="Arial" w:eastAsia="Arial" w:hAnsi="Arial"/>
          <w:sz w:val="22"/>
          <w:szCs w:val="22"/>
          <w:rtl w:val="0"/>
        </w:rPr>
        <w:t xml:space="preserve">is the default approach for StaySmart+, consistent with Freeman's (1984) stakeholder theory's emphasis on balanced engagement.</w:t>
      </w:r>
      <w:r w:rsidDel="00000000" w:rsidR="00000000" w:rsidRPr="00000000">
        <w:rPr>
          <w:rtl w:val="0"/>
        </w:rPr>
      </w:r>
    </w:p>
    <w:p w:rsidR="00000000" w:rsidDel="00000000" w:rsidP="00000000" w:rsidRDefault="00000000" w:rsidRPr="00000000" w14:paraId="00000166">
      <w:pPr>
        <w:spacing w:after="100" w:before="100" w:line="360" w:lineRule="auto"/>
        <w:jc w:val="both"/>
        <w:rPr/>
      </w:pPr>
      <w:r w:rsidDel="00000000" w:rsidR="00000000" w:rsidRPr="00000000">
        <w:rPr>
          <w:rFonts w:ascii="Arial" w:cs="Arial" w:eastAsia="Arial" w:hAnsi="Arial"/>
          <w:sz w:val="22"/>
          <w:szCs w:val="22"/>
          <w:rtl w:val="0"/>
        </w:rPr>
        <w:t xml:space="preserve">Predictable conflict scenarios include: front-line staff resistance driven by fear of automation (addressed through transparent communication and redeployment planning); disagreements between IT and Product Development on technical feasibility versus user experience ambitions (resolved through structured sprint reviews and clearly defined acceptance criteria); tension between Marketing's preference for rapid market entry and Legal's compliance requirements (managed through joint risk assessment workshops); and differing views between local hotel managers and corporate on implementation pace (addressed through regional governance committees with devolved decision-making authority). Each scenario is documented in a pre-agreed conflict escalation matrix, ensuring disputes are resolved at the appropriate level without derailing project momentum.</w:t>
      </w:r>
      <w:r w:rsidDel="00000000" w:rsidR="00000000" w:rsidRPr="00000000">
        <w:rPr>
          <w:rtl w:val="0"/>
        </w:rPr>
      </w:r>
    </w:p>
    <w:p w:rsidR="00000000" w:rsidDel="00000000" w:rsidP="00000000" w:rsidRDefault="00000000" w:rsidRPr="00000000" w14:paraId="00000167">
      <w:pPr>
        <w:spacing w:after="100" w:before="100" w:line="360" w:lineRule="auto"/>
        <w:jc w:val="both"/>
        <w:rPr/>
      </w:pPr>
      <w:r w:rsidDel="00000000" w:rsidR="00000000" w:rsidRPr="00000000">
        <w:rPr>
          <w:rFonts w:ascii="Arial" w:cs="Arial" w:eastAsia="Arial" w:hAnsi="Arial"/>
          <w:sz w:val="22"/>
          <w:szCs w:val="22"/>
          <w:rtl w:val="0"/>
        </w:rPr>
        <w:t xml:space="preserve">Cultural conflict, arising from differing values and working styles across international markets, is managed through cultural competence training for the core project team and the appointment of culturally embedded regional leads. This approach applies Hofstede, Hofstede and Minkov's (2010) cultural dimensions framework, particularly the dimensions of power distance (affecting hierarchical communication preferences) and uncertainty avoidance (affecting receptiveness to technological change), to diagnose and pre-empt cross-cultural misunderstandings before they escalate.</w:t>
      </w:r>
      <w:r w:rsidDel="00000000" w:rsidR="00000000" w:rsidRPr="00000000">
        <w:rPr>
          <w:rtl w:val="0"/>
        </w:rPr>
      </w:r>
    </w:p>
    <w:p w:rsidR="00000000" w:rsidDel="00000000" w:rsidP="00000000" w:rsidRDefault="00000000" w:rsidRPr="00000000" w14:paraId="00000168">
      <w:pPr>
        <w:rPr/>
      </w:pPr>
      <w:r w:rsidDel="00000000" w:rsidR="00000000" w:rsidRPr="00000000">
        <w:br w:type="page"/>
      </w:r>
      <w:r w:rsidDel="00000000" w:rsidR="00000000" w:rsidRPr="00000000">
        <w:rPr>
          <w:rtl w:val="0"/>
        </w:rPr>
      </w:r>
    </w:p>
    <w:p w:rsidR="00000000" w:rsidDel="00000000" w:rsidP="00000000" w:rsidRDefault="00000000" w:rsidRPr="00000000" w14:paraId="00000169">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7. Impact of Stakeholder Engagement on Business Performance and Recommendations</w:t>
      </w:r>
      <w:r w:rsidDel="00000000" w:rsidR="00000000" w:rsidRPr="00000000">
        <w:rPr>
          <w:rtl w:val="0"/>
        </w:rPr>
      </w:r>
    </w:p>
    <w:p w:rsidR="00000000" w:rsidDel="00000000" w:rsidP="00000000" w:rsidRDefault="00000000" w:rsidRPr="00000000" w14:paraId="0000016A">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7.1 Impact on Business Performance</w:t>
      </w:r>
      <w:r w:rsidDel="00000000" w:rsidR="00000000" w:rsidRPr="00000000">
        <w:rPr>
          <w:rtl w:val="0"/>
        </w:rPr>
      </w:r>
    </w:p>
    <w:p w:rsidR="00000000" w:rsidDel="00000000" w:rsidP="00000000" w:rsidRDefault="00000000" w:rsidRPr="00000000" w14:paraId="0000016B">
      <w:pPr>
        <w:spacing w:after="100" w:before="100" w:line="360" w:lineRule="auto"/>
        <w:jc w:val="both"/>
        <w:rPr>
          <w:sz w:val="24"/>
          <w:szCs w:val="24"/>
        </w:rPr>
      </w:pPr>
      <w:r w:rsidDel="00000000" w:rsidR="00000000" w:rsidRPr="00000000">
        <w:rPr>
          <w:rFonts w:ascii="Arial" w:cs="Arial" w:eastAsia="Arial" w:hAnsi="Arial"/>
          <w:sz w:val="24"/>
          <w:szCs w:val="24"/>
          <w:rtl w:val="0"/>
        </w:rPr>
        <w:t xml:space="preserve">The relationship between stakeholder engagement and business performance is well-established in the strategic management literature. Hillman and Keim (2001) conducted a landmark empirical study demonstrating that effective stakeholder management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particularly with primary stakeholders including employees, customers, and suppliers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positively correlates with shareholder value creation over the long term. More recently, Eccles, Ioannou and Serafeim (2014) found that companies with high sustainability and stakeholder engagement standards significantly outperformed their peers on long-term financial metrics, supporting the strategic, not merely ethical, case for robust engagement. Ashcroft et al. (2016, p.23) captures this succinctly, arguing that 'the quality of an organisation's stakeholder relationships is the most reliable leading indicator of its long-term performance.'</w:t>
      </w:r>
      <w:r w:rsidDel="00000000" w:rsidR="00000000" w:rsidRPr="00000000">
        <w:rPr>
          <w:rtl w:val="0"/>
        </w:rPr>
      </w:r>
    </w:p>
    <w:p w:rsidR="00000000" w:rsidDel="00000000" w:rsidP="00000000" w:rsidRDefault="00000000" w:rsidRPr="00000000" w14:paraId="0000016C">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Revenue Growth: </w:t>
      </w:r>
      <w:r w:rsidDel="00000000" w:rsidR="00000000" w:rsidRPr="00000000">
        <w:rPr>
          <w:rFonts w:ascii="Arial" w:cs="Arial" w:eastAsia="Arial" w:hAnsi="Arial"/>
          <w:sz w:val="24"/>
          <w:szCs w:val="24"/>
          <w:rtl w:val="0"/>
        </w:rPr>
        <w:t xml:space="preserve">By creating a differentiated premium experience, StaySmart+ is projected to increase average daily rate (ADR) and revenue per available room (RevPAR) at participating properties by an estimated 8–12% within 12 months of launch. This projection is informed by Skift Research (2023), which reports comparable AI-driven innovations at competing brands generating measurable RevPAR premiums of 7–11%.</w:t>
      </w:r>
      <w:r w:rsidDel="00000000" w:rsidR="00000000" w:rsidRPr="00000000">
        <w:rPr>
          <w:rtl w:val="0"/>
        </w:rPr>
      </w:r>
    </w:p>
    <w:p w:rsidR="00000000" w:rsidDel="00000000" w:rsidP="00000000" w:rsidRDefault="00000000" w:rsidRPr="00000000" w14:paraId="0000016D">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Brand Equity: </w:t>
      </w:r>
      <w:r w:rsidDel="00000000" w:rsidR="00000000" w:rsidRPr="00000000">
        <w:rPr>
          <w:rFonts w:ascii="Arial" w:cs="Arial" w:eastAsia="Arial" w:hAnsi="Arial"/>
          <w:sz w:val="24"/>
          <w:szCs w:val="24"/>
          <w:rtl w:val="0"/>
        </w:rPr>
        <w:t xml:space="preserve">Effective stakeholder engagement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particularly with sustainability NGOs, regulatory bodies, and guests</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enhances Marriott's reputation as an ethical, innovative, and responsible operator. Conversely, the 2018 data breach, which resulted from inadequate stakeholder governance with technology partners, cost Marriott £18.4 million in ICO fines alone (ICO, 2019) and caused significant reputational damage, demonstrating the material cost of engagement failure.</w:t>
      </w:r>
      <w:r w:rsidDel="00000000" w:rsidR="00000000" w:rsidRPr="00000000">
        <w:rPr>
          <w:rtl w:val="0"/>
        </w:rPr>
      </w:r>
    </w:p>
    <w:p w:rsidR="00000000" w:rsidDel="00000000" w:rsidP="00000000" w:rsidRDefault="00000000" w:rsidRPr="00000000" w14:paraId="0000016E">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Employee Engagement and Retention: </w:t>
      </w:r>
      <w:r w:rsidDel="00000000" w:rsidR="00000000" w:rsidRPr="00000000">
        <w:rPr>
          <w:rFonts w:ascii="Arial" w:cs="Arial" w:eastAsia="Arial" w:hAnsi="Arial"/>
          <w:sz w:val="24"/>
          <w:szCs w:val="24"/>
          <w:rtl w:val="0"/>
        </w:rPr>
        <w:t xml:space="preserve">Research by Gallup (2023) consistently demonstrates that engaged employees deliver significantly higher customer satisfaction scores. By meaningfully involving front-line staff in StaySmart+'s design and rollout, the project builds ownership and reduces resistance, directly improving service quality and reducing the staff turnover costs that disproportionately burden the hospitality sector (Kotter, 2012).</w:t>
      </w:r>
      <w:r w:rsidDel="00000000" w:rsidR="00000000" w:rsidRPr="00000000">
        <w:rPr>
          <w:rtl w:val="0"/>
        </w:rPr>
      </w:r>
    </w:p>
    <w:p w:rsidR="00000000" w:rsidDel="00000000" w:rsidP="00000000" w:rsidRDefault="00000000" w:rsidRPr="00000000" w14:paraId="0000016F">
      <w:pPr>
        <w:spacing w:after="100" w:before="100" w:line="360" w:lineRule="auto"/>
        <w:jc w:val="both"/>
        <w:rPr>
          <w:sz w:val="24"/>
          <w:szCs w:val="24"/>
        </w:rPr>
      </w:pPr>
      <w:r w:rsidDel="00000000" w:rsidR="00000000" w:rsidRPr="00000000">
        <w:rPr>
          <w:rFonts w:ascii="Arial" w:cs="Arial" w:eastAsia="Arial" w:hAnsi="Arial"/>
          <w:b w:val="1"/>
          <w:bCs w:val="1"/>
          <w:sz w:val="24"/>
          <w:szCs w:val="24"/>
          <w:rtl w:val="0"/>
        </w:rPr>
        <w:t xml:space="preserve">Operational Efficiency: </w:t>
      </w:r>
      <w:r w:rsidDel="00000000" w:rsidR="00000000" w:rsidRPr="00000000">
        <w:rPr>
          <w:rFonts w:ascii="Arial" w:cs="Arial" w:eastAsia="Arial" w:hAnsi="Arial"/>
          <w:sz w:val="24"/>
          <w:szCs w:val="24"/>
          <w:rtl w:val="0"/>
        </w:rPr>
        <w:t xml:space="preserve">AI-driven components of StaySmart+</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automated check-in, predictive maintenance alerts, and intelligent room personalisation</w:t>
      </w: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reduce manual workload and enable redeployment of staff to higher-value guest interactions. These efficiency gains, enabled by effective engagement with technology partners and IT teams, are projected to reduce operational costs by 5–7% per property in the first year (Skift Research, 2023).</w:t>
      </w:r>
      <w:r w:rsidDel="00000000" w:rsidR="00000000" w:rsidRPr="00000000">
        <w:rPr>
          <w:rtl w:val="0"/>
        </w:rPr>
      </w:r>
    </w:p>
    <w:p w:rsidR="00000000" w:rsidDel="00000000" w:rsidP="00000000" w:rsidRDefault="00000000" w:rsidRPr="00000000" w14:paraId="00000170">
      <w:pPr>
        <w:spacing w:after="100" w:before="100" w:line="360" w:lineRule="auto"/>
        <w:jc w:val="both"/>
        <w:rPr/>
      </w:pPr>
      <w:r w:rsidDel="00000000" w:rsidR="00000000" w:rsidRPr="00000000">
        <w:rPr>
          <w:rFonts w:ascii="Arial" w:cs="Arial" w:eastAsia="Arial" w:hAnsi="Arial"/>
          <w:b w:val="1"/>
          <w:bCs w:val="1"/>
          <w:sz w:val="22"/>
          <w:szCs w:val="22"/>
          <w:rtl w:val="0"/>
        </w:rPr>
        <w:t xml:space="preserve">Risk Mitigation: </w:t>
      </w:r>
      <w:r w:rsidDel="00000000" w:rsidR="00000000" w:rsidRPr="00000000">
        <w:rPr>
          <w:rFonts w:ascii="Arial" w:cs="Arial" w:eastAsia="Arial" w:hAnsi="Arial"/>
          <w:sz w:val="22"/>
          <w:szCs w:val="22"/>
          <w:rtl w:val="0"/>
        </w:rPr>
        <w:t xml:space="preserve">The Project Management Institute (PMI, 2021) reports that projects with robust stakeholder engagement practices are demonstrably less likely to experience costly delays, scope changes, or reputational controversies. The proactive regulatory consultation embedded in the StaySmart+ engagement strategy specifically reduces the probability of compliance-driven launch delays, while the guest beta programme surfaces usability issues before full deployment, avoiding costly post-launch remediation.</w:t>
      </w:r>
      <w:r w:rsidDel="00000000" w:rsidR="00000000" w:rsidRPr="00000000">
        <w:rPr>
          <w:rtl w:val="0"/>
        </w:rPr>
      </w:r>
    </w:p>
    <w:p w:rsidR="00000000" w:rsidDel="00000000" w:rsidP="00000000" w:rsidRDefault="00000000" w:rsidRPr="00000000" w14:paraId="00000171">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7.2 Ethical Considerations</w:t>
      </w:r>
      <w:r w:rsidDel="00000000" w:rsidR="00000000" w:rsidRPr="00000000">
        <w:rPr>
          <w:rtl w:val="0"/>
        </w:rPr>
      </w:r>
    </w:p>
    <w:p w:rsidR="00000000" w:rsidDel="00000000" w:rsidP="00000000" w:rsidRDefault="00000000" w:rsidRPr="00000000" w14:paraId="00000172">
      <w:pPr>
        <w:spacing w:after="100" w:before="100" w:line="360" w:lineRule="auto"/>
        <w:jc w:val="both"/>
        <w:rPr/>
      </w:pPr>
      <w:r w:rsidDel="00000000" w:rsidR="00000000" w:rsidRPr="00000000">
        <w:rPr>
          <w:rFonts w:ascii="Arial" w:cs="Arial" w:eastAsia="Arial" w:hAnsi="Arial"/>
          <w:sz w:val="22"/>
          <w:szCs w:val="22"/>
          <w:rtl w:val="0"/>
        </w:rPr>
        <w:t xml:space="preserve">The ethical dimensions of stakeholder engagement for a global AI-driven hospitality service are multifaceted and must be addressed with rigour and transparency. Carroll (1991) presents corporate responsibility as a four-part pyramid</w:t>
      </w:r>
      <w:r w:rsidDel="00000000" w:rsidR="00000000" w:rsidRPr="00000000">
        <w:rPr>
          <w:rtl w:val="0"/>
        </w:rPr>
        <w:t xml:space="preserve">: </w:t>
      </w:r>
      <w:r w:rsidDel="00000000" w:rsidR="00000000" w:rsidRPr="00000000">
        <w:rPr>
          <w:rFonts w:ascii="Arial" w:cs="Arial" w:eastAsia="Arial" w:hAnsi="Arial"/>
          <w:sz w:val="22"/>
          <w:szCs w:val="22"/>
          <w:rtl w:val="0"/>
        </w:rPr>
        <w:t xml:space="preserve">economic, legal, ethical, and philanthropic</w:t>
      </w:r>
      <w:r w:rsidDel="00000000" w:rsidR="00000000" w:rsidRPr="00000000">
        <w:rPr>
          <w:rtl w:val="0"/>
        </w:rPr>
        <w:t xml:space="preserve"> </w:t>
      </w:r>
      <w:r w:rsidDel="00000000" w:rsidR="00000000" w:rsidRPr="00000000">
        <w:rPr>
          <w:rFonts w:ascii="Arial" w:cs="Arial" w:eastAsia="Arial" w:hAnsi="Arial"/>
          <w:sz w:val="22"/>
          <w:szCs w:val="22"/>
          <w:rtl w:val="0"/>
        </w:rPr>
        <w:t xml:space="preserve">arguing that organisations must satisfy all four levels, not merely the economic and legal, to achieve genuine corporate citizenship.</w:t>
      </w:r>
      <w:r w:rsidDel="00000000" w:rsidR="00000000" w:rsidRPr="00000000">
        <w:rPr>
          <w:rtl w:val="0"/>
        </w:rPr>
      </w:r>
    </w:p>
    <w:p w:rsidR="00000000" w:rsidDel="00000000" w:rsidP="00000000" w:rsidRDefault="00000000" w:rsidRPr="00000000" w14:paraId="00000173">
      <w:pPr>
        <w:spacing w:after="100" w:before="100" w:line="360" w:lineRule="auto"/>
        <w:jc w:val="both"/>
        <w:rPr/>
      </w:pPr>
      <w:r w:rsidDel="00000000" w:rsidR="00000000" w:rsidRPr="00000000">
        <w:rPr>
          <w:rFonts w:ascii="Arial" w:cs="Arial" w:eastAsia="Arial" w:hAnsi="Arial"/>
          <w:b w:val="1"/>
          <w:bCs w:val="1"/>
          <w:sz w:val="22"/>
          <w:szCs w:val="22"/>
          <w:rtl w:val="0"/>
        </w:rPr>
        <w:t xml:space="preserve">Data Privacy and Informed Consent: </w:t>
      </w:r>
      <w:r w:rsidDel="00000000" w:rsidR="00000000" w:rsidRPr="00000000">
        <w:rPr>
          <w:rFonts w:ascii="Arial" w:cs="Arial" w:eastAsia="Arial" w:hAnsi="Arial"/>
          <w:sz w:val="22"/>
          <w:szCs w:val="22"/>
          <w:rtl w:val="0"/>
        </w:rPr>
        <w:t xml:space="preserve">StaySmart+'s personalisation capabilities are powered by extensive guest data, raising significant questions about informed consent, data minimisation, and the right to opt out without penalty or service degradation. Cavoukian (2009) argues that privacy must be embedded proactively into system design, not retrofitted</w:t>
      </w:r>
      <w:r w:rsidDel="00000000" w:rsidR="00000000" w:rsidRPr="00000000">
        <w:rPr>
          <w:rtl w:val="0"/>
        </w:rPr>
        <w:t xml:space="preserve"> </w:t>
      </w:r>
      <w:r w:rsidDel="00000000" w:rsidR="00000000" w:rsidRPr="00000000">
        <w:rPr>
          <w:rFonts w:ascii="Arial" w:cs="Arial" w:eastAsia="Arial" w:hAnsi="Arial"/>
          <w:sz w:val="22"/>
          <w:szCs w:val="22"/>
          <w:rtl w:val="0"/>
        </w:rPr>
        <w:t xml:space="preserve">a principle that StaySmart+'s development team must treat as non-negotiable rather than aspirational.</w:t>
      </w:r>
      <w:r w:rsidDel="00000000" w:rsidR="00000000" w:rsidRPr="00000000">
        <w:rPr>
          <w:rtl w:val="0"/>
        </w:rPr>
      </w:r>
    </w:p>
    <w:p w:rsidR="00000000" w:rsidDel="00000000" w:rsidP="00000000" w:rsidRDefault="00000000" w:rsidRPr="00000000" w14:paraId="00000174">
      <w:pPr>
        <w:spacing w:after="100" w:before="100" w:line="360" w:lineRule="auto"/>
        <w:jc w:val="both"/>
        <w:rPr/>
      </w:pPr>
      <w:r w:rsidDel="00000000" w:rsidR="00000000" w:rsidRPr="00000000">
        <w:rPr>
          <w:rFonts w:ascii="Arial" w:cs="Arial" w:eastAsia="Arial" w:hAnsi="Arial"/>
          <w:b w:val="1"/>
          <w:bCs w:val="1"/>
          <w:sz w:val="22"/>
          <w:szCs w:val="22"/>
          <w:rtl w:val="0"/>
        </w:rPr>
        <w:t xml:space="preserve">Algorithmic Bias: </w:t>
      </w:r>
      <w:r w:rsidDel="00000000" w:rsidR="00000000" w:rsidRPr="00000000">
        <w:rPr>
          <w:rFonts w:ascii="Arial" w:cs="Arial" w:eastAsia="Arial" w:hAnsi="Arial"/>
          <w:sz w:val="22"/>
          <w:szCs w:val="22"/>
          <w:rtl w:val="0"/>
        </w:rPr>
        <w:t xml:space="preserve">AI systems trained on historical data risk perpetuating discriminatory patterns in service delivery; for example, offering differentiated experiences based on inferred demographic characteristics. As Eccles, Ioannou and Serafeim (2014) note, reputational risk arising from algorithmic discrimination can be severe and difficult to reverse. Regular algorithmic audits conducted by independent third parties are therefore an ethical and commercial necessity.</w:t>
      </w:r>
      <w:r w:rsidDel="00000000" w:rsidR="00000000" w:rsidRPr="00000000">
        <w:rPr>
          <w:rtl w:val="0"/>
        </w:rPr>
      </w:r>
    </w:p>
    <w:p w:rsidR="00000000" w:rsidDel="00000000" w:rsidP="00000000" w:rsidRDefault="00000000" w:rsidRPr="00000000" w14:paraId="00000175">
      <w:pPr>
        <w:spacing w:after="100" w:before="100" w:line="360" w:lineRule="auto"/>
        <w:jc w:val="both"/>
        <w:rPr/>
      </w:pPr>
      <w:r w:rsidDel="00000000" w:rsidR="00000000" w:rsidRPr="00000000">
        <w:rPr>
          <w:rFonts w:ascii="Arial" w:cs="Arial" w:eastAsia="Arial" w:hAnsi="Arial"/>
          <w:b w:val="1"/>
          <w:bCs w:val="1"/>
          <w:sz w:val="22"/>
          <w:szCs w:val="22"/>
          <w:rtl w:val="0"/>
        </w:rPr>
        <w:t xml:space="preserve">Labour Displacement: </w:t>
      </w:r>
      <w:r w:rsidDel="00000000" w:rsidR="00000000" w:rsidRPr="00000000">
        <w:rPr>
          <w:rFonts w:ascii="Arial" w:cs="Arial" w:eastAsia="Arial" w:hAnsi="Arial"/>
          <w:sz w:val="22"/>
          <w:szCs w:val="22"/>
          <w:rtl w:val="0"/>
        </w:rPr>
        <w:t xml:space="preserve">While StaySmart+ is designed to augment rather than replace human service delivery, the automation of certain tasks inevitably raises legitimate concerns about future staffing levels. Carroll (1991) identifies the ethical obligation to engage honestly with affected employees and their representatives, rather than seeking to manage stakeholder perceptions strategically. Transparency about the project's employment implications, combined with credible redeployment and retraining commitments, is both an ethical imperative and a pragmatic risk management strategy (Kotter, 2012).</w:t>
      </w:r>
      <w:r w:rsidDel="00000000" w:rsidR="00000000" w:rsidRPr="00000000">
        <w:rPr>
          <w:rtl w:val="0"/>
        </w:rPr>
      </w:r>
    </w:p>
    <w:p w:rsidR="00000000" w:rsidDel="00000000" w:rsidP="00000000" w:rsidRDefault="00000000" w:rsidRPr="00000000" w14:paraId="00000176">
      <w:pPr>
        <w:pStyle w:val="Heading2"/>
        <w:spacing w:after="80" w:before="280" w:lineRule="auto"/>
        <w:rPr/>
      </w:pPr>
      <w:r w:rsidDel="00000000" w:rsidR="00000000" w:rsidRPr="00000000">
        <w:rPr>
          <w:rFonts w:ascii="Arial" w:cs="Arial" w:eastAsia="Arial" w:hAnsi="Arial"/>
          <w:b w:val="1"/>
          <w:bCs w:val="1"/>
          <w:color w:val="003366"/>
          <w:sz w:val="24"/>
          <w:szCs w:val="24"/>
          <w:rtl w:val="0"/>
        </w:rPr>
        <w:t xml:space="preserve">7.3 Recommendations</w:t>
      </w:r>
      <w:r w:rsidDel="00000000" w:rsidR="00000000" w:rsidRPr="00000000">
        <w:rPr>
          <w:rtl w:val="0"/>
        </w:rPr>
      </w:r>
    </w:p>
    <w:p w:rsidR="00000000" w:rsidDel="00000000" w:rsidP="00000000" w:rsidRDefault="00000000" w:rsidRPr="00000000" w14:paraId="00000177">
      <w:pPr>
        <w:spacing w:after="100" w:before="100" w:line="360" w:lineRule="auto"/>
        <w:jc w:val="both"/>
        <w:rPr/>
      </w:pPr>
      <w:r w:rsidDel="00000000" w:rsidR="00000000" w:rsidRPr="00000000">
        <w:rPr>
          <w:rFonts w:ascii="Arial" w:cs="Arial" w:eastAsia="Arial" w:hAnsi="Arial"/>
          <w:sz w:val="22"/>
          <w:szCs w:val="22"/>
          <w:rtl w:val="0"/>
        </w:rPr>
        <w:t xml:space="preserve">Based on the analysis presented in this report, the following seven recommendations are made to Marriott International for enhancing stakeholder engagement for StaySmart+ and beyond.</w:t>
      </w:r>
      <w:r w:rsidDel="00000000" w:rsidR="00000000" w:rsidRPr="00000000">
        <w:rPr>
          <w:rtl w:val="0"/>
        </w:rPr>
      </w:r>
    </w:p>
    <w:p w:rsidR="00000000" w:rsidDel="00000000" w:rsidP="00000000" w:rsidRDefault="00000000" w:rsidRPr="00000000" w14:paraId="00000178">
      <w:pPr>
        <w:spacing w:after="100" w:before="100" w:line="360" w:lineRule="auto"/>
        <w:jc w:val="both"/>
        <w:rPr/>
      </w:pPr>
      <w:r w:rsidDel="00000000" w:rsidR="00000000" w:rsidRPr="00000000">
        <w:rPr>
          <w:rFonts w:ascii="Arial" w:cs="Arial" w:eastAsia="Arial" w:hAnsi="Arial"/>
          <w:sz w:val="22"/>
          <w:szCs w:val="22"/>
          <w:rtl w:val="0"/>
        </w:rPr>
        <w:t xml:space="preserve">First, Marriott should establish a Permanent Stakeholder Advisory Board, convening a standing body comprising representatives from guests, employees, technology partners, sustainability NGOs, and a regulatory observer to provide ongoing input into the company's digital innovation agenda. As Ashcroft et al. (2016) recommend, institutionalising stakeholder engagement in this way transforms it from a project-specific activity into an enduring organisational capability.</w:t>
      </w:r>
      <w:r w:rsidDel="00000000" w:rsidR="00000000" w:rsidRPr="00000000">
        <w:rPr>
          <w:rtl w:val="0"/>
        </w:rPr>
      </w:r>
    </w:p>
    <w:p w:rsidR="00000000" w:rsidDel="00000000" w:rsidP="00000000" w:rsidRDefault="00000000" w:rsidRPr="00000000" w14:paraId="00000179">
      <w:pPr>
        <w:spacing w:after="100" w:before="100" w:line="360" w:lineRule="auto"/>
        <w:jc w:val="both"/>
        <w:rPr/>
      </w:pPr>
      <w:r w:rsidDel="00000000" w:rsidR="00000000" w:rsidRPr="00000000">
        <w:rPr>
          <w:rFonts w:ascii="Arial" w:cs="Arial" w:eastAsia="Arial" w:hAnsi="Arial"/>
          <w:sz w:val="22"/>
          <w:szCs w:val="22"/>
          <w:rtl w:val="0"/>
        </w:rPr>
        <w:t xml:space="preserve">Second, the organisation should invest in Cultural Intelligence (CQ) Training by implementing structured CQ development programmes for all project managers and regional leads working across international markets, drawing on Earley and Ang's (2003) framework. Cultural misalignment is one of the most common and preventable causes of global rollout failure, and proactive investment in this area is essential given StaySmart+'s multi-market scope (Hofstede, Hofstede and Minkov, 2010).</w:t>
      </w:r>
      <w:r w:rsidDel="00000000" w:rsidR="00000000" w:rsidRPr="00000000">
        <w:rPr>
          <w:rtl w:val="0"/>
        </w:rPr>
      </w:r>
    </w:p>
    <w:p w:rsidR="00000000" w:rsidDel="00000000" w:rsidP="00000000" w:rsidRDefault="00000000" w:rsidRPr="00000000" w14:paraId="0000017A">
      <w:pPr>
        <w:spacing w:after="100" w:before="100" w:line="360" w:lineRule="auto"/>
        <w:jc w:val="both"/>
        <w:rPr/>
      </w:pPr>
      <w:r w:rsidDel="00000000" w:rsidR="00000000" w:rsidRPr="00000000">
        <w:rPr>
          <w:rFonts w:ascii="Arial" w:cs="Arial" w:eastAsia="Arial" w:hAnsi="Arial"/>
          <w:sz w:val="22"/>
          <w:szCs w:val="22"/>
          <w:rtl w:val="0"/>
        </w:rPr>
        <w:t xml:space="preserve">Third, Marriott should adopt a Dynamic, Living Stakeholder Map, replacing the static stakeholder analysis conducted at project inception with a digitally maintained map that is reviewed monthly, reflecting changing power dynamics, interests, and relationship quality. Bourne's (2009) Stakeholder Circle® methodology provides a proven framework for this kind of dynamic stakeholder visualisation.</w:t>
      </w:r>
      <w:r w:rsidDel="00000000" w:rsidR="00000000" w:rsidRPr="00000000">
        <w:rPr>
          <w:rtl w:val="0"/>
        </w:rPr>
      </w:r>
    </w:p>
    <w:p w:rsidR="00000000" w:rsidDel="00000000" w:rsidP="00000000" w:rsidRDefault="00000000" w:rsidRPr="00000000" w14:paraId="0000017B">
      <w:pPr>
        <w:spacing w:after="100" w:before="100" w:line="360" w:lineRule="auto"/>
        <w:jc w:val="both"/>
        <w:rPr/>
      </w:pPr>
      <w:r w:rsidDel="00000000" w:rsidR="00000000" w:rsidRPr="00000000">
        <w:rPr>
          <w:rFonts w:ascii="Arial" w:cs="Arial" w:eastAsia="Arial" w:hAnsi="Arial"/>
          <w:sz w:val="22"/>
          <w:szCs w:val="22"/>
          <w:rtl w:val="0"/>
        </w:rPr>
        <w:t xml:space="preserve">Fourth, the company should publish a Transparent Annual Stakeholder Engagement Report aligned with the GRI Sustainability Reporting Standards. Such a report, documenting engagement activities, outcomes, and areas for improvement, demonstrates accountability and reinforces trust with all stakeholder groups (Eccles, Ioannou and Serafeim, 2014).</w:t>
      </w:r>
      <w:r w:rsidDel="00000000" w:rsidR="00000000" w:rsidRPr="00000000">
        <w:rPr>
          <w:rtl w:val="0"/>
        </w:rPr>
      </w:r>
    </w:p>
    <w:p w:rsidR="00000000" w:rsidDel="00000000" w:rsidP="00000000" w:rsidRDefault="00000000" w:rsidRPr="00000000" w14:paraId="0000017C">
      <w:pPr>
        <w:spacing w:after="100" w:before="100" w:line="360" w:lineRule="auto"/>
        <w:jc w:val="both"/>
        <w:rPr/>
      </w:pPr>
      <w:r w:rsidDel="00000000" w:rsidR="00000000" w:rsidRPr="00000000">
        <w:rPr>
          <w:rFonts w:ascii="Arial" w:cs="Arial" w:eastAsia="Arial" w:hAnsi="Arial"/>
          <w:sz w:val="22"/>
          <w:szCs w:val="22"/>
          <w:rtl w:val="0"/>
        </w:rPr>
        <w:t xml:space="preserve">Fifth, Marriott should establish an AI Ethics Committee a dedicated governance body including external experts in data ethics, consumer advocacy, and human rights</w:t>
      </w:r>
      <w:r w:rsidDel="00000000" w:rsidR="00000000" w:rsidRPr="00000000">
        <w:rPr>
          <w:rtl w:val="0"/>
        </w:rPr>
        <w:t xml:space="preserve">,</w:t>
      </w:r>
      <w:r w:rsidDel="00000000" w:rsidR="00000000" w:rsidRPr="00000000">
        <w:rPr>
          <w:rFonts w:ascii="Arial" w:cs="Arial" w:eastAsia="Arial" w:hAnsi="Arial"/>
          <w:sz w:val="22"/>
          <w:szCs w:val="22"/>
          <w:rtl w:val="0"/>
        </w:rPr>
        <w:t xml:space="preserve"> to oversee AI development and deployment within StaySmart+. This committee should have explicit authority to flag and pause developments posing unacceptable ethical risks, directly operationalising Carroll's (1991) ethical responsibility pillar.</w:t>
      </w:r>
      <w:r w:rsidDel="00000000" w:rsidR="00000000" w:rsidRPr="00000000">
        <w:rPr>
          <w:rtl w:val="0"/>
        </w:rPr>
      </w:r>
    </w:p>
    <w:p w:rsidR="00000000" w:rsidDel="00000000" w:rsidP="00000000" w:rsidRDefault="00000000" w:rsidRPr="00000000" w14:paraId="0000017D">
      <w:pPr>
        <w:spacing w:after="100" w:before="100" w:line="360" w:lineRule="auto"/>
        <w:jc w:val="both"/>
        <w:rPr/>
      </w:pPr>
      <w:r w:rsidDel="00000000" w:rsidR="00000000" w:rsidRPr="00000000">
        <w:rPr>
          <w:rFonts w:ascii="Arial" w:cs="Arial" w:eastAsia="Arial" w:hAnsi="Arial"/>
          <w:sz w:val="22"/>
          <w:szCs w:val="22"/>
          <w:rtl w:val="0"/>
        </w:rPr>
        <w:t xml:space="preserve">Sixth, a Staff Innovation Fund should be created to formally resource a mechanism through which front-line staff can propose enhancements to StaySmart+, turning the workforce from passive recipients of change into active co-creators of the guest experience. This operationalises Prahalad and Ramaswamy's (2004) value co-creation framework within the employee base, not merely among guests.</w:t>
      </w:r>
      <w:r w:rsidDel="00000000" w:rsidR="00000000" w:rsidRPr="00000000">
        <w:rPr>
          <w:rtl w:val="0"/>
        </w:rPr>
      </w:r>
    </w:p>
    <w:p w:rsidR="00000000" w:rsidDel="00000000" w:rsidP="00000000" w:rsidRDefault="00000000" w:rsidRPr="00000000" w14:paraId="0000017E">
      <w:pPr>
        <w:spacing w:after="100" w:before="100" w:line="360" w:lineRule="auto"/>
        <w:jc w:val="both"/>
        <w:rPr/>
      </w:pPr>
      <w:r w:rsidDel="00000000" w:rsidR="00000000" w:rsidRPr="00000000">
        <w:rPr>
          <w:rFonts w:ascii="Arial" w:cs="Arial" w:eastAsia="Arial" w:hAnsi="Arial"/>
          <w:sz w:val="22"/>
          <w:szCs w:val="22"/>
          <w:rtl w:val="0"/>
        </w:rPr>
        <w:t xml:space="preserve">Seventh and finally, Marriott should conduct Post-Launch Stakeholder Reviews at six-monthly intervals. Formal stakeholder satisfaction assessments using both quantitative surveys (NPS, engagement scores) and qualitative interviews should be conducted every six months, with results reported to the Board and findings used to refine engagement strategies iteratively (Bourne, 2009; PMI, 2021).</w:t>
      </w:r>
      <w:r w:rsidDel="00000000" w:rsidR="00000000" w:rsidRPr="00000000">
        <w:rPr>
          <w:rtl w:val="0"/>
        </w:rPr>
      </w:r>
    </w:p>
    <w:p w:rsidR="00000000" w:rsidDel="00000000" w:rsidP="00000000" w:rsidRDefault="00000000" w:rsidRPr="00000000" w14:paraId="0000017F">
      <w:pPr>
        <w:rPr/>
      </w:pPr>
      <w:r w:rsidDel="00000000" w:rsidR="00000000" w:rsidRPr="00000000">
        <w:br w:type="page"/>
      </w:r>
      <w:r w:rsidDel="00000000" w:rsidR="00000000" w:rsidRPr="00000000">
        <w:rPr>
          <w:rtl w:val="0"/>
        </w:rPr>
      </w:r>
    </w:p>
    <w:p w:rsidR="00000000" w:rsidDel="00000000" w:rsidP="00000000" w:rsidRDefault="00000000" w:rsidRPr="00000000" w14:paraId="00000180">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8. Conclusion</w:t>
      </w:r>
      <w:r w:rsidDel="00000000" w:rsidR="00000000" w:rsidRPr="00000000">
        <w:rPr>
          <w:rtl w:val="0"/>
        </w:rPr>
      </w:r>
    </w:p>
    <w:p w:rsidR="00000000" w:rsidDel="00000000" w:rsidP="00000000" w:rsidRDefault="00000000" w:rsidRPr="00000000" w14:paraId="00000181">
      <w:pPr>
        <w:spacing w:after="100" w:before="100" w:line="360" w:lineRule="auto"/>
        <w:jc w:val="both"/>
        <w:rPr/>
      </w:pPr>
      <w:r w:rsidDel="00000000" w:rsidR="00000000" w:rsidRPr="00000000">
        <w:rPr>
          <w:rFonts w:ascii="Arial" w:cs="Arial" w:eastAsia="Arial" w:hAnsi="Arial"/>
          <w:sz w:val="22"/>
          <w:szCs w:val="22"/>
          <w:rtl w:val="0"/>
        </w:rPr>
        <w:t xml:space="preserve">This report has demonstrated that the successful launch of StaySmart+ across Marriott International's global portfolio is fundamentally contingent on the quality and strategic rigour of its stakeholder engagement strategy. By systematically applying Freeman's (1984) stakeholder theory, Mendelow's (1991) Power-Interest Matrix, Mitchell, Agle and Wood's (1997) stakeholder salience model, the RACI Matrix, and Winch and Bonke's (2002) 4C's Model, this report has provided a comprehensive framework for identifying, prioritising, and engaging the diverse constellation of stakeholders whose cooperation, trust, and commitment are essential to the project's success.</w:t>
      </w:r>
      <w:r w:rsidDel="00000000" w:rsidR="00000000" w:rsidRPr="00000000">
        <w:rPr>
          <w:rtl w:val="0"/>
        </w:rPr>
      </w:r>
    </w:p>
    <w:p w:rsidR="00000000" w:rsidDel="00000000" w:rsidP="00000000" w:rsidRDefault="00000000" w:rsidRPr="00000000" w14:paraId="00000182">
      <w:pPr>
        <w:spacing w:after="100" w:before="100" w:line="360" w:lineRule="auto"/>
        <w:jc w:val="both"/>
        <w:rPr/>
      </w:pPr>
      <w:r w:rsidDel="00000000" w:rsidR="00000000" w:rsidRPr="00000000">
        <w:rPr>
          <w:rFonts w:ascii="Arial" w:cs="Arial" w:eastAsia="Arial" w:hAnsi="Arial"/>
          <w:sz w:val="22"/>
          <w:szCs w:val="22"/>
          <w:rtl w:val="0"/>
        </w:rPr>
        <w:t xml:space="preserve">The SWOT and PESTLE analyses reveal that while Marriott possesses significant strengths in brand equity, financial resources, and technology infrastructure, the reputational legacy of the 2018 data breach and the complexity of managing regulatory compliance across multiple jurisdictions present material risks that only proactive, structured stakeholder engagement can mitigate. The SMART objectives provide measurable targets against which the project's success can be assessed at defined intervals.</w:t>
      </w:r>
      <w:r w:rsidDel="00000000" w:rsidR="00000000" w:rsidRPr="00000000">
        <w:rPr>
          <w:rtl w:val="0"/>
        </w:rPr>
      </w:r>
    </w:p>
    <w:p w:rsidR="00000000" w:rsidDel="00000000" w:rsidP="00000000" w:rsidRDefault="00000000" w:rsidRPr="00000000" w14:paraId="00000183">
      <w:pPr>
        <w:spacing w:after="100" w:before="100" w:line="360" w:lineRule="auto"/>
        <w:jc w:val="both"/>
        <w:rPr/>
      </w:pPr>
      <w:r w:rsidDel="00000000" w:rsidR="00000000" w:rsidRPr="00000000">
        <w:rPr>
          <w:rFonts w:ascii="Arial" w:cs="Arial" w:eastAsia="Arial" w:hAnsi="Arial"/>
          <w:sz w:val="22"/>
          <w:szCs w:val="22"/>
          <w:rtl w:val="0"/>
        </w:rPr>
        <w:t xml:space="preserve">Critically, stakeholder engagement is not merely a procedural necessity or an ethical obligation—though it is both—but a direct driver of business performance. As demonstrated in Section 7, organisations that embed stakeholder engagement into their strategic DNA consistently outperform those that treat it as a compliance exercise (Eccles, Ioannou and Serafeim, 2014; Hillman and Keim, 2001; Ashcroft et al., 2016). For Marriott International, StaySmart+ represents an opportunity to redefine the premium hospitality experience for the digital age, but only if the trust, collaboration, and commitment of all key stakeholders are secured and sustained throughout</w:t>
      </w:r>
      <w:r w:rsidDel="00000000" w:rsidR="00000000" w:rsidRPr="00000000">
        <w:rPr>
          <w:rtl w:val="0"/>
        </w:rPr>
        <w:t xml:space="preserve"> </w:t>
      </w:r>
      <w:r w:rsidDel="00000000" w:rsidR="00000000" w:rsidRPr="00000000">
        <w:rPr>
          <w:rFonts w:ascii="Arial" w:cs="Arial" w:eastAsia="Arial" w:hAnsi="Arial"/>
          <w:sz w:val="22"/>
          <w:szCs w:val="22"/>
          <w:rtl w:val="0"/>
        </w:rPr>
        <w:t xml:space="preserve">and well beyond</w:t>
      </w:r>
      <w:r w:rsidDel="00000000" w:rsidR="00000000" w:rsidRPr="00000000">
        <w:rPr>
          <w:rtl w:val="0"/>
        </w:rPr>
        <w:t xml:space="preserve"> </w:t>
      </w:r>
      <w:r w:rsidDel="00000000" w:rsidR="00000000" w:rsidRPr="00000000">
        <w:rPr>
          <w:rFonts w:ascii="Arial" w:cs="Arial" w:eastAsia="Arial" w:hAnsi="Arial"/>
          <w:sz w:val="22"/>
          <w:szCs w:val="22"/>
          <w:rtl w:val="0"/>
        </w:rPr>
        <w:t xml:space="preserve">the six-month launch window. The seven recommendations provided in this report offer a practical roadmap for achieving that ambition.</w:t>
      </w:r>
      <w:r w:rsidDel="00000000" w:rsidR="00000000" w:rsidRPr="00000000">
        <w:rPr>
          <w:rtl w:val="0"/>
        </w:rPr>
      </w:r>
    </w:p>
    <w:p w:rsidR="00000000" w:rsidDel="00000000" w:rsidP="00000000" w:rsidRDefault="00000000" w:rsidRPr="00000000" w14:paraId="00000184">
      <w:pPr>
        <w:rPr/>
      </w:pPr>
      <w:r w:rsidDel="00000000" w:rsidR="00000000" w:rsidRPr="00000000">
        <w:br w:type="page"/>
      </w:r>
      <w:r w:rsidDel="00000000" w:rsidR="00000000" w:rsidRPr="00000000">
        <w:rPr>
          <w:rtl w:val="0"/>
        </w:rPr>
      </w:r>
    </w:p>
    <w:p w:rsidR="00000000" w:rsidDel="00000000" w:rsidP="00000000" w:rsidRDefault="00000000" w:rsidRPr="00000000" w14:paraId="00000185">
      <w:pPr>
        <w:pStyle w:val="Heading1"/>
        <w:spacing w:after="120" w:before="400" w:lineRule="auto"/>
        <w:rPr/>
      </w:pPr>
      <w:r w:rsidDel="00000000" w:rsidR="00000000" w:rsidRPr="00000000">
        <w:rPr>
          <w:rFonts w:ascii="Arial" w:cs="Arial" w:eastAsia="Arial" w:hAnsi="Arial"/>
          <w:b w:val="1"/>
          <w:bCs w:val="1"/>
          <w:color w:val="1a3e6a"/>
          <w:sz w:val="28"/>
          <w:szCs w:val="28"/>
          <w:rtl w:val="0"/>
        </w:rPr>
        <w:t xml:space="preserve">References</w:t>
      </w:r>
      <w:r w:rsidDel="00000000" w:rsidR="00000000" w:rsidRPr="00000000">
        <w:rPr>
          <w:rtl w:val="0"/>
        </w:rPr>
      </w:r>
    </w:p>
    <w:p w:rsidR="00000000" w:rsidDel="00000000" w:rsidP="00000000" w:rsidRDefault="00000000" w:rsidRPr="00000000" w14:paraId="00000186">
      <w:pPr>
        <w:spacing w:after="100" w:before="100" w:line="360" w:lineRule="auto"/>
        <w:jc w:val="both"/>
        <w:rPr/>
      </w:pPr>
      <w:r w:rsidDel="00000000" w:rsidR="00000000" w:rsidRPr="00000000">
        <w:rPr>
          <w:rFonts w:ascii="Arial" w:cs="Arial" w:eastAsia="Arial" w:hAnsi="Arial"/>
          <w:sz w:val="22"/>
          <w:szCs w:val="22"/>
          <w:rtl w:val="0"/>
        </w:rPr>
        <w:t xml:space="preserve">Ashcroft, J., Childs, R., Myers, A. and Schluter, M. (2016) </w:t>
      </w:r>
      <w:r w:rsidDel="00000000" w:rsidR="00000000" w:rsidRPr="00000000">
        <w:rPr>
          <w:rFonts w:ascii="Arial" w:cs="Arial" w:eastAsia="Arial" w:hAnsi="Arial"/>
          <w:i w:val="1"/>
          <w:iCs w:val="1"/>
          <w:sz w:val="22"/>
          <w:szCs w:val="22"/>
          <w:rtl w:val="0"/>
        </w:rPr>
        <w:t xml:space="preserve">The relational lens: understanding, managing and measuring stakeholder relationships.</w:t>
      </w:r>
      <w:r w:rsidDel="00000000" w:rsidR="00000000" w:rsidRPr="00000000">
        <w:rPr>
          <w:rFonts w:ascii="Arial" w:cs="Arial" w:eastAsia="Arial" w:hAnsi="Arial"/>
          <w:sz w:val="22"/>
          <w:szCs w:val="22"/>
          <w:rtl w:val="0"/>
        </w:rPr>
        <w:t xml:space="preserve"> Cambridge: Cambridge University Press.</w:t>
      </w:r>
      <w:r w:rsidDel="00000000" w:rsidR="00000000" w:rsidRPr="00000000">
        <w:rPr>
          <w:rtl w:val="0"/>
        </w:rPr>
      </w:r>
    </w:p>
    <w:p w:rsidR="00000000" w:rsidDel="00000000" w:rsidP="00000000" w:rsidRDefault="00000000" w:rsidRPr="00000000" w14:paraId="00000187">
      <w:pPr>
        <w:spacing w:after="100" w:before="100" w:line="360" w:lineRule="auto"/>
        <w:jc w:val="both"/>
        <w:rPr/>
      </w:pPr>
      <w:r w:rsidDel="00000000" w:rsidR="00000000" w:rsidRPr="00000000">
        <w:rPr>
          <w:rFonts w:ascii="Arial" w:cs="Arial" w:eastAsia="Arial" w:hAnsi="Arial"/>
          <w:sz w:val="22"/>
          <w:szCs w:val="22"/>
          <w:rtl w:val="0"/>
        </w:rPr>
        <w:t xml:space="preserve">Bourne, L. (2009) </w:t>
      </w:r>
      <w:r w:rsidDel="00000000" w:rsidR="00000000" w:rsidRPr="00000000">
        <w:rPr>
          <w:rFonts w:ascii="Arial" w:cs="Arial" w:eastAsia="Arial" w:hAnsi="Arial"/>
          <w:i w:val="1"/>
          <w:iCs w:val="1"/>
          <w:sz w:val="22"/>
          <w:szCs w:val="22"/>
          <w:rtl w:val="0"/>
        </w:rPr>
        <w:t xml:space="preserve">Stakeholder relationship management: a maturity model for organisational implementation.</w:t>
      </w:r>
      <w:r w:rsidDel="00000000" w:rsidR="00000000" w:rsidRPr="00000000">
        <w:rPr>
          <w:rFonts w:ascii="Arial" w:cs="Arial" w:eastAsia="Arial" w:hAnsi="Arial"/>
          <w:sz w:val="22"/>
          <w:szCs w:val="22"/>
          <w:rtl w:val="0"/>
        </w:rPr>
        <w:t xml:space="preserve"> Farnham: Gower.</w:t>
      </w:r>
      <w:r w:rsidDel="00000000" w:rsidR="00000000" w:rsidRPr="00000000">
        <w:rPr>
          <w:rtl w:val="0"/>
        </w:rPr>
      </w:r>
    </w:p>
    <w:p w:rsidR="00000000" w:rsidDel="00000000" w:rsidP="00000000" w:rsidRDefault="00000000" w:rsidRPr="00000000" w14:paraId="00000188">
      <w:pPr>
        <w:spacing w:after="100" w:before="100" w:line="360" w:lineRule="auto"/>
        <w:jc w:val="both"/>
        <w:rPr/>
      </w:pPr>
      <w:r w:rsidDel="00000000" w:rsidR="00000000" w:rsidRPr="00000000">
        <w:rPr>
          <w:rFonts w:ascii="Arial" w:cs="Arial" w:eastAsia="Arial" w:hAnsi="Arial"/>
          <w:sz w:val="22"/>
          <w:szCs w:val="22"/>
          <w:rtl w:val="0"/>
        </w:rPr>
        <w:t xml:space="preserve">Bowen, F., Newenham-Kahindi, A. and Herremans, I. (2010) When suits meet roots: the antecedents and consequences of community engagement strategy, </w:t>
      </w:r>
      <w:r w:rsidDel="00000000" w:rsidR="00000000" w:rsidRPr="00000000">
        <w:rPr>
          <w:rFonts w:ascii="Arial" w:cs="Arial" w:eastAsia="Arial" w:hAnsi="Arial"/>
          <w:i w:val="1"/>
          <w:iCs w:val="1"/>
          <w:sz w:val="22"/>
          <w:szCs w:val="22"/>
          <w:rtl w:val="0"/>
        </w:rPr>
        <w:t xml:space="preserve">Journal of Business Ethics,</w:t>
      </w:r>
      <w:r w:rsidDel="00000000" w:rsidR="00000000" w:rsidRPr="00000000">
        <w:rPr>
          <w:rFonts w:ascii="Arial" w:cs="Arial" w:eastAsia="Arial" w:hAnsi="Arial"/>
          <w:sz w:val="22"/>
          <w:szCs w:val="22"/>
          <w:rtl w:val="0"/>
        </w:rPr>
        <w:t xml:space="preserve"> 95(2), pp. 297–318.</w:t>
      </w:r>
      <w:r w:rsidDel="00000000" w:rsidR="00000000" w:rsidRPr="00000000">
        <w:rPr>
          <w:rtl w:val="0"/>
        </w:rPr>
      </w:r>
    </w:p>
    <w:p w:rsidR="00000000" w:rsidDel="00000000" w:rsidP="00000000" w:rsidRDefault="00000000" w:rsidRPr="00000000" w14:paraId="00000189">
      <w:pPr>
        <w:spacing w:after="100" w:before="100" w:line="360" w:lineRule="auto"/>
        <w:jc w:val="both"/>
        <w:rPr/>
      </w:pPr>
      <w:r w:rsidDel="00000000" w:rsidR="00000000" w:rsidRPr="00000000">
        <w:rPr>
          <w:rFonts w:ascii="Arial" w:cs="Arial" w:eastAsia="Arial" w:hAnsi="Arial"/>
          <w:sz w:val="22"/>
          <w:szCs w:val="22"/>
          <w:rtl w:val="0"/>
        </w:rPr>
        <w:t xml:space="preserve">Carroll, A.B. (1991) 'The pyramid of corporate social responsibility: toward the moral management of </w:t>
      </w:r>
      <w:r w:rsidDel="00000000" w:rsidR="00000000" w:rsidRPr="00000000">
        <w:rPr>
          <w:rtl w:val="0"/>
        </w:rPr>
        <w:t xml:space="preserve">organisational</w:t>
      </w:r>
      <w:r w:rsidDel="00000000" w:rsidR="00000000" w:rsidRPr="00000000">
        <w:rPr>
          <w:rFonts w:ascii="Arial" w:cs="Arial" w:eastAsia="Arial" w:hAnsi="Arial"/>
          <w:sz w:val="22"/>
          <w:szCs w:val="22"/>
          <w:rtl w:val="0"/>
        </w:rPr>
        <w:t xml:space="preserve"> stakeholders', </w:t>
      </w:r>
      <w:r w:rsidDel="00000000" w:rsidR="00000000" w:rsidRPr="00000000">
        <w:rPr>
          <w:rFonts w:ascii="Arial" w:cs="Arial" w:eastAsia="Arial" w:hAnsi="Arial"/>
          <w:i w:val="1"/>
          <w:iCs w:val="1"/>
          <w:sz w:val="22"/>
          <w:szCs w:val="22"/>
          <w:rtl w:val="0"/>
        </w:rPr>
        <w:t xml:space="preserve">Business Horizons,</w:t>
      </w:r>
      <w:r w:rsidDel="00000000" w:rsidR="00000000" w:rsidRPr="00000000">
        <w:rPr>
          <w:rFonts w:ascii="Arial" w:cs="Arial" w:eastAsia="Arial" w:hAnsi="Arial"/>
          <w:sz w:val="22"/>
          <w:szCs w:val="22"/>
          <w:rtl w:val="0"/>
        </w:rPr>
        <w:t xml:space="preserve"> 34(4), pp. 39–48.</w:t>
      </w:r>
      <w:r w:rsidDel="00000000" w:rsidR="00000000" w:rsidRPr="00000000">
        <w:rPr>
          <w:rtl w:val="0"/>
        </w:rPr>
      </w:r>
    </w:p>
    <w:p w:rsidR="00000000" w:rsidDel="00000000" w:rsidP="00000000" w:rsidRDefault="00000000" w:rsidRPr="00000000" w14:paraId="0000018A">
      <w:pPr>
        <w:spacing w:after="100" w:before="100" w:line="360" w:lineRule="auto"/>
        <w:jc w:val="both"/>
        <w:rPr/>
      </w:pPr>
      <w:r w:rsidDel="00000000" w:rsidR="00000000" w:rsidRPr="00000000">
        <w:rPr>
          <w:rFonts w:ascii="Arial" w:cs="Arial" w:eastAsia="Arial" w:hAnsi="Arial"/>
          <w:sz w:val="22"/>
          <w:szCs w:val="22"/>
          <w:rtl w:val="0"/>
        </w:rPr>
        <w:t xml:space="preserve">Cavoukian, A. (2009) </w:t>
      </w:r>
      <w:r w:rsidDel="00000000" w:rsidR="00000000" w:rsidRPr="00000000">
        <w:rPr>
          <w:rFonts w:ascii="Arial" w:cs="Arial" w:eastAsia="Arial" w:hAnsi="Arial"/>
          <w:i w:val="1"/>
          <w:iCs w:val="1"/>
          <w:sz w:val="22"/>
          <w:szCs w:val="22"/>
          <w:rtl w:val="0"/>
        </w:rPr>
        <w:t xml:space="preserve">Privacy by design: the 7 foundational principles.</w:t>
      </w:r>
      <w:r w:rsidDel="00000000" w:rsidR="00000000" w:rsidRPr="00000000">
        <w:rPr>
          <w:rFonts w:ascii="Arial" w:cs="Arial" w:eastAsia="Arial" w:hAnsi="Arial"/>
          <w:sz w:val="22"/>
          <w:szCs w:val="22"/>
          <w:rtl w:val="0"/>
        </w:rPr>
        <w:t xml:space="preserve"> Toronto: Information and Privacy Commissioner of Ontario.</w:t>
      </w:r>
      <w:r w:rsidDel="00000000" w:rsidR="00000000" w:rsidRPr="00000000">
        <w:rPr>
          <w:rtl w:val="0"/>
        </w:rPr>
      </w:r>
    </w:p>
    <w:p w:rsidR="00000000" w:rsidDel="00000000" w:rsidP="00000000" w:rsidRDefault="00000000" w:rsidRPr="00000000" w14:paraId="0000018B">
      <w:pPr>
        <w:spacing w:after="100" w:before="100" w:line="360" w:lineRule="auto"/>
        <w:jc w:val="both"/>
        <w:rPr/>
      </w:pPr>
      <w:r w:rsidDel="00000000" w:rsidR="00000000" w:rsidRPr="00000000">
        <w:rPr>
          <w:rFonts w:ascii="Arial" w:cs="Arial" w:eastAsia="Arial" w:hAnsi="Arial"/>
          <w:sz w:val="22"/>
          <w:szCs w:val="22"/>
          <w:rtl w:val="0"/>
        </w:rPr>
        <w:t xml:space="preserve">Christopher, M., Payne, A. and Ballantyne, D. (2013) </w:t>
      </w:r>
      <w:r w:rsidDel="00000000" w:rsidR="00000000" w:rsidRPr="00000000">
        <w:rPr>
          <w:rFonts w:ascii="Arial" w:cs="Arial" w:eastAsia="Arial" w:hAnsi="Arial"/>
          <w:i w:val="1"/>
          <w:iCs w:val="1"/>
          <w:sz w:val="22"/>
          <w:szCs w:val="22"/>
          <w:rtl w:val="0"/>
        </w:rPr>
        <w:t xml:space="preserve">Relationship marketing: creating stakeholder value.</w:t>
      </w:r>
      <w:r w:rsidDel="00000000" w:rsidR="00000000" w:rsidRPr="00000000">
        <w:rPr>
          <w:rFonts w:ascii="Arial" w:cs="Arial" w:eastAsia="Arial" w:hAnsi="Arial"/>
          <w:sz w:val="22"/>
          <w:szCs w:val="22"/>
          <w:rtl w:val="0"/>
        </w:rPr>
        <w:t xml:space="preserve"> Saint Louis: Taylor and Francis.</w:t>
      </w:r>
      <w:r w:rsidDel="00000000" w:rsidR="00000000" w:rsidRPr="00000000">
        <w:rPr>
          <w:rtl w:val="0"/>
        </w:rPr>
      </w:r>
    </w:p>
    <w:p w:rsidR="00000000" w:rsidDel="00000000" w:rsidP="00000000" w:rsidRDefault="00000000" w:rsidRPr="00000000" w14:paraId="0000018C">
      <w:pPr>
        <w:spacing w:after="100" w:before="100" w:line="360" w:lineRule="auto"/>
        <w:jc w:val="both"/>
        <w:rPr/>
      </w:pPr>
      <w:r w:rsidDel="00000000" w:rsidR="00000000" w:rsidRPr="00000000">
        <w:rPr>
          <w:rFonts w:ascii="Arial" w:cs="Arial" w:eastAsia="Arial" w:hAnsi="Arial"/>
          <w:sz w:val="22"/>
          <w:szCs w:val="22"/>
          <w:rtl w:val="0"/>
        </w:rPr>
        <w:t xml:space="preserve">Cleland, D.I. (1995) 'Leadership and the project management body of knowledge', </w:t>
      </w:r>
      <w:r w:rsidDel="00000000" w:rsidR="00000000" w:rsidRPr="00000000">
        <w:rPr>
          <w:rFonts w:ascii="Arial" w:cs="Arial" w:eastAsia="Arial" w:hAnsi="Arial"/>
          <w:i w:val="1"/>
          <w:iCs w:val="1"/>
          <w:sz w:val="22"/>
          <w:szCs w:val="22"/>
          <w:rtl w:val="0"/>
        </w:rPr>
        <w:t xml:space="preserve">International Journal of Project Management,</w:t>
      </w:r>
      <w:r w:rsidDel="00000000" w:rsidR="00000000" w:rsidRPr="00000000">
        <w:rPr>
          <w:rFonts w:ascii="Arial" w:cs="Arial" w:eastAsia="Arial" w:hAnsi="Arial"/>
          <w:sz w:val="22"/>
          <w:szCs w:val="22"/>
          <w:rtl w:val="0"/>
        </w:rPr>
        <w:t xml:space="preserve"> 13(2), pp. 83–88.</w:t>
      </w:r>
      <w:r w:rsidDel="00000000" w:rsidR="00000000" w:rsidRPr="00000000">
        <w:rPr>
          <w:rtl w:val="0"/>
        </w:rPr>
      </w:r>
    </w:p>
    <w:p w:rsidR="00000000" w:rsidDel="00000000" w:rsidP="00000000" w:rsidRDefault="00000000" w:rsidRPr="00000000" w14:paraId="0000018D">
      <w:pPr>
        <w:spacing w:after="100" w:before="100" w:line="360" w:lineRule="auto"/>
        <w:jc w:val="both"/>
        <w:rPr/>
      </w:pPr>
      <w:r w:rsidDel="00000000" w:rsidR="00000000" w:rsidRPr="00000000">
        <w:rPr>
          <w:rFonts w:ascii="Arial" w:cs="Arial" w:eastAsia="Arial" w:hAnsi="Arial"/>
          <w:sz w:val="22"/>
          <w:szCs w:val="22"/>
          <w:rtl w:val="0"/>
        </w:rPr>
        <w:t xml:space="preserve">De Wit, B. and Meyer, R. (2010) </w:t>
      </w:r>
      <w:r w:rsidDel="00000000" w:rsidR="00000000" w:rsidRPr="00000000">
        <w:rPr>
          <w:rFonts w:ascii="Arial" w:cs="Arial" w:eastAsia="Arial" w:hAnsi="Arial"/>
          <w:i w:val="1"/>
          <w:iCs w:val="1"/>
          <w:sz w:val="22"/>
          <w:szCs w:val="22"/>
          <w:rtl w:val="0"/>
        </w:rPr>
        <w:t xml:space="preserve">Strategy synthesis: resolving strategy paradoxes to create competitive advantage.</w:t>
      </w:r>
      <w:r w:rsidDel="00000000" w:rsidR="00000000" w:rsidRPr="00000000">
        <w:rPr>
          <w:rFonts w:ascii="Arial" w:cs="Arial" w:eastAsia="Arial" w:hAnsi="Arial"/>
          <w:sz w:val="22"/>
          <w:szCs w:val="22"/>
          <w:rtl w:val="0"/>
        </w:rPr>
        <w:t xml:space="preserve"> 3rd edn. Andover: Cengage Learning.</w:t>
      </w:r>
      <w:r w:rsidDel="00000000" w:rsidR="00000000" w:rsidRPr="00000000">
        <w:rPr>
          <w:rtl w:val="0"/>
        </w:rPr>
      </w:r>
    </w:p>
    <w:p w:rsidR="00000000" w:rsidDel="00000000" w:rsidP="00000000" w:rsidRDefault="00000000" w:rsidRPr="00000000" w14:paraId="0000018E">
      <w:pPr>
        <w:spacing w:after="100" w:before="100" w:line="360" w:lineRule="auto"/>
        <w:jc w:val="both"/>
        <w:rPr/>
      </w:pPr>
      <w:r w:rsidDel="00000000" w:rsidR="00000000" w:rsidRPr="00000000">
        <w:rPr>
          <w:rFonts w:ascii="Arial" w:cs="Arial" w:eastAsia="Arial" w:hAnsi="Arial"/>
          <w:sz w:val="22"/>
          <w:szCs w:val="22"/>
          <w:rtl w:val="0"/>
        </w:rPr>
        <w:t xml:space="preserve">Deloitte (2023) </w:t>
      </w:r>
      <w:r w:rsidDel="00000000" w:rsidR="00000000" w:rsidRPr="00000000">
        <w:rPr>
          <w:rFonts w:ascii="Arial" w:cs="Arial" w:eastAsia="Arial" w:hAnsi="Arial"/>
          <w:i w:val="1"/>
          <w:iCs w:val="1"/>
          <w:sz w:val="22"/>
          <w:szCs w:val="22"/>
          <w:rtl w:val="0"/>
        </w:rPr>
        <w:t xml:space="preserve">2023 travel industry outlook.</w:t>
      </w:r>
      <w:r w:rsidDel="00000000" w:rsidR="00000000" w:rsidRPr="00000000">
        <w:rPr>
          <w:rFonts w:ascii="Arial" w:cs="Arial" w:eastAsia="Arial" w:hAnsi="Arial"/>
          <w:sz w:val="22"/>
          <w:szCs w:val="22"/>
          <w:rtl w:val="0"/>
        </w:rPr>
        <w:t xml:space="preserve"> London: Deloitte Insights.</w:t>
      </w:r>
      <w:r w:rsidDel="00000000" w:rsidR="00000000" w:rsidRPr="00000000">
        <w:rPr>
          <w:rtl w:val="0"/>
        </w:rPr>
      </w:r>
    </w:p>
    <w:p w:rsidR="00000000" w:rsidDel="00000000" w:rsidP="00000000" w:rsidRDefault="00000000" w:rsidRPr="00000000" w14:paraId="0000018F">
      <w:pPr>
        <w:spacing w:after="100" w:before="100" w:line="360" w:lineRule="auto"/>
        <w:jc w:val="both"/>
        <w:rPr/>
      </w:pPr>
      <w:r w:rsidDel="00000000" w:rsidR="00000000" w:rsidRPr="00000000">
        <w:rPr>
          <w:rFonts w:ascii="Arial" w:cs="Arial" w:eastAsia="Arial" w:hAnsi="Arial"/>
          <w:sz w:val="22"/>
          <w:szCs w:val="22"/>
          <w:rtl w:val="0"/>
        </w:rPr>
        <w:t xml:space="preserve">Doran, G.T. (1981) 'There's a S.M.A.R.T. way to write management's goals and objectives', </w:t>
      </w:r>
      <w:r w:rsidDel="00000000" w:rsidR="00000000" w:rsidRPr="00000000">
        <w:rPr>
          <w:rFonts w:ascii="Arial" w:cs="Arial" w:eastAsia="Arial" w:hAnsi="Arial"/>
          <w:i w:val="1"/>
          <w:iCs w:val="1"/>
          <w:sz w:val="22"/>
          <w:szCs w:val="22"/>
          <w:rtl w:val="0"/>
        </w:rPr>
        <w:t xml:space="preserve">Management Review,</w:t>
      </w:r>
      <w:r w:rsidDel="00000000" w:rsidR="00000000" w:rsidRPr="00000000">
        <w:rPr>
          <w:rFonts w:ascii="Arial" w:cs="Arial" w:eastAsia="Arial" w:hAnsi="Arial"/>
          <w:sz w:val="22"/>
          <w:szCs w:val="22"/>
          <w:rtl w:val="0"/>
        </w:rPr>
        <w:t xml:space="preserve"> 70(11), pp. 35–36.</w:t>
      </w:r>
      <w:r w:rsidDel="00000000" w:rsidR="00000000" w:rsidRPr="00000000">
        <w:rPr>
          <w:rtl w:val="0"/>
        </w:rPr>
      </w:r>
    </w:p>
    <w:p w:rsidR="00000000" w:rsidDel="00000000" w:rsidP="00000000" w:rsidRDefault="00000000" w:rsidRPr="00000000" w14:paraId="00000190">
      <w:pPr>
        <w:spacing w:after="100" w:before="100" w:line="360" w:lineRule="auto"/>
        <w:jc w:val="both"/>
        <w:rPr/>
      </w:pPr>
      <w:r w:rsidDel="00000000" w:rsidR="00000000" w:rsidRPr="00000000">
        <w:rPr>
          <w:rFonts w:ascii="Arial" w:cs="Arial" w:eastAsia="Arial" w:hAnsi="Arial"/>
          <w:sz w:val="22"/>
          <w:szCs w:val="22"/>
          <w:rtl w:val="0"/>
        </w:rPr>
        <w:t xml:space="preserve">Earley, P.C. and Ang, S. (2003) </w:t>
      </w:r>
      <w:r w:rsidDel="00000000" w:rsidR="00000000" w:rsidRPr="00000000">
        <w:rPr>
          <w:rFonts w:ascii="Arial" w:cs="Arial" w:eastAsia="Arial" w:hAnsi="Arial"/>
          <w:i w:val="1"/>
          <w:iCs w:val="1"/>
          <w:sz w:val="22"/>
          <w:szCs w:val="22"/>
          <w:rtl w:val="0"/>
        </w:rPr>
        <w:t xml:space="preserve">Cultural intelligence: individual interactions across cultures.</w:t>
      </w:r>
      <w:r w:rsidDel="00000000" w:rsidR="00000000" w:rsidRPr="00000000">
        <w:rPr>
          <w:rFonts w:ascii="Arial" w:cs="Arial" w:eastAsia="Arial" w:hAnsi="Arial"/>
          <w:sz w:val="22"/>
          <w:szCs w:val="22"/>
          <w:rtl w:val="0"/>
        </w:rPr>
        <w:t xml:space="preserve"> Stanford: Stanford University Press.</w:t>
      </w:r>
      <w:r w:rsidDel="00000000" w:rsidR="00000000" w:rsidRPr="00000000">
        <w:rPr>
          <w:rtl w:val="0"/>
        </w:rPr>
      </w:r>
    </w:p>
    <w:p w:rsidR="00000000" w:rsidDel="00000000" w:rsidP="00000000" w:rsidRDefault="00000000" w:rsidRPr="00000000" w14:paraId="00000191">
      <w:pPr>
        <w:spacing w:after="100" w:before="100" w:line="360" w:lineRule="auto"/>
        <w:jc w:val="both"/>
        <w:rPr/>
      </w:pPr>
      <w:r w:rsidDel="00000000" w:rsidR="00000000" w:rsidRPr="00000000">
        <w:rPr>
          <w:rFonts w:ascii="Arial" w:cs="Arial" w:eastAsia="Arial" w:hAnsi="Arial"/>
          <w:sz w:val="22"/>
          <w:szCs w:val="22"/>
          <w:rtl w:val="0"/>
        </w:rPr>
        <w:t xml:space="preserve">Eccles, R.G., Ioannou, I. and Serafeim, G. (2014) 'The impact of corporate sustainability on organizational processes and performance', </w:t>
      </w:r>
      <w:r w:rsidDel="00000000" w:rsidR="00000000" w:rsidRPr="00000000">
        <w:rPr>
          <w:rFonts w:ascii="Arial" w:cs="Arial" w:eastAsia="Arial" w:hAnsi="Arial"/>
          <w:i w:val="1"/>
          <w:iCs w:val="1"/>
          <w:sz w:val="22"/>
          <w:szCs w:val="22"/>
          <w:rtl w:val="0"/>
        </w:rPr>
        <w:t xml:space="preserve">Management Science,</w:t>
      </w:r>
      <w:r w:rsidDel="00000000" w:rsidR="00000000" w:rsidRPr="00000000">
        <w:rPr>
          <w:rFonts w:ascii="Arial" w:cs="Arial" w:eastAsia="Arial" w:hAnsi="Arial"/>
          <w:sz w:val="22"/>
          <w:szCs w:val="22"/>
          <w:rtl w:val="0"/>
        </w:rPr>
        <w:t xml:space="preserve"> 60(11), pp. 2835–2857.</w:t>
      </w:r>
      <w:r w:rsidDel="00000000" w:rsidR="00000000" w:rsidRPr="00000000">
        <w:rPr>
          <w:rtl w:val="0"/>
        </w:rPr>
      </w:r>
    </w:p>
    <w:p w:rsidR="00000000" w:rsidDel="00000000" w:rsidP="00000000" w:rsidRDefault="00000000" w:rsidRPr="00000000" w14:paraId="00000192">
      <w:pPr>
        <w:spacing w:after="100" w:before="100" w:line="360" w:lineRule="auto"/>
        <w:jc w:val="both"/>
        <w:rPr/>
      </w:pPr>
      <w:r w:rsidDel="00000000" w:rsidR="00000000" w:rsidRPr="00000000">
        <w:rPr>
          <w:rFonts w:ascii="Arial" w:cs="Arial" w:eastAsia="Arial" w:hAnsi="Arial"/>
          <w:sz w:val="22"/>
          <w:szCs w:val="22"/>
          <w:rtl w:val="0"/>
        </w:rPr>
        <w:t xml:space="preserve">Freeman, R.E. (1984) </w:t>
      </w:r>
      <w:r w:rsidDel="00000000" w:rsidR="00000000" w:rsidRPr="00000000">
        <w:rPr>
          <w:rFonts w:ascii="Arial" w:cs="Arial" w:eastAsia="Arial" w:hAnsi="Arial"/>
          <w:i w:val="1"/>
          <w:iCs w:val="1"/>
          <w:sz w:val="22"/>
          <w:szCs w:val="22"/>
          <w:rtl w:val="0"/>
        </w:rPr>
        <w:t xml:space="preserve">Strategic management: a stakeholder approach.</w:t>
      </w:r>
      <w:r w:rsidDel="00000000" w:rsidR="00000000" w:rsidRPr="00000000">
        <w:rPr>
          <w:rFonts w:ascii="Arial" w:cs="Arial" w:eastAsia="Arial" w:hAnsi="Arial"/>
          <w:sz w:val="22"/>
          <w:szCs w:val="22"/>
          <w:rtl w:val="0"/>
        </w:rPr>
        <w:t xml:space="preserve"> Boston: Pitman.</w:t>
      </w:r>
      <w:r w:rsidDel="00000000" w:rsidR="00000000" w:rsidRPr="00000000">
        <w:rPr>
          <w:rtl w:val="0"/>
        </w:rPr>
      </w:r>
    </w:p>
    <w:p w:rsidR="00000000" w:rsidDel="00000000" w:rsidP="00000000" w:rsidRDefault="00000000" w:rsidRPr="00000000" w14:paraId="00000193">
      <w:pPr>
        <w:spacing w:after="100" w:before="100" w:line="360" w:lineRule="auto"/>
        <w:jc w:val="both"/>
        <w:rPr/>
      </w:pPr>
      <w:r w:rsidDel="00000000" w:rsidR="00000000" w:rsidRPr="00000000">
        <w:rPr>
          <w:rFonts w:ascii="Arial" w:cs="Arial" w:eastAsia="Arial" w:hAnsi="Arial"/>
          <w:sz w:val="22"/>
          <w:szCs w:val="22"/>
          <w:rtl w:val="0"/>
        </w:rPr>
        <w:t xml:space="preserve">Gallup (2023) </w:t>
      </w:r>
      <w:r w:rsidDel="00000000" w:rsidR="00000000" w:rsidRPr="00000000">
        <w:rPr>
          <w:rFonts w:ascii="Arial" w:cs="Arial" w:eastAsia="Arial" w:hAnsi="Arial"/>
          <w:i w:val="1"/>
          <w:iCs w:val="1"/>
          <w:sz w:val="22"/>
          <w:szCs w:val="22"/>
          <w:rtl w:val="0"/>
        </w:rPr>
        <w:t xml:space="preserve">State of the global workplace: 2023 report.</w:t>
      </w:r>
      <w:r w:rsidDel="00000000" w:rsidR="00000000" w:rsidRPr="00000000">
        <w:rPr>
          <w:rFonts w:ascii="Arial" w:cs="Arial" w:eastAsia="Arial" w:hAnsi="Arial"/>
          <w:sz w:val="22"/>
          <w:szCs w:val="22"/>
          <w:rtl w:val="0"/>
        </w:rPr>
        <w:t xml:space="preserve"> Washington, DC: Gallup, Inc.</w:t>
      </w:r>
      <w:r w:rsidDel="00000000" w:rsidR="00000000" w:rsidRPr="00000000">
        <w:rPr>
          <w:rtl w:val="0"/>
        </w:rPr>
      </w:r>
    </w:p>
    <w:p w:rsidR="00000000" w:rsidDel="00000000" w:rsidP="00000000" w:rsidRDefault="00000000" w:rsidRPr="00000000" w14:paraId="00000194">
      <w:pPr>
        <w:spacing w:after="100" w:before="100" w:line="360" w:lineRule="auto"/>
        <w:jc w:val="both"/>
        <w:rPr/>
      </w:pPr>
      <w:r w:rsidDel="00000000" w:rsidR="00000000" w:rsidRPr="00000000">
        <w:rPr>
          <w:rFonts w:ascii="Arial" w:cs="Arial" w:eastAsia="Arial" w:hAnsi="Arial"/>
          <w:sz w:val="22"/>
          <w:szCs w:val="22"/>
          <w:rtl w:val="0"/>
        </w:rPr>
        <w:t xml:space="preserve">Hillman, A.J. and Keim, G.D. (2001) 'Shareholder value, stakeholder management, and social issues: what's the bottom line?', </w:t>
      </w:r>
      <w:r w:rsidDel="00000000" w:rsidR="00000000" w:rsidRPr="00000000">
        <w:rPr>
          <w:rFonts w:ascii="Arial" w:cs="Arial" w:eastAsia="Arial" w:hAnsi="Arial"/>
          <w:i w:val="1"/>
          <w:iCs w:val="1"/>
          <w:sz w:val="22"/>
          <w:szCs w:val="22"/>
          <w:rtl w:val="0"/>
        </w:rPr>
        <w:t xml:space="preserve">Strategic Management Journal,</w:t>
      </w:r>
      <w:r w:rsidDel="00000000" w:rsidR="00000000" w:rsidRPr="00000000">
        <w:rPr>
          <w:rFonts w:ascii="Arial" w:cs="Arial" w:eastAsia="Arial" w:hAnsi="Arial"/>
          <w:sz w:val="22"/>
          <w:szCs w:val="22"/>
          <w:rtl w:val="0"/>
        </w:rPr>
        <w:t xml:space="preserve"> 22(2), pp. 125–139.</w:t>
      </w:r>
      <w:r w:rsidDel="00000000" w:rsidR="00000000" w:rsidRPr="00000000">
        <w:rPr>
          <w:rtl w:val="0"/>
        </w:rPr>
      </w:r>
    </w:p>
    <w:p w:rsidR="00000000" w:rsidDel="00000000" w:rsidP="00000000" w:rsidRDefault="00000000" w:rsidRPr="00000000" w14:paraId="00000195">
      <w:pPr>
        <w:spacing w:after="100" w:before="100" w:line="360" w:lineRule="auto"/>
        <w:jc w:val="both"/>
        <w:rPr/>
      </w:pPr>
      <w:r w:rsidDel="00000000" w:rsidR="00000000" w:rsidRPr="00000000">
        <w:rPr>
          <w:rFonts w:ascii="Arial" w:cs="Arial" w:eastAsia="Arial" w:hAnsi="Arial"/>
          <w:sz w:val="22"/>
          <w:szCs w:val="22"/>
          <w:rtl w:val="0"/>
        </w:rPr>
        <w:t xml:space="preserve">Hofstede, G., Hofstede, G.J. and Minkov, M. (2010) </w:t>
      </w:r>
      <w:r w:rsidDel="00000000" w:rsidR="00000000" w:rsidRPr="00000000">
        <w:rPr>
          <w:rFonts w:ascii="Arial" w:cs="Arial" w:eastAsia="Arial" w:hAnsi="Arial"/>
          <w:i w:val="1"/>
          <w:iCs w:val="1"/>
          <w:sz w:val="22"/>
          <w:szCs w:val="22"/>
          <w:rtl w:val="0"/>
        </w:rPr>
        <w:t xml:space="preserve">Cultures and </w:t>
      </w:r>
      <w:r w:rsidDel="00000000" w:rsidR="00000000" w:rsidRPr="00000000">
        <w:rPr>
          <w:i w:val="1"/>
          <w:iCs w:val="1"/>
          <w:rtl w:val="0"/>
        </w:rPr>
        <w:t xml:space="preserve">organisations</w:t>
      </w:r>
      <w:r w:rsidDel="00000000" w:rsidR="00000000" w:rsidRPr="00000000">
        <w:rPr>
          <w:rFonts w:ascii="Arial" w:cs="Arial" w:eastAsia="Arial" w:hAnsi="Arial"/>
          <w:i w:val="1"/>
          <w:iCs w:val="1"/>
          <w:sz w:val="22"/>
          <w:szCs w:val="22"/>
          <w:rtl w:val="0"/>
        </w:rPr>
        <w:t xml:space="preserve">: software of the mind.</w:t>
      </w:r>
      <w:r w:rsidDel="00000000" w:rsidR="00000000" w:rsidRPr="00000000">
        <w:rPr>
          <w:rFonts w:ascii="Arial" w:cs="Arial" w:eastAsia="Arial" w:hAnsi="Arial"/>
          <w:sz w:val="22"/>
          <w:szCs w:val="22"/>
          <w:rtl w:val="0"/>
        </w:rPr>
        <w:t xml:space="preserve"> 3rd edn. New York: McGraw-Hill.</w:t>
      </w:r>
      <w:r w:rsidDel="00000000" w:rsidR="00000000" w:rsidRPr="00000000">
        <w:rPr>
          <w:rtl w:val="0"/>
        </w:rPr>
      </w:r>
    </w:p>
    <w:p w:rsidR="00000000" w:rsidDel="00000000" w:rsidP="00000000" w:rsidRDefault="00000000" w:rsidRPr="00000000" w14:paraId="00000196">
      <w:pPr>
        <w:spacing w:after="100" w:before="100" w:line="360" w:lineRule="auto"/>
        <w:jc w:val="both"/>
        <w:rPr/>
      </w:pPr>
      <w:r w:rsidDel="00000000" w:rsidR="00000000" w:rsidRPr="00000000">
        <w:rPr>
          <w:rFonts w:ascii="Arial" w:cs="Arial" w:eastAsia="Arial" w:hAnsi="Arial"/>
          <w:sz w:val="22"/>
          <w:szCs w:val="22"/>
          <w:rtl w:val="0"/>
        </w:rPr>
        <w:t xml:space="preserve">Huxham, C. and Vangen, S. (2005) </w:t>
      </w:r>
      <w:r w:rsidDel="00000000" w:rsidR="00000000" w:rsidRPr="00000000">
        <w:rPr>
          <w:rFonts w:ascii="Arial" w:cs="Arial" w:eastAsia="Arial" w:hAnsi="Arial"/>
          <w:i w:val="1"/>
          <w:iCs w:val="1"/>
          <w:sz w:val="22"/>
          <w:szCs w:val="22"/>
          <w:rtl w:val="0"/>
        </w:rPr>
        <w:t xml:space="preserve">Managing to collaborate: the theory and practice of collaborative advantage.</w:t>
      </w:r>
      <w:r w:rsidDel="00000000" w:rsidR="00000000" w:rsidRPr="00000000">
        <w:rPr>
          <w:rFonts w:ascii="Arial" w:cs="Arial" w:eastAsia="Arial" w:hAnsi="Arial"/>
          <w:sz w:val="22"/>
          <w:szCs w:val="22"/>
          <w:rtl w:val="0"/>
        </w:rPr>
        <w:t xml:space="preserve"> Abingdon: Routledge.</w:t>
      </w:r>
      <w:r w:rsidDel="00000000" w:rsidR="00000000" w:rsidRPr="00000000">
        <w:rPr>
          <w:rtl w:val="0"/>
        </w:rPr>
      </w:r>
    </w:p>
    <w:p w:rsidR="00000000" w:rsidDel="00000000" w:rsidP="00000000" w:rsidRDefault="00000000" w:rsidRPr="00000000" w14:paraId="00000197">
      <w:pPr>
        <w:spacing w:after="100" w:before="100" w:line="360" w:lineRule="auto"/>
        <w:jc w:val="both"/>
        <w:rPr/>
      </w:pPr>
      <w:r w:rsidDel="00000000" w:rsidR="00000000" w:rsidRPr="00000000">
        <w:rPr>
          <w:rFonts w:ascii="Arial" w:cs="Arial" w:eastAsia="Arial" w:hAnsi="Arial"/>
          <w:sz w:val="22"/>
          <w:szCs w:val="22"/>
          <w:rtl w:val="0"/>
        </w:rPr>
        <w:t xml:space="preserve">IAP2 (2018) </w:t>
      </w:r>
      <w:r w:rsidDel="00000000" w:rsidR="00000000" w:rsidRPr="00000000">
        <w:rPr>
          <w:rFonts w:ascii="Arial" w:cs="Arial" w:eastAsia="Arial" w:hAnsi="Arial"/>
          <w:i w:val="1"/>
          <w:iCs w:val="1"/>
          <w:sz w:val="22"/>
          <w:szCs w:val="22"/>
          <w:rtl w:val="0"/>
        </w:rPr>
        <w:t xml:space="preserve">IAP2's public participation spectrum.</w:t>
      </w:r>
      <w:r w:rsidDel="00000000" w:rsidR="00000000" w:rsidRPr="00000000">
        <w:rPr>
          <w:rFonts w:ascii="Arial" w:cs="Arial" w:eastAsia="Arial" w:hAnsi="Arial"/>
          <w:sz w:val="22"/>
          <w:szCs w:val="22"/>
          <w:rtl w:val="0"/>
        </w:rPr>
        <w:t xml:space="preserve"> Louisville: International Association for Public Participation.</w:t>
      </w:r>
      <w:r w:rsidDel="00000000" w:rsidR="00000000" w:rsidRPr="00000000">
        <w:rPr>
          <w:rtl w:val="0"/>
        </w:rPr>
      </w:r>
    </w:p>
    <w:p w:rsidR="00000000" w:rsidDel="00000000" w:rsidP="00000000" w:rsidRDefault="00000000" w:rsidRPr="00000000" w14:paraId="00000198">
      <w:pPr>
        <w:spacing w:after="100" w:before="100" w:line="360" w:lineRule="auto"/>
        <w:jc w:val="both"/>
        <w:rPr/>
      </w:pPr>
      <w:r w:rsidDel="00000000" w:rsidR="00000000" w:rsidRPr="00000000">
        <w:rPr>
          <w:rFonts w:ascii="Arial" w:cs="Arial" w:eastAsia="Arial" w:hAnsi="Arial"/>
          <w:sz w:val="22"/>
          <w:szCs w:val="22"/>
          <w:rtl w:val="0"/>
        </w:rPr>
        <w:t xml:space="preserve">Information Commissioner's Office (ICO) (2019) </w:t>
      </w:r>
      <w:r w:rsidDel="00000000" w:rsidR="00000000" w:rsidRPr="00000000">
        <w:rPr>
          <w:rFonts w:ascii="Arial" w:cs="Arial" w:eastAsia="Arial" w:hAnsi="Arial"/>
          <w:i w:val="1"/>
          <w:iCs w:val="1"/>
          <w:sz w:val="22"/>
          <w:szCs w:val="22"/>
          <w:rtl w:val="0"/>
        </w:rPr>
        <w:t xml:space="preserve">Intention to fine Marriott International, Inc more than £99 million under GDPR for data breach.</w:t>
      </w:r>
      <w:r w:rsidDel="00000000" w:rsidR="00000000" w:rsidRPr="00000000">
        <w:rPr>
          <w:rFonts w:ascii="Arial" w:cs="Arial" w:eastAsia="Arial" w:hAnsi="Arial"/>
          <w:sz w:val="22"/>
          <w:szCs w:val="22"/>
          <w:rtl w:val="0"/>
        </w:rPr>
        <w:t xml:space="preserve"> Available at: https://ico.org.uk (Accessed: 10 January 2024).</w:t>
      </w:r>
      <w:r w:rsidDel="00000000" w:rsidR="00000000" w:rsidRPr="00000000">
        <w:rPr>
          <w:rtl w:val="0"/>
        </w:rPr>
      </w:r>
    </w:p>
    <w:p w:rsidR="00000000" w:rsidDel="00000000" w:rsidP="00000000" w:rsidRDefault="00000000" w:rsidRPr="00000000" w14:paraId="00000199">
      <w:pPr>
        <w:spacing w:after="100" w:before="100" w:line="360" w:lineRule="auto"/>
        <w:jc w:val="both"/>
        <w:rPr/>
      </w:pPr>
      <w:r w:rsidDel="00000000" w:rsidR="00000000" w:rsidRPr="00000000">
        <w:rPr>
          <w:rFonts w:ascii="Arial" w:cs="Arial" w:eastAsia="Arial" w:hAnsi="Arial"/>
          <w:sz w:val="22"/>
          <w:szCs w:val="22"/>
          <w:rtl w:val="0"/>
        </w:rPr>
        <w:t xml:space="preserve">Johnson, G., Whittington, R., Scholes, K., Angwin, D. and Regner, P. (2017) </w:t>
      </w:r>
      <w:r w:rsidDel="00000000" w:rsidR="00000000" w:rsidRPr="00000000">
        <w:rPr>
          <w:rFonts w:ascii="Arial" w:cs="Arial" w:eastAsia="Arial" w:hAnsi="Arial"/>
          <w:i w:val="1"/>
          <w:iCs w:val="1"/>
          <w:sz w:val="22"/>
          <w:szCs w:val="22"/>
          <w:rtl w:val="0"/>
        </w:rPr>
        <w:t xml:space="preserve">Exploring strategy: text and cases.</w:t>
      </w:r>
      <w:r w:rsidDel="00000000" w:rsidR="00000000" w:rsidRPr="00000000">
        <w:rPr>
          <w:rFonts w:ascii="Arial" w:cs="Arial" w:eastAsia="Arial" w:hAnsi="Arial"/>
          <w:sz w:val="22"/>
          <w:szCs w:val="22"/>
          <w:rtl w:val="0"/>
        </w:rPr>
        <w:t xml:space="preserve"> 11th edn. Harlow: Pearson.</w:t>
      </w:r>
      <w:r w:rsidDel="00000000" w:rsidR="00000000" w:rsidRPr="00000000">
        <w:rPr>
          <w:rtl w:val="0"/>
        </w:rPr>
      </w:r>
    </w:p>
    <w:p w:rsidR="00000000" w:rsidDel="00000000" w:rsidP="00000000" w:rsidRDefault="00000000" w:rsidRPr="00000000" w14:paraId="0000019A">
      <w:pPr>
        <w:spacing w:after="100" w:before="100" w:line="360" w:lineRule="auto"/>
        <w:jc w:val="both"/>
        <w:rPr/>
      </w:pPr>
      <w:r w:rsidDel="00000000" w:rsidR="00000000" w:rsidRPr="00000000">
        <w:rPr>
          <w:rFonts w:ascii="Arial" w:cs="Arial" w:eastAsia="Arial" w:hAnsi="Arial"/>
          <w:sz w:val="22"/>
          <w:szCs w:val="22"/>
          <w:rtl w:val="0"/>
        </w:rPr>
        <w:t xml:space="preserve">Kotter, J.P. (2012) </w:t>
      </w:r>
      <w:r w:rsidDel="00000000" w:rsidR="00000000" w:rsidRPr="00000000">
        <w:rPr>
          <w:rFonts w:ascii="Arial" w:cs="Arial" w:eastAsia="Arial" w:hAnsi="Arial"/>
          <w:i w:val="1"/>
          <w:iCs w:val="1"/>
          <w:sz w:val="22"/>
          <w:szCs w:val="22"/>
          <w:rtl w:val="0"/>
        </w:rPr>
        <w:t xml:space="preserve">Leading change.</w:t>
      </w:r>
      <w:r w:rsidDel="00000000" w:rsidR="00000000" w:rsidRPr="00000000">
        <w:rPr>
          <w:rFonts w:ascii="Arial" w:cs="Arial" w:eastAsia="Arial" w:hAnsi="Arial"/>
          <w:sz w:val="22"/>
          <w:szCs w:val="22"/>
          <w:rtl w:val="0"/>
        </w:rPr>
        <w:t xml:space="preserve"> Boston: Harvard Business Review Press.</w:t>
      </w:r>
      <w:r w:rsidDel="00000000" w:rsidR="00000000" w:rsidRPr="00000000">
        <w:rPr>
          <w:rtl w:val="0"/>
        </w:rPr>
      </w:r>
    </w:p>
    <w:p w:rsidR="00000000" w:rsidDel="00000000" w:rsidP="00000000" w:rsidRDefault="00000000" w:rsidRPr="00000000" w14:paraId="0000019B">
      <w:pPr>
        <w:spacing w:after="100" w:before="100" w:line="360" w:lineRule="auto"/>
        <w:jc w:val="both"/>
        <w:rPr/>
      </w:pPr>
      <w:r w:rsidDel="00000000" w:rsidR="00000000" w:rsidRPr="00000000">
        <w:rPr>
          <w:rFonts w:ascii="Arial" w:cs="Arial" w:eastAsia="Arial" w:hAnsi="Arial"/>
          <w:sz w:val="22"/>
          <w:szCs w:val="22"/>
          <w:rtl w:val="0"/>
        </w:rPr>
        <w:t xml:space="preserve">Lewin, K. (1951) </w:t>
      </w:r>
      <w:r w:rsidDel="00000000" w:rsidR="00000000" w:rsidRPr="00000000">
        <w:rPr>
          <w:rFonts w:ascii="Arial" w:cs="Arial" w:eastAsia="Arial" w:hAnsi="Arial"/>
          <w:i w:val="1"/>
          <w:iCs w:val="1"/>
          <w:sz w:val="22"/>
          <w:szCs w:val="22"/>
          <w:rtl w:val="0"/>
        </w:rPr>
        <w:t xml:space="preserve">Field theory in social science.</w:t>
      </w:r>
      <w:r w:rsidDel="00000000" w:rsidR="00000000" w:rsidRPr="00000000">
        <w:rPr>
          <w:rFonts w:ascii="Arial" w:cs="Arial" w:eastAsia="Arial" w:hAnsi="Arial"/>
          <w:sz w:val="22"/>
          <w:szCs w:val="22"/>
          <w:rtl w:val="0"/>
        </w:rPr>
        <w:t xml:space="preserve"> New York: Harper and Row.</w:t>
      </w:r>
      <w:r w:rsidDel="00000000" w:rsidR="00000000" w:rsidRPr="00000000">
        <w:rPr>
          <w:rtl w:val="0"/>
        </w:rPr>
      </w:r>
    </w:p>
    <w:p w:rsidR="00000000" w:rsidDel="00000000" w:rsidP="00000000" w:rsidRDefault="00000000" w:rsidRPr="00000000" w14:paraId="0000019C">
      <w:pPr>
        <w:spacing w:after="100" w:before="100" w:line="360" w:lineRule="auto"/>
        <w:jc w:val="both"/>
        <w:rPr/>
      </w:pPr>
      <w:r w:rsidDel="00000000" w:rsidR="00000000" w:rsidRPr="00000000">
        <w:rPr>
          <w:rFonts w:ascii="Arial" w:cs="Arial" w:eastAsia="Arial" w:hAnsi="Arial"/>
          <w:sz w:val="22"/>
          <w:szCs w:val="22"/>
          <w:rtl w:val="0"/>
        </w:rPr>
        <w:t xml:space="preserve">Marriott International (2023) </w:t>
      </w:r>
      <w:r w:rsidDel="00000000" w:rsidR="00000000" w:rsidRPr="00000000">
        <w:rPr>
          <w:rFonts w:ascii="Arial" w:cs="Arial" w:eastAsia="Arial" w:hAnsi="Arial"/>
          <w:i w:val="1"/>
          <w:iCs w:val="1"/>
          <w:sz w:val="22"/>
          <w:szCs w:val="22"/>
          <w:rtl w:val="0"/>
        </w:rPr>
        <w:t xml:space="preserve">2023 annual report.</w:t>
      </w:r>
      <w:r w:rsidDel="00000000" w:rsidR="00000000" w:rsidRPr="00000000">
        <w:rPr>
          <w:rFonts w:ascii="Arial" w:cs="Arial" w:eastAsia="Arial" w:hAnsi="Arial"/>
          <w:sz w:val="22"/>
          <w:szCs w:val="22"/>
          <w:rtl w:val="0"/>
        </w:rPr>
        <w:t xml:space="preserve"> Bethesda, MD: Marriott International, Inc.</w:t>
      </w:r>
      <w:r w:rsidDel="00000000" w:rsidR="00000000" w:rsidRPr="00000000">
        <w:rPr>
          <w:rtl w:val="0"/>
        </w:rPr>
      </w:r>
    </w:p>
    <w:p w:rsidR="00000000" w:rsidDel="00000000" w:rsidP="00000000" w:rsidRDefault="00000000" w:rsidRPr="00000000" w14:paraId="0000019D">
      <w:pPr>
        <w:spacing w:after="100" w:before="100" w:line="360" w:lineRule="auto"/>
        <w:jc w:val="both"/>
        <w:rPr/>
      </w:pPr>
      <w:r w:rsidDel="00000000" w:rsidR="00000000" w:rsidRPr="00000000">
        <w:rPr>
          <w:rFonts w:ascii="Arial" w:cs="Arial" w:eastAsia="Arial" w:hAnsi="Arial"/>
          <w:sz w:val="22"/>
          <w:szCs w:val="22"/>
          <w:rtl w:val="0"/>
        </w:rPr>
        <w:t xml:space="preserve">Mendelow, A.L. (1991) 'Environmental scanning: the impact of the stakeholder concept', </w:t>
      </w:r>
      <w:r w:rsidDel="00000000" w:rsidR="00000000" w:rsidRPr="00000000">
        <w:rPr>
          <w:rFonts w:ascii="Arial" w:cs="Arial" w:eastAsia="Arial" w:hAnsi="Arial"/>
          <w:i w:val="1"/>
          <w:iCs w:val="1"/>
          <w:sz w:val="22"/>
          <w:szCs w:val="22"/>
          <w:rtl w:val="0"/>
        </w:rPr>
        <w:t xml:space="preserve">Proceedings of the 2nd International Conference on Information Systems,</w:t>
      </w:r>
      <w:r w:rsidDel="00000000" w:rsidR="00000000" w:rsidRPr="00000000">
        <w:rPr>
          <w:rFonts w:ascii="Arial" w:cs="Arial" w:eastAsia="Arial" w:hAnsi="Arial"/>
          <w:sz w:val="22"/>
          <w:szCs w:val="22"/>
          <w:rtl w:val="0"/>
        </w:rPr>
        <w:t xml:space="preserve"> pp. 407–418. Cambridge, MA.</w:t>
      </w:r>
      <w:r w:rsidDel="00000000" w:rsidR="00000000" w:rsidRPr="00000000">
        <w:rPr>
          <w:rtl w:val="0"/>
        </w:rPr>
      </w:r>
    </w:p>
    <w:p w:rsidR="00000000" w:rsidDel="00000000" w:rsidP="00000000" w:rsidRDefault="00000000" w:rsidRPr="00000000" w14:paraId="0000019E">
      <w:pPr>
        <w:spacing w:after="100" w:before="100" w:line="360" w:lineRule="auto"/>
        <w:jc w:val="both"/>
        <w:rPr/>
      </w:pPr>
      <w:r w:rsidDel="00000000" w:rsidR="00000000" w:rsidRPr="00000000">
        <w:rPr>
          <w:rFonts w:ascii="Arial" w:cs="Arial" w:eastAsia="Arial" w:hAnsi="Arial"/>
          <w:sz w:val="22"/>
          <w:szCs w:val="22"/>
          <w:rtl w:val="0"/>
        </w:rPr>
        <w:t xml:space="preserve">Mitchell, R.K., Agle, B.R. and Wood, D.J. (1997) 'Toward a theory of stakeholder identification and salience: defining the principle of who and what really counts',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22(4), pp. 853–886.</w:t>
      </w:r>
      <w:r w:rsidDel="00000000" w:rsidR="00000000" w:rsidRPr="00000000">
        <w:rPr>
          <w:rtl w:val="0"/>
        </w:rPr>
      </w:r>
    </w:p>
    <w:p w:rsidR="00000000" w:rsidDel="00000000" w:rsidP="00000000" w:rsidRDefault="00000000" w:rsidRPr="00000000" w14:paraId="0000019F">
      <w:pPr>
        <w:spacing w:after="100" w:before="100" w:line="360" w:lineRule="auto"/>
        <w:jc w:val="both"/>
        <w:rPr/>
      </w:pPr>
      <w:r w:rsidDel="00000000" w:rsidR="00000000" w:rsidRPr="00000000">
        <w:rPr>
          <w:rFonts w:ascii="Arial" w:cs="Arial" w:eastAsia="Arial" w:hAnsi="Arial"/>
          <w:sz w:val="22"/>
          <w:szCs w:val="22"/>
          <w:rtl w:val="0"/>
        </w:rPr>
        <w:t xml:space="preserve">PMI (2021) </w:t>
      </w:r>
      <w:r w:rsidDel="00000000" w:rsidR="00000000" w:rsidRPr="00000000">
        <w:rPr>
          <w:rFonts w:ascii="Arial" w:cs="Arial" w:eastAsia="Arial" w:hAnsi="Arial"/>
          <w:i w:val="1"/>
          <w:iCs w:val="1"/>
          <w:sz w:val="22"/>
          <w:szCs w:val="22"/>
          <w:rtl w:val="0"/>
        </w:rPr>
        <w:t xml:space="preserve">Pulse of the profession 2021: beyond agility.</w:t>
      </w:r>
      <w:r w:rsidDel="00000000" w:rsidR="00000000" w:rsidRPr="00000000">
        <w:rPr>
          <w:rFonts w:ascii="Arial" w:cs="Arial" w:eastAsia="Arial" w:hAnsi="Arial"/>
          <w:sz w:val="22"/>
          <w:szCs w:val="22"/>
          <w:rtl w:val="0"/>
        </w:rPr>
        <w:t xml:space="preserve"> Newtown Square, PA: Project Management Institute.</w:t>
      </w:r>
      <w:r w:rsidDel="00000000" w:rsidR="00000000" w:rsidRPr="00000000">
        <w:rPr>
          <w:rtl w:val="0"/>
        </w:rPr>
      </w:r>
    </w:p>
    <w:p w:rsidR="00000000" w:rsidDel="00000000" w:rsidP="00000000" w:rsidRDefault="00000000" w:rsidRPr="00000000" w14:paraId="000001A0">
      <w:pPr>
        <w:spacing w:after="100" w:before="100" w:line="360" w:lineRule="auto"/>
        <w:jc w:val="both"/>
        <w:rPr/>
      </w:pPr>
      <w:r w:rsidDel="00000000" w:rsidR="00000000" w:rsidRPr="00000000">
        <w:rPr>
          <w:rFonts w:ascii="Arial" w:cs="Arial" w:eastAsia="Arial" w:hAnsi="Arial"/>
          <w:sz w:val="22"/>
          <w:szCs w:val="22"/>
          <w:rtl w:val="0"/>
        </w:rPr>
        <w:t xml:space="preserve">Prahalad, C.K. and Ramaswamy, V. (2004) 'Co-creation experiences: the next practice in value creation', </w:t>
      </w:r>
      <w:r w:rsidDel="00000000" w:rsidR="00000000" w:rsidRPr="00000000">
        <w:rPr>
          <w:rFonts w:ascii="Arial" w:cs="Arial" w:eastAsia="Arial" w:hAnsi="Arial"/>
          <w:i w:val="1"/>
          <w:iCs w:val="1"/>
          <w:sz w:val="22"/>
          <w:szCs w:val="22"/>
          <w:rtl w:val="0"/>
        </w:rPr>
        <w:t xml:space="preserve">Journal of Interactive Marketing,</w:t>
      </w:r>
      <w:r w:rsidDel="00000000" w:rsidR="00000000" w:rsidRPr="00000000">
        <w:rPr>
          <w:rFonts w:ascii="Arial" w:cs="Arial" w:eastAsia="Arial" w:hAnsi="Arial"/>
          <w:sz w:val="22"/>
          <w:szCs w:val="22"/>
          <w:rtl w:val="0"/>
        </w:rPr>
        <w:t xml:space="preserve"> 18(3), pp. 5–14.</w:t>
      </w:r>
      <w:r w:rsidDel="00000000" w:rsidR="00000000" w:rsidRPr="00000000">
        <w:rPr>
          <w:rtl w:val="0"/>
        </w:rPr>
      </w:r>
    </w:p>
    <w:p w:rsidR="00000000" w:rsidDel="00000000" w:rsidP="00000000" w:rsidRDefault="00000000" w:rsidRPr="00000000" w14:paraId="000001A1">
      <w:pPr>
        <w:spacing w:after="100" w:before="100" w:line="360" w:lineRule="auto"/>
        <w:jc w:val="both"/>
        <w:rPr/>
      </w:pPr>
      <w:r w:rsidDel="00000000" w:rsidR="00000000" w:rsidRPr="00000000">
        <w:rPr>
          <w:rFonts w:ascii="Arial" w:cs="Arial" w:eastAsia="Arial" w:hAnsi="Arial"/>
          <w:sz w:val="22"/>
          <w:szCs w:val="22"/>
          <w:rtl w:val="0"/>
        </w:rPr>
        <w:t xml:space="preserve">Rowley, T.J. (1997) 'Moving beyond dyadic ties: a network theory of stakeholder influences',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22(4), pp. 887–910.</w:t>
      </w:r>
      <w:r w:rsidDel="00000000" w:rsidR="00000000" w:rsidRPr="00000000">
        <w:rPr>
          <w:rtl w:val="0"/>
        </w:rPr>
      </w:r>
    </w:p>
    <w:p w:rsidR="00000000" w:rsidDel="00000000" w:rsidP="00000000" w:rsidRDefault="00000000" w:rsidRPr="00000000" w14:paraId="000001A2">
      <w:pPr>
        <w:spacing w:after="100" w:before="100" w:line="360" w:lineRule="auto"/>
        <w:jc w:val="both"/>
        <w:rPr/>
      </w:pPr>
      <w:r w:rsidDel="00000000" w:rsidR="00000000" w:rsidRPr="00000000">
        <w:rPr>
          <w:rFonts w:ascii="Arial" w:cs="Arial" w:eastAsia="Arial" w:hAnsi="Arial"/>
          <w:sz w:val="22"/>
          <w:szCs w:val="22"/>
          <w:rtl w:val="0"/>
        </w:rPr>
        <w:t xml:space="preserve">Skift Research (2023) </w:t>
      </w:r>
      <w:r w:rsidDel="00000000" w:rsidR="00000000" w:rsidRPr="00000000">
        <w:rPr>
          <w:rFonts w:ascii="Arial" w:cs="Arial" w:eastAsia="Arial" w:hAnsi="Arial"/>
          <w:i w:val="1"/>
          <w:iCs w:val="1"/>
          <w:sz w:val="22"/>
          <w:szCs w:val="22"/>
          <w:rtl w:val="0"/>
        </w:rPr>
        <w:t xml:space="preserve">The state of AI in travel and hospitality 2023.</w:t>
      </w:r>
      <w:r w:rsidDel="00000000" w:rsidR="00000000" w:rsidRPr="00000000">
        <w:rPr>
          <w:rFonts w:ascii="Arial" w:cs="Arial" w:eastAsia="Arial" w:hAnsi="Arial"/>
          <w:sz w:val="22"/>
          <w:szCs w:val="22"/>
          <w:rtl w:val="0"/>
        </w:rPr>
        <w:t xml:space="preserve"> New York: Skift Inc.</w:t>
      </w:r>
      <w:r w:rsidDel="00000000" w:rsidR="00000000" w:rsidRPr="00000000">
        <w:rPr>
          <w:rtl w:val="0"/>
        </w:rPr>
      </w:r>
    </w:p>
    <w:p w:rsidR="00000000" w:rsidDel="00000000" w:rsidP="00000000" w:rsidRDefault="00000000" w:rsidRPr="00000000" w14:paraId="000001A3">
      <w:pPr>
        <w:spacing w:after="100" w:before="100" w:line="360" w:lineRule="auto"/>
        <w:jc w:val="both"/>
        <w:rPr/>
      </w:pPr>
      <w:r w:rsidDel="00000000" w:rsidR="00000000" w:rsidRPr="00000000">
        <w:rPr>
          <w:rFonts w:ascii="Arial" w:cs="Arial" w:eastAsia="Arial" w:hAnsi="Arial"/>
          <w:sz w:val="22"/>
          <w:szCs w:val="22"/>
          <w:rtl w:val="0"/>
        </w:rPr>
        <w:t xml:space="preserve">Smith, M. and Erwin, J. (2005) 'Role and responsibility charting (RACI)', </w:t>
      </w:r>
      <w:r w:rsidDel="00000000" w:rsidR="00000000" w:rsidRPr="00000000">
        <w:rPr>
          <w:rFonts w:ascii="Arial" w:cs="Arial" w:eastAsia="Arial" w:hAnsi="Arial"/>
          <w:i w:val="1"/>
          <w:iCs w:val="1"/>
          <w:sz w:val="22"/>
          <w:szCs w:val="22"/>
          <w:rtl w:val="0"/>
        </w:rPr>
        <w:t xml:space="preserve">Project Management Forum,</w:t>
      </w:r>
      <w:r w:rsidDel="00000000" w:rsidR="00000000" w:rsidRPr="00000000">
        <w:rPr>
          <w:rFonts w:ascii="Arial" w:cs="Arial" w:eastAsia="Arial" w:hAnsi="Arial"/>
          <w:sz w:val="22"/>
          <w:szCs w:val="22"/>
          <w:rtl w:val="0"/>
        </w:rPr>
        <w:t xml:space="preserve"> pp. 1–7.</w:t>
      </w:r>
      <w:r w:rsidDel="00000000" w:rsidR="00000000" w:rsidRPr="00000000">
        <w:rPr>
          <w:rtl w:val="0"/>
        </w:rPr>
      </w:r>
    </w:p>
    <w:p w:rsidR="00000000" w:rsidDel="00000000" w:rsidP="00000000" w:rsidRDefault="00000000" w:rsidRPr="00000000" w14:paraId="000001A4">
      <w:pPr>
        <w:spacing w:after="100" w:before="100" w:line="360" w:lineRule="auto"/>
        <w:jc w:val="both"/>
        <w:rPr/>
      </w:pPr>
      <w:r w:rsidDel="00000000" w:rsidR="00000000" w:rsidRPr="00000000">
        <w:rPr>
          <w:rFonts w:ascii="Arial" w:cs="Arial" w:eastAsia="Arial" w:hAnsi="Arial"/>
          <w:sz w:val="22"/>
          <w:szCs w:val="22"/>
          <w:rtl w:val="0"/>
        </w:rPr>
        <w:t xml:space="preserve">Thomas, K.W. and Kilmann, R.H. (1974) </w:t>
      </w:r>
      <w:r w:rsidDel="00000000" w:rsidR="00000000" w:rsidRPr="00000000">
        <w:rPr>
          <w:rFonts w:ascii="Arial" w:cs="Arial" w:eastAsia="Arial" w:hAnsi="Arial"/>
          <w:i w:val="1"/>
          <w:iCs w:val="1"/>
          <w:sz w:val="22"/>
          <w:szCs w:val="22"/>
          <w:rtl w:val="0"/>
        </w:rPr>
        <w:t xml:space="preserve">Thomas-Kilmann conflict mode instrument.</w:t>
      </w:r>
      <w:r w:rsidDel="00000000" w:rsidR="00000000" w:rsidRPr="00000000">
        <w:rPr>
          <w:rFonts w:ascii="Arial" w:cs="Arial" w:eastAsia="Arial" w:hAnsi="Arial"/>
          <w:sz w:val="22"/>
          <w:szCs w:val="22"/>
          <w:rtl w:val="0"/>
        </w:rPr>
        <w:t xml:space="preserve"> Mountain View, CA: Xicom.</w:t>
      </w:r>
      <w:r w:rsidDel="00000000" w:rsidR="00000000" w:rsidRPr="00000000">
        <w:rPr>
          <w:rtl w:val="0"/>
        </w:rPr>
      </w:r>
    </w:p>
    <w:p w:rsidR="00000000" w:rsidDel="00000000" w:rsidP="00000000" w:rsidRDefault="00000000" w:rsidRPr="00000000" w14:paraId="000001A5">
      <w:pPr>
        <w:spacing w:after="100" w:before="100" w:line="360" w:lineRule="auto"/>
        <w:jc w:val="both"/>
        <w:rPr/>
      </w:pPr>
      <w:r w:rsidDel="00000000" w:rsidR="00000000" w:rsidRPr="00000000">
        <w:rPr>
          <w:rFonts w:ascii="Arial" w:cs="Arial" w:eastAsia="Arial" w:hAnsi="Arial"/>
          <w:sz w:val="22"/>
          <w:szCs w:val="22"/>
          <w:rtl w:val="0"/>
        </w:rPr>
        <w:t xml:space="preserve">UNWTO (2023) </w:t>
      </w:r>
      <w:r w:rsidDel="00000000" w:rsidR="00000000" w:rsidRPr="00000000">
        <w:rPr>
          <w:rFonts w:ascii="Arial" w:cs="Arial" w:eastAsia="Arial" w:hAnsi="Arial"/>
          <w:i w:val="1"/>
          <w:iCs w:val="1"/>
          <w:sz w:val="22"/>
          <w:szCs w:val="22"/>
          <w:rtl w:val="0"/>
        </w:rPr>
        <w:t xml:space="preserve">Tourism on track for full recovery as new data shows strong start to 2023.</w:t>
      </w:r>
      <w:r w:rsidDel="00000000" w:rsidR="00000000" w:rsidRPr="00000000">
        <w:rPr>
          <w:rFonts w:ascii="Arial" w:cs="Arial" w:eastAsia="Arial" w:hAnsi="Arial"/>
          <w:sz w:val="22"/>
          <w:szCs w:val="22"/>
          <w:rtl w:val="0"/>
        </w:rPr>
        <w:t xml:space="preserve"> Madrid: World Tourism </w:t>
      </w:r>
      <w:r w:rsidDel="00000000" w:rsidR="00000000" w:rsidRPr="00000000">
        <w:rPr>
          <w:rtl w:val="0"/>
        </w:rPr>
        <w:t xml:space="preserve">Organisation</w:t>
      </w:r>
      <w:r w:rsidDel="00000000" w:rsidR="00000000" w:rsidRPr="00000000">
        <w:rPr>
          <w:rFonts w:ascii="Arial" w:cs="Arial" w:eastAsia="Arial" w:hAnsi="Arial"/>
          <w:sz w:val="22"/>
          <w:szCs w:val="22"/>
          <w:rtl w:val="0"/>
        </w:rPr>
        <w:t xml:space="preserve">.</w:t>
      </w:r>
      <w:r w:rsidDel="00000000" w:rsidR="00000000" w:rsidRPr="00000000">
        <w:rPr>
          <w:rtl w:val="0"/>
        </w:rPr>
      </w:r>
    </w:p>
    <w:p w:rsidR="00000000" w:rsidDel="00000000" w:rsidP="00000000" w:rsidRDefault="00000000" w:rsidRPr="00000000" w14:paraId="000001A6">
      <w:pPr>
        <w:spacing w:after="100" w:before="100" w:line="360" w:lineRule="auto"/>
        <w:jc w:val="both"/>
        <w:rPr/>
      </w:pPr>
      <w:r w:rsidDel="00000000" w:rsidR="00000000" w:rsidRPr="00000000">
        <w:rPr>
          <w:rFonts w:ascii="Arial" w:cs="Arial" w:eastAsia="Arial" w:hAnsi="Arial"/>
          <w:sz w:val="22"/>
          <w:szCs w:val="22"/>
          <w:rtl w:val="0"/>
        </w:rPr>
        <w:t xml:space="preserve">Winch, G. and Bonke, S. (2002) Project stakeholder mapping: analysing the interests of project stakeholders, in Slevin, D.P., Cleland, D.I. and Pinto, J.K. (eds.) </w:t>
      </w:r>
      <w:r w:rsidDel="00000000" w:rsidR="00000000" w:rsidRPr="00000000">
        <w:rPr>
          <w:rFonts w:ascii="Arial" w:cs="Arial" w:eastAsia="Arial" w:hAnsi="Arial"/>
          <w:i w:val="1"/>
          <w:iCs w:val="1"/>
          <w:sz w:val="22"/>
          <w:szCs w:val="22"/>
          <w:rtl w:val="0"/>
        </w:rPr>
        <w:t xml:space="preserve">The frontiers of project management research.</w:t>
      </w:r>
      <w:r w:rsidDel="00000000" w:rsidR="00000000" w:rsidRPr="00000000">
        <w:rPr>
          <w:rFonts w:ascii="Arial" w:cs="Arial" w:eastAsia="Arial" w:hAnsi="Arial"/>
          <w:sz w:val="22"/>
          <w:szCs w:val="22"/>
          <w:rtl w:val="0"/>
        </w:rPr>
        <w:t xml:space="preserve"> Newtown Square, PA: PMI, pp. 385–403.</w:t>
      </w:r>
      <w:r w:rsidDel="00000000" w:rsidR="00000000" w:rsidRPr="00000000">
        <w:rPr>
          <w:rtl w:val="0"/>
        </w:rPr>
      </w:r>
    </w:p>
    <w:sectPr>
      <w:headerReference r:id="rId8" w:type="default"/>
      <w:footerReference r:id="rId9" w:type="default"/>
      <w:pgSz w:h="16838" w:w="11906" w:orient="portrait"/>
      <w:pgMar w:bottom="1440" w:top="1440" w:left="1440" w:right="126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8">
    <w:pPr>
      <w:pBdr>
        <w:top w:color="1a3e6a" w:space="1" w:sz="6" w:val="single"/>
      </w:pBdr>
      <w:jc w:val="center"/>
      <w:rPr/>
    </w:pPr>
    <w:r w:rsidDel="00000000" w:rsidR="00000000" w:rsidRPr="00000000">
      <w:rPr>
        <w:rFonts w:ascii="Arial" w:cs="Arial" w:eastAsia="Arial" w:hAnsi="Arial"/>
        <w:color w:val="555555"/>
        <w:sz w:val="18"/>
        <w:szCs w:val="18"/>
        <w:rtl w:val="0"/>
      </w:rPr>
      <w:t xml:space="preserve">Page </w:t>
    </w:r>
    <w:r w:rsidDel="00000000" w:rsidR="00000000" w:rsidRPr="00000000">
      <w:rPr>
        <w:rFonts w:ascii="Arial" w:cs="Arial" w:eastAsia="Arial" w:hAnsi="Arial"/>
        <w:color w:val="555555"/>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7">
    <w:pPr>
      <w:pBdr>
        <w:bottom w:color="1a3e6a" w:space="1" w:sz="6" w:val="single"/>
      </w:pBdr>
      <w:jc w:val="right"/>
      <w:rPr/>
    </w:pPr>
    <w:r w:rsidDel="00000000" w:rsidR="00000000" w:rsidRPr="00000000">
      <w:rPr>
        <w:rFonts w:ascii="Arial" w:cs="Arial" w:eastAsia="Arial" w:hAnsi="Arial"/>
        <w:color w:val="555555"/>
        <w:sz w:val="18"/>
        <w:szCs w:val="18"/>
        <w:rtl w:val="0"/>
      </w:rPr>
      <w:t xml:space="preserve">StaySmart+ Project | Stakeholder Engagement Report | Marriott International</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400" w:line="240" w:lineRule="auto"/>
      <w:ind w:left="0" w:right="0" w:firstLine="0"/>
      <w:jc w:val="left"/>
    </w:pPr>
    <w:rPr>
      <w:rFonts w:ascii="Arial" w:cs="Arial" w:eastAsia="Arial" w:hAnsi="Arial"/>
      <w:b w:val="1"/>
      <w:bCs w:val="1"/>
      <w:i w:val="0"/>
      <w:iCs w:val="0"/>
      <w:smallCaps w:val="0"/>
      <w:strike w:val="0"/>
      <w:color w:val="1a3e6a"/>
      <w:sz w:val="30"/>
      <w:szCs w:val="30"/>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40" w:line="240" w:lineRule="auto"/>
      <w:ind w:left="0" w:right="0" w:firstLine="0"/>
      <w:jc w:val="left"/>
    </w:pPr>
    <w:rPr>
      <w:rFonts w:ascii="Arial" w:cs="Arial" w:eastAsia="Arial" w:hAnsi="Arial"/>
      <w:b w:val="1"/>
      <w:bCs w:val="1"/>
      <w:i w:val="0"/>
      <w:iCs w:val="0"/>
      <w:smallCaps w:val="0"/>
      <w:strike w:val="0"/>
      <w:color w:val="003366"/>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180" w:line="240" w:lineRule="auto"/>
      <w:ind w:left="0" w:right="0" w:firstLine="0"/>
      <w:jc w:val="left"/>
    </w:pPr>
    <w:rPr>
      <w:rFonts w:ascii="Arial" w:cs="Arial" w:eastAsia="Arial" w:hAnsi="Arial"/>
      <w:b w:val="1"/>
      <w:bCs w:val="1"/>
      <w:i w:val="0"/>
      <w:iCs w:val="0"/>
      <w:smallCaps w:val="0"/>
      <w:strike w:val="0"/>
      <w:color w:val="1a5276"/>
      <w:sz w:val="22"/>
      <w:szCs w:val="22"/>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trong">
    <w:name w:val="Strong"/>
    <w:basedOn w:val="Normal"/>
    <w:next w:val="Normal"/>
    <w:qFormat w:val="1"/>
    <w:rPr>
      <w:b w:val="1"/>
      <w:bCs w:val="1"/>
    </w:rPr>
  </w:style>
  <w:style w:type="paragraph" w:styleId="ListParagraph">
    <w:name w:val="List Paragraph"/>
    <w:basedOn w:val="Normal"/>
    <w:qFormat w:val="1"/>
  </w:style>
  <w:style w:type="character" w:styleId="Hyperlink">
    <w:name w:val="Hyperlink"/>
    <w:basedOn w:val="DefaultParagraphFont"/>
    <w:uiPriority w:val="99"/>
    <w:unhideWhenUsed w:val="1"/>
    <w:rPr>
      <w:color w:val="0563c1"/>
      <w:u w:val="single"/>
    </w:rPr>
  </w:style>
  <w:style w:type="character" w:styleId="FootnoteReference">
    <w:name w:val="footnote reference"/>
    <w:basedOn w:val="DefaultParagraphFont"/>
    <w:uiPriority w:val="99"/>
    <w:semiHidden w:val="1"/>
    <w:unhideWhenUsed w:val="1"/>
    <w:rPr>
      <w:vertAlign w:val="superscript"/>
    </w:rPr>
  </w:style>
  <w:style w:type="paragraph" w:styleId="FootnoteText">
    <w:name w:val="footnote text"/>
    <w:basedOn w:val="Normal"/>
    <w:link w:val="FootnoteTextChar"/>
    <w:uiPriority w:val="99"/>
    <w:semiHidden w:val="1"/>
    <w:unhideWhenUsed w:val="1"/>
    <w:pPr>
      <w:spacing w:after="0" w:line="240" w:lineRule="auto"/>
    </w:pPr>
    <w:rPr>
      <w:sz w:val="20"/>
      <w:szCs w:val="20"/>
    </w:rPr>
  </w:style>
  <w:style w:type="character" w:styleId="FootnoteTextChar">
    <w:name w:val="Footnote Text Char"/>
    <w:basedOn w:val="DefaultParagraphFont"/>
    <w:link w:val="FootnoteText"/>
    <w:uiPriority w:val="99"/>
    <w:semiHidden w:val="1"/>
    <w:unhideWhenUsed w:val="1"/>
    <w:rPr>
      <w:sz w:val="20"/>
      <w:szCs w:val="20"/>
    </w:rPr>
  </w:style>
  <w:style w:type="character" w:styleId="EndnoteReference">
    <w:name w:val="endnote reference"/>
    <w:basedOn w:val="DefaultParagraphFont"/>
    <w:uiPriority w:val="99"/>
    <w:semiHidden w:val="1"/>
    <w:unhideWhenUsed w:val="1"/>
    <w:rPr>
      <w:vertAlign w:val="superscript"/>
    </w:rPr>
  </w:style>
  <w:style w:type="paragraph" w:styleId="EndnoteText">
    <w:name w:val="endnote text"/>
    <w:basedOn w:val="Normal"/>
    <w:link w:val="EndnoteTextChar"/>
    <w:uiPriority w:val="99"/>
    <w:semiHidden w:val="1"/>
    <w:unhideWhenUsed w:val="1"/>
    <w:pPr>
      <w:spacing w:after="0" w:line="240" w:lineRule="auto"/>
    </w:pPr>
    <w:rPr>
      <w:sz w:val="20"/>
      <w:szCs w:val="20"/>
    </w:rPr>
  </w:style>
  <w:style w:type="character" w:styleId="EndnoteTextChar">
    <w:name w:val="Endnote Text Char"/>
    <w:basedOn w:val="DefaultParagraphFont"/>
    <w:link w:val="EndnoteText"/>
    <w:uiPriority w:val="99"/>
    <w:semiHidden w:val="1"/>
    <w:unhideWhenUsed w:val="1"/>
    <w:rPr>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info@bromoda.co.uk"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L8aOEHJ4XG7TSd9h7/PUeEL6EQ==">CgMxLjA4AHIhMU5melhhU2NKdDlXVTZQbG9Yd1N2bXpDdVdud2R5ajJJ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2026-03-16T09:48:32.749Z</dcterms:created>
  <dc:creator>Un-named</dc:creator>
</cp:coreProperties>
</file>

<file path=docProps/custom.xml><?xml version="1.0" encoding="utf-8"?>
<Properties xmlns="http://schemas.openxmlformats.org/officeDocument/2006/custom-properties" xmlns:vt="http://schemas.openxmlformats.org/officeDocument/2006/docPropsVTypes"/>
</file>