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3F0C8A57" w:rsidP="18A41FB1" w:rsidRDefault="3F0C8A57" w14:paraId="3838CC5B" w14:textId="74E44FE2">
      <w:pPr>
        <w:pStyle w:val="Normal"/>
        <w:spacing w:line="360" w:lineRule="auto"/>
        <w:jc w:val="left"/>
        <w:rPr>
          <w:rFonts w:ascii="Arial" w:hAnsi="Arial" w:cs="Arial"/>
          <w:b w:val="1"/>
          <w:bCs w:val="1"/>
          <w:color w:val="auto"/>
          <w:sz w:val="36"/>
          <w:szCs w:val="36"/>
          <w:highlight w:val="yellow"/>
        </w:rPr>
      </w:pPr>
      <w:r w:rsidRPr="18A41FB1" w:rsidR="3F0C8A57">
        <w:rPr>
          <w:rFonts w:ascii="Arial" w:hAnsi="Arial" w:cs="Arial"/>
          <w:b w:val="1"/>
          <w:bCs w:val="1"/>
          <w:color w:val="auto"/>
          <w:sz w:val="36"/>
          <w:szCs w:val="36"/>
          <w:highlight w:val="yellow"/>
        </w:rPr>
        <w:t>T</w:t>
      </w:r>
      <w:r w:rsidRPr="18A41FB1" w:rsidR="7AC868B9">
        <w:rPr>
          <w:rFonts w:ascii="Arial" w:hAnsi="Arial" w:cs="Arial"/>
          <w:b w:val="1"/>
          <w:bCs w:val="1"/>
          <w:color w:val="auto"/>
          <w:sz w:val="36"/>
          <w:szCs w:val="36"/>
          <w:highlight w:val="yellow"/>
        </w:rPr>
        <w:t>IT</w:t>
      </w:r>
      <w:bookmarkStart w:name="_Int_jJU7MiTn" w:id="770150644"/>
      <w:r w:rsidRPr="18A41FB1" w:rsidR="7AC868B9">
        <w:rPr>
          <w:rFonts w:ascii="Arial" w:hAnsi="Arial" w:cs="Arial"/>
          <w:b w:val="1"/>
          <w:bCs w:val="1"/>
          <w:color w:val="auto"/>
          <w:sz w:val="36"/>
          <w:szCs w:val="36"/>
          <w:highlight w:val="yellow"/>
        </w:rPr>
        <w:t>I</w:t>
      </w:r>
      <w:r w:rsidRPr="18A41FB1" w:rsidR="523CCDAE">
        <w:rPr>
          <w:rFonts w:ascii="Arial" w:hAnsi="Arial" w:cs="Arial"/>
          <w:b w:val="1"/>
          <w:bCs w:val="1"/>
          <w:color w:val="auto"/>
          <w:sz w:val="36"/>
          <w:szCs w:val="36"/>
          <w:highlight w:val="yellow"/>
        </w:rPr>
        <w:t>L</w:t>
      </w:r>
      <w:r w:rsidRPr="18A41FB1" w:rsidR="7AC868B9">
        <w:rPr>
          <w:rFonts w:ascii="Arial" w:hAnsi="Arial" w:cs="Arial"/>
          <w:b w:val="1"/>
          <w:bCs w:val="1"/>
          <w:color w:val="auto"/>
          <w:sz w:val="36"/>
          <w:szCs w:val="36"/>
          <w:highlight w:val="yellow"/>
        </w:rPr>
        <w:t>E</w:t>
      </w:r>
      <w:r w:rsidRPr="18A41FB1" w:rsidR="320AF9FA">
        <w:rPr>
          <w:rFonts w:ascii="Arial" w:hAnsi="Arial" w:cs="Arial"/>
          <w:b w:val="1"/>
          <w:bCs w:val="1"/>
          <w:color w:val="auto"/>
          <w:sz w:val="36"/>
          <w:szCs w:val="36"/>
          <w:highlight w:val="yellow"/>
        </w:rPr>
        <w:t xml:space="preserve">  </w:t>
      </w:r>
      <w:bookmarkEnd w:id="770150644"/>
      <w:r w:rsidRPr="18A41FB1" w:rsidR="7AC868B9">
        <w:rPr>
          <w:rFonts w:ascii="Arial" w:hAnsi="Arial" w:cs="Arial"/>
          <w:b w:val="1"/>
          <w:bCs w:val="1"/>
          <w:color w:val="auto"/>
          <w:sz w:val="36"/>
          <w:szCs w:val="36"/>
          <w:highlight w:val="yellow"/>
        </w:rPr>
        <w:t xml:space="preserve"> </w:t>
      </w:r>
      <w:r w:rsidRPr="18A41FB1" w:rsidR="3F0C8A57">
        <w:rPr>
          <w:rFonts w:ascii="Arial" w:hAnsi="Arial" w:cs="Arial"/>
          <w:b w:val="1"/>
          <w:bCs w:val="1"/>
          <w:color w:val="auto"/>
          <w:sz w:val="36"/>
          <w:szCs w:val="36"/>
          <w:highlight w:val="yellow"/>
        </w:rPr>
        <w:t>PAGE</w:t>
      </w:r>
    </w:p>
    <w:p w:rsidR="18A41FB1" w:rsidP="18A41FB1" w:rsidRDefault="18A41FB1" w14:paraId="09A0D6F6" w14:textId="06B3CF53">
      <w:pPr>
        <w:spacing w:line="360" w:lineRule="auto"/>
        <w:jc w:val="left"/>
        <w:rPr>
          <w:rFonts w:ascii="Arial" w:hAnsi="Arial" w:cs="Arial"/>
          <w:b w:val="1"/>
          <w:bCs w:val="1"/>
          <w:sz w:val="22"/>
          <w:szCs w:val="22"/>
        </w:rPr>
      </w:pPr>
    </w:p>
    <w:p w:rsidR="3F0C8A57" w:rsidP="18A41FB1" w:rsidRDefault="3F0C8A57" w14:paraId="25492C53" w14:textId="7A586BE9">
      <w:pPr>
        <w:spacing w:line="360" w:lineRule="auto"/>
        <w:jc w:val="left"/>
        <w:rPr>
          <w:rFonts w:ascii="Arial" w:hAnsi="Arial" w:eastAsia="Arial" w:cs="Arial"/>
          <w:b w:val="0"/>
          <w:bCs w:val="0"/>
          <w:sz w:val="22"/>
          <w:szCs w:val="22"/>
        </w:rPr>
      </w:pPr>
      <w:r w:rsidRPr="18A41FB1" w:rsidR="3F0C8A57">
        <w:rPr>
          <w:rFonts w:ascii="Arial" w:hAnsi="Arial" w:cs="Arial"/>
          <w:b w:val="1"/>
          <w:bCs w:val="1"/>
          <w:sz w:val="22"/>
          <w:szCs w:val="22"/>
        </w:rPr>
        <w:t xml:space="preserve">           </w:t>
      </w:r>
      <w:r w:rsidRPr="18A41FB1" w:rsidR="3F0C8A57">
        <w:rPr>
          <w:rFonts w:ascii="Arial" w:hAnsi="Arial" w:eastAsia="Arial" w:cs="Arial"/>
          <w:b w:val="0"/>
          <w:bCs w:val="0"/>
          <w:sz w:val="22"/>
          <w:szCs w:val="22"/>
        </w:rPr>
        <w:t>Student Name:</w:t>
      </w:r>
      <w:r w:rsidRPr="18A41FB1" w:rsidR="163D4599">
        <w:rPr>
          <w:rFonts w:ascii="Arial" w:hAnsi="Arial" w:eastAsia="Arial" w:cs="Arial"/>
          <w:b w:val="0"/>
          <w:bCs w:val="0"/>
          <w:sz w:val="22"/>
          <w:szCs w:val="22"/>
        </w:rPr>
        <w:t xml:space="preserve">                    </w:t>
      </w:r>
      <w:r w:rsidRPr="18A41FB1" w:rsidR="3F0C8A57">
        <w:rPr>
          <w:rFonts w:ascii="Arial" w:hAnsi="Arial" w:eastAsia="Arial" w:cs="Arial"/>
          <w:b w:val="0"/>
          <w:bCs w:val="0"/>
          <w:sz w:val="22"/>
          <w:szCs w:val="22"/>
        </w:rPr>
        <w:t xml:space="preserve"> Linda Tekyi</w:t>
      </w:r>
    </w:p>
    <w:p w:rsidR="3F0C8A57" w:rsidP="18A41FB1" w:rsidRDefault="3F0C8A57" w14:paraId="7C346E55" w14:textId="18FD9E04">
      <w:pPr>
        <w:spacing w:line="360" w:lineRule="auto"/>
        <w:jc w:val="left"/>
        <w:rPr>
          <w:rFonts w:ascii="Arial" w:hAnsi="Arial" w:eastAsia="Arial" w:cs="Arial"/>
          <w:b w:val="0"/>
          <w:bCs w:val="0"/>
          <w:sz w:val="22"/>
          <w:szCs w:val="22"/>
        </w:rPr>
      </w:pPr>
      <w:r w:rsidRPr="18A41FB1" w:rsidR="3F0C8A57">
        <w:rPr>
          <w:rFonts w:ascii="Arial" w:hAnsi="Arial" w:eastAsia="Arial" w:cs="Arial"/>
          <w:b w:val="0"/>
          <w:bCs w:val="0"/>
          <w:sz w:val="22"/>
          <w:szCs w:val="22"/>
        </w:rPr>
        <w:t xml:space="preserve">           Student Number:</w:t>
      </w:r>
      <w:r w:rsidRPr="18A41FB1" w:rsidR="1F9F76AC">
        <w:rPr>
          <w:rFonts w:ascii="Arial" w:hAnsi="Arial" w:eastAsia="Arial" w:cs="Arial"/>
          <w:b w:val="0"/>
          <w:bCs w:val="0"/>
          <w:sz w:val="22"/>
          <w:szCs w:val="22"/>
        </w:rPr>
        <w:t xml:space="preserve">               </w:t>
      </w:r>
      <w:r w:rsidRPr="18A41FB1" w:rsidR="3F0C8A57">
        <w:rPr>
          <w:rFonts w:ascii="Arial" w:hAnsi="Arial" w:eastAsia="Arial" w:cs="Arial"/>
          <w:b w:val="0"/>
          <w:bCs w:val="0"/>
          <w:sz w:val="22"/>
          <w:szCs w:val="22"/>
        </w:rPr>
        <w:t xml:space="preserve"> 2330445</w:t>
      </w:r>
    </w:p>
    <w:p w:rsidR="3F0C8A57" w:rsidP="18A41FB1" w:rsidRDefault="3F0C8A57" w14:paraId="123CEA82" w14:textId="4EADCF82">
      <w:pPr>
        <w:spacing w:line="360" w:lineRule="auto"/>
        <w:jc w:val="left"/>
        <w:rPr>
          <w:rFonts w:ascii="Arial" w:hAnsi="Arial" w:eastAsia="Arial" w:cs="Arial"/>
          <w:b w:val="0"/>
          <w:bCs w:val="0"/>
          <w:sz w:val="22"/>
          <w:szCs w:val="22"/>
        </w:rPr>
      </w:pPr>
      <w:r w:rsidRPr="18A41FB1" w:rsidR="3F0C8A57">
        <w:rPr>
          <w:rFonts w:ascii="Arial" w:hAnsi="Arial" w:eastAsia="Arial" w:cs="Arial"/>
          <w:b w:val="0"/>
          <w:bCs w:val="0"/>
          <w:sz w:val="22"/>
          <w:szCs w:val="22"/>
        </w:rPr>
        <w:t xml:space="preserve">           Module </w:t>
      </w:r>
      <w:r w:rsidRPr="18A41FB1" w:rsidR="10F80604">
        <w:rPr>
          <w:rFonts w:ascii="Arial" w:hAnsi="Arial" w:eastAsia="Arial" w:cs="Arial"/>
          <w:b w:val="0"/>
          <w:bCs w:val="0"/>
          <w:sz w:val="22"/>
          <w:szCs w:val="22"/>
        </w:rPr>
        <w:t>Name</w:t>
      </w:r>
      <w:r w:rsidRPr="18A41FB1" w:rsidR="3F0C8A57">
        <w:rPr>
          <w:rFonts w:ascii="Arial" w:hAnsi="Arial" w:eastAsia="Arial" w:cs="Arial"/>
          <w:b w:val="0"/>
          <w:bCs w:val="0"/>
          <w:sz w:val="22"/>
          <w:szCs w:val="22"/>
        </w:rPr>
        <w:t xml:space="preserve">: </w:t>
      </w:r>
      <w:r w:rsidRPr="18A41FB1" w:rsidR="663546CD">
        <w:rPr>
          <w:rFonts w:ascii="Arial" w:hAnsi="Arial" w:eastAsia="Arial" w:cs="Arial"/>
          <w:b w:val="0"/>
          <w:bCs w:val="0"/>
          <w:sz w:val="22"/>
          <w:szCs w:val="22"/>
        </w:rPr>
        <w:t xml:space="preserve">                    </w:t>
      </w:r>
      <w:r w:rsidRPr="18A41FB1" w:rsidR="413F3E37">
        <w:rPr>
          <w:rFonts w:ascii="Arial" w:hAnsi="Arial" w:eastAsia="Arial" w:cs="Arial"/>
          <w:b w:val="0"/>
          <w:bCs w:val="0"/>
          <w:sz w:val="22"/>
          <w:szCs w:val="22"/>
        </w:rPr>
        <w:t>Digital Transf</w:t>
      </w:r>
      <w:r w:rsidRPr="18A41FB1" w:rsidR="5CB19149">
        <w:rPr>
          <w:rFonts w:ascii="Arial" w:hAnsi="Arial" w:eastAsia="Arial" w:cs="Arial"/>
          <w:b w:val="0"/>
          <w:bCs w:val="0"/>
          <w:sz w:val="22"/>
          <w:szCs w:val="22"/>
        </w:rPr>
        <w:t>or</w:t>
      </w:r>
      <w:r w:rsidRPr="18A41FB1" w:rsidR="478AC8BE">
        <w:rPr>
          <w:rFonts w:ascii="Arial" w:hAnsi="Arial" w:eastAsia="Arial" w:cs="Arial"/>
          <w:b w:val="0"/>
          <w:bCs w:val="0"/>
          <w:sz w:val="22"/>
          <w:szCs w:val="22"/>
        </w:rPr>
        <w:t xml:space="preserve">mation in the Health and care </w:t>
      </w:r>
      <w:r w:rsidRPr="18A41FB1" w:rsidR="1EC86CAE">
        <w:rPr>
          <w:rFonts w:ascii="Arial" w:hAnsi="Arial" w:eastAsia="Arial" w:cs="Arial"/>
          <w:b w:val="0"/>
          <w:bCs w:val="0"/>
          <w:sz w:val="22"/>
          <w:szCs w:val="22"/>
        </w:rPr>
        <w:t>Professions</w:t>
      </w:r>
    </w:p>
    <w:p w:rsidR="2D9DF2EB" w:rsidP="18A41FB1" w:rsidRDefault="2D9DF2EB" w14:paraId="04FA7050" w14:textId="03D84C8E">
      <w:pPr>
        <w:spacing w:line="360" w:lineRule="auto"/>
        <w:jc w:val="left"/>
        <w:rPr>
          <w:rFonts w:ascii="Arial" w:hAnsi="Arial" w:eastAsia="Arial" w:cs="Arial"/>
          <w:b w:val="0"/>
          <w:bCs w:val="0"/>
          <w:sz w:val="22"/>
          <w:szCs w:val="22"/>
        </w:rPr>
      </w:pPr>
      <w:r w:rsidRPr="18A41FB1" w:rsidR="2D9DF2EB">
        <w:rPr>
          <w:rFonts w:ascii="Arial" w:hAnsi="Arial" w:eastAsia="Arial" w:cs="Arial"/>
          <w:b w:val="0"/>
          <w:bCs w:val="0"/>
          <w:sz w:val="22"/>
          <w:szCs w:val="22"/>
        </w:rPr>
        <w:t xml:space="preserve">          Module </w:t>
      </w:r>
      <w:r w:rsidRPr="18A41FB1" w:rsidR="1EDB81D2">
        <w:rPr>
          <w:rFonts w:ascii="Arial" w:hAnsi="Arial" w:eastAsia="Arial" w:cs="Arial"/>
          <w:b w:val="0"/>
          <w:bCs w:val="0"/>
          <w:sz w:val="22"/>
          <w:szCs w:val="22"/>
        </w:rPr>
        <w:t>Code:</w:t>
      </w:r>
      <w:r w:rsidRPr="18A41FB1" w:rsidR="42363CEB">
        <w:rPr>
          <w:rFonts w:ascii="Arial" w:hAnsi="Arial" w:eastAsia="Arial" w:cs="Arial"/>
          <w:b w:val="0"/>
          <w:bCs w:val="0"/>
          <w:sz w:val="22"/>
          <w:szCs w:val="22"/>
        </w:rPr>
        <w:t xml:space="preserve">           </w:t>
      </w:r>
      <w:r w:rsidRPr="18A41FB1" w:rsidR="4B4F4886">
        <w:rPr>
          <w:rFonts w:ascii="Arial" w:hAnsi="Arial" w:eastAsia="Arial" w:cs="Arial"/>
          <w:b w:val="0"/>
          <w:bCs w:val="0"/>
          <w:sz w:val="22"/>
          <w:szCs w:val="22"/>
        </w:rPr>
        <w:t xml:space="preserve">           BMHP6026</w:t>
      </w:r>
      <w:r w:rsidRPr="18A41FB1" w:rsidR="42363CEB">
        <w:rPr>
          <w:rFonts w:ascii="Arial" w:hAnsi="Arial" w:eastAsia="Arial" w:cs="Arial"/>
          <w:b w:val="0"/>
          <w:bCs w:val="0"/>
          <w:sz w:val="22"/>
          <w:szCs w:val="22"/>
        </w:rPr>
        <w:t xml:space="preserve"> </w:t>
      </w:r>
      <w:r w:rsidRPr="18A41FB1" w:rsidR="42363CEB">
        <w:rPr>
          <w:rFonts w:ascii="Arial" w:hAnsi="Arial" w:eastAsia="Arial" w:cs="Arial"/>
          <w:b w:val="0"/>
          <w:bCs w:val="0"/>
          <w:sz w:val="22"/>
          <w:szCs w:val="22"/>
        </w:rPr>
        <w:t xml:space="preserve">             </w:t>
      </w:r>
    </w:p>
    <w:p w:rsidR="1EDB81D2" w:rsidP="18A41FB1" w:rsidRDefault="1EDB81D2" w14:paraId="5944F8DD" w14:textId="49A0AE26">
      <w:pPr>
        <w:spacing w:line="360" w:lineRule="auto"/>
        <w:jc w:val="left"/>
        <w:rPr>
          <w:rFonts w:ascii="Arial" w:hAnsi="Arial" w:eastAsia="Arial" w:cs="Arial"/>
          <w:b w:val="0"/>
          <w:bCs w:val="0"/>
          <w:sz w:val="22"/>
          <w:szCs w:val="22"/>
        </w:rPr>
      </w:pPr>
      <w:r w:rsidRPr="18A41FB1" w:rsidR="1EDB81D2">
        <w:rPr>
          <w:rFonts w:ascii="Arial" w:hAnsi="Arial" w:eastAsia="Arial" w:cs="Arial"/>
          <w:b w:val="0"/>
          <w:bCs w:val="0"/>
          <w:sz w:val="22"/>
          <w:szCs w:val="22"/>
        </w:rPr>
        <w:t xml:space="preserve">          Lecturer </w:t>
      </w:r>
      <w:r w:rsidRPr="18A41FB1" w:rsidR="438FE4E1">
        <w:rPr>
          <w:rFonts w:ascii="Arial" w:hAnsi="Arial" w:eastAsia="Arial" w:cs="Arial"/>
          <w:b w:val="0"/>
          <w:bCs w:val="0"/>
          <w:sz w:val="22"/>
          <w:szCs w:val="22"/>
        </w:rPr>
        <w:t>Name:                    Matrin</w:t>
      </w:r>
      <w:r w:rsidRPr="18A41FB1" w:rsidR="5ACEB5E2">
        <w:rPr>
          <w:rFonts w:ascii="Arial" w:hAnsi="Arial" w:eastAsia="Arial" w:cs="Arial"/>
          <w:b w:val="0"/>
          <w:bCs w:val="0"/>
          <w:sz w:val="22"/>
          <w:szCs w:val="22"/>
        </w:rPr>
        <w:t xml:space="preserve">  Svejda</w:t>
      </w:r>
    </w:p>
    <w:p w:rsidR="1EDB81D2" w:rsidP="18A41FB1" w:rsidRDefault="1EDB81D2" w14:paraId="77E14829" w14:textId="5505E7CA">
      <w:pPr>
        <w:spacing w:line="360" w:lineRule="auto"/>
        <w:jc w:val="left"/>
        <w:rPr>
          <w:rFonts w:ascii="Arial" w:hAnsi="Arial" w:eastAsia="Arial" w:cs="Arial"/>
          <w:b w:val="0"/>
          <w:bCs w:val="0"/>
          <w:sz w:val="22"/>
          <w:szCs w:val="22"/>
        </w:rPr>
      </w:pPr>
      <w:r w:rsidRPr="18A41FB1" w:rsidR="1EDB81D2">
        <w:rPr>
          <w:rFonts w:ascii="Arial" w:hAnsi="Arial" w:eastAsia="Arial" w:cs="Arial"/>
          <w:b w:val="0"/>
          <w:bCs w:val="0"/>
          <w:sz w:val="22"/>
          <w:szCs w:val="22"/>
        </w:rPr>
        <w:t xml:space="preserve">          </w:t>
      </w:r>
      <w:r w:rsidRPr="18A41FB1" w:rsidR="2DFFFD90">
        <w:rPr>
          <w:rFonts w:ascii="Arial" w:hAnsi="Arial" w:eastAsia="Arial" w:cs="Arial"/>
          <w:b w:val="0"/>
          <w:bCs w:val="0"/>
          <w:sz w:val="22"/>
          <w:szCs w:val="22"/>
        </w:rPr>
        <w:t>Assignment Title</w:t>
      </w:r>
      <w:r w:rsidRPr="18A41FB1" w:rsidR="1EDB81D2">
        <w:rPr>
          <w:rFonts w:ascii="Arial" w:hAnsi="Arial" w:eastAsia="Arial" w:cs="Arial"/>
          <w:b w:val="0"/>
          <w:bCs w:val="0"/>
          <w:sz w:val="22"/>
          <w:szCs w:val="22"/>
        </w:rPr>
        <w:t>:</w:t>
      </w:r>
      <w:r w:rsidRPr="18A41FB1" w:rsidR="55129EE5">
        <w:rPr>
          <w:rFonts w:ascii="Arial" w:hAnsi="Arial" w:eastAsia="Arial" w:cs="Arial"/>
          <w:b w:val="0"/>
          <w:bCs w:val="0"/>
          <w:sz w:val="22"/>
          <w:szCs w:val="22"/>
        </w:rPr>
        <w:t xml:space="preserve">                </w:t>
      </w:r>
      <w:r w:rsidRPr="18A41FB1" w:rsidR="2ADD55FC">
        <w:rPr>
          <w:rFonts w:ascii="Arial" w:hAnsi="Arial" w:eastAsia="Arial" w:cs="Arial"/>
          <w:b w:val="0"/>
          <w:bCs w:val="0"/>
          <w:sz w:val="22"/>
          <w:szCs w:val="22"/>
        </w:rPr>
        <w:t>Written Report</w:t>
      </w:r>
    </w:p>
    <w:p w:rsidR="18A41FB1" w:rsidP="18A41FB1" w:rsidRDefault="18A41FB1" w14:paraId="79482113" w14:textId="4AEC44C5">
      <w:pPr>
        <w:pStyle w:val="Normal"/>
        <w:spacing w:line="360" w:lineRule="auto"/>
        <w:jc w:val="left"/>
        <w:rPr>
          <w:rFonts w:ascii="Arial" w:hAnsi="Arial" w:cs="Arial"/>
          <w:b w:val="1"/>
          <w:bCs w:val="1"/>
          <w:sz w:val="22"/>
          <w:szCs w:val="22"/>
        </w:rPr>
      </w:pPr>
    </w:p>
    <w:p w:rsidR="18A41FB1" w:rsidP="18A41FB1" w:rsidRDefault="18A41FB1" w14:paraId="0338AFA0" w14:textId="4F3BC1FA">
      <w:pPr>
        <w:spacing w:line="360" w:lineRule="auto"/>
        <w:jc w:val="center"/>
        <w:rPr>
          <w:rFonts w:ascii="Arial" w:hAnsi="Arial" w:cs="Arial"/>
          <w:b w:val="1"/>
          <w:bCs w:val="1"/>
          <w:sz w:val="22"/>
          <w:szCs w:val="22"/>
        </w:rPr>
      </w:pPr>
    </w:p>
    <w:p w:rsidR="18A41FB1" w:rsidP="18A41FB1" w:rsidRDefault="18A41FB1" w14:paraId="1B9C0E09" w14:textId="68749EB5">
      <w:pPr>
        <w:spacing w:line="360" w:lineRule="auto"/>
        <w:jc w:val="center"/>
        <w:rPr>
          <w:rFonts w:ascii="Arial" w:hAnsi="Arial" w:cs="Arial"/>
          <w:b w:val="1"/>
          <w:bCs w:val="1"/>
          <w:sz w:val="22"/>
          <w:szCs w:val="22"/>
        </w:rPr>
      </w:pPr>
    </w:p>
    <w:p w:rsidR="18A41FB1" w:rsidP="18A41FB1" w:rsidRDefault="18A41FB1" w14:paraId="4DE2B067" w14:textId="3C193753">
      <w:pPr>
        <w:spacing w:line="360" w:lineRule="auto"/>
        <w:jc w:val="center"/>
        <w:rPr>
          <w:rFonts w:ascii="Arial" w:hAnsi="Arial" w:cs="Arial"/>
          <w:b w:val="1"/>
          <w:bCs w:val="1"/>
          <w:sz w:val="22"/>
          <w:szCs w:val="22"/>
        </w:rPr>
      </w:pPr>
    </w:p>
    <w:p w:rsidR="18A41FB1" w:rsidP="18A41FB1" w:rsidRDefault="18A41FB1" w14:paraId="1CA9839F" w14:textId="52D9E891">
      <w:pPr>
        <w:spacing w:line="360" w:lineRule="auto"/>
        <w:jc w:val="center"/>
        <w:rPr>
          <w:rFonts w:ascii="Arial" w:hAnsi="Arial" w:cs="Arial"/>
          <w:b w:val="1"/>
          <w:bCs w:val="1"/>
          <w:sz w:val="22"/>
          <w:szCs w:val="22"/>
        </w:rPr>
      </w:pPr>
    </w:p>
    <w:p w:rsidR="18A41FB1" w:rsidP="18A41FB1" w:rsidRDefault="18A41FB1" w14:paraId="2942D6FC" w14:textId="72C140AD">
      <w:pPr>
        <w:spacing w:line="360" w:lineRule="auto"/>
        <w:jc w:val="center"/>
        <w:rPr>
          <w:rFonts w:ascii="Arial" w:hAnsi="Arial" w:cs="Arial"/>
          <w:b w:val="1"/>
          <w:bCs w:val="1"/>
          <w:sz w:val="22"/>
          <w:szCs w:val="22"/>
        </w:rPr>
      </w:pPr>
    </w:p>
    <w:p w:rsidR="18A41FB1" w:rsidP="18A41FB1" w:rsidRDefault="18A41FB1" w14:paraId="27B4FFD5" w14:textId="1FCD8B8C">
      <w:pPr>
        <w:spacing w:line="360" w:lineRule="auto"/>
        <w:jc w:val="center"/>
        <w:rPr>
          <w:rFonts w:ascii="Arial" w:hAnsi="Arial" w:cs="Arial"/>
          <w:b w:val="1"/>
          <w:bCs w:val="1"/>
          <w:sz w:val="22"/>
          <w:szCs w:val="22"/>
        </w:rPr>
      </w:pPr>
    </w:p>
    <w:p w:rsidR="18A41FB1" w:rsidP="18A41FB1" w:rsidRDefault="18A41FB1" w14:paraId="4DFF0781" w14:textId="0393748D">
      <w:pPr>
        <w:spacing w:line="360" w:lineRule="auto"/>
        <w:jc w:val="center"/>
        <w:rPr>
          <w:rFonts w:ascii="Arial" w:hAnsi="Arial" w:cs="Arial"/>
          <w:b w:val="1"/>
          <w:bCs w:val="1"/>
          <w:sz w:val="22"/>
          <w:szCs w:val="22"/>
        </w:rPr>
      </w:pPr>
    </w:p>
    <w:p w:rsidRPr="00162D38" w:rsidR="00162D38" w:rsidP="003F0D85" w:rsidRDefault="00162D38" w14:paraId="4CED4C05" w14:textId="6A30FD5B">
      <w:pPr>
        <w:spacing w:line="360" w:lineRule="auto"/>
        <w:jc w:val="center"/>
        <w:rPr>
          <w:rFonts w:ascii="Arial" w:hAnsi="Arial" w:cs="Arial"/>
          <w:b w:val="1"/>
          <w:bCs w:val="1"/>
          <w:sz w:val="22"/>
          <w:szCs w:val="22"/>
        </w:rPr>
      </w:pPr>
      <w:r w:rsidRPr="18A41FB1" w:rsidR="3F7684A1">
        <w:rPr>
          <w:rFonts w:ascii="Arial" w:hAnsi="Arial" w:cs="Arial"/>
          <w:b w:val="1"/>
          <w:bCs w:val="1"/>
          <w:sz w:val="22"/>
          <w:szCs w:val="22"/>
        </w:rPr>
        <w:t>Critical Evaluation of the NHS App as a Digital Innovation in UK Health and Social</w:t>
      </w:r>
      <w:r w:rsidRPr="18A41FB1" w:rsidR="3F7684A1">
        <w:rPr>
          <w:rFonts w:ascii="Arial" w:hAnsi="Arial" w:cs="Arial"/>
          <w:b w:val="1"/>
          <w:bCs w:val="1"/>
          <w:sz w:val="22"/>
          <w:szCs w:val="22"/>
        </w:rPr>
        <w:t xml:space="preserve"> Care</w:t>
      </w:r>
    </w:p>
    <w:p w:rsidRPr="00162D38" w:rsidR="00162D38" w:rsidP="003F0D85" w:rsidRDefault="00162D38" w14:paraId="468A307C" w14:textId="77777777">
      <w:pPr>
        <w:spacing w:line="360" w:lineRule="auto"/>
        <w:jc w:val="both"/>
        <w:rPr>
          <w:rFonts w:ascii="Arial" w:hAnsi="Arial" w:cs="Arial"/>
          <w:b/>
          <w:bCs/>
          <w:sz w:val="22"/>
          <w:szCs w:val="22"/>
        </w:rPr>
      </w:pPr>
      <w:r w:rsidRPr="00162D38">
        <w:rPr>
          <w:rFonts w:ascii="Arial" w:hAnsi="Arial" w:cs="Arial"/>
          <w:b/>
          <w:bCs/>
          <w:sz w:val="22"/>
          <w:szCs w:val="22"/>
        </w:rPr>
        <w:t>Introduction</w:t>
      </w:r>
    </w:p>
    <w:p w:rsidRPr="00162D38" w:rsidR="00162D38" w:rsidP="003F0D85" w:rsidRDefault="00162D38" w14:paraId="3E72E8A1" w14:textId="79A4267E">
      <w:pPr>
        <w:spacing w:line="360" w:lineRule="auto"/>
        <w:jc w:val="both"/>
        <w:rPr>
          <w:rFonts w:ascii="Arial" w:hAnsi="Arial" w:cs="Arial"/>
          <w:sz w:val="22"/>
          <w:szCs w:val="22"/>
        </w:rPr>
      </w:pPr>
      <w:r w:rsidRPr="18A41FB1" w:rsidR="3F7684A1">
        <w:rPr>
          <w:rFonts w:ascii="Arial" w:hAnsi="Arial" w:cs="Arial"/>
          <w:sz w:val="22"/>
          <w:szCs w:val="22"/>
        </w:rPr>
        <w:t xml:space="preserve">The NHS App is a significant digital innovation in English healthcare because it shifts some routine access to NHS services from telephone and face-to-face systems into a patient-facing digital platform. Launched nationally in England from </w:t>
      </w:r>
      <w:r w:rsidRPr="18A41FB1" w:rsidR="3F7684A1">
        <w:rPr>
          <w:rFonts w:ascii="Arial" w:hAnsi="Arial" w:cs="Arial"/>
          <w:color w:val="auto"/>
          <w:sz w:val="22"/>
          <w:szCs w:val="22"/>
        </w:rPr>
        <w:t>2018</w:t>
      </w:r>
      <w:r w:rsidRPr="18A41FB1" w:rsidR="3F7684A1">
        <w:rPr>
          <w:rFonts w:ascii="Arial" w:hAnsi="Arial" w:cs="Arial"/>
          <w:sz w:val="22"/>
          <w:szCs w:val="22"/>
        </w:rPr>
        <w:t>, the app enables users to access services such as repeat prescription ordering, appointment management, NHS 111 online, organ donation preferences, vaccination records and elements of their GP health record (</w:t>
      </w:r>
      <w:r w:rsidRPr="18A41FB1" w:rsidR="3F7684A1">
        <w:rPr>
          <w:rFonts w:ascii="Arial" w:hAnsi="Arial" w:cs="Arial"/>
          <w:sz w:val="22"/>
          <w:szCs w:val="22"/>
        </w:rPr>
        <w:t>Reidy et al.</w:t>
      </w:r>
      <w:r w:rsidRPr="18A41FB1" w:rsidR="3F7684A1">
        <w:rPr>
          <w:rFonts w:ascii="Arial" w:hAnsi="Arial" w:cs="Arial"/>
          <w:sz w:val="22"/>
          <w:szCs w:val="22"/>
        </w:rPr>
        <w:t>, 202</w:t>
      </w:r>
      <w:r w:rsidRPr="18A41FB1" w:rsidR="3F7684A1">
        <w:rPr>
          <w:rFonts w:ascii="Arial" w:hAnsi="Arial" w:cs="Arial"/>
          <w:sz w:val="22"/>
          <w:szCs w:val="22"/>
        </w:rPr>
        <w:t>5</w:t>
      </w:r>
      <w:r w:rsidRPr="18A41FB1" w:rsidR="3F7684A1">
        <w:rPr>
          <w:rFonts w:ascii="Arial" w:hAnsi="Arial" w:cs="Arial"/>
          <w:sz w:val="22"/>
          <w:szCs w:val="22"/>
        </w:rPr>
        <w:t>). This makes the NHS App a valid innovation for evaluation because it was introduced within the last ten years and has been embedded into routine health service delivery.</w:t>
      </w:r>
    </w:p>
    <w:p w:rsidRPr="00162D38" w:rsidR="00162D38" w:rsidP="003F0D85" w:rsidRDefault="00162D38" w14:paraId="59532B53" w14:textId="19667F28">
      <w:pPr>
        <w:spacing w:line="360" w:lineRule="auto"/>
        <w:jc w:val="both"/>
        <w:rPr>
          <w:rFonts w:ascii="Arial" w:hAnsi="Arial" w:cs="Arial"/>
          <w:sz w:val="22"/>
          <w:szCs w:val="22"/>
        </w:rPr>
      </w:pPr>
      <w:r w:rsidRPr="00162D38">
        <w:rPr>
          <w:rFonts w:ascii="Arial" w:hAnsi="Arial" w:cs="Arial"/>
          <w:sz w:val="22"/>
          <w:szCs w:val="22"/>
        </w:rPr>
        <w:t>The app also reflects wider policy ambitions. The Department of Health and Social Care describes digital transformation as central to improving access, efficiency and integration across health and social care</w:t>
      </w:r>
      <w:r w:rsidR="00435584">
        <w:rPr>
          <w:rFonts w:ascii="Arial" w:hAnsi="Arial" w:cs="Arial"/>
          <w:sz w:val="22"/>
          <w:szCs w:val="22"/>
        </w:rPr>
        <w:t xml:space="preserve"> (Davis and Hobbs, 2022)</w:t>
      </w:r>
      <w:r w:rsidRPr="00162D38">
        <w:rPr>
          <w:rFonts w:ascii="Arial" w:hAnsi="Arial" w:cs="Arial"/>
          <w:sz w:val="22"/>
          <w:szCs w:val="22"/>
        </w:rPr>
        <w:t>. Similarly, the What Good Looks Like framework identifies digital access, data use and digitally capable leadership as core requirements for NHS organisations (</w:t>
      </w:r>
      <w:r w:rsidRPr="00435584" w:rsidR="00435584">
        <w:rPr>
          <w:rFonts w:ascii="Arial" w:hAnsi="Arial" w:cs="Arial"/>
          <w:sz w:val="22"/>
          <w:szCs w:val="22"/>
        </w:rPr>
        <w:t>Acharya</w:t>
      </w:r>
      <w:r w:rsidR="00435584">
        <w:rPr>
          <w:rFonts w:ascii="Arial" w:hAnsi="Arial" w:cs="Arial"/>
          <w:sz w:val="22"/>
          <w:szCs w:val="22"/>
        </w:rPr>
        <w:t xml:space="preserve"> et al.</w:t>
      </w:r>
      <w:r w:rsidRPr="00162D38">
        <w:rPr>
          <w:rFonts w:ascii="Arial" w:hAnsi="Arial" w:cs="Arial"/>
          <w:sz w:val="22"/>
          <w:szCs w:val="22"/>
        </w:rPr>
        <w:t>, 202</w:t>
      </w:r>
      <w:r w:rsidR="00435584">
        <w:rPr>
          <w:rFonts w:ascii="Arial" w:hAnsi="Arial" w:cs="Arial"/>
          <w:sz w:val="22"/>
          <w:szCs w:val="22"/>
        </w:rPr>
        <w:t>4</w:t>
      </w:r>
      <w:r w:rsidRPr="00162D38">
        <w:rPr>
          <w:rFonts w:ascii="Arial" w:hAnsi="Arial" w:cs="Arial"/>
          <w:sz w:val="22"/>
          <w:szCs w:val="22"/>
        </w:rPr>
        <w:t>). However, digital transformation should not be judged only by scale of adoption. Greenhalgh et al. (2017) argue that digital health technologies often fail when implementation ignores complexity, including workforce readiness, organisational context, patient capability and long-term sustainability.</w:t>
      </w:r>
    </w:p>
    <w:p w:rsidRPr="00162D38" w:rsidR="00162D38" w:rsidP="003F0D85" w:rsidRDefault="00162D38" w14:paraId="66B1E9E3" w14:textId="77777777">
      <w:pPr>
        <w:spacing w:line="360" w:lineRule="auto"/>
        <w:jc w:val="both"/>
        <w:rPr>
          <w:rFonts w:ascii="Arial" w:hAnsi="Arial" w:cs="Arial"/>
          <w:sz w:val="22"/>
          <w:szCs w:val="22"/>
        </w:rPr>
      </w:pPr>
      <w:r w:rsidRPr="00162D38">
        <w:rPr>
          <w:rFonts w:ascii="Arial" w:hAnsi="Arial" w:cs="Arial"/>
          <w:sz w:val="22"/>
          <w:szCs w:val="22"/>
        </w:rPr>
        <w:t>This report critically evaluates the NHS App in relation to three areas: workforce, service delivery and patient/service-user experience. It argues that the NHS App has improved convenience and created opportunities for more efficient care, but its benefits are limited by digital exclusion, increased digital workload, interoperability issues and continuing concerns about data governance.</w:t>
      </w:r>
    </w:p>
    <w:p w:rsidRPr="00162D38" w:rsidR="00162D38" w:rsidP="003F0D85" w:rsidRDefault="00162D38" w14:paraId="5266A864" w14:textId="77777777">
      <w:pPr>
        <w:spacing w:line="360" w:lineRule="auto"/>
        <w:jc w:val="both"/>
        <w:rPr>
          <w:rFonts w:ascii="Arial" w:hAnsi="Arial" w:cs="Arial"/>
          <w:b/>
          <w:bCs/>
          <w:sz w:val="22"/>
          <w:szCs w:val="22"/>
        </w:rPr>
      </w:pPr>
      <w:r w:rsidRPr="00162D38">
        <w:rPr>
          <w:rFonts w:ascii="Arial" w:hAnsi="Arial" w:cs="Arial"/>
          <w:b/>
          <w:bCs/>
          <w:sz w:val="22"/>
          <w:szCs w:val="22"/>
        </w:rPr>
        <w:t>Workforce Impact</w:t>
      </w:r>
    </w:p>
    <w:p w:rsidRPr="00162D38" w:rsidR="00162D38" w:rsidP="003F0D85" w:rsidRDefault="00162D38" w14:paraId="4756F8FE" w14:textId="44D73108">
      <w:pPr>
        <w:spacing w:line="360" w:lineRule="auto"/>
        <w:jc w:val="both"/>
        <w:rPr>
          <w:rFonts w:ascii="Arial" w:hAnsi="Arial" w:cs="Arial"/>
          <w:sz w:val="22"/>
          <w:szCs w:val="22"/>
        </w:rPr>
      </w:pPr>
      <w:r w:rsidRPr="00162D38">
        <w:rPr>
          <w:rFonts w:ascii="Arial" w:hAnsi="Arial" w:cs="Arial"/>
          <w:sz w:val="22"/>
          <w:szCs w:val="22"/>
        </w:rPr>
        <w:t>The NHS App has changed the work of healthcare professionals and administrative staff, particularly in primary care. Before digital access routes became more common, tasks such as booking appointments, processing repeat prescriptions and responding to routine patient enquiries were largely managed through telephone calls, reception desks and paper-based workflows</w:t>
      </w:r>
      <w:r w:rsidR="00435584">
        <w:rPr>
          <w:rFonts w:ascii="Arial" w:hAnsi="Arial" w:cs="Arial"/>
          <w:sz w:val="22"/>
          <w:szCs w:val="22"/>
        </w:rPr>
        <w:t xml:space="preserve"> (</w:t>
      </w:r>
      <w:r w:rsidRPr="00435584" w:rsidR="00435584">
        <w:rPr>
          <w:rFonts w:ascii="Arial" w:hAnsi="Arial" w:cs="Arial"/>
          <w:sz w:val="22"/>
          <w:szCs w:val="22"/>
        </w:rPr>
        <w:t>Atherton</w:t>
      </w:r>
      <w:r w:rsidR="00435584">
        <w:rPr>
          <w:rFonts w:ascii="Arial" w:hAnsi="Arial" w:cs="Arial"/>
          <w:sz w:val="22"/>
          <w:szCs w:val="22"/>
        </w:rPr>
        <w:t xml:space="preserve"> et al., 2024)</w:t>
      </w:r>
      <w:r w:rsidRPr="00162D38">
        <w:rPr>
          <w:rFonts w:ascii="Arial" w:hAnsi="Arial" w:cs="Arial"/>
          <w:sz w:val="22"/>
          <w:szCs w:val="22"/>
        </w:rPr>
        <w:t>. The NHS App transfers some of this activity to patients, allowing them to order repeat prescriptions, view information and manage some interactions without contacting the practice directly (</w:t>
      </w:r>
      <w:r w:rsidR="00435584">
        <w:rPr>
          <w:rFonts w:ascii="Arial" w:hAnsi="Arial" w:cs="Arial"/>
          <w:sz w:val="22"/>
          <w:szCs w:val="22"/>
        </w:rPr>
        <w:t>Reidy et al.</w:t>
      </w:r>
      <w:r w:rsidRPr="00162D38">
        <w:rPr>
          <w:rFonts w:ascii="Arial" w:hAnsi="Arial" w:cs="Arial"/>
          <w:sz w:val="22"/>
          <w:szCs w:val="22"/>
        </w:rPr>
        <w:t>, 202</w:t>
      </w:r>
      <w:r w:rsidR="00435584">
        <w:rPr>
          <w:rFonts w:ascii="Arial" w:hAnsi="Arial" w:cs="Arial"/>
          <w:sz w:val="22"/>
          <w:szCs w:val="22"/>
        </w:rPr>
        <w:t>5</w:t>
      </w:r>
      <w:r w:rsidRPr="00162D38">
        <w:rPr>
          <w:rFonts w:ascii="Arial" w:hAnsi="Arial" w:cs="Arial"/>
          <w:sz w:val="22"/>
          <w:szCs w:val="22"/>
        </w:rPr>
        <w:t>). In theory, this reduces administrative pressure and allows staff to focus on patients with more complex needs.</w:t>
      </w:r>
    </w:p>
    <w:p w:rsidRPr="00162D38" w:rsidR="00162D38" w:rsidP="003F0D85" w:rsidRDefault="00162D38" w14:paraId="6E9AFAFE" w14:textId="727065ED">
      <w:pPr>
        <w:spacing w:line="360" w:lineRule="auto"/>
        <w:jc w:val="both"/>
        <w:rPr>
          <w:rFonts w:ascii="Arial" w:hAnsi="Arial" w:cs="Arial"/>
          <w:sz w:val="22"/>
          <w:szCs w:val="22"/>
        </w:rPr>
      </w:pPr>
      <w:r w:rsidRPr="00162D38">
        <w:rPr>
          <w:rFonts w:ascii="Arial" w:hAnsi="Arial" w:cs="Arial"/>
          <w:sz w:val="22"/>
          <w:szCs w:val="22"/>
        </w:rPr>
        <w:t>This benefit is important because general practice has experienced sustained workload pressure. The NHS App can reduce some transactional work, particularly where patients use it for repeat prescriptions rather than calling reception staff</w:t>
      </w:r>
      <w:r w:rsidR="006A5CA0">
        <w:rPr>
          <w:rFonts w:ascii="Arial" w:hAnsi="Arial" w:cs="Arial"/>
          <w:sz w:val="22"/>
          <w:szCs w:val="22"/>
        </w:rPr>
        <w:t xml:space="preserve"> (Greaves et al., 2026)</w:t>
      </w:r>
      <w:r w:rsidRPr="00162D38">
        <w:rPr>
          <w:rFonts w:ascii="Arial" w:hAnsi="Arial" w:cs="Arial"/>
          <w:sz w:val="22"/>
          <w:szCs w:val="22"/>
        </w:rPr>
        <w:t>. However, it would be simplistic to claim that the app automatically reduces workload. Greenhalgh et al. (2017) warn that digital innovations often redistribute work rather than remove it. In the NHS App context, staff may spend less time on some telephone requests but more time supporting patients who cannot log in, correcting record-access issues, explaining digital processes or managing online demand. Therefore, the workforce impact is better understood as a reconfiguration of labour rather than a straightforward reduction in workload.</w:t>
      </w:r>
    </w:p>
    <w:p w:rsidRPr="00162D38" w:rsidR="00162D38" w:rsidP="003F0D85" w:rsidRDefault="00162D38" w14:paraId="4A9BD07E" w14:textId="77777777">
      <w:pPr>
        <w:spacing w:line="360" w:lineRule="auto"/>
        <w:jc w:val="both"/>
        <w:rPr>
          <w:rFonts w:ascii="Arial" w:hAnsi="Arial" w:cs="Arial"/>
          <w:sz w:val="22"/>
          <w:szCs w:val="22"/>
        </w:rPr>
      </w:pPr>
      <w:r w:rsidRPr="00162D38">
        <w:rPr>
          <w:rFonts w:ascii="Arial" w:hAnsi="Arial" w:cs="Arial"/>
          <w:sz w:val="22"/>
          <w:szCs w:val="22"/>
        </w:rPr>
        <w:t>The app also requires new digital competencies. The Topol Review argued that NHS staff need education and support to work safely with digital technologies, data-driven systems and patient-facing digital tools (Topol, 2019). This is directly relevant to the NHS App because staff must understand not only how the app functions, but also how it affects confidentiality, patient communication and clinical responsibility. For example, when patients access parts of their records, staff must ensure information is accurate, understandable and appropriately coded. This creates a professional responsibility to maintain high-quality digital records, not just traditional clinical notes.</w:t>
      </w:r>
    </w:p>
    <w:p w:rsidRPr="00162D38" w:rsidR="00162D38" w:rsidP="003F0D85" w:rsidRDefault="00162D38" w14:paraId="569A531B" w14:textId="0FD3B7B7">
      <w:pPr>
        <w:spacing w:line="360" w:lineRule="auto"/>
        <w:jc w:val="both"/>
        <w:rPr>
          <w:rFonts w:ascii="Arial" w:hAnsi="Arial" w:cs="Arial"/>
          <w:sz w:val="22"/>
          <w:szCs w:val="22"/>
        </w:rPr>
      </w:pPr>
      <w:r w:rsidRPr="00162D38">
        <w:rPr>
          <w:rFonts w:ascii="Arial" w:hAnsi="Arial" w:cs="Arial"/>
          <w:sz w:val="22"/>
          <w:szCs w:val="22"/>
        </w:rPr>
        <w:t>There are positive implications. Digitally confident staff can use the NHS App to encourage self-management, reduce avoidable administrative contacts and support more informed conversations with patients</w:t>
      </w:r>
      <w:r w:rsidR="006A5CA0">
        <w:rPr>
          <w:rFonts w:ascii="Arial" w:hAnsi="Arial" w:cs="Arial"/>
          <w:sz w:val="22"/>
          <w:szCs w:val="22"/>
        </w:rPr>
        <w:t xml:space="preserve"> (Gavin et al., 2024)</w:t>
      </w:r>
      <w:r w:rsidRPr="00162D38">
        <w:rPr>
          <w:rFonts w:ascii="Arial" w:hAnsi="Arial" w:cs="Arial"/>
          <w:sz w:val="22"/>
          <w:szCs w:val="22"/>
        </w:rPr>
        <w:t>. This aligns with person-centred care because patients can arrive at consultations with greater awareness of medications, test results or referral information. However, the workforce benefits depend heavily on training and organisational support. Wachter (2016), reviewing NHS health information technology, argued that digital systems are most effective when implementation is accompanied by workflow redesign, leadership and staff engagement. Without these, digital tools risk becoming an additional burden.</w:t>
      </w:r>
    </w:p>
    <w:p w:rsidRPr="00162D38" w:rsidR="00162D38" w:rsidP="003F0D85" w:rsidRDefault="00162D38" w14:paraId="79730AC5" w14:textId="77777777">
      <w:pPr>
        <w:spacing w:line="360" w:lineRule="auto"/>
        <w:jc w:val="both"/>
        <w:rPr>
          <w:rFonts w:ascii="Arial" w:hAnsi="Arial" w:cs="Arial"/>
          <w:sz w:val="22"/>
          <w:szCs w:val="22"/>
        </w:rPr>
      </w:pPr>
      <w:r w:rsidRPr="00162D38">
        <w:rPr>
          <w:rFonts w:ascii="Arial" w:hAnsi="Arial" w:cs="Arial"/>
          <w:sz w:val="22"/>
          <w:szCs w:val="22"/>
        </w:rPr>
        <w:t>Resistance to change is also important. Staff may be sceptical if digital systems are introduced as a solution to workload pressures without addressing staffing shortages or service demand. This is particularly relevant because digital tools can create unrealistic expectations that patients will receive faster responses simply because access is online. Greenhalgh et al. (2020) argue that digital healthcare must be matched to clinical need rather than adopted as a universal replacement for traditional care. Applied to the NHS App, this suggests that staff need clear protocols about which tasks can be safely managed digitally and which require direct professional input.</w:t>
      </w:r>
    </w:p>
    <w:p w:rsidRPr="00162D38" w:rsidR="00162D38" w:rsidP="003F0D85" w:rsidRDefault="00162D38" w14:paraId="4D713136" w14:textId="77777777">
      <w:pPr>
        <w:spacing w:line="360" w:lineRule="auto"/>
        <w:jc w:val="both"/>
        <w:rPr>
          <w:rFonts w:ascii="Arial" w:hAnsi="Arial" w:cs="Arial"/>
          <w:sz w:val="22"/>
          <w:szCs w:val="22"/>
        </w:rPr>
      </w:pPr>
      <w:r w:rsidRPr="00162D38">
        <w:rPr>
          <w:rFonts w:ascii="Arial" w:hAnsi="Arial" w:cs="Arial"/>
          <w:sz w:val="22"/>
          <w:szCs w:val="22"/>
        </w:rPr>
        <w:t>Overall, the NHS App has created workforce benefits by automating some routine administrative processes and supporting patient self-service. However, it has also increased the need for digital literacy, technical support and careful information governance. Its workforce impact is therefore mixed: it can improve efficiency, but only when staff are properly trained and when digital work is recognised as real work rather than invisible labour.</w:t>
      </w:r>
    </w:p>
    <w:p w:rsidRPr="00162D38" w:rsidR="00162D38" w:rsidP="003F0D85" w:rsidRDefault="00162D38" w14:paraId="0A79B206" w14:textId="77777777">
      <w:pPr>
        <w:spacing w:line="360" w:lineRule="auto"/>
        <w:jc w:val="both"/>
        <w:rPr>
          <w:rFonts w:ascii="Arial" w:hAnsi="Arial" w:cs="Arial"/>
          <w:b/>
          <w:bCs/>
          <w:sz w:val="22"/>
          <w:szCs w:val="22"/>
        </w:rPr>
      </w:pPr>
      <w:r w:rsidRPr="00162D38">
        <w:rPr>
          <w:rFonts w:ascii="Arial" w:hAnsi="Arial" w:cs="Arial"/>
          <w:b/>
          <w:bCs/>
          <w:sz w:val="22"/>
          <w:szCs w:val="22"/>
        </w:rPr>
        <w:t>Service Delivery Impact</w:t>
      </w:r>
    </w:p>
    <w:p w:rsidRPr="00162D38" w:rsidR="00162D38" w:rsidP="003F0D85" w:rsidRDefault="00162D38" w14:paraId="79AF35A4" w14:textId="15C1EA01">
      <w:pPr>
        <w:spacing w:line="360" w:lineRule="auto"/>
        <w:jc w:val="both"/>
        <w:rPr>
          <w:rFonts w:ascii="Arial" w:hAnsi="Arial" w:cs="Arial"/>
          <w:sz w:val="22"/>
          <w:szCs w:val="22"/>
        </w:rPr>
      </w:pPr>
      <w:r w:rsidRPr="00162D38">
        <w:rPr>
          <w:rFonts w:ascii="Arial" w:hAnsi="Arial" w:cs="Arial"/>
          <w:sz w:val="22"/>
          <w:szCs w:val="22"/>
        </w:rPr>
        <w:t xml:space="preserve">The NHS App has changed service delivery by creating a single digital route through which patients can access several NHS services. This supports the policy aim of creating a more digitally enabled and integrated health service. </w:t>
      </w:r>
      <w:r w:rsidR="006A5CA0">
        <w:rPr>
          <w:rFonts w:ascii="Arial" w:hAnsi="Arial" w:cs="Arial"/>
          <w:sz w:val="22"/>
          <w:szCs w:val="22"/>
        </w:rPr>
        <w:t>Greaves et al.</w:t>
      </w:r>
      <w:r w:rsidRPr="00162D38">
        <w:rPr>
          <w:rFonts w:ascii="Arial" w:hAnsi="Arial" w:cs="Arial"/>
          <w:sz w:val="22"/>
          <w:szCs w:val="22"/>
        </w:rPr>
        <w:t xml:space="preserve"> (202</w:t>
      </w:r>
      <w:r w:rsidR="006A5CA0">
        <w:rPr>
          <w:rFonts w:ascii="Arial" w:hAnsi="Arial" w:cs="Arial"/>
          <w:sz w:val="22"/>
          <w:szCs w:val="22"/>
        </w:rPr>
        <w:t>6</w:t>
      </w:r>
      <w:r w:rsidRPr="00162D38">
        <w:rPr>
          <w:rFonts w:ascii="Arial" w:hAnsi="Arial" w:cs="Arial"/>
          <w:sz w:val="22"/>
          <w:szCs w:val="22"/>
        </w:rPr>
        <w:t>) identifies the NHS App as part of a wider ambition to improve digital access and make health services easier for the public to navigate. From a service delivery perspective, this is significant because patients no longer need to rely only on telephone access or face-to-face administration for routine tasks.</w:t>
      </w:r>
    </w:p>
    <w:p w:rsidRPr="00162D38" w:rsidR="00162D38" w:rsidP="003F0D85" w:rsidRDefault="00162D38" w14:paraId="51A9CDE3" w14:textId="35DD98F6">
      <w:pPr>
        <w:spacing w:line="360" w:lineRule="auto"/>
        <w:jc w:val="both"/>
        <w:rPr>
          <w:rFonts w:ascii="Arial" w:hAnsi="Arial" w:cs="Arial"/>
          <w:sz w:val="22"/>
          <w:szCs w:val="22"/>
        </w:rPr>
      </w:pPr>
      <w:r w:rsidRPr="00162D38">
        <w:rPr>
          <w:rFonts w:ascii="Arial" w:hAnsi="Arial" w:cs="Arial"/>
          <w:sz w:val="22"/>
          <w:szCs w:val="22"/>
        </w:rPr>
        <w:t>One clear service delivery benefit is improved convenience. Patients can request repeat prescriptions, access NHS 111 online and view parts of their record outside normal surgery opening times</w:t>
      </w:r>
      <w:r w:rsidR="006A5CA0">
        <w:rPr>
          <w:rFonts w:ascii="Arial" w:hAnsi="Arial" w:cs="Arial"/>
          <w:sz w:val="22"/>
          <w:szCs w:val="22"/>
        </w:rPr>
        <w:t xml:space="preserve"> (Turnbull et al., 2023)</w:t>
      </w:r>
      <w:r w:rsidRPr="00162D38">
        <w:rPr>
          <w:rFonts w:ascii="Arial" w:hAnsi="Arial" w:cs="Arial"/>
          <w:sz w:val="22"/>
          <w:szCs w:val="22"/>
        </w:rPr>
        <w:t>. This can reduce dependence on the “8am phone call” model that has been widely criticised in general practice. For patients who are digitally confident, the app can make routine care faster and less frustrating. It may also reduce duplication because patients can access information directly rather than repeatedly contacting staff for updates.</w:t>
      </w:r>
    </w:p>
    <w:p w:rsidRPr="00162D38" w:rsidR="00162D38" w:rsidP="003F0D85" w:rsidRDefault="00162D38" w14:paraId="7A4C5A4C" w14:textId="6CEB79CC">
      <w:pPr>
        <w:spacing w:line="360" w:lineRule="auto"/>
        <w:jc w:val="both"/>
        <w:rPr>
          <w:rFonts w:ascii="Arial" w:hAnsi="Arial" w:cs="Arial"/>
          <w:sz w:val="22"/>
          <w:szCs w:val="22"/>
        </w:rPr>
      </w:pPr>
      <w:r w:rsidRPr="00162D38">
        <w:rPr>
          <w:rFonts w:ascii="Arial" w:hAnsi="Arial" w:cs="Arial"/>
          <w:sz w:val="22"/>
          <w:szCs w:val="22"/>
        </w:rPr>
        <w:t>The app also supports the NHS policy direction towards prevention and self-management. By giving patients access to information, the app can encourage individuals to take a more active role in managing their health</w:t>
      </w:r>
      <w:r w:rsidR="00015E94">
        <w:rPr>
          <w:rFonts w:ascii="Arial" w:hAnsi="Arial" w:cs="Arial"/>
          <w:sz w:val="22"/>
          <w:szCs w:val="22"/>
        </w:rPr>
        <w:t xml:space="preserve"> (Forsyth et al., 2024)</w:t>
      </w:r>
      <w:r w:rsidRPr="00162D38">
        <w:rPr>
          <w:rFonts w:ascii="Arial" w:hAnsi="Arial" w:cs="Arial"/>
          <w:sz w:val="22"/>
          <w:szCs w:val="22"/>
        </w:rPr>
        <w:t>. This reflects the wider shift from paternalistic models of care towards shared decision-making. However, service delivery transformation is not achieved simply by giving patients access to digital information. As Greenhalgh et al. (2017) argue in the NASSS framework, successful digital innovation depends on the interaction between the technology, users, organisation and wider system. The NHS App may provide a technically useful platform, but its effectiveness depends on whether services are designed around it.</w:t>
      </w:r>
    </w:p>
    <w:p w:rsidRPr="00162D38" w:rsidR="00162D38" w:rsidP="003F0D85" w:rsidRDefault="00162D38" w14:paraId="5E3117D5" w14:textId="1A54043E">
      <w:pPr>
        <w:spacing w:line="360" w:lineRule="auto"/>
        <w:jc w:val="both"/>
        <w:rPr>
          <w:rFonts w:ascii="Arial" w:hAnsi="Arial" w:cs="Arial"/>
          <w:sz w:val="22"/>
          <w:szCs w:val="22"/>
        </w:rPr>
      </w:pPr>
      <w:r w:rsidRPr="00162D38">
        <w:rPr>
          <w:rFonts w:ascii="Arial" w:hAnsi="Arial" w:cs="Arial"/>
          <w:sz w:val="22"/>
          <w:szCs w:val="22"/>
        </w:rPr>
        <w:t>Interoperability is a major limitation. The NHS App provides a front-end interface, but it relies on underlying NHS systems that are often fragmented across general practice, hospitals, pharmacies and community services. Wachter (2016) noted that NHS digital transformation has historically been limited by poor interoperability and inconsistent implementation</w:t>
      </w:r>
      <w:r w:rsidR="00015E94">
        <w:rPr>
          <w:rFonts w:ascii="Arial" w:hAnsi="Arial" w:cs="Arial"/>
          <w:sz w:val="22"/>
          <w:szCs w:val="22"/>
        </w:rPr>
        <w:t xml:space="preserve"> (</w:t>
      </w:r>
      <w:r w:rsidRPr="00015E94" w:rsidR="00015E94">
        <w:rPr>
          <w:rFonts w:ascii="Arial" w:hAnsi="Arial" w:cs="Arial"/>
          <w:sz w:val="22"/>
          <w:szCs w:val="22"/>
        </w:rPr>
        <w:t>Atella and Chiari,</w:t>
      </w:r>
      <w:r w:rsidR="00015E94">
        <w:rPr>
          <w:rFonts w:ascii="Arial" w:hAnsi="Arial" w:cs="Arial"/>
          <w:sz w:val="22"/>
          <w:szCs w:val="22"/>
        </w:rPr>
        <w:t xml:space="preserve"> 2025)</w:t>
      </w:r>
      <w:r w:rsidRPr="00162D38">
        <w:rPr>
          <w:rFonts w:ascii="Arial" w:hAnsi="Arial" w:cs="Arial"/>
          <w:sz w:val="22"/>
          <w:szCs w:val="22"/>
        </w:rPr>
        <w:t>. This matters because a patient may experience the NHS App as a single digital doorway, while professionals behind the system still work across multiple platforms. If records, referrals or appointment systems do not connect effectively, the app may improve the appearance of access without fully resolving service fragmentation.</w:t>
      </w:r>
    </w:p>
    <w:p w:rsidRPr="00162D38" w:rsidR="00162D38" w:rsidP="003F0D85" w:rsidRDefault="00162D38" w14:paraId="1C6C3AE5" w14:textId="358934B7">
      <w:pPr>
        <w:spacing w:line="360" w:lineRule="auto"/>
        <w:jc w:val="both"/>
        <w:rPr>
          <w:rFonts w:ascii="Arial" w:hAnsi="Arial" w:cs="Arial"/>
          <w:sz w:val="22"/>
          <w:szCs w:val="22"/>
        </w:rPr>
      </w:pPr>
      <w:r w:rsidRPr="00162D38">
        <w:rPr>
          <w:rFonts w:ascii="Arial" w:hAnsi="Arial" w:cs="Arial"/>
          <w:sz w:val="22"/>
          <w:szCs w:val="22"/>
        </w:rPr>
        <w:t>There are also safety and reliability issues. A digital service becomes part of essential infrastructure once patients and staff depend on it. If systems fail, appointment booking, record access and prescription processes can be disrupted. This demonstrates that digital service delivery needs resilience planning, cybersecurity and contingency routes. The National Data Guardian (2016) emphasised that health and care organisations must maintain strong data security standards because digital health systems depend on public trust</w:t>
      </w:r>
      <w:r w:rsidR="00015E94">
        <w:rPr>
          <w:rFonts w:ascii="Arial" w:hAnsi="Arial" w:cs="Arial"/>
          <w:sz w:val="22"/>
          <w:szCs w:val="22"/>
        </w:rPr>
        <w:t xml:space="preserve"> (</w:t>
      </w:r>
      <w:r w:rsidRPr="00015E94" w:rsidR="00015E94">
        <w:rPr>
          <w:rFonts w:ascii="Arial" w:hAnsi="Arial" w:cs="Arial"/>
          <w:sz w:val="22"/>
          <w:szCs w:val="22"/>
        </w:rPr>
        <w:t>Gille, Smith, and Mays,</w:t>
      </w:r>
      <w:r w:rsidR="00015E94">
        <w:rPr>
          <w:rFonts w:ascii="Arial" w:hAnsi="Arial" w:cs="Arial"/>
          <w:sz w:val="22"/>
          <w:szCs w:val="22"/>
        </w:rPr>
        <w:t xml:space="preserve"> 2021)</w:t>
      </w:r>
      <w:r w:rsidRPr="00162D38">
        <w:rPr>
          <w:rFonts w:ascii="Arial" w:hAnsi="Arial" w:cs="Arial"/>
          <w:sz w:val="22"/>
          <w:szCs w:val="22"/>
        </w:rPr>
        <w:t>. For the NHS App, secure and reliable infrastructure is not an optional technical matter; it is central to safe care delivery.</w:t>
      </w:r>
    </w:p>
    <w:p w:rsidRPr="00162D38" w:rsidR="00162D38" w:rsidP="003F0D85" w:rsidRDefault="00162D38" w14:paraId="7F1C27F9" w14:textId="13FFEBAC">
      <w:pPr>
        <w:spacing w:line="360" w:lineRule="auto"/>
        <w:jc w:val="both"/>
        <w:rPr>
          <w:rFonts w:ascii="Arial" w:hAnsi="Arial" w:cs="Arial"/>
          <w:sz w:val="22"/>
          <w:szCs w:val="22"/>
        </w:rPr>
      </w:pPr>
      <w:r w:rsidRPr="00162D38">
        <w:rPr>
          <w:rFonts w:ascii="Arial" w:hAnsi="Arial" w:cs="Arial"/>
          <w:sz w:val="22"/>
          <w:szCs w:val="22"/>
        </w:rPr>
        <w:t>The app may also affect demand. Easier access can increase patient engagement, but it can also increase the volume of requests entering services. For example, if patients can submit requests more easily, practices may face greater demand even if each request is digitally submitted. This reflects Greenhalgh et al. (2017) argument that technologies can create unintended consequences when they are scaled across complex systems. Therefore, improved access must be balanced with capacity planning.</w:t>
      </w:r>
    </w:p>
    <w:p w:rsidRPr="00162D38" w:rsidR="00162D38" w:rsidP="003F0D85" w:rsidRDefault="00162D38" w14:paraId="763671EA" w14:textId="77777777">
      <w:pPr>
        <w:spacing w:line="360" w:lineRule="auto"/>
        <w:jc w:val="both"/>
        <w:rPr>
          <w:rFonts w:ascii="Arial" w:hAnsi="Arial" w:cs="Arial"/>
          <w:sz w:val="22"/>
          <w:szCs w:val="22"/>
        </w:rPr>
      </w:pPr>
      <w:r w:rsidRPr="00162D38">
        <w:rPr>
          <w:rFonts w:ascii="Arial" w:hAnsi="Arial" w:cs="Arial"/>
          <w:sz w:val="22"/>
          <w:szCs w:val="22"/>
        </w:rPr>
        <w:t>From a critical perspective, the NHS App has improved service delivery for many routine interactions, particularly prescriptions and information access. However, it does not automatically solve the deeper pressures facing NHS services, including workforce shortages, waiting lists and fragmented IT systems. Its success depends on whether digital access is integrated with safe clinical pathways, reliable infrastructure and non-digital alternatives for those who need them.</w:t>
      </w:r>
    </w:p>
    <w:p w:rsidRPr="00162D38" w:rsidR="00162D38" w:rsidP="003F0D85" w:rsidRDefault="00162D38" w14:paraId="21BD24F5" w14:textId="77777777">
      <w:pPr>
        <w:spacing w:line="360" w:lineRule="auto"/>
        <w:jc w:val="both"/>
        <w:rPr>
          <w:rFonts w:ascii="Arial" w:hAnsi="Arial" w:cs="Arial"/>
          <w:b/>
          <w:bCs/>
          <w:sz w:val="22"/>
          <w:szCs w:val="22"/>
        </w:rPr>
      </w:pPr>
      <w:r w:rsidRPr="00162D38">
        <w:rPr>
          <w:rFonts w:ascii="Arial" w:hAnsi="Arial" w:cs="Arial"/>
          <w:b/>
          <w:bCs/>
          <w:sz w:val="22"/>
          <w:szCs w:val="22"/>
        </w:rPr>
        <w:t>Patient and Service-User Impact</w:t>
      </w:r>
    </w:p>
    <w:p w:rsidRPr="00162D38" w:rsidR="00162D38" w:rsidP="003F0D85" w:rsidRDefault="00162D38" w14:paraId="703F83B9" w14:textId="246E958F">
      <w:pPr>
        <w:spacing w:line="360" w:lineRule="auto"/>
        <w:jc w:val="both"/>
        <w:rPr>
          <w:rFonts w:ascii="Arial" w:hAnsi="Arial" w:cs="Arial"/>
          <w:sz w:val="22"/>
          <w:szCs w:val="22"/>
        </w:rPr>
      </w:pPr>
      <w:r w:rsidRPr="00162D38">
        <w:rPr>
          <w:rFonts w:ascii="Arial" w:hAnsi="Arial" w:cs="Arial"/>
          <w:sz w:val="22"/>
          <w:szCs w:val="22"/>
        </w:rPr>
        <w:t>For patients and service users, the NHS App offers greater convenience, autonomy and access to personal health information. This is one of its strongest benefits. Patients can use the app to manage repeat prescriptions, access services and view elements of their health record without needing to telephone or visit their GP practice (</w:t>
      </w:r>
      <w:r w:rsidR="00015E94">
        <w:rPr>
          <w:rFonts w:ascii="Arial" w:hAnsi="Arial" w:cs="Arial"/>
          <w:sz w:val="22"/>
          <w:szCs w:val="22"/>
        </w:rPr>
        <w:t>Greaves et al.</w:t>
      </w:r>
      <w:r w:rsidRPr="00162D38">
        <w:rPr>
          <w:rFonts w:ascii="Arial" w:hAnsi="Arial" w:cs="Arial"/>
          <w:sz w:val="22"/>
          <w:szCs w:val="22"/>
        </w:rPr>
        <w:t>, 202</w:t>
      </w:r>
      <w:r w:rsidR="00015E94">
        <w:rPr>
          <w:rFonts w:ascii="Arial" w:hAnsi="Arial" w:cs="Arial"/>
          <w:sz w:val="22"/>
          <w:szCs w:val="22"/>
        </w:rPr>
        <w:t>6</w:t>
      </w:r>
      <w:r w:rsidRPr="00162D38">
        <w:rPr>
          <w:rFonts w:ascii="Arial" w:hAnsi="Arial" w:cs="Arial"/>
          <w:sz w:val="22"/>
          <w:szCs w:val="22"/>
        </w:rPr>
        <w:t>). For people with long-term conditions, this can support self-management because medication information, appointments and records may be easier to monitor.</w:t>
      </w:r>
    </w:p>
    <w:p w:rsidRPr="00162D38" w:rsidR="00162D38" w:rsidP="003F0D85" w:rsidRDefault="00162D38" w14:paraId="4FAD3D4D" w14:textId="77777777">
      <w:pPr>
        <w:spacing w:line="360" w:lineRule="auto"/>
        <w:jc w:val="both"/>
        <w:rPr>
          <w:rFonts w:ascii="Arial" w:hAnsi="Arial" w:cs="Arial"/>
          <w:sz w:val="22"/>
          <w:szCs w:val="22"/>
        </w:rPr>
      </w:pPr>
      <w:r w:rsidRPr="00162D38">
        <w:rPr>
          <w:rFonts w:ascii="Arial" w:hAnsi="Arial" w:cs="Arial"/>
          <w:sz w:val="22"/>
          <w:szCs w:val="22"/>
        </w:rPr>
        <w:t>The app may also improve patient empowerment. Access to health information can help patients become more involved in decisions about their care. This aligns with policy ambitions in Data Saves Lives, which argues that better use of health data can improve care, support innovation and enable people to have more control over their health information (DHSC, 2022b). However, empowerment should not be assumed. Information only empowers patients if it is understandable, accessible and linked to meaningful support. A patient who sees test results without explanation may feel anxious rather than empowered. Therefore, digital access must be accompanied by clear communication and appropriate professional guidance.</w:t>
      </w:r>
    </w:p>
    <w:p w:rsidRPr="00162D38" w:rsidR="00162D38" w:rsidP="003F0D85" w:rsidRDefault="00162D38" w14:paraId="44159ECB" w14:textId="77777777">
      <w:pPr>
        <w:spacing w:line="360" w:lineRule="auto"/>
        <w:jc w:val="both"/>
        <w:rPr>
          <w:rFonts w:ascii="Arial" w:hAnsi="Arial" w:cs="Arial"/>
          <w:sz w:val="22"/>
          <w:szCs w:val="22"/>
        </w:rPr>
      </w:pPr>
      <w:r w:rsidRPr="00162D38">
        <w:rPr>
          <w:rFonts w:ascii="Arial" w:hAnsi="Arial" w:cs="Arial"/>
          <w:sz w:val="22"/>
          <w:szCs w:val="22"/>
        </w:rPr>
        <w:t>Digital exclusion is the most significant patient-related limitation. The NHS App benefits people who have smartphones, internet access, confidence using digital services and sufficient English or health literacy. However, those who are older, disabled, socio-economically disadvantaged, homeless, or unfamiliar with digital technology may struggle to benefit. This creates a risk that digital transformation improves access for already advantaged groups while worsening barriers for others. Greenhalgh et al. (2020) warn that remote and digital healthcare can widen inequalities if services are not designed around the needs of marginalised groups.</w:t>
      </w:r>
    </w:p>
    <w:p w:rsidRPr="00162D38" w:rsidR="00162D38" w:rsidP="003F0D85" w:rsidRDefault="00162D38" w14:paraId="0C79BA33" w14:textId="77777777">
      <w:pPr>
        <w:spacing w:line="360" w:lineRule="auto"/>
        <w:jc w:val="both"/>
        <w:rPr>
          <w:rFonts w:ascii="Arial" w:hAnsi="Arial" w:cs="Arial"/>
          <w:sz w:val="22"/>
          <w:szCs w:val="22"/>
        </w:rPr>
      </w:pPr>
      <w:r w:rsidRPr="00162D38">
        <w:rPr>
          <w:rFonts w:ascii="Arial" w:hAnsi="Arial" w:cs="Arial"/>
          <w:sz w:val="22"/>
          <w:szCs w:val="22"/>
        </w:rPr>
        <w:t>This is especially important because healthcare need is not evenly distributed. Groups most likely to experience poor health may also be more likely to experience digital exclusion. For example, older adults may have greater healthcare needs but lower confidence with app-based systems. Patients with learning disabilities, visual impairment or limited literacy may also find digital navigation difficult. Therefore, the NHS App should not replace telephone, face-to-face or community-based routes. If services become “digital by default” without realistic alternatives, patient choice may be reduced rather than increased.</w:t>
      </w:r>
    </w:p>
    <w:p w:rsidRPr="00162D38" w:rsidR="00162D38" w:rsidP="003F0D85" w:rsidRDefault="00162D38" w14:paraId="34E8F1F2" w14:textId="46746F89">
      <w:pPr>
        <w:spacing w:line="360" w:lineRule="auto"/>
        <w:jc w:val="both"/>
        <w:rPr>
          <w:rFonts w:ascii="Arial" w:hAnsi="Arial" w:cs="Arial"/>
          <w:sz w:val="22"/>
          <w:szCs w:val="22"/>
        </w:rPr>
      </w:pPr>
      <w:r w:rsidRPr="00162D38">
        <w:rPr>
          <w:rFonts w:ascii="Arial" w:hAnsi="Arial" w:cs="Arial"/>
          <w:sz w:val="22"/>
          <w:szCs w:val="22"/>
        </w:rPr>
        <w:t xml:space="preserve">Privacy and trust are also central to patient experience. The NHS App handles sensitive health information, meaning it must comply with UK GDPR and health data governance standards. </w:t>
      </w:r>
      <w:proofErr w:type="spellStart"/>
      <w:r w:rsidRPr="005F72E3" w:rsidR="005F72E3">
        <w:rPr>
          <w:rFonts w:ascii="Arial" w:hAnsi="Arial" w:cs="Arial"/>
          <w:sz w:val="22"/>
          <w:szCs w:val="22"/>
        </w:rPr>
        <w:t>Tzanou</w:t>
      </w:r>
      <w:proofErr w:type="spellEnd"/>
      <w:r w:rsidRPr="00162D38">
        <w:rPr>
          <w:rFonts w:ascii="Arial" w:hAnsi="Arial" w:cs="Arial"/>
          <w:sz w:val="22"/>
          <w:szCs w:val="22"/>
        </w:rPr>
        <w:t xml:space="preserve"> (2023) identifies health data as special category data requiring strong protection. This matters because public trust in NHS data use has previously been damaged by controversies around data-sharing programmes. The National Data Guardian (2016) argued that patients must be able to trust that confidential information is handled securely and transparently. For the NHS App, trust depends not only on technical security but also on clear communication about how data are used, who can access them and what choices patients have.</w:t>
      </w:r>
    </w:p>
    <w:p w:rsidRPr="00162D38" w:rsidR="00162D38" w:rsidP="003F0D85" w:rsidRDefault="00162D38" w14:paraId="6796AC53" w14:textId="4FB3ADC2">
      <w:pPr>
        <w:spacing w:line="360" w:lineRule="auto"/>
        <w:jc w:val="both"/>
        <w:rPr>
          <w:rFonts w:ascii="Arial" w:hAnsi="Arial" w:cs="Arial"/>
          <w:sz w:val="22"/>
          <w:szCs w:val="22"/>
        </w:rPr>
      </w:pPr>
      <w:r w:rsidRPr="00162D38">
        <w:rPr>
          <w:rFonts w:ascii="Arial" w:hAnsi="Arial" w:cs="Arial"/>
          <w:sz w:val="22"/>
          <w:szCs w:val="22"/>
        </w:rPr>
        <w:t>Patient experience is therefore mixed. For digitally confident users, the NHS App can increase convenience, reduce waiting on phone lines and support involvement in care. For digitally excluded users, it may create frustration, anxiety or reduced access</w:t>
      </w:r>
      <w:r w:rsidR="005F72E3">
        <w:rPr>
          <w:rFonts w:ascii="Arial" w:hAnsi="Arial" w:cs="Arial"/>
          <w:sz w:val="22"/>
          <w:szCs w:val="22"/>
        </w:rPr>
        <w:t xml:space="preserve"> (Reidy et al., 2025)</w:t>
      </w:r>
      <w:r w:rsidRPr="00162D38">
        <w:rPr>
          <w:rFonts w:ascii="Arial" w:hAnsi="Arial" w:cs="Arial"/>
          <w:sz w:val="22"/>
          <w:szCs w:val="22"/>
        </w:rPr>
        <w:t>. This means that high registration numbers should not be treated as proof of equitable success. A more critical measure is whether the app improves access across different age groups, ethnic groups, disability groups and levels of deprivation.</w:t>
      </w:r>
    </w:p>
    <w:p w:rsidRPr="00162D38" w:rsidR="00162D38" w:rsidP="003F0D85" w:rsidRDefault="00162D38" w14:paraId="1A5DDD12" w14:textId="77777777">
      <w:pPr>
        <w:spacing w:line="360" w:lineRule="auto"/>
        <w:jc w:val="both"/>
        <w:rPr>
          <w:rFonts w:ascii="Arial" w:hAnsi="Arial" w:cs="Arial"/>
          <w:sz w:val="22"/>
          <w:szCs w:val="22"/>
        </w:rPr>
      </w:pPr>
      <w:r w:rsidRPr="00162D38">
        <w:rPr>
          <w:rFonts w:ascii="Arial" w:hAnsi="Arial" w:cs="Arial"/>
          <w:sz w:val="22"/>
          <w:szCs w:val="22"/>
        </w:rPr>
        <w:t>Overall, the NHS App has the potential to improve patient autonomy and convenience, but only if inclusion is treated as a core safety and quality issue. The app should be part of a blended model of care, where digital access complements rather than replaces human support.</w:t>
      </w:r>
    </w:p>
    <w:p w:rsidRPr="00162D38" w:rsidR="00162D38" w:rsidP="003F0D85" w:rsidRDefault="00162D38" w14:paraId="1DF6CB1E" w14:textId="77777777">
      <w:pPr>
        <w:spacing w:line="360" w:lineRule="auto"/>
        <w:jc w:val="both"/>
        <w:rPr>
          <w:rFonts w:ascii="Arial" w:hAnsi="Arial" w:cs="Arial"/>
          <w:b/>
          <w:bCs/>
          <w:sz w:val="22"/>
          <w:szCs w:val="22"/>
        </w:rPr>
      </w:pPr>
      <w:r w:rsidRPr="00162D38">
        <w:rPr>
          <w:rFonts w:ascii="Arial" w:hAnsi="Arial" w:cs="Arial"/>
          <w:b/>
          <w:bCs/>
          <w:sz w:val="22"/>
          <w:szCs w:val="22"/>
        </w:rPr>
        <w:t>Conclusion and Recommendations</w:t>
      </w:r>
    </w:p>
    <w:p w:rsidRPr="00162D38" w:rsidR="00162D38" w:rsidP="003F0D85" w:rsidRDefault="00162D38" w14:paraId="1FDAEDA1" w14:textId="77777777">
      <w:pPr>
        <w:spacing w:line="360" w:lineRule="auto"/>
        <w:jc w:val="both"/>
        <w:rPr>
          <w:rFonts w:ascii="Arial" w:hAnsi="Arial" w:cs="Arial"/>
          <w:sz w:val="22"/>
          <w:szCs w:val="22"/>
        </w:rPr>
      </w:pPr>
      <w:r w:rsidRPr="00162D38">
        <w:rPr>
          <w:rFonts w:ascii="Arial" w:hAnsi="Arial" w:cs="Arial"/>
          <w:sz w:val="22"/>
          <w:szCs w:val="22"/>
        </w:rPr>
        <w:t>The NHS App is a major digital innovation within UK health care and meets the requirement of being introduced within the last ten years. It has changed workforce practices, service delivery and patient experience by shifting routine NHS interactions into a digital platform. Its strengths include improved convenience, increased patient access to information and potential reductions in some administrative tasks. It also aligns with national policy ambitions for digital health transformation.</w:t>
      </w:r>
    </w:p>
    <w:p w:rsidRPr="00162D38" w:rsidR="00162D38" w:rsidP="003F0D85" w:rsidRDefault="00162D38" w14:paraId="2CDB0804" w14:textId="3B1DBEA6">
      <w:pPr>
        <w:spacing w:line="360" w:lineRule="auto"/>
        <w:jc w:val="both"/>
        <w:rPr>
          <w:rFonts w:ascii="Arial" w:hAnsi="Arial" w:cs="Arial"/>
          <w:sz w:val="22"/>
          <w:szCs w:val="22"/>
        </w:rPr>
      </w:pPr>
      <w:r w:rsidRPr="00162D38">
        <w:rPr>
          <w:rFonts w:ascii="Arial" w:hAnsi="Arial" w:cs="Arial"/>
          <w:sz w:val="22"/>
          <w:szCs w:val="22"/>
        </w:rPr>
        <w:t>However, the NHS App should not be evaluated only through adoption figures or policy enthusiasm. Critical evidence from digital health implementation literature shows that technologies succeed only when they fit workforce capacity, organisational systems and patient needs. The app creates new workforce training needs, depends on reliable infrastructure and may widen inequalities if digitally excluded patients are not supported. It also raises important issues around privacy, cybersecurity and patient trust.</w:t>
      </w:r>
    </w:p>
    <w:p w:rsidRPr="00162D38" w:rsidR="00162D38" w:rsidP="003F0D85" w:rsidRDefault="00162D38" w14:paraId="69CF42B7" w14:textId="77777777">
      <w:pPr>
        <w:spacing w:line="360" w:lineRule="auto"/>
        <w:jc w:val="both"/>
        <w:rPr>
          <w:rFonts w:ascii="Arial" w:hAnsi="Arial" w:cs="Arial"/>
          <w:sz w:val="22"/>
          <w:szCs w:val="22"/>
        </w:rPr>
      </w:pPr>
      <w:r w:rsidRPr="00162D38">
        <w:rPr>
          <w:rFonts w:ascii="Arial" w:hAnsi="Arial" w:cs="Arial"/>
          <w:sz w:val="22"/>
          <w:szCs w:val="22"/>
        </w:rPr>
        <w:t>Three recommendations follow. First, NHS organisations should provide continuous digital training for staff, including information governance and support for patients using the app. Second, non-digital access routes must remain available so that patients are not excluded from care because of low digital literacy, poverty, disability or lack of internet access. Third, the NHS should evaluate the app not only by registration numbers but by equity outcomes, including use across age, deprivation, ethnicity and disability groups.</w:t>
      </w:r>
    </w:p>
    <w:p w:rsidR="00162D38" w:rsidP="003F0D85" w:rsidRDefault="00162D38" w14:paraId="4F3F4856" w14:textId="77777777">
      <w:pPr>
        <w:spacing w:line="360" w:lineRule="auto"/>
        <w:jc w:val="both"/>
        <w:rPr>
          <w:rFonts w:ascii="Arial" w:hAnsi="Arial" w:cs="Arial"/>
          <w:sz w:val="22"/>
          <w:szCs w:val="22"/>
        </w:rPr>
      </w:pPr>
      <w:r w:rsidRPr="00162D38">
        <w:rPr>
          <w:rFonts w:ascii="Arial" w:hAnsi="Arial" w:cs="Arial"/>
          <w:sz w:val="22"/>
          <w:szCs w:val="22"/>
        </w:rPr>
        <w:t>In conclusion, the NHS App can be considered a successful digital innovation, but only partially. It has improved access and convenience for many users, yet its long-term value depends on inclusive implementation, workforce support and trustworthy data governance. Digital transformation should therefore be judged not by whether services become more technological, but by whether they become safer, fairer and more responsive to the needs of patients and communities.</w:t>
      </w:r>
    </w:p>
    <w:p w:rsidR="005F72E3" w:rsidP="18A41FB1" w:rsidRDefault="005F72E3" w14:paraId="7ABB1CFC" w14:textId="3C245A27">
      <w:pPr>
        <w:pStyle w:val="Normal"/>
        <w:spacing w:line="360" w:lineRule="auto"/>
        <w:jc w:val="both"/>
        <w:rPr>
          <w:rFonts w:ascii="Arial" w:hAnsi="Arial" w:cs="Arial"/>
          <w:sz w:val="22"/>
          <w:szCs w:val="22"/>
        </w:rPr>
      </w:pPr>
    </w:p>
    <w:p w:rsidR="18A41FB1" w:rsidP="18A41FB1" w:rsidRDefault="18A41FB1" w14:paraId="6ADCEAD5" w14:textId="06CECA0F">
      <w:pPr>
        <w:pStyle w:val="Normal"/>
        <w:spacing w:line="360" w:lineRule="auto"/>
        <w:jc w:val="both"/>
        <w:rPr>
          <w:rFonts w:ascii="Arial" w:hAnsi="Arial" w:cs="Arial"/>
          <w:sz w:val="22"/>
          <w:szCs w:val="22"/>
        </w:rPr>
      </w:pPr>
    </w:p>
    <w:p w:rsidR="18A41FB1" w:rsidP="18A41FB1" w:rsidRDefault="18A41FB1" w14:paraId="5F5B0E29" w14:textId="3B48D8E2">
      <w:pPr>
        <w:pStyle w:val="Normal"/>
        <w:spacing w:line="360" w:lineRule="auto"/>
        <w:jc w:val="both"/>
        <w:rPr>
          <w:rFonts w:ascii="Arial" w:hAnsi="Arial" w:cs="Arial"/>
          <w:sz w:val="22"/>
          <w:szCs w:val="22"/>
        </w:rPr>
      </w:pPr>
    </w:p>
    <w:p w:rsidR="005F72E3" w:rsidP="003F0D85" w:rsidRDefault="00162D38" w14:paraId="0128E35B" w14:textId="77777777">
      <w:pPr>
        <w:spacing w:line="360" w:lineRule="auto"/>
        <w:jc w:val="both"/>
        <w:rPr>
          <w:rFonts w:ascii="Arial" w:hAnsi="Arial" w:cs="Arial"/>
          <w:b/>
          <w:bCs/>
          <w:sz w:val="22"/>
          <w:szCs w:val="22"/>
        </w:rPr>
      </w:pPr>
      <w:r w:rsidRPr="00162D38">
        <w:rPr>
          <w:rFonts w:ascii="Arial" w:hAnsi="Arial" w:cs="Arial"/>
          <w:b/>
          <w:bCs/>
          <w:sz w:val="22"/>
          <w:szCs w:val="22"/>
        </w:rPr>
        <w:t>Reference List</w:t>
      </w:r>
    </w:p>
    <w:p w:rsidRPr="005F72E3" w:rsidR="003F0D85" w:rsidP="003F0D85" w:rsidRDefault="003F0D85" w14:paraId="21CE1D51" w14:textId="3DC201BC">
      <w:pPr>
        <w:spacing w:line="360" w:lineRule="auto"/>
        <w:jc w:val="both"/>
        <w:rPr>
          <w:rFonts w:ascii="Arial" w:hAnsi="Arial" w:cs="Arial"/>
          <w:sz w:val="22"/>
          <w:szCs w:val="22"/>
        </w:rPr>
      </w:pPr>
      <w:r w:rsidRPr="005F72E3">
        <w:rPr>
          <w:rFonts w:ascii="Arial" w:hAnsi="Arial" w:cs="Arial"/>
          <w:sz w:val="22"/>
          <w:szCs w:val="22"/>
        </w:rPr>
        <w:t xml:space="preserve">Acharya, A., Black, R.C., Smithies, A. and Darzi, A. </w:t>
      </w:r>
      <w:r>
        <w:rPr>
          <w:rFonts w:ascii="Arial" w:hAnsi="Arial" w:cs="Arial"/>
          <w:sz w:val="22"/>
          <w:szCs w:val="22"/>
        </w:rPr>
        <w:t>(</w:t>
      </w:r>
      <w:r w:rsidRPr="005F72E3">
        <w:rPr>
          <w:rFonts w:ascii="Arial" w:hAnsi="Arial" w:cs="Arial"/>
          <w:sz w:val="22"/>
          <w:szCs w:val="22"/>
        </w:rPr>
        <w:t>2024</w:t>
      </w:r>
      <w:r>
        <w:rPr>
          <w:rFonts w:ascii="Arial" w:hAnsi="Arial" w:cs="Arial"/>
          <w:sz w:val="22"/>
          <w:szCs w:val="22"/>
        </w:rPr>
        <w:t>)</w:t>
      </w:r>
      <w:r w:rsidRPr="005F72E3">
        <w:rPr>
          <w:rFonts w:ascii="Arial" w:hAnsi="Arial" w:cs="Arial"/>
          <w:sz w:val="22"/>
          <w:szCs w:val="22"/>
        </w:rPr>
        <w:t xml:space="preserve"> </w:t>
      </w:r>
      <w:r>
        <w:rPr>
          <w:rFonts w:ascii="Arial" w:hAnsi="Arial" w:cs="Arial"/>
          <w:sz w:val="22"/>
          <w:szCs w:val="22"/>
        </w:rPr>
        <w:t>‘</w:t>
      </w:r>
      <w:r w:rsidRPr="005F72E3">
        <w:rPr>
          <w:rFonts w:ascii="Arial" w:hAnsi="Arial" w:cs="Arial"/>
          <w:sz w:val="22"/>
          <w:szCs w:val="22"/>
        </w:rPr>
        <w:t>Evaluating the impact of the National Health Service Digital Academy on participants’ perceptions of their identity as leaders of digital health change: Mixed methods study.</w:t>
      </w:r>
      <w:r>
        <w:rPr>
          <w:rFonts w:ascii="Arial" w:hAnsi="Arial" w:cs="Arial"/>
          <w:sz w:val="22"/>
          <w:szCs w:val="22"/>
        </w:rPr>
        <w:t>’</w:t>
      </w:r>
      <w:r w:rsidRPr="005F72E3">
        <w:rPr>
          <w:rFonts w:ascii="Arial" w:hAnsi="Arial" w:cs="Arial"/>
          <w:sz w:val="22"/>
          <w:szCs w:val="22"/>
        </w:rPr>
        <w:t> </w:t>
      </w:r>
      <w:r w:rsidRPr="005F72E3">
        <w:rPr>
          <w:rFonts w:ascii="Arial" w:hAnsi="Arial" w:cs="Arial"/>
          <w:i/>
          <w:iCs/>
          <w:sz w:val="22"/>
          <w:szCs w:val="22"/>
        </w:rPr>
        <w:t>JMIR medical education</w:t>
      </w:r>
      <w:r w:rsidRPr="005F72E3">
        <w:rPr>
          <w:rFonts w:ascii="Arial" w:hAnsi="Arial" w:cs="Arial"/>
          <w:sz w:val="22"/>
          <w:szCs w:val="22"/>
        </w:rPr>
        <w:t>, </w:t>
      </w:r>
      <w:r w:rsidRPr="005F72E3">
        <w:rPr>
          <w:rFonts w:ascii="Arial" w:hAnsi="Arial" w:cs="Arial"/>
          <w:i/>
          <w:iCs/>
          <w:sz w:val="22"/>
          <w:szCs w:val="22"/>
        </w:rPr>
        <w:t>10</w:t>
      </w:r>
      <w:r w:rsidRPr="005F72E3">
        <w:rPr>
          <w:rFonts w:ascii="Arial" w:hAnsi="Arial" w:cs="Arial"/>
          <w:sz w:val="22"/>
          <w:szCs w:val="22"/>
        </w:rPr>
        <w:t>(1), p.e46740.</w:t>
      </w:r>
    </w:p>
    <w:p w:rsidRPr="005F72E3" w:rsidR="003F0D85" w:rsidP="003F0D85" w:rsidRDefault="003F0D85" w14:paraId="7B476ECF" w14:textId="6EE458E5">
      <w:pPr>
        <w:spacing w:line="360" w:lineRule="auto"/>
        <w:jc w:val="both"/>
        <w:rPr>
          <w:rFonts w:ascii="Arial" w:hAnsi="Arial" w:cs="Arial"/>
          <w:sz w:val="22"/>
          <w:szCs w:val="22"/>
        </w:rPr>
      </w:pPr>
      <w:r w:rsidRPr="005F72E3">
        <w:rPr>
          <w:rFonts w:ascii="Arial" w:hAnsi="Arial" w:cs="Arial"/>
          <w:sz w:val="22"/>
          <w:szCs w:val="22"/>
        </w:rPr>
        <w:t xml:space="preserve">Atella, V. and Chiari, L. </w:t>
      </w:r>
      <w:r>
        <w:rPr>
          <w:rFonts w:ascii="Arial" w:hAnsi="Arial" w:cs="Arial"/>
          <w:sz w:val="22"/>
          <w:szCs w:val="22"/>
        </w:rPr>
        <w:t>(</w:t>
      </w:r>
      <w:r w:rsidRPr="005F72E3">
        <w:rPr>
          <w:rFonts w:ascii="Arial" w:hAnsi="Arial" w:cs="Arial"/>
          <w:sz w:val="22"/>
          <w:szCs w:val="22"/>
        </w:rPr>
        <w:t>2025</w:t>
      </w:r>
      <w:r>
        <w:rPr>
          <w:rFonts w:ascii="Arial" w:hAnsi="Arial" w:cs="Arial"/>
          <w:sz w:val="22"/>
          <w:szCs w:val="22"/>
        </w:rPr>
        <w:t>)</w:t>
      </w:r>
      <w:r w:rsidRPr="005F72E3">
        <w:rPr>
          <w:rFonts w:ascii="Arial" w:hAnsi="Arial" w:cs="Arial"/>
          <w:sz w:val="22"/>
          <w:szCs w:val="22"/>
        </w:rPr>
        <w:t xml:space="preserve"> </w:t>
      </w:r>
      <w:r>
        <w:rPr>
          <w:rFonts w:ascii="Arial" w:hAnsi="Arial" w:cs="Arial"/>
          <w:sz w:val="22"/>
          <w:szCs w:val="22"/>
        </w:rPr>
        <w:t>‘</w:t>
      </w:r>
      <w:r w:rsidRPr="005F72E3">
        <w:rPr>
          <w:rFonts w:ascii="Arial" w:hAnsi="Arial" w:cs="Arial"/>
          <w:sz w:val="22"/>
          <w:szCs w:val="22"/>
        </w:rPr>
        <w:t>Digital Disruption in Healthcare: What It Means for the NHS.</w:t>
      </w:r>
      <w:r>
        <w:rPr>
          <w:rFonts w:ascii="Arial" w:hAnsi="Arial" w:cs="Arial"/>
          <w:sz w:val="22"/>
          <w:szCs w:val="22"/>
        </w:rPr>
        <w:t>’</w:t>
      </w:r>
    </w:p>
    <w:p w:rsidRPr="005F72E3" w:rsidR="003F0D85" w:rsidP="003F0D85" w:rsidRDefault="003F0D85" w14:paraId="7E72F8DA" w14:textId="50ABBA0E">
      <w:pPr>
        <w:spacing w:line="360" w:lineRule="auto"/>
        <w:jc w:val="both"/>
        <w:rPr>
          <w:rFonts w:ascii="Arial" w:hAnsi="Arial" w:cs="Arial"/>
          <w:sz w:val="22"/>
          <w:szCs w:val="22"/>
        </w:rPr>
      </w:pPr>
      <w:r w:rsidRPr="005F72E3">
        <w:rPr>
          <w:rFonts w:ascii="Arial" w:hAnsi="Arial" w:cs="Arial"/>
          <w:sz w:val="22"/>
          <w:szCs w:val="22"/>
        </w:rPr>
        <w:t xml:space="preserve">Atherton, H., Eccles, A., </w:t>
      </w:r>
      <w:proofErr w:type="spellStart"/>
      <w:r w:rsidRPr="005F72E3">
        <w:rPr>
          <w:rFonts w:ascii="Arial" w:hAnsi="Arial" w:cs="Arial"/>
          <w:sz w:val="22"/>
          <w:szCs w:val="22"/>
        </w:rPr>
        <w:t>Poltawski</w:t>
      </w:r>
      <w:proofErr w:type="spellEnd"/>
      <w:r w:rsidRPr="005F72E3">
        <w:rPr>
          <w:rFonts w:ascii="Arial" w:hAnsi="Arial" w:cs="Arial"/>
          <w:sz w:val="22"/>
          <w:szCs w:val="22"/>
        </w:rPr>
        <w:t xml:space="preserve">, L., Dale, J., Campbell, J. and Abel, G. </w:t>
      </w:r>
      <w:r>
        <w:rPr>
          <w:rFonts w:ascii="Arial" w:hAnsi="Arial" w:cs="Arial"/>
          <w:sz w:val="22"/>
          <w:szCs w:val="22"/>
        </w:rPr>
        <w:t>(</w:t>
      </w:r>
      <w:r w:rsidRPr="005F72E3">
        <w:rPr>
          <w:rFonts w:ascii="Arial" w:hAnsi="Arial" w:cs="Arial"/>
          <w:sz w:val="22"/>
          <w:szCs w:val="22"/>
        </w:rPr>
        <w:t>2024</w:t>
      </w:r>
      <w:r>
        <w:rPr>
          <w:rFonts w:ascii="Arial" w:hAnsi="Arial" w:cs="Arial"/>
          <w:sz w:val="22"/>
          <w:szCs w:val="22"/>
        </w:rPr>
        <w:t>)</w:t>
      </w:r>
      <w:r w:rsidRPr="005F72E3">
        <w:rPr>
          <w:rFonts w:ascii="Arial" w:hAnsi="Arial" w:cs="Arial"/>
          <w:sz w:val="22"/>
          <w:szCs w:val="22"/>
        </w:rPr>
        <w:t xml:space="preserve"> </w:t>
      </w:r>
      <w:r>
        <w:rPr>
          <w:rFonts w:ascii="Arial" w:hAnsi="Arial" w:cs="Arial"/>
          <w:sz w:val="22"/>
          <w:szCs w:val="22"/>
        </w:rPr>
        <w:t>‘</w:t>
      </w:r>
      <w:r w:rsidRPr="005F72E3">
        <w:rPr>
          <w:rFonts w:ascii="Arial" w:hAnsi="Arial" w:cs="Arial"/>
          <w:sz w:val="22"/>
          <w:szCs w:val="22"/>
        </w:rPr>
        <w:t>Investigating patient use and experience of online appointment booking in primary care: mixed methods study.</w:t>
      </w:r>
      <w:r>
        <w:rPr>
          <w:rFonts w:ascii="Arial" w:hAnsi="Arial" w:cs="Arial"/>
          <w:sz w:val="22"/>
          <w:szCs w:val="22"/>
        </w:rPr>
        <w:t>’</w:t>
      </w:r>
      <w:r w:rsidRPr="005F72E3">
        <w:rPr>
          <w:rFonts w:ascii="Arial" w:hAnsi="Arial" w:cs="Arial"/>
          <w:sz w:val="22"/>
          <w:szCs w:val="22"/>
        </w:rPr>
        <w:t> </w:t>
      </w:r>
      <w:r w:rsidRPr="005F72E3">
        <w:rPr>
          <w:rFonts w:ascii="Arial" w:hAnsi="Arial" w:cs="Arial"/>
          <w:i/>
          <w:iCs/>
          <w:sz w:val="22"/>
          <w:szCs w:val="22"/>
        </w:rPr>
        <w:t>Journal of Medical Internet Research</w:t>
      </w:r>
      <w:r w:rsidRPr="005F72E3">
        <w:rPr>
          <w:rFonts w:ascii="Arial" w:hAnsi="Arial" w:cs="Arial"/>
          <w:sz w:val="22"/>
          <w:szCs w:val="22"/>
        </w:rPr>
        <w:t>, </w:t>
      </w:r>
      <w:r w:rsidRPr="005F72E3">
        <w:rPr>
          <w:rFonts w:ascii="Arial" w:hAnsi="Arial" w:cs="Arial"/>
          <w:i/>
          <w:iCs/>
          <w:sz w:val="22"/>
          <w:szCs w:val="22"/>
        </w:rPr>
        <w:t>26</w:t>
      </w:r>
      <w:r w:rsidRPr="005F72E3">
        <w:rPr>
          <w:rFonts w:ascii="Arial" w:hAnsi="Arial" w:cs="Arial"/>
          <w:sz w:val="22"/>
          <w:szCs w:val="22"/>
        </w:rPr>
        <w:t>, p.e51931.</w:t>
      </w:r>
    </w:p>
    <w:p w:rsidRPr="003F0D85" w:rsidR="003F0D85" w:rsidP="003F0D85" w:rsidRDefault="003F0D85" w14:paraId="7138CB68" w14:textId="47CD7904">
      <w:pPr>
        <w:spacing w:line="360" w:lineRule="auto"/>
        <w:jc w:val="both"/>
        <w:rPr>
          <w:rFonts w:ascii="Arial" w:hAnsi="Arial" w:cs="Arial"/>
          <w:sz w:val="22"/>
          <w:szCs w:val="22"/>
        </w:rPr>
      </w:pPr>
      <w:r w:rsidRPr="005F72E3">
        <w:rPr>
          <w:rFonts w:ascii="Arial" w:hAnsi="Arial" w:cs="Arial"/>
          <w:sz w:val="22"/>
          <w:szCs w:val="22"/>
        </w:rPr>
        <w:t xml:space="preserve">Davis, K. and Hobbs, A. </w:t>
      </w:r>
      <w:r>
        <w:rPr>
          <w:rFonts w:ascii="Arial" w:hAnsi="Arial" w:cs="Arial"/>
          <w:sz w:val="22"/>
          <w:szCs w:val="22"/>
        </w:rPr>
        <w:t>(</w:t>
      </w:r>
      <w:r w:rsidRPr="005F72E3">
        <w:rPr>
          <w:rFonts w:ascii="Arial" w:hAnsi="Arial" w:cs="Arial"/>
          <w:sz w:val="22"/>
          <w:szCs w:val="22"/>
        </w:rPr>
        <w:t>2022</w:t>
      </w:r>
      <w:r>
        <w:rPr>
          <w:rFonts w:ascii="Arial" w:hAnsi="Arial" w:cs="Arial"/>
          <w:sz w:val="22"/>
          <w:szCs w:val="22"/>
        </w:rPr>
        <w:t>)</w:t>
      </w:r>
      <w:r w:rsidRPr="005F72E3">
        <w:rPr>
          <w:rFonts w:ascii="Arial" w:hAnsi="Arial" w:cs="Arial"/>
          <w:sz w:val="22"/>
          <w:szCs w:val="22"/>
        </w:rPr>
        <w:t xml:space="preserve"> </w:t>
      </w:r>
      <w:r>
        <w:rPr>
          <w:rFonts w:ascii="Arial" w:hAnsi="Arial" w:cs="Arial"/>
          <w:sz w:val="22"/>
          <w:szCs w:val="22"/>
        </w:rPr>
        <w:t>‘</w:t>
      </w:r>
      <w:r w:rsidRPr="005F72E3">
        <w:rPr>
          <w:rFonts w:ascii="Arial" w:hAnsi="Arial" w:cs="Arial"/>
          <w:sz w:val="22"/>
          <w:szCs w:val="22"/>
        </w:rPr>
        <w:t>Innovation in adult social care.</w:t>
      </w:r>
      <w:r>
        <w:rPr>
          <w:rFonts w:ascii="Arial" w:hAnsi="Arial" w:cs="Arial"/>
          <w:sz w:val="22"/>
          <w:szCs w:val="22"/>
        </w:rPr>
        <w:t>’</w:t>
      </w:r>
      <w:r w:rsidRPr="005F72E3">
        <w:rPr>
          <w:rFonts w:ascii="Arial" w:hAnsi="Arial" w:cs="Arial"/>
          <w:sz w:val="22"/>
          <w:szCs w:val="22"/>
        </w:rPr>
        <w:t> </w:t>
      </w:r>
      <w:r w:rsidRPr="005F72E3">
        <w:rPr>
          <w:rFonts w:ascii="Arial" w:hAnsi="Arial" w:cs="Arial"/>
          <w:i/>
          <w:iCs/>
          <w:sz w:val="22"/>
          <w:szCs w:val="22"/>
        </w:rPr>
        <w:t>UK Parliament POST</w:t>
      </w:r>
      <w:r w:rsidRPr="005F72E3">
        <w:rPr>
          <w:rFonts w:ascii="Arial" w:hAnsi="Arial" w:cs="Arial"/>
          <w:sz w:val="22"/>
          <w:szCs w:val="22"/>
        </w:rPr>
        <w:t>, </w:t>
      </w:r>
      <w:r w:rsidRPr="005F72E3">
        <w:rPr>
          <w:rFonts w:ascii="Arial" w:hAnsi="Arial" w:cs="Arial"/>
          <w:i/>
          <w:iCs/>
          <w:sz w:val="22"/>
          <w:szCs w:val="22"/>
        </w:rPr>
        <w:t>670</w:t>
      </w:r>
      <w:r w:rsidRPr="005F72E3">
        <w:rPr>
          <w:rFonts w:ascii="Arial" w:hAnsi="Arial" w:cs="Arial"/>
          <w:sz w:val="22"/>
          <w:szCs w:val="22"/>
        </w:rPr>
        <w:t>, pp.1-20.</w:t>
      </w:r>
      <w:r w:rsidRPr="005F72E3">
        <w:rPr>
          <w:rFonts w:ascii="Arial" w:hAnsi="Arial" w:cs="Arial"/>
          <w:sz w:val="22"/>
          <w:szCs w:val="22"/>
        </w:rPr>
        <w:br/>
      </w:r>
      <w:r w:rsidRPr="005F72E3">
        <w:rPr>
          <w:rFonts w:ascii="Arial" w:hAnsi="Arial" w:cs="Arial"/>
          <w:sz w:val="22"/>
          <w:szCs w:val="22"/>
        </w:rPr>
        <w:t>DHSC (2022b) </w:t>
      </w:r>
      <w:r>
        <w:rPr>
          <w:rFonts w:ascii="Arial" w:hAnsi="Arial" w:cs="Arial"/>
          <w:sz w:val="22"/>
          <w:szCs w:val="22"/>
        </w:rPr>
        <w:t>‘</w:t>
      </w:r>
      <w:r w:rsidRPr="005F72E3">
        <w:rPr>
          <w:rFonts w:ascii="Arial" w:hAnsi="Arial" w:cs="Arial"/>
          <w:sz w:val="22"/>
          <w:szCs w:val="22"/>
        </w:rPr>
        <w:t>People at the Heart of Care: Adult Social Care Reform White Paper.</w:t>
      </w:r>
      <w:r>
        <w:rPr>
          <w:rFonts w:ascii="Arial" w:hAnsi="Arial" w:cs="Arial"/>
          <w:sz w:val="22"/>
          <w:szCs w:val="22"/>
        </w:rPr>
        <w:t>’</w:t>
      </w:r>
      <w:r w:rsidRPr="005F72E3">
        <w:rPr>
          <w:rFonts w:ascii="Arial" w:hAnsi="Arial" w:cs="Arial"/>
          <w:sz w:val="22"/>
          <w:szCs w:val="22"/>
        </w:rPr>
        <w:t xml:space="preserve"> Available at: </w:t>
      </w:r>
      <w:hyperlink w:history="1" r:id="rId4">
        <w:r w:rsidRPr="005F72E3">
          <w:rPr>
            <w:rStyle w:val="Hyperlink"/>
            <w:rFonts w:ascii="Arial" w:hAnsi="Arial" w:cs="Arial"/>
            <w:sz w:val="22"/>
            <w:szCs w:val="22"/>
          </w:rPr>
          <w:t>https://www.gov.uk/government/publications/people-at-the-heart-of-care-adult-social-care-reform-white-paper</w:t>
        </w:r>
      </w:hyperlink>
      <w:r w:rsidRPr="005F72E3">
        <w:rPr>
          <w:rFonts w:ascii="Arial" w:hAnsi="Arial" w:cs="Arial"/>
          <w:sz w:val="22"/>
          <w:szCs w:val="22"/>
        </w:rPr>
        <w:t xml:space="preserve"> (accessed </w:t>
      </w:r>
      <w:r>
        <w:rPr>
          <w:rFonts w:ascii="Arial" w:hAnsi="Arial" w:cs="Arial"/>
          <w:sz w:val="22"/>
          <w:szCs w:val="22"/>
        </w:rPr>
        <w:t>6</w:t>
      </w:r>
      <w:r w:rsidRPr="005F72E3">
        <w:rPr>
          <w:rFonts w:ascii="Arial" w:hAnsi="Arial" w:cs="Arial"/>
          <w:sz w:val="22"/>
          <w:szCs w:val="22"/>
        </w:rPr>
        <w:t xml:space="preserve"> </w:t>
      </w:r>
      <w:r>
        <w:rPr>
          <w:rFonts w:ascii="Arial" w:hAnsi="Arial" w:cs="Arial"/>
          <w:sz w:val="22"/>
          <w:szCs w:val="22"/>
        </w:rPr>
        <w:t>June</w:t>
      </w:r>
      <w:r w:rsidRPr="005F72E3">
        <w:rPr>
          <w:rFonts w:ascii="Arial" w:hAnsi="Arial" w:cs="Arial"/>
          <w:sz w:val="22"/>
          <w:szCs w:val="22"/>
        </w:rPr>
        <w:t xml:space="preserve"> 202</w:t>
      </w:r>
      <w:r>
        <w:rPr>
          <w:rFonts w:ascii="Arial" w:hAnsi="Arial" w:cs="Arial"/>
          <w:sz w:val="22"/>
          <w:szCs w:val="22"/>
        </w:rPr>
        <w:t>6</w:t>
      </w:r>
      <w:r w:rsidRPr="005F72E3">
        <w:rPr>
          <w:rFonts w:ascii="Arial" w:hAnsi="Arial" w:cs="Arial"/>
          <w:sz w:val="22"/>
          <w:szCs w:val="22"/>
        </w:rPr>
        <w:t>).</w:t>
      </w:r>
      <w:hyperlink w:tgtFrame="_blank" w:history="1" r:id="rId5">
        <w:r w:rsidRPr="005F72E3">
          <w:rPr>
            <w:rStyle w:val="Hyperlink"/>
            <w:rFonts w:ascii="Arial" w:hAnsi="Arial" w:cs="Arial"/>
            <w:sz w:val="22"/>
            <w:szCs w:val="22"/>
          </w:rPr>
          <w:t>Google Scholar</w:t>
        </w:r>
      </w:hyperlink>
    </w:p>
    <w:p w:rsidRPr="005F72E3" w:rsidR="003F0D85" w:rsidP="003F0D85" w:rsidRDefault="003F0D85" w14:paraId="2AE03F7B" w14:textId="1226B6F5">
      <w:pPr>
        <w:spacing w:line="360" w:lineRule="auto"/>
        <w:jc w:val="both"/>
        <w:rPr>
          <w:rFonts w:ascii="Arial" w:hAnsi="Arial" w:cs="Arial"/>
          <w:sz w:val="22"/>
          <w:szCs w:val="22"/>
        </w:rPr>
      </w:pPr>
      <w:r w:rsidRPr="005F72E3">
        <w:rPr>
          <w:rFonts w:ascii="Arial" w:hAnsi="Arial" w:cs="Arial"/>
          <w:sz w:val="22"/>
          <w:szCs w:val="22"/>
        </w:rPr>
        <w:t xml:space="preserve">Forsyth, J.R., Chase, H., Roberts, N.W., Armitage, L.C. and Farmer, A.J. </w:t>
      </w:r>
      <w:r>
        <w:rPr>
          <w:rFonts w:ascii="Arial" w:hAnsi="Arial" w:cs="Arial"/>
          <w:sz w:val="22"/>
          <w:szCs w:val="22"/>
        </w:rPr>
        <w:t>(</w:t>
      </w:r>
      <w:r w:rsidRPr="005F72E3">
        <w:rPr>
          <w:rFonts w:ascii="Arial" w:hAnsi="Arial" w:cs="Arial"/>
          <w:sz w:val="22"/>
          <w:szCs w:val="22"/>
        </w:rPr>
        <w:t>2021</w:t>
      </w:r>
      <w:r>
        <w:rPr>
          <w:rFonts w:ascii="Arial" w:hAnsi="Arial" w:cs="Arial"/>
          <w:sz w:val="22"/>
          <w:szCs w:val="22"/>
        </w:rPr>
        <w:t>)</w:t>
      </w:r>
      <w:r w:rsidRPr="005F72E3">
        <w:rPr>
          <w:rFonts w:ascii="Arial" w:hAnsi="Arial" w:cs="Arial"/>
          <w:sz w:val="22"/>
          <w:szCs w:val="22"/>
        </w:rPr>
        <w:t xml:space="preserve"> </w:t>
      </w:r>
      <w:r>
        <w:rPr>
          <w:rFonts w:ascii="Arial" w:hAnsi="Arial" w:cs="Arial"/>
          <w:sz w:val="22"/>
          <w:szCs w:val="22"/>
        </w:rPr>
        <w:t>‘</w:t>
      </w:r>
      <w:r w:rsidRPr="005F72E3">
        <w:rPr>
          <w:rFonts w:ascii="Arial" w:hAnsi="Arial" w:cs="Arial"/>
          <w:sz w:val="22"/>
          <w:szCs w:val="22"/>
        </w:rPr>
        <w:t>Application of the national Institute for health and care excellence evidence standards framework for digital health technologies in assessing mobile-delivered technologies for the self-management of type 2 diabetes mellitus: Scoping review.</w:t>
      </w:r>
      <w:r>
        <w:rPr>
          <w:rFonts w:ascii="Arial" w:hAnsi="Arial" w:cs="Arial"/>
          <w:sz w:val="22"/>
          <w:szCs w:val="22"/>
        </w:rPr>
        <w:t>’</w:t>
      </w:r>
      <w:r w:rsidRPr="005F72E3">
        <w:rPr>
          <w:rFonts w:ascii="Arial" w:hAnsi="Arial" w:cs="Arial"/>
          <w:sz w:val="22"/>
          <w:szCs w:val="22"/>
        </w:rPr>
        <w:t> </w:t>
      </w:r>
      <w:r w:rsidRPr="005F72E3">
        <w:rPr>
          <w:rFonts w:ascii="Arial" w:hAnsi="Arial" w:cs="Arial"/>
          <w:i/>
          <w:iCs/>
          <w:sz w:val="22"/>
          <w:szCs w:val="22"/>
        </w:rPr>
        <w:t>JMIR diabetes</w:t>
      </w:r>
      <w:r w:rsidRPr="005F72E3">
        <w:rPr>
          <w:rFonts w:ascii="Arial" w:hAnsi="Arial" w:cs="Arial"/>
          <w:sz w:val="22"/>
          <w:szCs w:val="22"/>
        </w:rPr>
        <w:t>, </w:t>
      </w:r>
      <w:r w:rsidRPr="005F72E3">
        <w:rPr>
          <w:rFonts w:ascii="Arial" w:hAnsi="Arial" w:cs="Arial"/>
          <w:i/>
          <w:iCs/>
          <w:sz w:val="22"/>
          <w:szCs w:val="22"/>
        </w:rPr>
        <w:t>6</w:t>
      </w:r>
      <w:r w:rsidRPr="005F72E3">
        <w:rPr>
          <w:rFonts w:ascii="Arial" w:hAnsi="Arial" w:cs="Arial"/>
          <w:sz w:val="22"/>
          <w:szCs w:val="22"/>
        </w:rPr>
        <w:t>(1), p.e23687.</w:t>
      </w:r>
    </w:p>
    <w:p w:rsidRPr="005F72E3" w:rsidR="003F0D85" w:rsidP="003F0D85" w:rsidRDefault="003F0D85" w14:paraId="77F01E55" w14:textId="100D7038">
      <w:pPr>
        <w:spacing w:line="360" w:lineRule="auto"/>
        <w:jc w:val="both"/>
        <w:rPr>
          <w:rFonts w:ascii="Arial" w:hAnsi="Arial" w:cs="Arial"/>
          <w:sz w:val="22"/>
          <w:szCs w:val="22"/>
        </w:rPr>
      </w:pPr>
      <w:r w:rsidRPr="005F72E3">
        <w:rPr>
          <w:rFonts w:ascii="Arial" w:hAnsi="Arial" w:cs="Arial"/>
          <w:sz w:val="22"/>
          <w:szCs w:val="22"/>
        </w:rPr>
        <w:t xml:space="preserve">Gavin, J.P., Clarkson, P., Muckelt, P.E., Eckford, R., Sadler, E., McDonough, S. and Barker, M. </w:t>
      </w:r>
      <w:r>
        <w:rPr>
          <w:rFonts w:ascii="Arial" w:hAnsi="Arial" w:cs="Arial"/>
          <w:sz w:val="22"/>
          <w:szCs w:val="22"/>
        </w:rPr>
        <w:t>(</w:t>
      </w:r>
      <w:r w:rsidRPr="005F72E3">
        <w:rPr>
          <w:rFonts w:ascii="Arial" w:hAnsi="Arial" w:cs="Arial"/>
          <w:sz w:val="22"/>
          <w:szCs w:val="22"/>
        </w:rPr>
        <w:t>2024</w:t>
      </w:r>
      <w:r>
        <w:rPr>
          <w:rFonts w:ascii="Arial" w:hAnsi="Arial" w:cs="Arial"/>
          <w:sz w:val="22"/>
          <w:szCs w:val="22"/>
        </w:rPr>
        <w:t>)</w:t>
      </w:r>
      <w:r w:rsidRPr="005F72E3">
        <w:rPr>
          <w:rFonts w:ascii="Arial" w:hAnsi="Arial" w:cs="Arial"/>
          <w:sz w:val="22"/>
          <w:szCs w:val="22"/>
        </w:rPr>
        <w:t xml:space="preserve"> </w:t>
      </w:r>
      <w:r>
        <w:rPr>
          <w:rFonts w:ascii="Arial" w:hAnsi="Arial" w:cs="Arial"/>
          <w:sz w:val="22"/>
          <w:szCs w:val="22"/>
        </w:rPr>
        <w:t>‘</w:t>
      </w:r>
      <w:r w:rsidRPr="005F72E3">
        <w:rPr>
          <w:rFonts w:ascii="Arial" w:hAnsi="Arial" w:cs="Arial"/>
          <w:sz w:val="22"/>
          <w:szCs w:val="22"/>
        </w:rPr>
        <w:t>Healthcare professional and commissioners’ perspectives on the factors facilitating and hindering the implementation of digital tools for self-management of long-term conditions within UK healthcare pathways.</w:t>
      </w:r>
      <w:r>
        <w:rPr>
          <w:rFonts w:ascii="Arial" w:hAnsi="Arial" w:cs="Arial"/>
          <w:sz w:val="22"/>
          <w:szCs w:val="22"/>
        </w:rPr>
        <w:t>’</w:t>
      </w:r>
      <w:r w:rsidRPr="005F72E3">
        <w:rPr>
          <w:rFonts w:ascii="Arial" w:hAnsi="Arial" w:cs="Arial"/>
          <w:sz w:val="22"/>
          <w:szCs w:val="22"/>
        </w:rPr>
        <w:t> </w:t>
      </w:r>
      <w:proofErr w:type="spellStart"/>
      <w:r w:rsidRPr="005F72E3">
        <w:rPr>
          <w:rFonts w:ascii="Arial" w:hAnsi="Arial" w:cs="Arial"/>
          <w:i/>
          <w:iCs/>
          <w:sz w:val="22"/>
          <w:szCs w:val="22"/>
        </w:rPr>
        <w:t>PLoS</w:t>
      </w:r>
      <w:proofErr w:type="spellEnd"/>
      <w:r w:rsidRPr="005F72E3">
        <w:rPr>
          <w:rFonts w:ascii="Arial" w:hAnsi="Arial" w:cs="Arial"/>
          <w:i/>
          <w:iCs/>
          <w:sz w:val="22"/>
          <w:szCs w:val="22"/>
        </w:rPr>
        <w:t xml:space="preserve"> One</w:t>
      </w:r>
      <w:r w:rsidRPr="005F72E3">
        <w:rPr>
          <w:rFonts w:ascii="Arial" w:hAnsi="Arial" w:cs="Arial"/>
          <w:sz w:val="22"/>
          <w:szCs w:val="22"/>
        </w:rPr>
        <w:t>, </w:t>
      </w:r>
      <w:r w:rsidRPr="005F72E3">
        <w:rPr>
          <w:rFonts w:ascii="Arial" w:hAnsi="Arial" w:cs="Arial"/>
          <w:i/>
          <w:iCs/>
          <w:sz w:val="22"/>
          <w:szCs w:val="22"/>
        </w:rPr>
        <w:t>19</w:t>
      </w:r>
      <w:r w:rsidRPr="005F72E3">
        <w:rPr>
          <w:rFonts w:ascii="Arial" w:hAnsi="Arial" w:cs="Arial"/>
          <w:sz w:val="22"/>
          <w:szCs w:val="22"/>
        </w:rPr>
        <w:t>(8), p.e0307493.</w:t>
      </w:r>
    </w:p>
    <w:p w:rsidRPr="005F72E3" w:rsidR="003F0D85" w:rsidP="003F0D85" w:rsidRDefault="003F0D85" w14:paraId="51C89C1D" w14:textId="4321CB73">
      <w:pPr>
        <w:spacing w:line="360" w:lineRule="auto"/>
        <w:jc w:val="both"/>
        <w:rPr>
          <w:rFonts w:ascii="Arial" w:hAnsi="Arial" w:cs="Arial"/>
          <w:sz w:val="22"/>
          <w:szCs w:val="22"/>
        </w:rPr>
      </w:pPr>
      <w:r w:rsidRPr="005F72E3">
        <w:rPr>
          <w:rFonts w:ascii="Arial" w:hAnsi="Arial" w:cs="Arial"/>
          <w:sz w:val="22"/>
          <w:szCs w:val="22"/>
        </w:rPr>
        <w:t xml:space="preserve">Gille, F., Smith, S. and Mays, N. </w:t>
      </w:r>
      <w:r>
        <w:rPr>
          <w:rFonts w:ascii="Arial" w:hAnsi="Arial" w:cs="Arial"/>
          <w:sz w:val="22"/>
          <w:szCs w:val="22"/>
        </w:rPr>
        <w:t>(</w:t>
      </w:r>
      <w:r w:rsidRPr="005F72E3">
        <w:rPr>
          <w:rFonts w:ascii="Arial" w:hAnsi="Arial" w:cs="Arial"/>
          <w:sz w:val="22"/>
          <w:szCs w:val="22"/>
        </w:rPr>
        <w:t>2021</w:t>
      </w:r>
      <w:r>
        <w:rPr>
          <w:rFonts w:ascii="Arial" w:hAnsi="Arial" w:cs="Arial"/>
          <w:sz w:val="22"/>
          <w:szCs w:val="22"/>
        </w:rPr>
        <w:t>)</w:t>
      </w:r>
      <w:r w:rsidRPr="005F72E3">
        <w:rPr>
          <w:rFonts w:ascii="Arial" w:hAnsi="Arial" w:cs="Arial"/>
          <w:sz w:val="22"/>
          <w:szCs w:val="22"/>
        </w:rPr>
        <w:t xml:space="preserve"> </w:t>
      </w:r>
      <w:r>
        <w:rPr>
          <w:rFonts w:ascii="Arial" w:hAnsi="Arial" w:cs="Arial"/>
          <w:sz w:val="22"/>
          <w:szCs w:val="22"/>
        </w:rPr>
        <w:t>‘</w:t>
      </w:r>
      <w:r w:rsidRPr="005F72E3">
        <w:rPr>
          <w:rFonts w:ascii="Arial" w:hAnsi="Arial" w:cs="Arial"/>
          <w:sz w:val="22"/>
          <w:szCs w:val="22"/>
        </w:rPr>
        <w:t>What is public trust in the healthcare system? A new conceptual framework developed from qualitative data in England.</w:t>
      </w:r>
      <w:r>
        <w:rPr>
          <w:rFonts w:ascii="Arial" w:hAnsi="Arial" w:cs="Arial"/>
          <w:sz w:val="22"/>
          <w:szCs w:val="22"/>
        </w:rPr>
        <w:t>’</w:t>
      </w:r>
      <w:r w:rsidRPr="005F72E3">
        <w:rPr>
          <w:rFonts w:ascii="Arial" w:hAnsi="Arial" w:cs="Arial"/>
          <w:sz w:val="22"/>
          <w:szCs w:val="22"/>
        </w:rPr>
        <w:t> </w:t>
      </w:r>
      <w:r w:rsidRPr="005F72E3">
        <w:rPr>
          <w:rFonts w:ascii="Arial" w:hAnsi="Arial" w:cs="Arial"/>
          <w:i/>
          <w:iCs/>
          <w:sz w:val="22"/>
          <w:szCs w:val="22"/>
        </w:rPr>
        <w:t>Social Theory &amp; Health</w:t>
      </w:r>
      <w:r w:rsidRPr="005F72E3">
        <w:rPr>
          <w:rFonts w:ascii="Arial" w:hAnsi="Arial" w:cs="Arial"/>
          <w:sz w:val="22"/>
          <w:szCs w:val="22"/>
        </w:rPr>
        <w:t>, </w:t>
      </w:r>
      <w:r w:rsidRPr="005F72E3">
        <w:rPr>
          <w:rFonts w:ascii="Arial" w:hAnsi="Arial" w:cs="Arial"/>
          <w:i/>
          <w:iCs/>
          <w:sz w:val="22"/>
          <w:szCs w:val="22"/>
        </w:rPr>
        <w:t>19</w:t>
      </w:r>
      <w:r w:rsidRPr="005F72E3">
        <w:rPr>
          <w:rFonts w:ascii="Arial" w:hAnsi="Arial" w:cs="Arial"/>
          <w:sz w:val="22"/>
          <w:szCs w:val="22"/>
        </w:rPr>
        <w:t>(1), pp.1-20.</w:t>
      </w:r>
    </w:p>
    <w:p w:rsidRPr="005F72E3" w:rsidR="003F0D85" w:rsidP="003F0D85" w:rsidRDefault="003F0D85" w14:paraId="1819DA7B" w14:textId="005711E1">
      <w:pPr>
        <w:spacing w:line="360" w:lineRule="auto"/>
        <w:jc w:val="both"/>
        <w:rPr>
          <w:rFonts w:ascii="Arial" w:hAnsi="Arial" w:cs="Arial"/>
          <w:sz w:val="22"/>
          <w:szCs w:val="22"/>
        </w:rPr>
      </w:pPr>
      <w:r w:rsidRPr="005F72E3">
        <w:rPr>
          <w:rFonts w:ascii="Arial" w:hAnsi="Arial" w:cs="Arial"/>
          <w:sz w:val="22"/>
          <w:szCs w:val="22"/>
        </w:rPr>
        <w:t xml:space="preserve">Greaves, F., Papoutsi, C., Kc, S., Tewolde, S., Reidy, C., Gudgin, B., Laverty, A.A., Laverty, A., Majeed, A., Costelloe, C. and Powell, J. </w:t>
      </w:r>
      <w:r>
        <w:rPr>
          <w:rFonts w:ascii="Arial" w:hAnsi="Arial" w:cs="Arial"/>
          <w:sz w:val="22"/>
          <w:szCs w:val="22"/>
        </w:rPr>
        <w:t>(</w:t>
      </w:r>
      <w:r w:rsidRPr="005F72E3">
        <w:rPr>
          <w:rFonts w:ascii="Arial" w:hAnsi="Arial" w:cs="Arial"/>
          <w:sz w:val="22"/>
          <w:szCs w:val="22"/>
        </w:rPr>
        <w:t>2026</w:t>
      </w:r>
      <w:r>
        <w:rPr>
          <w:rFonts w:ascii="Arial" w:hAnsi="Arial" w:cs="Arial"/>
          <w:sz w:val="22"/>
          <w:szCs w:val="22"/>
        </w:rPr>
        <w:t>)</w:t>
      </w:r>
      <w:r w:rsidRPr="005F72E3">
        <w:rPr>
          <w:rFonts w:ascii="Arial" w:hAnsi="Arial" w:cs="Arial"/>
          <w:sz w:val="22"/>
          <w:szCs w:val="22"/>
        </w:rPr>
        <w:t xml:space="preserve"> </w:t>
      </w:r>
      <w:r>
        <w:rPr>
          <w:rFonts w:ascii="Arial" w:hAnsi="Arial" w:cs="Arial"/>
          <w:sz w:val="22"/>
          <w:szCs w:val="22"/>
        </w:rPr>
        <w:t>‘</w:t>
      </w:r>
      <w:r w:rsidRPr="005F72E3">
        <w:rPr>
          <w:rFonts w:ascii="Arial" w:hAnsi="Arial" w:cs="Arial"/>
          <w:sz w:val="22"/>
          <w:szCs w:val="22"/>
        </w:rPr>
        <w:t>Evaluating the national rollout of the NHS App in England using qualitative and quantitative methods.</w:t>
      </w:r>
      <w:r>
        <w:rPr>
          <w:rFonts w:ascii="Arial" w:hAnsi="Arial" w:cs="Arial"/>
          <w:sz w:val="22"/>
          <w:szCs w:val="22"/>
        </w:rPr>
        <w:t>’</w:t>
      </w:r>
      <w:r w:rsidRPr="005F72E3">
        <w:rPr>
          <w:rFonts w:ascii="Arial" w:hAnsi="Arial" w:cs="Arial"/>
          <w:sz w:val="22"/>
          <w:szCs w:val="22"/>
        </w:rPr>
        <w:t> </w:t>
      </w:r>
      <w:r w:rsidRPr="005F72E3">
        <w:rPr>
          <w:rFonts w:ascii="Arial" w:hAnsi="Arial" w:cs="Arial"/>
          <w:i/>
          <w:iCs/>
          <w:sz w:val="22"/>
          <w:szCs w:val="22"/>
        </w:rPr>
        <w:t>Health and Social Care Delivery Research</w:t>
      </w:r>
      <w:r w:rsidRPr="005F72E3">
        <w:rPr>
          <w:rFonts w:ascii="Arial" w:hAnsi="Arial" w:cs="Arial"/>
          <w:sz w:val="22"/>
          <w:szCs w:val="22"/>
        </w:rPr>
        <w:t>, </w:t>
      </w:r>
      <w:r w:rsidRPr="005F72E3">
        <w:rPr>
          <w:rFonts w:ascii="Arial" w:hAnsi="Arial" w:cs="Arial"/>
          <w:i/>
          <w:iCs/>
          <w:sz w:val="22"/>
          <w:szCs w:val="22"/>
        </w:rPr>
        <w:t>14</w:t>
      </w:r>
      <w:r w:rsidRPr="005F72E3">
        <w:rPr>
          <w:rFonts w:ascii="Arial" w:hAnsi="Arial" w:cs="Arial"/>
          <w:sz w:val="22"/>
          <w:szCs w:val="22"/>
        </w:rPr>
        <w:t>(15), pp.1-91.</w:t>
      </w:r>
    </w:p>
    <w:p w:rsidRPr="00162D38" w:rsidR="003F0D85" w:rsidP="003F0D85" w:rsidRDefault="003F0D85" w14:paraId="32DF6146" w14:textId="77777777">
      <w:pPr>
        <w:spacing w:line="360" w:lineRule="auto"/>
        <w:jc w:val="both"/>
        <w:rPr>
          <w:rFonts w:ascii="Arial" w:hAnsi="Arial" w:cs="Arial"/>
          <w:sz w:val="22"/>
          <w:szCs w:val="22"/>
        </w:rPr>
      </w:pPr>
      <w:r w:rsidRPr="00162D38">
        <w:rPr>
          <w:rFonts w:ascii="Arial" w:hAnsi="Arial" w:cs="Arial"/>
          <w:sz w:val="22"/>
          <w:szCs w:val="22"/>
        </w:rPr>
        <w:t xml:space="preserve">Greenhalgh, T., Koh, G.C.H. and Car, J. (2020) ‘Covid-19: a remote assessment in primary care’, </w:t>
      </w:r>
      <w:r w:rsidRPr="00162D38">
        <w:rPr>
          <w:rFonts w:ascii="Arial" w:hAnsi="Arial" w:cs="Arial"/>
          <w:i/>
          <w:iCs/>
          <w:sz w:val="22"/>
          <w:szCs w:val="22"/>
        </w:rPr>
        <w:t>BMJ</w:t>
      </w:r>
      <w:r w:rsidRPr="00162D38">
        <w:rPr>
          <w:rFonts w:ascii="Arial" w:hAnsi="Arial" w:cs="Arial"/>
          <w:sz w:val="22"/>
          <w:szCs w:val="22"/>
        </w:rPr>
        <w:t>, 368, m1182.</w:t>
      </w:r>
    </w:p>
    <w:p w:rsidRPr="00162D38" w:rsidR="003F0D85" w:rsidP="003F0D85" w:rsidRDefault="003F0D85" w14:paraId="3EA383EF" w14:textId="77777777">
      <w:pPr>
        <w:spacing w:line="360" w:lineRule="auto"/>
        <w:jc w:val="both"/>
        <w:rPr>
          <w:rFonts w:ascii="Arial" w:hAnsi="Arial" w:cs="Arial"/>
          <w:sz w:val="22"/>
          <w:szCs w:val="22"/>
        </w:rPr>
      </w:pPr>
      <w:r w:rsidRPr="00162D38">
        <w:rPr>
          <w:rFonts w:ascii="Arial" w:hAnsi="Arial" w:cs="Arial"/>
          <w:sz w:val="22"/>
          <w:szCs w:val="22"/>
        </w:rPr>
        <w:t xml:space="preserve">Greenhalgh, T., </w:t>
      </w:r>
      <w:proofErr w:type="spellStart"/>
      <w:r w:rsidRPr="00162D38">
        <w:rPr>
          <w:rFonts w:ascii="Arial" w:hAnsi="Arial" w:cs="Arial"/>
          <w:sz w:val="22"/>
          <w:szCs w:val="22"/>
        </w:rPr>
        <w:t>Wherton</w:t>
      </w:r>
      <w:proofErr w:type="spellEnd"/>
      <w:r w:rsidRPr="00162D38">
        <w:rPr>
          <w:rFonts w:ascii="Arial" w:hAnsi="Arial" w:cs="Arial"/>
          <w:sz w:val="22"/>
          <w:szCs w:val="22"/>
        </w:rPr>
        <w:t xml:space="preserve">, J., Papoutsi, C., Lynch, J., Hughes, G., A’Court, C., Hinder, S., Fahy, N., Procter, R. and Shaw, S. (2017) ‘Beyond adoption: a new framework for theorizing and evaluating </w:t>
      </w:r>
      <w:proofErr w:type="spellStart"/>
      <w:r w:rsidRPr="00162D38">
        <w:rPr>
          <w:rFonts w:ascii="Arial" w:hAnsi="Arial" w:cs="Arial"/>
          <w:sz w:val="22"/>
          <w:szCs w:val="22"/>
        </w:rPr>
        <w:t>nonadoption</w:t>
      </w:r>
      <w:proofErr w:type="spellEnd"/>
      <w:r w:rsidRPr="00162D38">
        <w:rPr>
          <w:rFonts w:ascii="Arial" w:hAnsi="Arial" w:cs="Arial"/>
          <w:sz w:val="22"/>
          <w:szCs w:val="22"/>
        </w:rPr>
        <w:t xml:space="preserve">, abandonment, and challenges to the scale-up, spread, and sustainability of health and care technologies’, </w:t>
      </w:r>
      <w:r w:rsidRPr="00162D38">
        <w:rPr>
          <w:rFonts w:ascii="Arial" w:hAnsi="Arial" w:cs="Arial"/>
          <w:i/>
          <w:iCs/>
          <w:sz w:val="22"/>
          <w:szCs w:val="22"/>
        </w:rPr>
        <w:t>Journal of Medical Internet Research</w:t>
      </w:r>
      <w:r w:rsidRPr="00162D38">
        <w:rPr>
          <w:rFonts w:ascii="Arial" w:hAnsi="Arial" w:cs="Arial"/>
          <w:sz w:val="22"/>
          <w:szCs w:val="22"/>
        </w:rPr>
        <w:t>, 19(11), e367.</w:t>
      </w:r>
    </w:p>
    <w:p w:rsidRPr="00162D38" w:rsidR="003F0D85" w:rsidP="003F0D85" w:rsidRDefault="003F0D85" w14:paraId="220948EF" w14:textId="77777777">
      <w:pPr>
        <w:spacing w:line="360" w:lineRule="auto"/>
        <w:jc w:val="both"/>
        <w:rPr>
          <w:rFonts w:ascii="Arial" w:hAnsi="Arial" w:cs="Arial"/>
          <w:sz w:val="22"/>
          <w:szCs w:val="22"/>
        </w:rPr>
      </w:pPr>
      <w:r w:rsidRPr="00162D38">
        <w:rPr>
          <w:rFonts w:ascii="Arial" w:hAnsi="Arial" w:cs="Arial"/>
          <w:sz w:val="22"/>
          <w:szCs w:val="22"/>
        </w:rPr>
        <w:t xml:space="preserve">Information Commissioner’s Office (2023) </w:t>
      </w:r>
      <w:r w:rsidRPr="00162D38">
        <w:rPr>
          <w:rFonts w:ascii="Arial" w:hAnsi="Arial" w:cs="Arial"/>
          <w:i/>
          <w:iCs/>
          <w:sz w:val="22"/>
          <w:szCs w:val="22"/>
        </w:rPr>
        <w:t>Guide to the UK General Data Protection Regulation (UK GDPR)</w:t>
      </w:r>
      <w:r w:rsidRPr="00162D38">
        <w:rPr>
          <w:rFonts w:ascii="Arial" w:hAnsi="Arial" w:cs="Arial"/>
          <w:sz w:val="22"/>
          <w:szCs w:val="22"/>
        </w:rPr>
        <w:t>. Wilmslow: ICO.</w:t>
      </w:r>
    </w:p>
    <w:p w:rsidRPr="00162D38" w:rsidR="003F0D85" w:rsidP="003F0D85" w:rsidRDefault="003F0D85" w14:paraId="593FBBE2" w14:textId="77777777">
      <w:pPr>
        <w:spacing w:line="360" w:lineRule="auto"/>
        <w:jc w:val="both"/>
        <w:rPr>
          <w:rFonts w:ascii="Arial" w:hAnsi="Arial" w:cs="Arial"/>
          <w:sz w:val="22"/>
          <w:szCs w:val="22"/>
        </w:rPr>
      </w:pPr>
      <w:r w:rsidRPr="00162D38">
        <w:rPr>
          <w:rFonts w:ascii="Arial" w:hAnsi="Arial" w:cs="Arial"/>
          <w:sz w:val="22"/>
          <w:szCs w:val="22"/>
        </w:rPr>
        <w:t xml:space="preserve">National Data Guardian (2016) </w:t>
      </w:r>
      <w:r w:rsidRPr="00162D38">
        <w:rPr>
          <w:rFonts w:ascii="Arial" w:hAnsi="Arial" w:cs="Arial"/>
          <w:i/>
          <w:iCs/>
          <w:sz w:val="22"/>
          <w:szCs w:val="22"/>
        </w:rPr>
        <w:t>Review of data security, consent and opt-outs</w:t>
      </w:r>
      <w:r w:rsidRPr="00162D38">
        <w:rPr>
          <w:rFonts w:ascii="Arial" w:hAnsi="Arial" w:cs="Arial"/>
          <w:sz w:val="22"/>
          <w:szCs w:val="22"/>
        </w:rPr>
        <w:t>. London: Department of Health.</w:t>
      </w:r>
    </w:p>
    <w:p w:rsidRPr="005F72E3" w:rsidR="003F0D85" w:rsidP="003F0D85" w:rsidRDefault="003F0D85" w14:paraId="7D17BCBE" w14:textId="2DDE38B5">
      <w:pPr>
        <w:spacing w:line="360" w:lineRule="auto"/>
        <w:jc w:val="both"/>
        <w:rPr>
          <w:rFonts w:ascii="Arial" w:hAnsi="Arial" w:cs="Arial"/>
          <w:sz w:val="22"/>
          <w:szCs w:val="22"/>
        </w:rPr>
      </w:pPr>
      <w:r w:rsidRPr="005F72E3">
        <w:rPr>
          <w:rFonts w:ascii="Arial" w:hAnsi="Arial" w:cs="Arial"/>
          <w:sz w:val="22"/>
          <w:szCs w:val="22"/>
        </w:rPr>
        <w:t xml:space="preserve">Reidy, C., Papoutsi, C., Kc, S., </w:t>
      </w:r>
      <w:proofErr w:type="spellStart"/>
      <w:r w:rsidRPr="005F72E3">
        <w:rPr>
          <w:rFonts w:ascii="Arial" w:hAnsi="Arial" w:cs="Arial"/>
          <w:sz w:val="22"/>
          <w:szCs w:val="22"/>
        </w:rPr>
        <w:t>Gudgin</w:t>
      </w:r>
      <w:proofErr w:type="spellEnd"/>
      <w:r w:rsidRPr="005F72E3">
        <w:rPr>
          <w:rFonts w:ascii="Arial" w:hAnsi="Arial" w:cs="Arial"/>
          <w:sz w:val="22"/>
          <w:szCs w:val="22"/>
        </w:rPr>
        <w:t xml:space="preserve">, B., Laverty, A.A., Greaves, F. and Powell, J. </w:t>
      </w:r>
      <w:r>
        <w:rPr>
          <w:rFonts w:ascii="Arial" w:hAnsi="Arial" w:cs="Arial"/>
          <w:sz w:val="22"/>
          <w:szCs w:val="22"/>
        </w:rPr>
        <w:t>(</w:t>
      </w:r>
      <w:r w:rsidRPr="005F72E3">
        <w:rPr>
          <w:rFonts w:ascii="Arial" w:hAnsi="Arial" w:cs="Arial"/>
          <w:sz w:val="22"/>
          <w:szCs w:val="22"/>
        </w:rPr>
        <w:t>2025</w:t>
      </w:r>
      <w:r>
        <w:rPr>
          <w:rFonts w:ascii="Arial" w:hAnsi="Arial" w:cs="Arial"/>
          <w:sz w:val="22"/>
          <w:szCs w:val="22"/>
        </w:rPr>
        <w:t>)</w:t>
      </w:r>
      <w:r w:rsidRPr="005F72E3">
        <w:rPr>
          <w:rFonts w:ascii="Arial" w:hAnsi="Arial" w:cs="Arial"/>
          <w:sz w:val="22"/>
          <w:szCs w:val="22"/>
        </w:rPr>
        <w:t xml:space="preserve"> </w:t>
      </w:r>
      <w:r>
        <w:rPr>
          <w:rFonts w:ascii="Arial" w:hAnsi="Arial" w:cs="Arial"/>
          <w:sz w:val="22"/>
          <w:szCs w:val="22"/>
        </w:rPr>
        <w:t>‘</w:t>
      </w:r>
      <w:r w:rsidRPr="005F72E3">
        <w:rPr>
          <w:rFonts w:ascii="Arial" w:hAnsi="Arial" w:cs="Arial"/>
          <w:sz w:val="22"/>
          <w:szCs w:val="22"/>
        </w:rPr>
        <w:t>Qualitative evaluation of the implementation and national roll-out of the NHS App in England.</w:t>
      </w:r>
      <w:r>
        <w:rPr>
          <w:rFonts w:ascii="Arial" w:hAnsi="Arial" w:cs="Arial"/>
          <w:sz w:val="22"/>
          <w:szCs w:val="22"/>
        </w:rPr>
        <w:t>’</w:t>
      </w:r>
      <w:r w:rsidRPr="005F72E3">
        <w:rPr>
          <w:rFonts w:ascii="Arial" w:hAnsi="Arial" w:cs="Arial"/>
          <w:sz w:val="22"/>
          <w:szCs w:val="22"/>
        </w:rPr>
        <w:t> </w:t>
      </w:r>
      <w:r w:rsidRPr="005F72E3">
        <w:rPr>
          <w:rFonts w:ascii="Arial" w:hAnsi="Arial" w:cs="Arial"/>
          <w:i/>
          <w:iCs/>
          <w:sz w:val="22"/>
          <w:szCs w:val="22"/>
        </w:rPr>
        <w:t>BMC medicine</w:t>
      </w:r>
      <w:r w:rsidRPr="005F72E3">
        <w:rPr>
          <w:rFonts w:ascii="Arial" w:hAnsi="Arial" w:cs="Arial"/>
          <w:sz w:val="22"/>
          <w:szCs w:val="22"/>
        </w:rPr>
        <w:t>, </w:t>
      </w:r>
      <w:r w:rsidRPr="005F72E3">
        <w:rPr>
          <w:rFonts w:ascii="Arial" w:hAnsi="Arial" w:cs="Arial"/>
          <w:i/>
          <w:iCs/>
          <w:sz w:val="22"/>
          <w:szCs w:val="22"/>
        </w:rPr>
        <w:t>23</w:t>
      </w:r>
      <w:r w:rsidRPr="005F72E3">
        <w:rPr>
          <w:rFonts w:ascii="Arial" w:hAnsi="Arial" w:cs="Arial"/>
          <w:sz w:val="22"/>
          <w:szCs w:val="22"/>
        </w:rPr>
        <w:t>(1), p.20.</w:t>
      </w:r>
    </w:p>
    <w:p w:rsidRPr="00162D38" w:rsidR="003F0D85" w:rsidP="003F0D85" w:rsidRDefault="003F0D85" w14:paraId="12B0B798" w14:textId="77777777">
      <w:pPr>
        <w:spacing w:line="360" w:lineRule="auto"/>
        <w:jc w:val="both"/>
        <w:rPr>
          <w:rFonts w:ascii="Arial" w:hAnsi="Arial" w:cs="Arial"/>
          <w:sz w:val="22"/>
          <w:szCs w:val="22"/>
        </w:rPr>
      </w:pPr>
      <w:r w:rsidRPr="00162D38">
        <w:rPr>
          <w:rFonts w:ascii="Arial" w:hAnsi="Arial" w:cs="Arial"/>
          <w:sz w:val="22"/>
          <w:szCs w:val="22"/>
        </w:rPr>
        <w:t xml:space="preserve">Topol, E. (2019) </w:t>
      </w:r>
      <w:r w:rsidRPr="00162D38">
        <w:rPr>
          <w:rFonts w:ascii="Arial" w:hAnsi="Arial" w:cs="Arial"/>
          <w:i/>
          <w:iCs/>
          <w:sz w:val="22"/>
          <w:szCs w:val="22"/>
        </w:rPr>
        <w:t>The Topol Review: preparing the healthcare workforce to deliver the digital future</w:t>
      </w:r>
      <w:r w:rsidRPr="00162D38">
        <w:rPr>
          <w:rFonts w:ascii="Arial" w:hAnsi="Arial" w:cs="Arial"/>
          <w:sz w:val="22"/>
          <w:szCs w:val="22"/>
        </w:rPr>
        <w:t>. London: Health Education England.</w:t>
      </w:r>
    </w:p>
    <w:p w:rsidRPr="005F72E3" w:rsidR="003F0D85" w:rsidP="003F0D85" w:rsidRDefault="003F0D85" w14:paraId="207FEB5B" w14:textId="5942B3B6">
      <w:pPr>
        <w:spacing w:line="360" w:lineRule="auto"/>
        <w:jc w:val="both"/>
        <w:rPr>
          <w:rFonts w:ascii="Arial" w:hAnsi="Arial" w:cs="Arial"/>
          <w:sz w:val="22"/>
          <w:szCs w:val="22"/>
        </w:rPr>
      </w:pPr>
      <w:r w:rsidRPr="005F72E3">
        <w:rPr>
          <w:rFonts w:ascii="Arial" w:hAnsi="Arial" w:cs="Arial"/>
          <w:sz w:val="22"/>
          <w:szCs w:val="22"/>
        </w:rPr>
        <w:t xml:space="preserve">Turnbull, J., MacLellan, J., </w:t>
      </w:r>
      <w:proofErr w:type="spellStart"/>
      <w:r w:rsidRPr="005F72E3">
        <w:rPr>
          <w:rFonts w:ascii="Arial" w:hAnsi="Arial" w:cs="Arial"/>
          <w:sz w:val="22"/>
          <w:szCs w:val="22"/>
        </w:rPr>
        <w:t>Churruca</w:t>
      </w:r>
      <w:proofErr w:type="spellEnd"/>
      <w:r w:rsidRPr="005F72E3">
        <w:rPr>
          <w:rFonts w:ascii="Arial" w:hAnsi="Arial" w:cs="Arial"/>
          <w:sz w:val="22"/>
          <w:szCs w:val="22"/>
        </w:rPr>
        <w:t xml:space="preserve">, K., Ellis, L.A., Prichard, J., Browne, D., Braithwaite, J., Petter, E., </w:t>
      </w:r>
      <w:proofErr w:type="spellStart"/>
      <w:r w:rsidRPr="005F72E3">
        <w:rPr>
          <w:rFonts w:ascii="Arial" w:hAnsi="Arial" w:cs="Arial"/>
          <w:sz w:val="22"/>
          <w:szCs w:val="22"/>
        </w:rPr>
        <w:t>Chisambi</w:t>
      </w:r>
      <w:proofErr w:type="spellEnd"/>
      <w:r w:rsidRPr="005F72E3">
        <w:rPr>
          <w:rFonts w:ascii="Arial" w:hAnsi="Arial" w:cs="Arial"/>
          <w:sz w:val="22"/>
          <w:szCs w:val="22"/>
        </w:rPr>
        <w:t xml:space="preserve">, M. and Pope, C. </w:t>
      </w:r>
      <w:r>
        <w:rPr>
          <w:rFonts w:ascii="Arial" w:hAnsi="Arial" w:cs="Arial"/>
          <w:sz w:val="22"/>
          <w:szCs w:val="22"/>
        </w:rPr>
        <w:t>(</w:t>
      </w:r>
      <w:r w:rsidRPr="005F72E3">
        <w:rPr>
          <w:rFonts w:ascii="Arial" w:hAnsi="Arial" w:cs="Arial"/>
          <w:sz w:val="22"/>
          <w:szCs w:val="22"/>
        </w:rPr>
        <w:t>2023</w:t>
      </w:r>
      <w:r>
        <w:rPr>
          <w:rFonts w:ascii="Arial" w:hAnsi="Arial" w:cs="Arial"/>
          <w:sz w:val="22"/>
          <w:szCs w:val="22"/>
        </w:rPr>
        <w:t>)</w:t>
      </w:r>
      <w:r w:rsidRPr="005F72E3">
        <w:rPr>
          <w:rFonts w:ascii="Arial" w:hAnsi="Arial" w:cs="Arial"/>
          <w:sz w:val="22"/>
          <w:szCs w:val="22"/>
        </w:rPr>
        <w:t xml:space="preserve"> </w:t>
      </w:r>
      <w:r>
        <w:rPr>
          <w:rFonts w:ascii="Arial" w:hAnsi="Arial" w:cs="Arial"/>
          <w:sz w:val="22"/>
          <w:szCs w:val="22"/>
        </w:rPr>
        <w:t>‘</w:t>
      </w:r>
      <w:r w:rsidRPr="005F72E3">
        <w:rPr>
          <w:rFonts w:ascii="Arial" w:hAnsi="Arial" w:cs="Arial"/>
          <w:sz w:val="22"/>
          <w:szCs w:val="22"/>
        </w:rPr>
        <w:t>NHS 111 online and pathways to urgent and emergency care.</w:t>
      </w:r>
      <w:r>
        <w:rPr>
          <w:rFonts w:ascii="Arial" w:hAnsi="Arial" w:cs="Arial"/>
          <w:sz w:val="22"/>
          <w:szCs w:val="22"/>
        </w:rPr>
        <w:t>’</w:t>
      </w:r>
      <w:r w:rsidRPr="005F72E3">
        <w:rPr>
          <w:rFonts w:ascii="Arial" w:hAnsi="Arial" w:cs="Arial"/>
          <w:sz w:val="22"/>
          <w:szCs w:val="22"/>
        </w:rPr>
        <w:t xml:space="preserve"> In </w:t>
      </w:r>
      <w:r w:rsidRPr="005F72E3">
        <w:rPr>
          <w:rFonts w:ascii="Arial" w:hAnsi="Arial" w:cs="Arial"/>
          <w:i/>
          <w:iCs/>
          <w:sz w:val="22"/>
          <w:szCs w:val="22"/>
        </w:rPr>
        <w:t>A multimethod study of NHS 111 online</w:t>
      </w:r>
      <w:r w:rsidRPr="005F72E3">
        <w:rPr>
          <w:rFonts w:ascii="Arial" w:hAnsi="Arial" w:cs="Arial"/>
          <w:sz w:val="22"/>
          <w:szCs w:val="22"/>
        </w:rPr>
        <w:t>. National Institute for Health and Care Research.</w:t>
      </w:r>
    </w:p>
    <w:p w:rsidR="003F0D85" w:rsidP="003F0D85" w:rsidRDefault="003F0D85" w14:paraId="6674D12E" w14:textId="77777777">
      <w:pPr>
        <w:spacing w:line="360" w:lineRule="auto"/>
        <w:jc w:val="both"/>
        <w:rPr>
          <w:rFonts w:ascii="Arial" w:hAnsi="Arial" w:cs="Arial"/>
          <w:sz w:val="22"/>
          <w:szCs w:val="22"/>
        </w:rPr>
      </w:pPr>
      <w:r w:rsidRPr="00162D38">
        <w:rPr>
          <w:rFonts w:ascii="Arial" w:hAnsi="Arial" w:cs="Arial"/>
          <w:sz w:val="22"/>
          <w:szCs w:val="22"/>
        </w:rPr>
        <w:t xml:space="preserve">Wachter, R. (2016) </w:t>
      </w:r>
      <w:r w:rsidRPr="00162D38">
        <w:rPr>
          <w:rFonts w:ascii="Arial" w:hAnsi="Arial" w:cs="Arial"/>
          <w:i/>
          <w:iCs/>
          <w:sz w:val="22"/>
          <w:szCs w:val="22"/>
        </w:rPr>
        <w:t>Making IT work: harnessing the power of health information technology to improve care in England</w:t>
      </w:r>
      <w:r w:rsidRPr="00162D38">
        <w:rPr>
          <w:rFonts w:ascii="Arial" w:hAnsi="Arial" w:cs="Arial"/>
          <w:sz w:val="22"/>
          <w:szCs w:val="22"/>
        </w:rPr>
        <w:t>. London: Department of Health.</w:t>
      </w:r>
    </w:p>
    <w:p w:rsidRPr="005F72E3" w:rsidR="005F72E3" w:rsidP="003F0D85" w:rsidRDefault="005F72E3" w14:paraId="007B3873" w14:textId="77777777">
      <w:pPr>
        <w:spacing w:line="360" w:lineRule="auto"/>
        <w:jc w:val="both"/>
        <w:rPr>
          <w:rFonts w:ascii="Arial" w:hAnsi="Arial" w:cs="Arial"/>
          <w:sz w:val="22"/>
          <w:szCs w:val="22"/>
        </w:rPr>
      </w:pPr>
    </w:p>
    <w:p w:rsidRPr="00162D38" w:rsidR="005F72E3" w:rsidP="003F0D85" w:rsidRDefault="005F72E3" w14:paraId="39052ACC" w14:textId="77777777">
      <w:pPr>
        <w:spacing w:line="360" w:lineRule="auto"/>
        <w:jc w:val="both"/>
        <w:rPr>
          <w:rFonts w:ascii="Arial" w:hAnsi="Arial" w:cs="Arial"/>
          <w:sz w:val="22"/>
          <w:szCs w:val="22"/>
        </w:rPr>
      </w:pPr>
    </w:p>
    <w:p w:rsidRPr="00162D38" w:rsidR="00162D38" w:rsidP="003F0D85" w:rsidRDefault="00162D38" w14:paraId="022D1BD5" w14:textId="77777777">
      <w:pPr>
        <w:spacing w:line="360" w:lineRule="auto"/>
        <w:jc w:val="both"/>
        <w:rPr>
          <w:rFonts w:ascii="Arial" w:hAnsi="Arial" w:cs="Arial"/>
          <w:sz w:val="22"/>
          <w:szCs w:val="22"/>
        </w:rPr>
      </w:pPr>
    </w:p>
    <w:sectPr w:rsidRPr="00162D38" w:rsidR="00162D38">
      <w:pgSz w:w="11906" w:h="16838" w:orient="portrait"/>
      <w:pgMar w:top="1440" w:right="1440" w:bottom="1440" w:left="1440" w:header="708" w:footer="708" w:gutter="0"/>
      <w:cols w:space="708"/>
      <w:docGrid w:linePitch="360"/>
      <w:headerReference w:type="default" r:id="Rdb1fda814c8b4d53"/>
      <w:footerReference w:type="default" r:id="Rb5eae8871d6241f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8A41FB1" w:rsidTr="18A41FB1" w14:paraId="23293BC9">
      <w:trPr>
        <w:trHeight w:val="300"/>
      </w:trPr>
      <w:tc>
        <w:tcPr>
          <w:tcW w:w="3005" w:type="dxa"/>
          <w:tcMar/>
        </w:tcPr>
        <w:p w:rsidR="18A41FB1" w:rsidP="18A41FB1" w:rsidRDefault="18A41FB1" w14:paraId="18061C01" w14:textId="760F121D">
          <w:pPr>
            <w:pStyle w:val="Header"/>
            <w:bidi w:val="0"/>
            <w:ind w:left="-115"/>
            <w:jc w:val="left"/>
          </w:pPr>
        </w:p>
      </w:tc>
      <w:tc>
        <w:tcPr>
          <w:tcW w:w="3005" w:type="dxa"/>
          <w:tcMar/>
        </w:tcPr>
        <w:p w:rsidR="18A41FB1" w:rsidP="18A41FB1" w:rsidRDefault="18A41FB1" w14:paraId="51716256" w14:textId="5BA69399">
          <w:pPr>
            <w:pStyle w:val="Header"/>
            <w:bidi w:val="0"/>
            <w:jc w:val="center"/>
          </w:pPr>
        </w:p>
      </w:tc>
      <w:tc>
        <w:tcPr>
          <w:tcW w:w="3005" w:type="dxa"/>
          <w:tcMar/>
        </w:tcPr>
        <w:p w:rsidR="18A41FB1" w:rsidP="18A41FB1" w:rsidRDefault="18A41FB1" w14:paraId="289E341E" w14:textId="0E9B17B6">
          <w:pPr>
            <w:pStyle w:val="Header"/>
            <w:bidi w:val="0"/>
            <w:ind w:right="-115"/>
            <w:jc w:val="right"/>
          </w:pPr>
        </w:p>
      </w:tc>
    </w:tr>
  </w:tbl>
  <w:p w:rsidR="18A41FB1" w:rsidP="18A41FB1" w:rsidRDefault="18A41FB1" w14:paraId="5B2F5A32" w14:textId="5EAD8F08">
    <w:pPr>
      <w:pStyle w:val="Footer"/>
      <w:bidi w:val="0"/>
    </w:pPr>
  </w:p>
</w:ftr>
</file>

<file path=word/header.xml><?xml version="1.0" encoding="utf-8"?>
<w:hdr xmlns:w14="http://schemas.microsoft.com/office/word/2010/wordml" xmlns:w="http://schemas.openxmlformats.org/wordprocessingml/2006/main">
  <w:p w:rsidR="18A41FB1" w:rsidP="18A41FB1" w:rsidRDefault="18A41FB1" w14:paraId="2A4364DF" w14:textId="5BE770DB">
    <w:pPr>
      <w:pStyle w:val="Header"/>
      <w:bidi w:val="0"/>
      <w:rPr>
        <w:u w:val="none"/>
      </w:rPr>
    </w:pPr>
  </w:p>
</w:hdr>
</file>

<file path=word/intelligence2.xml><?xml version="1.0" encoding="utf-8"?>
<int2:intelligence xmlns:int2="http://schemas.microsoft.com/office/intelligence/2020/intelligence">
  <int2:observations>
    <int2:bookmark int2:bookmarkName="_Int_jJU7MiTn" int2:invalidationBookmarkName="" int2:hashCode="cHTKtgofBjrTIF" int2:id="6jfCaJp1">
      <int2:state int2:type="spell" int2:value="Rejected"/>
    </int2:bookmark>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5"/>
  <w:proofState w:spelling="clean" w:grammar="dirty"/>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D38"/>
    <w:rsid w:val="00015E94"/>
    <w:rsid w:val="00055CAE"/>
    <w:rsid w:val="00162D38"/>
    <w:rsid w:val="003F0D85"/>
    <w:rsid w:val="00435584"/>
    <w:rsid w:val="005F72E3"/>
    <w:rsid w:val="006A5CA0"/>
    <w:rsid w:val="00754F14"/>
    <w:rsid w:val="00AF1176"/>
    <w:rsid w:val="00AF6938"/>
    <w:rsid w:val="07FE1329"/>
    <w:rsid w:val="0A8B19A0"/>
    <w:rsid w:val="0BE04F7C"/>
    <w:rsid w:val="0C32F8D7"/>
    <w:rsid w:val="0E8C5C44"/>
    <w:rsid w:val="0ECC48EF"/>
    <w:rsid w:val="0F766893"/>
    <w:rsid w:val="102F511C"/>
    <w:rsid w:val="10F80604"/>
    <w:rsid w:val="1232839D"/>
    <w:rsid w:val="163D4599"/>
    <w:rsid w:val="17430BC3"/>
    <w:rsid w:val="18A41FB1"/>
    <w:rsid w:val="1CC8A9A2"/>
    <w:rsid w:val="1EC86CAE"/>
    <w:rsid w:val="1EDB81D2"/>
    <w:rsid w:val="1F9F76AC"/>
    <w:rsid w:val="2134DB65"/>
    <w:rsid w:val="2202CB0C"/>
    <w:rsid w:val="23B53F9E"/>
    <w:rsid w:val="256E9044"/>
    <w:rsid w:val="29DBF7C8"/>
    <w:rsid w:val="2ADD55FC"/>
    <w:rsid w:val="2D9DF2EB"/>
    <w:rsid w:val="2DFFFD90"/>
    <w:rsid w:val="30DEE11C"/>
    <w:rsid w:val="320AF9FA"/>
    <w:rsid w:val="33B9E93A"/>
    <w:rsid w:val="39C60335"/>
    <w:rsid w:val="3E2642EA"/>
    <w:rsid w:val="3F0C8A57"/>
    <w:rsid w:val="3F7684A1"/>
    <w:rsid w:val="3FF98196"/>
    <w:rsid w:val="40871DFC"/>
    <w:rsid w:val="413F3E37"/>
    <w:rsid w:val="415718C9"/>
    <w:rsid w:val="42363CEB"/>
    <w:rsid w:val="438FE4E1"/>
    <w:rsid w:val="45636A69"/>
    <w:rsid w:val="478AC8BE"/>
    <w:rsid w:val="4B4F4886"/>
    <w:rsid w:val="4ED5CD90"/>
    <w:rsid w:val="4F380925"/>
    <w:rsid w:val="51802FAF"/>
    <w:rsid w:val="523CCDAE"/>
    <w:rsid w:val="5425185C"/>
    <w:rsid w:val="55129EE5"/>
    <w:rsid w:val="553D318D"/>
    <w:rsid w:val="5560E5D3"/>
    <w:rsid w:val="59772FF1"/>
    <w:rsid w:val="5ACEB5E2"/>
    <w:rsid w:val="5C2B43AC"/>
    <w:rsid w:val="5C3E7439"/>
    <w:rsid w:val="5CB19149"/>
    <w:rsid w:val="5E0C9083"/>
    <w:rsid w:val="5EAF341F"/>
    <w:rsid w:val="6153AC91"/>
    <w:rsid w:val="63F66D2E"/>
    <w:rsid w:val="663546CD"/>
    <w:rsid w:val="673AE60D"/>
    <w:rsid w:val="6A62AFD5"/>
    <w:rsid w:val="6ACAB9BE"/>
    <w:rsid w:val="704D12A7"/>
    <w:rsid w:val="71DC7A1B"/>
    <w:rsid w:val="7244AB26"/>
    <w:rsid w:val="762ACDE7"/>
    <w:rsid w:val="77D5204D"/>
    <w:rsid w:val="78862E96"/>
    <w:rsid w:val="7AC868B9"/>
    <w:rsid w:val="7FA00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74161"/>
  <w15:chartTrackingRefBased/>
  <w15:docId w15:val="{B7FACC3B-4067-4CE6-B653-F30908A2CA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2D3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2D3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2D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2D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2D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2D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2D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2D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2D3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62D3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62D3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62D3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62D3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62D3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62D3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62D3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62D3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62D38"/>
    <w:rPr>
      <w:rFonts w:eastAsiaTheme="majorEastAsia" w:cstheme="majorBidi"/>
      <w:color w:val="272727" w:themeColor="text1" w:themeTint="D8"/>
    </w:rPr>
  </w:style>
  <w:style w:type="paragraph" w:styleId="Title">
    <w:name w:val="Title"/>
    <w:basedOn w:val="Normal"/>
    <w:next w:val="Normal"/>
    <w:link w:val="TitleChar"/>
    <w:uiPriority w:val="10"/>
    <w:qFormat/>
    <w:rsid w:val="00162D3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62D3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62D3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62D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D38"/>
    <w:pPr>
      <w:spacing w:before="160"/>
      <w:jc w:val="center"/>
    </w:pPr>
    <w:rPr>
      <w:i/>
      <w:iCs/>
      <w:color w:val="404040" w:themeColor="text1" w:themeTint="BF"/>
    </w:rPr>
  </w:style>
  <w:style w:type="character" w:styleId="QuoteChar" w:customStyle="1">
    <w:name w:val="Quote Char"/>
    <w:basedOn w:val="DefaultParagraphFont"/>
    <w:link w:val="Quote"/>
    <w:uiPriority w:val="29"/>
    <w:rsid w:val="00162D38"/>
    <w:rPr>
      <w:i/>
      <w:iCs/>
      <w:color w:val="404040" w:themeColor="text1" w:themeTint="BF"/>
    </w:rPr>
  </w:style>
  <w:style w:type="paragraph" w:styleId="ListParagraph">
    <w:name w:val="List Paragraph"/>
    <w:basedOn w:val="Normal"/>
    <w:uiPriority w:val="34"/>
    <w:qFormat/>
    <w:rsid w:val="00162D38"/>
    <w:pPr>
      <w:ind w:left="720"/>
      <w:contextualSpacing/>
    </w:pPr>
  </w:style>
  <w:style w:type="character" w:styleId="IntenseEmphasis">
    <w:name w:val="Intense Emphasis"/>
    <w:basedOn w:val="DefaultParagraphFont"/>
    <w:uiPriority w:val="21"/>
    <w:qFormat/>
    <w:rsid w:val="00162D38"/>
    <w:rPr>
      <w:i/>
      <w:iCs/>
      <w:color w:val="0F4761" w:themeColor="accent1" w:themeShade="BF"/>
    </w:rPr>
  </w:style>
  <w:style w:type="paragraph" w:styleId="IntenseQuote">
    <w:name w:val="Intense Quote"/>
    <w:basedOn w:val="Normal"/>
    <w:next w:val="Normal"/>
    <w:link w:val="IntenseQuoteChar"/>
    <w:uiPriority w:val="30"/>
    <w:qFormat/>
    <w:rsid w:val="00162D3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62D38"/>
    <w:rPr>
      <w:i/>
      <w:iCs/>
      <w:color w:val="0F4761" w:themeColor="accent1" w:themeShade="BF"/>
    </w:rPr>
  </w:style>
  <w:style w:type="character" w:styleId="IntenseReference">
    <w:name w:val="Intense Reference"/>
    <w:basedOn w:val="DefaultParagraphFont"/>
    <w:uiPriority w:val="32"/>
    <w:qFormat/>
    <w:rsid w:val="00162D38"/>
    <w:rPr>
      <w:b/>
      <w:bCs/>
      <w:smallCaps/>
      <w:color w:val="0F4761" w:themeColor="accent1" w:themeShade="BF"/>
      <w:spacing w:val="5"/>
    </w:rPr>
  </w:style>
  <w:style w:type="character" w:styleId="Hyperlink">
    <w:name w:val="Hyperlink"/>
    <w:basedOn w:val="DefaultParagraphFont"/>
    <w:uiPriority w:val="99"/>
    <w:unhideWhenUsed/>
    <w:rsid w:val="005F72E3"/>
    <w:rPr>
      <w:color w:val="467886" w:themeColor="hyperlink"/>
      <w:u w:val="single"/>
    </w:rPr>
  </w:style>
  <w:style w:type="character" w:styleId="UnresolvedMention">
    <w:name w:val="Unresolved Mention"/>
    <w:basedOn w:val="DefaultParagraphFont"/>
    <w:uiPriority w:val="99"/>
    <w:semiHidden/>
    <w:unhideWhenUsed/>
    <w:rsid w:val="005F72E3"/>
    <w:rPr>
      <w:color w:val="605E5C"/>
      <w:shd w:val="clear" w:color="auto" w:fill="E1DFDD"/>
    </w:rPr>
  </w:style>
  <w:style w:type="paragraph" w:styleId="Header">
    <w:uiPriority w:val="99"/>
    <w:name w:val="header"/>
    <w:basedOn w:val="Normal"/>
    <w:unhideWhenUsed/>
    <w:rsid w:val="18A41FB1"/>
    <w:pPr>
      <w:tabs>
        <w:tab w:val="center" w:leader="none" w:pos="4680"/>
        <w:tab w:val="right" w:leader="none" w:pos="9360"/>
      </w:tabs>
      <w:spacing w:after="0" w:line="240" w:lineRule="auto"/>
    </w:pPr>
  </w:style>
  <w:style w:type="paragraph" w:styleId="Footer">
    <w:uiPriority w:val="99"/>
    <w:name w:val="footer"/>
    <w:basedOn w:val="Normal"/>
    <w:unhideWhenUsed/>
    <w:rsid w:val="18A41FB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hyperlink" Target="https://scholar.google.com/scholar?q=DHSC+(2022b)+People+at+the+Heart+of+Care:+Adult+Social+Care+Reform+White+Paper.+Available+at:+https://www.gov.uk/government/publications/people-at-the-heart-of-care-adult-social-care-reform-white-paper+(accessed+3+October+2024)." TargetMode="External" Id="rId5" /><Relationship Type="http://schemas.openxmlformats.org/officeDocument/2006/relationships/hyperlink" Target="https://www.gov.uk/government/publications/people-at-the-heart-of-care-adult-social-care-reform-white-paper" TargetMode="External" Id="rId4" /><Relationship Type="http://schemas.openxmlformats.org/officeDocument/2006/relationships/header" Target="header.xml" Id="Rdb1fda814c8b4d53" /><Relationship Type="http://schemas.openxmlformats.org/officeDocument/2006/relationships/footer" Target="footer.xml" Id="Rb5eae8871d6241f3" /><Relationship Type="http://schemas.microsoft.com/office/2020/10/relationships/intelligence" Target="intelligence2.xml" Id="Rb452c755674342a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aaron addo</dc:creator>
  <keywords/>
  <dc:description/>
  <lastModifiedBy>Linda Tekyi (2330445)</lastModifiedBy>
  <revision>3</revision>
  <dcterms:created xsi:type="dcterms:W3CDTF">2026-06-28T15:03:00.0000000Z</dcterms:created>
  <dcterms:modified xsi:type="dcterms:W3CDTF">2026-06-28T16:49:21.6159050Z</dcterms:modified>
</coreProperties>
</file>