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8DAC1" w14:textId="4DEF99FC" w:rsidR="002B17D7" w:rsidRDefault="00125769" w:rsidP="00543D32">
      <w:pPr>
        <w:spacing w:line="480" w:lineRule="auto"/>
        <w:jc w:val="center"/>
        <w:rPr>
          <w:rFonts w:ascii="Arial" w:hAnsi="Arial" w:cs="Arial"/>
        </w:rPr>
      </w:pPr>
      <w:r w:rsidRPr="00594FAC">
        <w:rPr>
          <w:rFonts w:ascii="Arial" w:hAnsi="Arial" w:cs="Arial"/>
          <w:noProof/>
          <w:lang w:eastAsia="en-GB"/>
        </w:rPr>
        <w:drawing>
          <wp:anchor distT="0" distB="0" distL="114300" distR="114300" simplePos="0" relativeHeight="251659264" behindDoc="0" locked="0" layoutInCell="1" allowOverlap="1" wp14:anchorId="7BF32B90" wp14:editId="0FFA8ECC">
            <wp:simplePos x="0" y="0"/>
            <wp:positionH relativeFrom="margin">
              <wp:posOffset>-349250</wp:posOffset>
            </wp:positionH>
            <wp:positionV relativeFrom="paragraph">
              <wp:posOffset>6350</wp:posOffset>
            </wp:positionV>
            <wp:extent cx="2279650" cy="1346200"/>
            <wp:effectExtent l="0" t="0" r="635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79650" cy="1346200"/>
                    </a:xfrm>
                    <a:prstGeom prst="rect">
                      <a:avLst/>
                    </a:prstGeom>
                    <a:noFill/>
                  </pic:spPr>
                </pic:pic>
              </a:graphicData>
            </a:graphic>
            <wp14:sizeRelH relativeFrom="page">
              <wp14:pctWidth>0</wp14:pctWidth>
            </wp14:sizeRelH>
            <wp14:sizeRelV relativeFrom="page">
              <wp14:pctHeight>0</wp14:pctHeight>
            </wp14:sizeRelV>
          </wp:anchor>
        </w:drawing>
      </w:r>
    </w:p>
    <w:p w14:paraId="624729AB" w14:textId="77777777" w:rsidR="002B17D7" w:rsidRDefault="002B17D7" w:rsidP="00543D32">
      <w:pPr>
        <w:spacing w:line="480" w:lineRule="auto"/>
        <w:jc w:val="center"/>
        <w:rPr>
          <w:rFonts w:ascii="Arial" w:hAnsi="Arial" w:cs="Arial"/>
        </w:rPr>
      </w:pPr>
    </w:p>
    <w:p w14:paraId="7D113DD0" w14:textId="77777777" w:rsidR="002B17D7" w:rsidRDefault="002B17D7" w:rsidP="00543D32">
      <w:pPr>
        <w:spacing w:line="480" w:lineRule="auto"/>
        <w:jc w:val="center"/>
        <w:rPr>
          <w:rFonts w:ascii="Arial" w:hAnsi="Arial" w:cs="Arial"/>
        </w:rPr>
      </w:pPr>
    </w:p>
    <w:p w14:paraId="7EC62387" w14:textId="77777777" w:rsidR="002B17D7" w:rsidRDefault="002B17D7" w:rsidP="00543D32">
      <w:pPr>
        <w:spacing w:line="480" w:lineRule="auto"/>
        <w:jc w:val="center"/>
        <w:rPr>
          <w:rFonts w:ascii="Arial" w:hAnsi="Arial" w:cs="Arial"/>
        </w:rPr>
      </w:pPr>
    </w:p>
    <w:p w14:paraId="5B548A76" w14:textId="27E34B3A" w:rsidR="009507DB" w:rsidRDefault="00A4238A" w:rsidP="00125769">
      <w:pPr>
        <w:spacing w:line="480" w:lineRule="auto"/>
        <w:rPr>
          <w:rFonts w:ascii="Arial" w:hAnsi="Arial" w:cs="Arial"/>
          <w:b/>
          <w:bCs/>
        </w:rPr>
      </w:pPr>
      <w:r w:rsidRPr="002B17D7">
        <w:rPr>
          <w:rFonts w:ascii="Arial" w:hAnsi="Arial" w:cs="Arial"/>
          <w:b/>
          <w:bCs/>
        </w:rPr>
        <w:t xml:space="preserve"> </w:t>
      </w:r>
    </w:p>
    <w:p w14:paraId="6A925F90" w14:textId="343C7EC3" w:rsidR="00125769" w:rsidRPr="00594FAC" w:rsidRDefault="00125769" w:rsidP="00125769">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Pr>
          <w:rFonts w:ascii="Arial" w:hAnsi="Arial" w:cs="Arial"/>
          <w:sz w:val="28"/>
          <w:szCs w:val="28"/>
          <w:lang w:val="nl-NL"/>
        </w:rPr>
        <w:t xml:space="preserve"> Danielli J L Souza</w:t>
      </w:r>
    </w:p>
    <w:p w14:paraId="0C690AB5" w14:textId="3D38C5AC" w:rsidR="00125769" w:rsidRPr="00594FAC" w:rsidRDefault="00125769" w:rsidP="00125769">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Pr>
          <w:rFonts w:ascii="Arial" w:hAnsi="Arial" w:cs="Arial"/>
          <w:sz w:val="28"/>
          <w:szCs w:val="28"/>
          <w:lang w:val="nl-NL"/>
        </w:rPr>
        <w:t xml:space="preserve"> 2211925</w:t>
      </w:r>
    </w:p>
    <w:p w14:paraId="2127BC37" w14:textId="6569957B" w:rsidR="00125769" w:rsidRPr="00594FAC" w:rsidRDefault="00125769" w:rsidP="00125769">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Pr="00125769">
        <w:rPr>
          <w:rFonts w:ascii="Arial" w:hAnsi="Arial" w:cs="Arial"/>
          <w:sz w:val="28"/>
          <w:szCs w:val="28"/>
        </w:rPr>
        <w:t xml:space="preserve">Health, Wellbeing and Sustainable Development </w:t>
      </w:r>
    </w:p>
    <w:p w14:paraId="0C6C3E82" w14:textId="0FDE6B35" w:rsidR="00125769" w:rsidRPr="00821FD2" w:rsidRDefault="00125769" w:rsidP="00125769">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 xml:space="preserve">Module </w:t>
      </w:r>
      <w:proofErr w:type="gramStart"/>
      <w:r w:rsidRPr="00821FD2">
        <w:rPr>
          <w:rFonts w:ascii="Arial" w:hAnsi="Arial" w:cs="Arial"/>
          <w:b/>
          <w:bCs/>
          <w:sz w:val="28"/>
          <w:szCs w:val="28"/>
          <w:lang w:val="fr-FR"/>
        </w:rPr>
        <w:t>code</w:t>
      </w:r>
      <w:r w:rsidRPr="00821FD2">
        <w:rPr>
          <w:rFonts w:ascii="Arial" w:hAnsi="Arial" w:cs="Arial"/>
          <w:sz w:val="28"/>
          <w:szCs w:val="28"/>
          <w:lang w:val="fr-FR"/>
        </w:rPr>
        <w:t>:</w:t>
      </w:r>
      <w:proofErr w:type="gramEnd"/>
      <w:r>
        <w:rPr>
          <w:rFonts w:ascii="Arial" w:hAnsi="Arial" w:cs="Arial"/>
          <w:sz w:val="28"/>
          <w:szCs w:val="28"/>
          <w:lang w:val="fr-FR"/>
        </w:rPr>
        <w:t xml:space="preserve"> </w:t>
      </w:r>
      <w:r w:rsidRPr="00125769">
        <w:rPr>
          <w:rFonts w:ascii="Arial" w:hAnsi="Arial" w:cs="Arial"/>
          <w:sz w:val="28"/>
          <w:szCs w:val="28"/>
        </w:rPr>
        <w:t xml:space="preserve">BMHP6030 </w:t>
      </w:r>
    </w:p>
    <w:p w14:paraId="2FA6C15E" w14:textId="56A5C747" w:rsidR="00125769" w:rsidRPr="00821FD2" w:rsidRDefault="00125769" w:rsidP="00125769">
      <w:pPr>
        <w:tabs>
          <w:tab w:val="left" w:pos="6540"/>
        </w:tabs>
        <w:spacing w:line="360" w:lineRule="auto"/>
        <w:rPr>
          <w:rFonts w:ascii="Arial" w:hAnsi="Arial" w:cs="Arial"/>
          <w:sz w:val="28"/>
          <w:szCs w:val="28"/>
          <w:lang w:val="fr-FR"/>
        </w:rPr>
      </w:pPr>
      <w:proofErr w:type="spellStart"/>
      <w:r w:rsidRPr="00821FD2">
        <w:rPr>
          <w:rFonts w:ascii="Arial" w:hAnsi="Arial" w:cs="Arial"/>
          <w:b/>
          <w:bCs/>
          <w:sz w:val="28"/>
          <w:szCs w:val="28"/>
          <w:lang w:val="fr-FR"/>
        </w:rPr>
        <w:t>Lecturer</w:t>
      </w:r>
      <w:proofErr w:type="spellEnd"/>
      <w:r w:rsidRPr="00821FD2">
        <w:rPr>
          <w:rFonts w:ascii="Arial" w:hAnsi="Arial" w:cs="Arial"/>
          <w:b/>
          <w:bCs/>
          <w:sz w:val="28"/>
          <w:szCs w:val="28"/>
          <w:lang w:val="fr-FR"/>
        </w:rPr>
        <w:t xml:space="preserve"> </w:t>
      </w:r>
      <w:proofErr w:type="spellStart"/>
      <w:proofErr w:type="gramStart"/>
      <w:r w:rsidRPr="00821FD2">
        <w:rPr>
          <w:rFonts w:ascii="Arial" w:hAnsi="Arial" w:cs="Arial"/>
          <w:b/>
          <w:bCs/>
          <w:sz w:val="28"/>
          <w:szCs w:val="28"/>
          <w:lang w:val="fr-FR"/>
        </w:rPr>
        <w:t>name</w:t>
      </w:r>
      <w:proofErr w:type="spellEnd"/>
      <w:r w:rsidRPr="00821FD2">
        <w:rPr>
          <w:rFonts w:ascii="Arial" w:hAnsi="Arial" w:cs="Arial"/>
          <w:sz w:val="28"/>
          <w:szCs w:val="28"/>
          <w:lang w:val="fr-FR"/>
        </w:rPr>
        <w:t>:</w:t>
      </w:r>
      <w:proofErr w:type="gramEnd"/>
      <w:r>
        <w:rPr>
          <w:rFonts w:ascii="Arial" w:hAnsi="Arial" w:cs="Arial"/>
          <w:sz w:val="28"/>
          <w:szCs w:val="28"/>
          <w:lang w:val="fr-FR"/>
        </w:rPr>
        <w:t xml:space="preserve"> </w:t>
      </w:r>
      <w:r w:rsidRPr="00125769">
        <w:rPr>
          <w:rFonts w:ascii="Arial" w:hAnsi="Arial" w:cs="Arial"/>
          <w:sz w:val="28"/>
          <w:szCs w:val="28"/>
        </w:rPr>
        <w:t xml:space="preserve">Dr </w:t>
      </w:r>
      <w:proofErr w:type="spellStart"/>
      <w:r w:rsidRPr="00125769">
        <w:rPr>
          <w:rFonts w:ascii="Arial" w:hAnsi="Arial" w:cs="Arial"/>
          <w:sz w:val="28"/>
          <w:szCs w:val="28"/>
        </w:rPr>
        <w:t>Itse</w:t>
      </w:r>
      <w:proofErr w:type="spellEnd"/>
      <w:r w:rsidRPr="00125769">
        <w:rPr>
          <w:rFonts w:ascii="Arial" w:hAnsi="Arial" w:cs="Arial"/>
          <w:sz w:val="28"/>
          <w:szCs w:val="28"/>
        </w:rPr>
        <w:t xml:space="preserve"> Olaoye </w:t>
      </w:r>
    </w:p>
    <w:p w14:paraId="24A41286" w14:textId="318C3322" w:rsidR="002B17D7" w:rsidRDefault="002B17D7" w:rsidP="00125769">
      <w:pPr>
        <w:spacing w:line="480" w:lineRule="auto"/>
        <w:rPr>
          <w:rFonts w:ascii="Arial" w:hAnsi="Arial" w:cs="Arial"/>
        </w:rPr>
      </w:pPr>
    </w:p>
    <w:p w14:paraId="68EC0571" w14:textId="77777777" w:rsidR="002B17D7" w:rsidRDefault="002B17D7" w:rsidP="00543D32">
      <w:pPr>
        <w:spacing w:line="480" w:lineRule="auto"/>
        <w:rPr>
          <w:rFonts w:ascii="Arial" w:hAnsi="Arial" w:cs="Arial"/>
        </w:rPr>
      </w:pPr>
      <w:r>
        <w:rPr>
          <w:rFonts w:ascii="Arial" w:hAnsi="Arial" w:cs="Arial"/>
        </w:rPr>
        <w:br w:type="page"/>
      </w:r>
    </w:p>
    <w:sdt>
      <w:sdtPr>
        <w:rPr>
          <w:rFonts w:ascii="Arial" w:eastAsiaTheme="minorEastAsia" w:hAnsi="Arial" w:cs="Arial"/>
          <w:b/>
          <w:bCs/>
          <w:color w:val="000000" w:themeColor="text1"/>
          <w:kern w:val="2"/>
          <w:sz w:val="24"/>
          <w:szCs w:val="24"/>
          <w:lang w:val="en-GB" w:eastAsia="zh-CN"/>
          <w14:ligatures w14:val="standardContextual"/>
        </w:rPr>
        <w:id w:val="-1739162742"/>
        <w:docPartObj>
          <w:docPartGallery w:val="Table of Contents"/>
          <w:docPartUnique/>
        </w:docPartObj>
      </w:sdtPr>
      <w:sdtEndPr>
        <w:rPr>
          <w:rFonts w:asciiTheme="minorHAnsi" w:hAnsiTheme="minorHAnsi" w:cstheme="minorBidi"/>
          <w:noProof/>
          <w:color w:val="auto"/>
        </w:rPr>
      </w:sdtEndPr>
      <w:sdtContent>
        <w:p w14:paraId="58CCD799" w14:textId="1E93787C" w:rsidR="004831A0" w:rsidRPr="00C739DA" w:rsidRDefault="004831A0" w:rsidP="004831A0">
          <w:pPr>
            <w:pStyle w:val="TOCHeading"/>
            <w:jc w:val="center"/>
            <w:rPr>
              <w:rFonts w:ascii="Arial" w:hAnsi="Arial" w:cs="Arial"/>
              <w:b/>
              <w:bCs/>
              <w:color w:val="000000" w:themeColor="text1"/>
              <w:sz w:val="22"/>
              <w:szCs w:val="22"/>
            </w:rPr>
          </w:pPr>
          <w:r w:rsidRPr="00C739DA">
            <w:rPr>
              <w:rFonts w:ascii="Arial" w:hAnsi="Arial" w:cs="Arial"/>
              <w:b/>
              <w:bCs/>
              <w:color w:val="000000" w:themeColor="text1"/>
              <w:sz w:val="22"/>
              <w:szCs w:val="22"/>
            </w:rPr>
            <w:t xml:space="preserve"> Table of Contents</w:t>
          </w:r>
        </w:p>
        <w:p w14:paraId="7571AA7D" w14:textId="6E57064E" w:rsidR="00EE4C59" w:rsidRPr="00C739DA" w:rsidRDefault="004831A0">
          <w:pPr>
            <w:pStyle w:val="TOC1"/>
            <w:tabs>
              <w:tab w:val="right" w:leader="dot" w:pos="9016"/>
            </w:tabs>
            <w:rPr>
              <w:rFonts w:ascii="Arial" w:hAnsi="Arial" w:cs="Arial"/>
              <w:noProof/>
              <w:sz w:val="22"/>
              <w:szCs w:val="22"/>
              <w:lang w:val="en-US" w:eastAsia="en-US"/>
            </w:rPr>
          </w:pPr>
          <w:r w:rsidRPr="00C739DA">
            <w:rPr>
              <w:sz w:val="22"/>
              <w:szCs w:val="22"/>
            </w:rPr>
            <w:fldChar w:fldCharType="begin"/>
          </w:r>
          <w:r w:rsidRPr="00C739DA">
            <w:rPr>
              <w:sz w:val="22"/>
              <w:szCs w:val="22"/>
            </w:rPr>
            <w:instrText xml:space="preserve"> TOC \o "1-3" \h \z \u </w:instrText>
          </w:r>
          <w:r w:rsidRPr="00C739DA">
            <w:rPr>
              <w:sz w:val="22"/>
              <w:szCs w:val="22"/>
            </w:rPr>
            <w:fldChar w:fldCharType="separate"/>
          </w:r>
          <w:hyperlink w:anchor="_Toc227075997" w:history="1">
            <w:r w:rsidR="00EE4C59" w:rsidRPr="00C739DA">
              <w:rPr>
                <w:rStyle w:val="Hyperlink"/>
                <w:rFonts w:ascii="Arial" w:hAnsi="Arial" w:cs="Arial"/>
                <w:b/>
                <w:bCs/>
                <w:noProof/>
                <w:sz w:val="22"/>
                <w:szCs w:val="22"/>
              </w:rPr>
              <w:t>Introduction</w:t>
            </w:r>
            <w:r w:rsidR="00EE4C59" w:rsidRPr="00C739DA">
              <w:rPr>
                <w:rFonts w:ascii="Arial" w:hAnsi="Arial" w:cs="Arial"/>
                <w:noProof/>
                <w:webHidden/>
                <w:sz w:val="22"/>
                <w:szCs w:val="22"/>
              </w:rPr>
              <w:tab/>
            </w:r>
            <w:r w:rsidR="00EE4C59" w:rsidRPr="00C739DA">
              <w:rPr>
                <w:rFonts w:ascii="Arial" w:hAnsi="Arial" w:cs="Arial"/>
                <w:noProof/>
                <w:webHidden/>
                <w:sz w:val="22"/>
                <w:szCs w:val="22"/>
              </w:rPr>
              <w:fldChar w:fldCharType="begin"/>
            </w:r>
            <w:r w:rsidR="00EE4C59" w:rsidRPr="00C739DA">
              <w:rPr>
                <w:rFonts w:ascii="Arial" w:hAnsi="Arial" w:cs="Arial"/>
                <w:noProof/>
                <w:webHidden/>
                <w:sz w:val="22"/>
                <w:szCs w:val="22"/>
              </w:rPr>
              <w:instrText xml:space="preserve"> PAGEREF _Toc227075997 \h </w:instrText>
            </w:r>
            <w:r w:rsidR="00EE4C59" w:rsidRPr="00C739DA">
              <w:rPr>
                <w:rFonts w:ascii="Arial" w:hAnsi="Arial" w:cs="Arial"/>
                <w:noProof/>
                <w:webHidden/>
                <w:sz w:val="22"/>
                <w:szCs w:val="22"/>
              </w:rPr>
            </w:r>
            <w:r w:rsidR="00EE4C59" w:rsidRPr="00C739DA">
              <w:rPr>
                <w:rFonts w:ascii="Arial" w:hAnsi="Arial" w:cs="Arial"/>
                <w:noProof/>
                <w:webHidden/>
                <w:sz w:val="22"/>
                <w:szCs w:val="22"/>
              </w:rPr>
              <w:fldChar w:fldCharType="separate"/>
            </w:r>
            <w:r w:rsidR="00EE4C59" w:rsidRPr="00C739DA">
              <w:rPr>
                <w:rFonts w:ascii="Arial" w:hAnsi="Arial" w:cs="Arial"/>
                <w:noProof/>
                <w:webHidden/>
                <w:sz w:val="22"/>
                <w:szCs w:val="22"/>
              </w:rPr>
              <w:t>3</w:t>
            </w:r>
            <w:r w:rsidR="00EE4C59" w:rsidRPr="00C739DA">
              <w:rPr>
                <w:rFonts w:ascii="Arial" w:hAnsi="Arial" w:cs="Arial"/>
                <w:noProof/>
                <w:webHidden/>
                <w:sz w:val="22"/>
                <w:szCs w:val="22"/>
              </w:rPr>
              <w:fldChar w:fldCharType="end"/>
            </w:r>
          </w:hyperlink>
        </w:p>
        <w:p w14:paraId="24A66C75" w14:textId="7529DD63" w:rsidR="00EE4C59" w:rsidRPr="00C739DA" w:rsidRDefault="00EE4C59">
          <w:pPr>
            <w:pStyle w:val="TOC1"/>
            <w:tabs>
              <w:tab w:val="right" w:leader="dot" w:pos="9016"/>
            </w:tabs>
            <w:rPr>
              <w:rFonts w:ascii="Arial" w:hAnsi="Arial" w:cs="Arial"/>
              <w:noProof/>
              <w:sz w:val="22"/>
              <w:szCs w:val="22"/>
              <w:lang w:val="en-US" w:eastAsia="en-US"/>
            </w:rPr>
          </w:pPr>
          <w:hyperlink w:anchor="_Toc227075998" w:history="1">
            <w:r w:rsidRPr="00C739DA">
              <w:rPr>
                <w:rStyle w:val="Hyperlink"/>
                <w:rFonts w:ascii="Arial" w:hAnsi="Arial" w:cs="Arial"/>
                <w:b/>
                <w:bCs/>
                <w:noProof/>
                <w:sz w:val="22"/>
                <w:szCs w:val="22"/>
              </w:rPr>
              <w:t>Sustainable Development Goal 3</w:t>
            </w:r>
            <w:r w:rsidRPr="00C739DA">
              <w:rPr>
                <w:rFonts w:ascii="Arial" w:hAnsi="Arial" w:cs="Arial"/>
                <w:noProof/>
                <w:webHidden/>
                <w:sz w:val="22"/>
                <w:szCs w:val="22"/>
              </w:rPr>
              <w:tab/>
            </w:r>
            <w:r w:rsidRPr="00C739DA">
              <w:rPr>
                <w:rFonts w:ascii="Arial" w:hAnsi="Arial" w:cs="Arial"/>
                <w:noProof/>
                <w:webHidden/>
                <w:sz w:val="22"/>
                <w:szCs w:val="22"/>
              </w:rPr>
              <w:fldChar w:fldCharType="begin"/>
            </w:r>
            <w:r w:rsidRPr="00C739DA">
              <w:rPr>
                <w:rFonts w:ascii="Arial" w:hAnsi="Arial" w:cs="Arial"/>
                <w:noProof/>
                <w:webHidden/>
                <w:sz w:val="22"/>
                <w:szCs w:val="22"/>
              </w:rPr>
              <w:instrText xml:space="preserve"> PAGEREF _Toc227075998 \h </w:instrText>
            </w:r>
            <w:r w:rsidRPr="00C739DA">
              <w:rPr>
                <w:rFonts w:ascii="Arial" w:hAnsi="Arial" w:cs="Arial"/>
                <w:noProof/>
                <w:webHidden/>
                <w:sz w:val="22"/>
                <w:szCs w:val="22"/>
              </w:rPr>
            </w:r>
            <w:r w:rsidRPr="00C739DA">
              <w:rPr>
                <w:rFonts w:ascii="Arial" w:hAnsi="Arial" w:cs="Arial"/>
                <w:noProof/>
                <w:webHidden/>
                <w:sz w:val="22"/>
                <w:szCs w:val="22"/>
              </w:rPr>
              <w:fldChar w:fldCharType="separate"/>
            </w:r>
            <w:r w:rsidRPr="00C739DA">
              <w:rPr>
                <w:rFonts w:ascii="Arial" w:hAnsi="Arial" w:cs="Arial"/>
                <w:noProof/>
                <w:webHidden/>
                <w:sz w:val="22"/>
                <w:szCs w:val="22"/>
              </w:rPr>
              <w:t>3</w:t>
            </w:r>
            <w:r w:rsidRPr="00C739DA">
              <w:rPr>
                <w:rFonts w:ascii="Arial" w:hAnsi="Arial" w:cs="Arial"/>
                <w:noProof/>
                <w:webHidden/>
                <w:sz w:val="22"/>
                <w:szCs w:val="22"/>
              </w:rPr>
              <w:fldChar w:fldCharType="end"/>
            </w:r>
          </w:hyperlink>
        </w:p>
        <w:p w14:paraId="1F9B7F7A" w14:textId="5D0FFC68" w:rsidR="00EE4C59" w:rsidRPr="00C739DA" w:rsidRDefault="00EE4C59">
          <w:pPr>
            <w:pStyle w:val="TOC1"/>
            <w:tabs>
              <w:tab w:val="right" w:leader="dot" w:pos="9016"/>
            </w:tabs>
            <w:rPr>
              <w:rFonts w:ascii="Arial" w:hAnsi="Arial" w:cs="Arial"/>
              <w:noProof/>
              <w:sz w:val="22"/>
              <w:szCs w:val="22"/>
              <w:lang w:val="en-US" w:eastAsia="en-US"/>
            </w:rPr>
          </w:pPr>
          <w:hyperlink w:anchor="_Toc227075999" w:history="1">
            <w:r w:rsidRPr="00C739DA">
              <w:rPr>
                <w:rStyle w:val="Hyperlink"/>
                <w:rFonts w:ascii="Arial" w:hAnsi="Arial" w:cs="Arial"/>
                <w:b/>
                <w:bCs/>
                <w:noProof/>
                <w:sz w:val="22"/>
                <w:szCs w:val="22"/>
              </w:rPr>
              <w:t>Any other ONE Sustainable Development Goal of your choice</w:t>
            </w:r>
            <w:r w:rsidRPr="00C739DA">
              <w:rPr>
                <w:rFonts w:ascii="Arial" w:hAnsi="Arial" w:cs="Arial"/>
                <w:noProof/>
                <w:webHidden/>
                <w:sz w:val="22"/>
                <w:szCs w:val="22"/>
              </w:rPr>
              <w:tab/>
            </w:r>
            <w:r w:rsidRPr="00C739DA">
              <w:rPr>
                <w:rFonts w:ascii="Arial" w:hAnsi="Arial" w:cs="Arial"/>
                <w:noProof/>
                <w:webHidden/>
                <w:sz w:val="22"/>
                <w:szCs w:val="22"/>
              </w:rPr>
              <w:fldChar w:fldCharType="begin"/>
            </w:r>
            <w:r w:rsidRPr="00C739DA">
              <w:rPr>
                <w:rFonts w:ascii="Arial" w:hAnsi="Arial" w:cs="Arial"/>
                <w:noProof/>
                <w:webHidden/>
                <w:sz w:val="22"/>
                <w:szCs w:val="22"/>
              </w:rPr>
              <w:instrText xml:space="preserve"> PAGEREF _Toc227075999 \h </w:instrText>
            </w:r>
            <w:r w:rsidRPr="00C739DA">
              <w:rPr>
                <w:rFonts w:ascii="Arial" w:hAnsi="Arial" w:cs="Arial"/>
                <w:noProof/>
                <w:webHidden/>
                <w:sz w:val="22"/>
                <w:szCs w:val="22"/>
              </w:rPr>
            </w:r>
            <w:r w:rsidRPr="00C739DA">
              <w:rPr>
                <w:rFonts w:ascii="Arial" w:hAnsi="Arial" w:cs="Arial"/>
                <w:noProof/>
                <w:webHidden/>
                <w:sz w:val="22"/>
                <w:szCs w:val="22"/>
              </w:rPr>
              <w:fldChar w:fldCharType="separate"/>
            </w:r>
            <w:r w:rsidRPr="00C739DA">
              <w:rPr>
                <w:rFonts w:ascii="Arial" w:hAnsi="Arial" w:cs="Arial"/>
                <w:noProof/>
                <w:webHidden/>
                <w:sz w:val="22"/>
                <w:szCs w:val="22"/>
              </w:rPr>
              <w:t>5</w:t>
            </w:r>
            <w:r w:rsidRPr="00C739DA">
              <w:rPr>
                <w:rFonts w:ascii="Arial" w:hAnsi="Arial" w:cs="Arial"/>
                <w:noProof/>
                <w:webHidden/>
                <w:sz w:val="22"/>
                <w:szCs w:val="22"/>
              </w:rPr>
              <w:fldChar w:fldCharType="end"/>
            </w:r>
          </w:hyperlink>
        </w:p>
        <w:p w14:paraId="2B761CED" w14:textId="1199DCC5" w:rsidR="00EE4C59" w:rsidRPr="00C739DA" w:rsidRDefault="00EE4C59">
          <w:pPr>
            <w:pStyle w:val="TOC1"/>
            <w:tabs>
              <w:tab w:val="right" w:leader="dot" w:pos="9016"/>
            </w:tabs>
            <w:rPr>
              <w:rFonts w:ascii="Arial" w:hAnsi="Arial" w:cs="Arial"/>
              <w:noProof/>
              <w:sz w:val="22"/>
              <w:szCs w:val="22"/>
              <w:lang w:val="en-US" w:eastAsia="en-US"/>
            </w:rPr>
          </w:pPr>
          <w:hyperlink w:anchor="_Toc227076000" w:history="1">
            <w:r w:rsidRPr="00C739DA">
              <w:rPr>
                <w:rStyle w:val="Hyperlink"/>
                <w:rFonts w:ascii="Arial" w:hAnsi="Arial" w:cs="Arial"/>
                <w:b/>
                <w:bCs/>
                <w:noProof/>
                <w:sz w:val="22"/>
                <w:szCs w:val="22"/>
              </w:rPr>
              <w:t>National wellbeing initiatives</w:t>
            </w:r>
            <w:r w:rsidRPr="00C739DA">
              <w:rPr>
                <w:rFonts w:ascii="Arial" w:hAnsi="Arial" w:cs="Arial"/>
                <w:noProof/>
                <w:webHidden/>
                <w:sz w:val="22"/>
                <w:szCs w:val="22"/>
              </w:rPr>
              <w:tab/>
            </w:r>
            <w:r w:rsidRPr="00C739DA">
              <w:rPr>
                <w:rFonts w:ascii="Arial" w:hAnsi="Arial" w:cs="Arial"/>
                <w:noProof/>
                <w:webHidden/>
                <w:sz w:val="22"/>
                <w:szCs w:val="22"/>
              </w:rPr>
              <w:fldChar w:fldCharType="begin"/>
            </w:r>
            <w:r w:rsidRPr="00C739DA">
              <w:rPr>
                <w:rFonts w:ascii="Arial" w:hAnsi="Arial" w:cs="Arial"/>
                <w:noProof/>
                <w:webHidden/>
                <w:sz w:val="22"/>
                <w:szCs w:val="22"/>
              </w:rPr>
              <w:instrText xml:space="preserve"> PAGEREF _Toc227076000 \h </w:instrText>
            </w:r>
            <w:r w:rsidRPr="00C739DA">
              <w:rPr>
                <w:rFonts w:ascii="Arial" w:hAnsi="Arial" w:cs="Arial"/>
                <w:noProof/>
                <w:webHidden/>
                <w:sz w:val="22"/>
                <w:szCs w:val="22"/>
              </w:rPr>
            </w:r>
            <w:r w:rsidRPr="00C739DA">
              <w:rPr>
                <w:rFonts w:ascii="Arial" w:hAnsi="Arial" w:cs="Arial"/>
                <w:noProof/>
                <w:webHidden/>
                <w:sz w:val="22"/>
                <w:szCs w:val="22"/>
              </w:rPr>
              <w:fldChar w:fldCharType="separate"/>
            </w:r>
            <w:r w:rsidRPr="00C739DA">
              <w:rPr>
                <w:rFonts w:ascii="Arial" w:hAnsi="Arial" w:cs="Arial"/>
                <w:noProof/>
                <w:webHidden/>
                <w:sz w:val="22"/>
                <w:szCs w:val="22"/>
              </w:rPr>
              <w:t>6</w:t>
            </w:r>
            <w:r w:rsidRPr="00C739DA">
              <w:rPr>
                <w:rFonts w:ascii="Arial" w:hAnsi="Arial" w:cs="Arial"/>
                <w:noProof/>
                <w:webHidden/>
                <w:sz w:val="22"/>
                <w:szCs w:val="22"/>
              </w:rPr>
              <w:fldChar w:fldCharType="end"/>
            </w:r>
          </w:hyperlink>
        </w:p>
        <w:p w14:paraId="6D406D03" w14:textId="4CFAB2D0" w:rsidR="00EE4C59" w:rsidRPr="00C739DA" w:rsidRDefault="00EE4C59">
          <w:pPr>
            <w:pStyle w:val="TOC1"/>
            <w:tabs>
              <w:tab w:val="right" w:leader="dot" w:pos="9016"/>
            </w:tabs>
            <w:rPr>
              <w:rFonts w:ascii="Arial" w:hAnsi="Arial" w:cs="Arial"/>
              <w:noProof/>
              <w:sz w:val="22"/>
              <w:szCs w:val="22"/>
              <w:lang w:val="en-US" w:eastAsia="en-US"/>
            </w:rPr>
          </w:pPr>
          <w:hyperlink w:anchor="_Toc227076001" w:history="1">
            <w:r w:rsidRPr="00C739DA">
              <w:rPr>
                <w:rStyle w:val="Hyperlink"/>
                <w:rFonts w:ascii="Arial" w:hAnsi="Arial" w:cs="Arial"/>
                <w:b/>
                <w:bCs/>
                <w:noProof/>
                <w:sz w:val="22"/>
                <w:szCs w:val="22"/>
              </w:rPr>
              <w:t>Local wellbeing initiatives</w:t>
            </w:r>
            <w:r w:rsidRPr="00C739DA">
              <w:rPr>
                <w:rFonts w:ascii="Arial" w:hAnsi="Arial" w:cs="Arial"/>
                <w:noProof/>
                <w:webHidden/>
                <w:sz w:val="22"/>
                <w:szCs w:val="22"/>
              </w:rPr>
              <w:tab/>
            </w:r>
            <w:r w:rsidRPr="00C739DA">
              <w:rPr>
                <w:rFonts w:ascii="Arial" w:hAnsi="Arial" w:cs="Arial"/>
                <w:noProof/>
                <w:webHidden/>
                <w:sz w:val="22"/>
                <w:szCs w:val="22"/>
              </w:rPr>
              <w:fldChar w:fldCharType="begin"/>
            </w:r>
            <w:r w:rsidRPr="00C739DA">
              <w:rPr>
                <w:rFonts w:ascii="Arial" w:hAnsi="Arial" w:cs="Arial"/>
                <w:noProof/>
                <w:webHidden/>
                <w:sz w:val="22"/>
                <w:szCs w:val="22"/>
              </w:rPr>
              <w:instrText xml:space="preserve"> PAGEREF _Toc227076001 \h </w:instrText>
            </w:r>
            <w:r w:rsidRPr="00C739DA">
              <w:rPr>
                <w:rFonts w:ascii="Arial" w:hAnsi="Arial" w:cs="Arial"/>
                <w:noProof/>
                <w:webHidden/>
                <w:sz w:val="22"/>
                <w:szCs w:val="22"/>
              </w:rPr>
            </w:r>
            <w:r w:rsidRPr="00C739DA">
              <w:rPr>
                <w:rFonts w:ascii="Arial" w:hAnsi="Arial" w:cs="Arial"/>
                <w:noProof/>
                <w:webHidden/>
                <w:sz w:val="22"/>
                <w:szCs w:val="22"/>
              </w:rPr>
              <w:fldChar w:fldCharType="separate"/>
            </w:r>
            <w:r w:rsidRPr="00C739DA">
              <w:rPr>
                <w:rFonts w:ascii="Arial" w:hAnsi="Arial" w:cs="Arial"/>
                <w:noProof/>
                <w:webHidden/>
                <w:sz w:val="22"/>
                <w:szCs w:val="22"/>
              </w:rPr>
              <w:t>8</w:t>
            </w:r>
            <w:r w:rsidRPr="00C739DA">
              <w:rPr>
                <w:rFonts w:ascii="Arial" w:hAnsi="Arial" w:cs="Arial"/>
                <w:noProof/>
                <w:webHidden/>
                <w:sz w:val="22"/>
                <w:szCs w:val="22"/>
              </w:rPr>
              <w:fldChar w:fldCharType="end"/>
            </w:r>
          </w:hyperlink>
        </w:p>
        <w:p w14:paraId="5BA2FFC7" w14:textId="56237F15" w:rsidR="00EE4C59" w:rsidRPr="00C739DA" w:rsidRDefault="00EE4C59">
          <w:pPr>
            <w:pStyle w:val="TOC1"/>
            <w:tabs>
              <w:tab w:val="right" w:leader="dot" w:pos="9016"/>
            </w:tabs>
            <w:rPr>
              <w:rFonts w:ascii="Arial" w:hAnsi="Arial" w:cs="Arial"/>
              <w:noProof/>
              <w:sz w:val="22"/>
              <w:szCs w:val="22"/>
              <w:lang w:val="en-US" w:eastAsia="en-US"/>
            </w:rPr>
          </w:pPr>
          <w:hyperlink w:anchor="_Toc227076002" w:history="1">
            <w:r w:rsidRPr="00C739DA">
              <w:rPr>
                <w:rStyle w:val="Hyperlink"/>
                <w:rFonts w:ascii="Arial" w:hAnsi="Arial" w:cs="Arial"/>
                <w:b/>
                <w:bCs/>
                <w:noProof/>
                <w:sz w:val="22"/>
                <w:szCs w:val="22"/>
              </w:rPr>
              <w:t>Conclusion</w:t>
            </w:r>
            <w:r w:rsidRPr="00C739DA">
              <w:rPr>
                <w:rFonts w:ascii="Arial" w:hAnsi="Arial" w:cs="Arial"/>
                <w:noProof/>
                <w:webHidden/>
                <w:sz w:val="22"/>
                <w:szCs w:val="22"/>
              </w:rPr>
              <w:tab/>
            </w:r>
            <w:r w:rsidRPr="00C739DA">
              <w:rPr>
                <w:rFonts w:ascii="Arial" w:hAnsi="Arial" w:cs="Arial"/>
                <w:noProof/>
                <w:webHidden/>
                <w:sz w:val="22"/>
                <w:szCs w:val="22"/>
              </w:rPr>
              <w:fldChar w:fldCharType="begin"/>
            </w:r>
            <w:r w:rsidRPr="00C739DA">
              <w:rPr>
                <w:rFonts w:ascii="Arial" w:hAnsi="Arial" w:cs="Arial"/>
                <w:noProof/>
                <w:webHidden/>
                <w:sz w:val="22"/>
                <w:szCs w:val="22"/>
              </w:rPr>
              <w:instrText xml:space="preserve"> PAGEREF _Toc227076002 \h </w:instrText>
            </w:r>
            <w:r w:rsidRPr="00C739DA">
              <w:rPr>
                <w:rFonts w:ascii="Arial" w:hAnsi="Arial" w:cs="Arial"/>
                <w:noProof/>
                <w:webHidden/>
                <w:sz w:val="22"/>
                <w:szCs w:val="22"/>
              </w:rPr>
            </w:r>
            <w:r w:rsidRPr="00C739DA">
              <w:rPr>
                <w:rFonts w:ascii="Arial" w:hAnsi="Arial" w:cs="Arial"/>
                <w:noProof/>
                <w:webHidden/>
                <w:sz w:val="22"/>
                <w:szCs w:val="22"/>
              </w:rPr>
              <w:fldChar w:fldCharType="separate"/>
            </w:r>
            <w:r w:rsidRPr="00C739DA">
              <w:rPr>
                <w:rFonts w:ascii="Arial" w:hAnsi="Arial" w:cs="Arial"/>
                <w:noProof/>
                <w:webHidden/>
                <w:sz w:val="22"/>
                <w:szCs w:val="22"/>
              </w:rPr>
              <w:t>9</w:t>
            </w:r>
            <w:r w:rsidRPr="00C739DA">
              <w:rPr>
                <w:rFonts w:ascii="Arial" w:hAnsi="Arial" w:cs="Arial"/>
                <w:noProof/>
                <w:webHidden/>
                <w:sz w:val="22"/>
                <w:szCs w:val="22"/>
              </w:rPr>
              <w:fldChar w:fldCharType="end"/>
            </w:r>
          </w:hyperlink>
        </w:p>
        <w:p w14:paraId="173B6085" w14:textId="68197F60" w:rsidR="00EE4C59" w:rsidRPr="00C739DA" w:rsidRDefault="00EE4C59">
          <w:pPr>
            <w:pStyle w:val="TOC1"/>
            <w:tabs>
              <w:tab w:val="right" w:leader="dot" w:pos="9016"/>
            </w:tabs>
            <w:rPr>
              <w:noProof/>
              <w:sz w:val="22"/>
              <w:szCs w:val="22"/>
              <w:lang w:val="en-US" w:eastAsia="en-US"/>
            </w:rPr>
          </w:pPr>
          <w:hyperlink w:anchor="_Toc227076003" w:history="1">
            <w:r w:rsidRPr="00C739DA">
              <w:rPr>
                <w:rStyle w:val="Hyperlink"/>
                <w:rFonts w:ascii="Arial" w:hAnsi="Arial" w:cs="Arial"/>
                <w:b/>
                <w:bCs/>
                <w:noProof/>
                <w:sz w:val="22"/>
                <w:szCs w:val="22"/>
              </w:rPr>
              <w:t>REFERENCES</w:t>
            </w:r>
            <w:r w:rsidRPr="00C739DA">
              <w:rPr>
                <w:rFonts w:ascii="Arial" w:hAnsi="Arial" w:cs="Arial"/>
                <w:noProof/>
                <w:webHidden/>
                <w:sz w:val="22"/>
                <w:szCs w:val="22"/>
              </w:rPr>
              <w:tab/>
            </w:r>
            <w:r w:rsidRPr="00C739DA">
              <w:rPr>
                <w:rFonts w:ascii="Arial" w:hAnsi="Arial" w:cs="Arial"/>
                <w:noProof/>
                <w:webHidden/>
                <w:sz w:val="22"/>
                <w:szCs w:val="22"/>
              </w:rPr>
              <w:fldChar w:fldCharType="begin"/>
            </w:r>
            <w:r w:rsidRPr="00C739DA">
              <w:rPr>
                <w:rFonts w:ascii="Arial" w:hAnsi="Arial" w:cs="Arial"/>
                <w:noProof/>
                <w:webHidden/>
                <w:sz w:val="22"/>
                <w:szCs w:val="22"/>
              </w:rPr>
              <w:instrText xml:space="preserve"> PAGEREF _Toc227076003 \h </w:instrText>
            </w:r>
            <w:r w:rsidRPr="00C739DA">
              <w:rPr>
                <w:rFonts w:ascii="Arial" w:hAnsi="Arial" w:cs="Arial"/>
                <w:noProof/>
                <w:webHidden/>
                <w:sz w:val="22"/>
                <w:szCs w:val="22"/>
              </w:rPr>
            </w:r>
            <w:r w:rsidRPr="00C739DA">
              <w:rPr>
                <w:rFonts w:ascii="Arial" w:hAnsi="Arial" w:cs="Arial"/>
                <w:noProof/>
                <w:webHidden/>
                <w:sz w:val="22"/>
                <w:szCs w:val="22"/>
              </w:rPr>
              <w:fldChar w:fldCharType="separate"/>
            </w:r>
            <w:r w:rsidRPr="00C739DA">
              <w:rPr>
                <w:rFonts w:ascii="Arial" w:hAnsi="Arial" w:cs="Arial"/>
                <w:noProof/>
                <w:webHidden/>
                <w:sz w:val="22"/>
                <w:szCs w:val="22"/>
              </w:rPr>
              <w:t>11</w:t>
            </w:r>
            <w:r w:rsidRPr="00C739DA">
              <w:rPr>
                <w:rFonts w:ascii="Arial" w:hAnsi="Arial" w:cs="Arial"/>
                <w:noProof/>
                <w:webHidden/>
                <w:sz w:val="22"/>
                <w:szCs w:val="22"/>
              </w:rPr>
              <w:fldChar w:fldCharType="end"/>
            </w:r>
          </w:hyperlink>
        </w:p>
        <w:p w14:paraId="4577F72D" w14:textId="5BF27F05" w:rsidR="004831A0" w:rsidRDefault="004831A0">
          <w:r w:rsidRPr="00C739DA">
            <w:rPr>
              <w:b/>
              <w:bCs/>
              <w:noProof/>
              <w:sz w:val="22"/>
              <w:szCs w:val="22"/>
            </w:rPr>
            <w:fldChar w:fldCharType="end"/>
          </w:r>
        </w:p>
      </w:sdtContent>
    </w:sdt>
    <w:p w14:paraId="49707368" w14:textId="77777777" w:rsidR="004831A0" w:rsidRDefault="004831A0" w:rsidP="00E4472C">
      <w:pPr>
        <w:spacing w:line="480" w:lineRule="auto"/>
        <w:jc w:val="both"/>
        <w:rPr>
          <w:rFonts w:ascii="Arial" w:hAnsi="Arial" w:cs="Arial"/>
          <w:b/>
          <w:bCs/>
        </w:rPr>
      </w:pPr>
    </w:p>
    <w:p w14:paraId="10C8587A" w14:textId="278DB1DB" w:rsidR="00E454F3" w:rsidRDefault="00E454F3" w:rsidP="00E4472C">
      <w:pPr>
        <w:spacing w:line="480" w:lineRule="auto"/>
        <w:jc w:val="both"/>
        <w:rPr>
          <w:rFonts w:ascii="Arial" w:hAnsi="Arial" w:cs="Arial"/>
        </w:rPr>
      </w:pPr>
      <w:r>
        <w:rPr>
          <w:rFonts w:ascii="Arial" w:hAnsi="Arial" w:cs="Arial"/>
        </w:rPr>
        <w:br w:type="page"/>
      </w:r>
    </w:p>
    <w:p w14:paraId="04206A8B" w14:textId="453FD82F" w:rsidR="00A4238A" w:rsidRPr="00A8046E" w:rsidRDefault="00A4238A" w:rsidP="0096698F">
      <w:pPr>
        <w:pStyle w:val="Heading1"/>
        <w:rPr>
          <w:rFonts w:ascii="Arial" w:hAnsi="Arial" w:cs="Arial"/>
          <w:b/>
          <w:bCs/>
          <w:color w:val="000000" w:themeColor="text1"/>
          <w:sz w:val="22"/>
          <w:szCs w:val="22"/>
        </w:rPr>
      </w:pPr>
      <w:bookmarkStart w:id="0" w:name="_Toc227075997"/>
      <w:r w:rsidRPr="00A8046E">
        <w:rPr>
          <w:rFonts w:ascii="Arial" w:hAnsi="Arial" w:cs="Arial"/>
          <w:b/>
          <w:bCs/>
          <w:color w:val="000000" w:themeColor="text1"/>
          <w:sz w:val="22"/>
          <w:szCs w:val="22"/>
        </w:rPr>
        <w:lastRenderedPageBreak/>
        <w:t>Introduction</w:t>
      </w:r>
      <w:bookmarkEnd w:id="0"/>
    </w:p>
    <w:p w14:paraId="0EA0D145" w14:textId="24BC39CF" w:rsidR="00E454F3" w:rsidRPr="00A8046E" w:rsidRDefault="00222D9B" w:rsidP="00543D32">
      <w:pPr>
        <w:spacing w:line="480" w:lineRule="auto"/>
        <w:rPr>
          <w:rFonts w:ascii="Arial" w:hAnsi="Arial" w:cs="Arial"/>
          <w:sz w:val="22"/>
          <w:szCs w:val="22"/>
        </w:rPr>
      </w:pPr>
      <w:r w:rsidRPr="00A8046E">
        <w:rPr>
          <w:rFonts w:ascii="Arial" w:hAnsi="Arial" w:cs="Arial"/>
          <w:sz w:val="22"/>
          <w:szCs w:val="22"/>
        </w:rPr>
        <w:t>Modern health and social care systems are based on health, wellbeing, and sustainable development. The growing global health issues such as chronic diseases, inequalities and environmental pressures have resulted in the need to develop integrated and sustainable solutions to healthcare delivery. This report provides a critical discussion of how Sustainable Development Goal (SDG) 3: Good Health and Wellbeing, and SDG 10: Reduced Inequalities influence population health outcomes. It also analyses national and local wellbeing programs and determines their effectiveness in achieving sustainable health outcomes. The report will address major challenges, opportunities and evidence-based recommendations to advance policy and practice in order to improve the health and wellbeing of citizens.</w:t>
      </w:r>
    </w:p>
    <w:p w14:paraId="27B54D12" w14:textId="77777777" w:rsidR="00D12039" w:rsidRPr="00A8046E" w:rsidRDefault="00A4238A" w:rsidP="00A04B6E">
      <w:pPr>
        <w:pStyle w:val="Heading1"/>
        <w:rPr>
          <w:rFonts w:ascii="Arial" w:hAnsi="Arial" w:cs="Arial"/>
          <w:b/>
          <w:bCs/>
          <w:color w:val="000000" w:themeColor="text1"/>
          <w:sz w:val="22"/>
          <w:szCs w:val="22"/>
        </w:rPr>
      </w:pPr>
      <w:bookmarkStart w:id="1" w:name="_Toc227075998"/>
      <w:r w:rsidRPr="00A8046E">
        <w:rPr>
          <w:rFonts w:ascii="Arial" w:hAnsi="Arial" w:cs="Arial"/>
          <w:b/>
          <w:bCs/>
          <w:color w:val="000000" w:themeColor="text1"/>
          <w:sz w:val="22"/>
          <w:szCs w:val="22"/>
        </w:rPr>
        <w:t>Sustainable Development Goal 3</w:t>
      </w:r>
      <w:bookmarkEnd w:id="1"/>
    </w:p>
    <w:p w14:paraId="6EC8FEFC" w14:textId="09509235" w:rsidR="00D12039" w:rsidRPr="00A8046E" w:rsidRDefault="00B87FAF" w:rsidP="00543D32">
      <w:pPr>
        <w:spacing w:line="480" w:lineRule="auto"/>
        <w:jc w:val="both"/>
        <w:rPr>
          <w:rFonts w:ascii="Arial" w:hAnsi="Arial" w:cs="Arial"/>
          <w:sz w:val="22"/>
          <w:szCs w:val="22"/>
        </w:rPr>
      </w:pPr>
      <w:r w:rsidRPr="00A8046E">
        <w:rPr>
          <w:rFonts w:ascii="Arial" w:hAnsi="Arial" w:cs="Arial"/>
          <w:sz w:val="22"/>
          <w:szCs w:val="22"/>
        </w:rPr>
        <w:t>Sustainable Development Goal 3 (SDG 3) seeks to guarantee a healthy life and wellbeing among all people of all ages and is a key feature of the 2030 Agenda of Sustainable Development of the United Nations (United Nations, 2015; World Health Organi</w:t>
      </w:r>
      <w:r w:rsidR="00D5270F" w:rsidRPr="00A8046E">
        <w:rPr>
          <w:rFonts w:ascii="Arial" w:hAnsi="Arial" w:cs="Arial"/>
          <w:sz w:val="22"/>
          <w:szCs w:val="22"/>
        </w:rPr>
        <w:t>s</w:t>
      </w:r>
      <w:r w:rsidRPr="00A8046E">
        <w:rPr>
          <w:rFonts w:ascii="Arial" w:hAnsi="Arial" w:cs="Arial"/>
          <w:sz w:val="22"/>
          <w:szCs w:val="22"/>
        </w:rPr>
        <w:t>ation, 2023). The objective has a broad scope of targets that include global maternal mortality, elimination of preventable deaths of children and newborns, combat communicable diseases like HIV/AIDS and malaria, and the reduction of premature mortality related to non-communicable diseases (NCDs) through prevention and treatment (WHO, 2022). Mental health and wellbeing, prevention of substance abuse, road safety, and access to sexual and reproductive healthcare services are also SDG 3 priorities. One of the main aspects of SDG 3 is the holistic and inclusive nature of the goal, which is consistent with the biopsychosocial concept of health by considering the impact of social, economic, and environmental factors on health outcomes (Xiao et al., 2021).</w:t>
      </w:r>
    </w:p>
    <w:p w14:paraId="2FEAF765" w14:textId="702241CD" w:rsidR="00D12039" w:rsidRPr="00A8046E" w:rsidRDefault="008A7BF1" w:rsidP="00543D32">
      <w:pPr>
        <w:spacing w:line="480" w:lineRule="auto"/>
        <w:jc w:val="both"/>
        <w:rPr>
          <w:rFonts w:ascii="Arial" w:hAnsi="Arial" w:cs="Arial"/>
          <w:sz w:val="22"/>
          <w:szCs w:val="22"/>
        </w:rPr>
      </w:pPr>
      <w:r w:rsidRPr="00A8046E">
        <w:rPr>
          <w:rFonts w:ascii="Arial" w:hAnsi="Arial" w:cs="Arial"/>
          <w:sz w:val="22"/>
          <w:szCs w:val="22"/>
        </w:rPr>
        <w:t xml:space="preserve">The focus on preventive healthcare and health promotion is one of the key SDG 3 constructs. Preventive strategies, including immunisation, screening of diseases at early stages, and community health campaigns, are important in the context of decreasing the disease burden and improving the outcomes of population health (Public Health England, 2018). To illustrate, </w:t>
      </w:r>
      <w:r w:rsidRPr="00A8046E">
        <w:rPr>
          <w:rFonts w:ascii="Arial" w:hAnsi="Arial" w:cs="Arial"/>
          <w:sz w:val="22"/>
          <w:szCs w:val="22"/>
        </w:rPr>
        <w:lastRenderedPageBreak/>
        <w:t>vaccination has helped to save millions of lives annually around the world by reducing the death rates caused by infectious diseases (WHO, 2022). Also, efforts to decrease tobacco consumption, promote healthy eating and physical exercise can be used to curb the increased rates of non-communicable diseases like cardiovascular diseases, diabetes and cancer. Such plans do not only enhance personal health but also lower the expense of healthcare in the long run as well as the sustainability of the healthcare systems (Department of Health and Social Care, 2018).</w:t>
      </w:r>
    </w:p>
    <w:p w14:paraId="64219C41" w14:textId="455BFB4E" w:rsidR="00D12039" w:rsidRPr="00A8046E" w:rsidRDefault="00DC6777" w:rsidP="00543D32">
      <w:pPr>
        <w:spacing w:line="480" w:lineRule="auto"/>
        <w:jc w:val="both"/>
        <w:rPr>
          <w:rFonts w:ascii="Arial" w:hAnsi="Arial" w:cs="Arial"/>
          <w:sz w:val="22"/>
          <w:szCs w:val="22"/>
        </w:rPr>
      </w:pPr>
      <w:r w:rsidRPr="00A8046E">
        <w:rPr>
          <w:rFonts w:ascii="Arial" w:hAnsi="Arial" w:cs="Arial"/>
          <w:sz w:val="22"/>
          <w:szCs w:val="22"/>
        </w:rPr>
        <w:t>Universal health coverage (UHC) is another crucial aspect of SDG 3 that provides everyone with access to much-needed healthcare services without financial strain (WHO, 2023). UHC plays a core role in minimising health disparities and enhancing equity in healthcare services especially among the vulnerable and marginalised groups. SDG 3 enhances health outcomes and life expectancy by empowering healthcare systems, raising workforce capacity, and access to needed medicines and technologies. Nevertheless, issues like insufficient funding, shortage of workforce, and unequal distribution of resources still persist to limit full implementation of UHC in most countries (OECD, 2020). These shortcomings underscore the importance of long-term investment and policy dedication in order to have equitable healthcare among all.</w:t>
      </w:r>
    </w:p>
    <w:p w14:paraId="1DFBA0B6" w14:textId="20637232" w:rsidR="00A4238A" w:rsidRPr="00A8046E" w:rsidRDefault="00F30C56" w:rsidP="00543D32">
      <w:pPr>
        <w:spacing w:line="480" w:lineRule="auto"/>
        <w:jc w:val="both"/>
        <w:rPr>
          <w:rFonts w:ascii="Arial" w:hAnsi="Arial" w:cs="Arial"/>
          <w:sz w:val="22"/>
          <w:szCs w:val="22"/>
        </w:rPr>
      </w:pPr>
      <w:r w:rsidRPr="00A8046E">
        <w:rPr>
          <w:rFonts w:ascii="Arial" w:hAnsi="Arial" w:cs="Arial"/>
          <w:sz w:val="22"/>
          <w:szCs w:val="22"/>
        </w:rPr>
        <w:t>SDG 3 will have a significant effect on the health and wellbeing of citizens, not only by focusing on direct health outcomes but also on the determinants of health more generally. Better access to healthcare services will result into early diagnosis and treatment, which will reduce morbidity and mortality rates. Moreover, mental health services within primary care promote psychological wellbeing and minimi</w:t>
      </w:r>
      <w:r w:rsidR="00D5270F" w:rsidRPr="00A8046E">
        <w:rPr>
          <w:rFonts w:ascii="Arial" w:hAnsi="Arial" w:cs="Arial"/>
          <w:sz w:val="22"/>
          <w:szCs w:val="22"/>
        </w:rPr>
        <w:t>s</w:t>
      </w:r>
      <w:r w:rsidRPr="00A8046E">
        <w:rPr>
          <w:rFonts w:ascii="Arial" w:hAnsi="Arial" w:cs="Arial"/>
          <w:sz w:val="22"/>
          <w:szCs w:val="22"/>
        </w:rPr>
        <w:t>e stigma related to mental illness (NHS England, 2020). Another way SDG 3 encourages cross-sector collaboration involves the use of strategies such as Health in All Policies, which acknowledges that aspects such as housing, education, and employment have a crucial impact on health outcomes (WHO, 2023). Although these improvements have been made, the reali</w:t>
      </w:r>
      <w:r w:rsidR="00D5270F" w:rsidRPr="00A8046E">
        <w:rPr>
          <w:rFonts w:ascii="Arial" w:hAnsi="Arial" w:cs="Arial"/>
          <w:sz w:val="22"/>
          <w:szCs w:val="22"/>
        </w:rPr>
        <w:t>s</w:t>
      </w:r>
      <w:r w:rsidRPr="00A8046E">
        <w:rPr>
          <w:rFonts w:ascii="Arial" w:hAnsi="Arial" w:cs="Arial"/>
          <w:sz w:val="22"/>
          <w:szCs w:val="22"/>
        </w:rPr>
        <w:t xml:space="preserve">ation of SDG 3 is still not evenly distributed, as countries still have unequal degrees of progress between and within them. Thus, global </w:t>
      </w:r>
      <w:r w:rsidRPr="00A8046E">
        <w:rPr>
          <w:rFonts w:ascii="Arial" w:hAnsi="Arial" w:cs="Arial"/>
          <w:sz w:val="22"/>
          <w:szCs w:val="22"/>
        </w:rPr>
        <w:lastRenderedPageBreak/>
        <w:t>collaboration, health system investment, and specific interventions are crucial in ensuring that SDG 3 has a maximum positive influence on the health and wellbeing of citizens.</w:t>
      </w:r>
    </w:p>
    <w:p w14:paraId="3B8ACD0D" w14:textId="4A77D52A" w:rsidR="00A4238A" w:rsidRPr="00A8046E" w:rsidRDefault="00A4238A" w:rsidP="00A04B6E">
      <w:pPr>
        <w:pStyle w:val="Heading1"/>
        <w:rPr>
          <w:rFonts w:ascii="Arial" w:hAnsi="Arial" w:cs="Arial"/>
          <w:b/>
          <w:bCs/>
          <w:color w:val="000000" w:themeColor="text1"/>
          <w:sz w:val="22"/>
          <w:szCs w:val="22"/>
        </w:rPr>
      </w:pPr>
      <w:bookmarkStart w:id="2" w:name="_Toc227075999"/>
      <w:r w:rsidRPr="00A8046E">
        <w:rPr>
          <w:rFonts w:ascii="Arial" w:hAnsi="Arial" w:cs="Arial"/>
          <w:b/>
          <w:bCs/>
          <w:color w:val="000000" w:themeColor="text1"/>
          <w:sz w:val="22"/>
          <w:szCs w:val="22"/>
        </w:rPr>
        <w:t>Any other ONE Sustainable Development Goal of your choice</w:t>
      </w:r>
      <w:bookmarkEnd w:id="2"/>
    </w:p>
    <w:p w14:paraId="738274AE" w14:textId="347352DE" w:rsidR="00D12039" w:rsidRPr="00A8046E" w:rsidRDefault="007F6D41" w:rsidP="00543D32">
      <w:pPr>
        <w:spacing w:line="480" w:lineRule="auto"/>
        <w:jc w:val="both"/>
        <w:rPr>
          <w:rFonts w:ascii="Arial" w:hAnsi="Arial" w:cs="Arial"/>
          <w:sz w:val="22"/>
          <w:szCs w:val="22"/>
        </w:rPr>
      </w:pPr>
      <w:r w:rsidRPr="00A8046E">
        <w:rPr>
          <w:rFonts w:ascii="Arial" w:hAnsi="Arial" w:cs="Arial"/>
          <w:sz w:val="22"/>
          <w:szCs w:val="22"/>
        </w:rPr>
        <w:t>One of the most important determinants of global health and wellbeing is sustainable Development Goal 10 (SDG 10), which aims to decrease disparities inside or outside of countries (United Nations, 2015). The aim is to mitigate inequalities in income, social status, resource access and opportunities, understanding that inequality is a significant challenge to sustainable development. Important indicators of SDG 10 are a social, economic, and political inclusion involving everyone irrespective of age, gender, disability, race, or socioeconomic status and equal opportunities and minimi</w:t>
      </w:r>
      <w:r w:rsidR="00D5270F" w:rsidRPr="00A8046E">
        <w:rPr>
          <w:rFonts w:ascii="Arial" w:hAnsi="Arial" w:cs="Arial"/>
          <w:sz w:val="22"/>
          <w:szCs w:val="22"/>
        </w:rPr>
        <w:t>s</w:t>
      </w:r>
      <w:r w:rsidRPr="00A8046E">
        <w:rPr>
          <w:rFonts w:ascii="Arial" w:hAnsi="Arial" w:cs="Arial"/>
          <w:sz w:val="22"/>
          <w:szCs w:val="22"/>
        </w:rPr>
        <w:t>ing discriminatory policies and practices (World Health Organi</w:t>
      </w:r>
      <w:r w:rsidR="00D5270F" w:rsidRPr="00A8046E">
        <w:rPr>
          <w:rFonts w:ascii="Arial" w:hAnsi="Arial" w:cs="Arial"/>
          <w:sz w:val="22"/>
          <w:szCs w:val="22"/>
        </w:rPr>
        <w:t>s</w:t>
      </w:r>
      <w:r w:rsidRPr="00A8046E">
        <w:rPr>
          <w:rFonts w:ascii="Arial" w:hAnsi="Arial" w:cs="Arial"/>
          <w:sz w:val="22"/>
          <w:szCs w:val="22"/>
        </w:rPr>
        <w:t>ation, 2025). This objective emphasi</w:t>
      </w:r>
      <w:r w:rsidR="00D5270F" w:rsidRPr="00A8046E">
        <w:rPr>
          <w:rFonts w:ascii="Arial" w:hAnsi="Arial" w:cs="Arial"/>
          <w:sz w:val="22"/>
          <w:szCs w:val="22"/>
        </w:rPr>
        <w:t>s</w:t>
      </w:r>
      <w:r w:rsidRPr="00A8046E">
        <w:rPr>
          <w:rFonts w:ascii="Arial" w:hAnsi="Arial" w:cs="Arial"/>
          <w:sz w:val="22"/>
          <w:szCs w:val="22"/>
        </w:rPr>
        <w:t>es the need to uphold fairness and equity in determining the societal outcomes and the fact that disparities in wealth and resources directly affect health outcomes among all populations.</w:t>
      </w:r>
    </w:p>
    <w:p w14:paraId="51545949" w14:textId="391AD56D" w:rsidR="00D12039" w:rsidRPr="00A8046E" w:rsidRDefault="007B043F" w:rsidP="00543D32">
      <w:pPr>
        <w:spacing w:line="480" w:lineRule="auto"/>
        <w:jc w:val="both"/>
        <w:rPr>
          <w:rFonts w:ascii="Arial" w:hAnsi="Arial" w:cs="Arial"/>
          <w:sz w:val="22"/>
          <w:szCs w:val="22"/>
        </w:rPr>
      </w:pPr>
      <w:r w:rsidRPr="00A8046E">
        <w:rPr>
          <w:rFonts w:ascii="Arial" w:hAnsi="Arial" w:cs="Arial"/>
          <w:sz w:val="22"/>
          <w:szCs w:val="22"/>
        </w:rPr>
        <w:t>The decrease of income inequality is one of the primary SDG 10 constructs and it affects health and wellbeing greatly. Poor-income earners tend to have poor access to healthcare services, nutritious food, safe housing, and education, which are crucial determinants of good health (Marmot, 2020). It has been demonstrated that, in communities with greater inequality, the overall health outcomes, such as the prevalence of chronic diseases and reduced life expectancy, are worse (OECD, 2020). SDG 10 helps to increase the living standards and decrease the health disparity of the disadvantaged populations by encouraging policies that uphold fair wages, social protection systems, and economic inclusion.</w:t>
      </w:r>
    </w:p>
    <w:p w14:paraId="7639C133" w14:textId="4F3116BC" w:rsidR="00B85DB5" w:rsidRPr="00A8046E" w:rsidRDefault="00B85DB5" w:rsidP="00B85DB5">
      <w:pPr>
        <w:spacing w:line="480" w:lineRule="auto"/>
        <w:jc w:val="both"/>
        <w:rPr>
          <w:rFonts w:ascii="Arial" w:hAnsi="Arial" w:cs="Arial"/>
          <w:sz w:val="22"/>
          <w:szCs w:val="22"/>
        </w:rPr>
      </w:pPr>
      <w:r w:rsidRPr="00A8046E">
        <w:rPr>
          <w:rFonts w:ascii="Arial" w:hAnsi="Arial" w:cs="Arial"/>
          <w:sz w:val="22"/>
          <w:szCs w:val="22"/>
        </w:rPr>
        <w:t>Another important aspect of SDG 10 is the promotion of social inclusion and equal access to opportunities. Social exclusion, discrimination, and marginalisation may result in stress and poor mental health, as well as decreased access to important services (World Health Organi</w:t>
      </w:r>
      <w:r w:rsidR="00D5270F" w:rsidRPr="00A8046E">
        <w:rPr>
          <w:rFonts w:ascii="Arial" w:hAnsi="Arial" w:cs="Arial"/>
          <w:sz w:val="22"/>
          <w:szCs w:val="22"/>
        </w:rPr>
        <w:t>s</w:t>
      </w:r>
      <w:r w:rsidRPr="00A8046E">
        <w:rPr>
          <w:rFonts w:ascii="Arial" w:hAnsi="Arial" w:cs="Arial"/>
          <w:sz w:val="22"/>
          <w:szCs w:val="22"/>
        </w:rPr>
        <w:t xml:space="preserve">ation, 2023). For example, ethnic minorities, migrants, and people with disabilities are usually faced with obstacles to healthcare access and job opportunities, which adversely impact their overall wellbeing. Anti-discrimination laws and inclusive education systems are </w:t>
      </w:r>
      <w:r w:rsidRPr="00A8046E">
        <w:rPr>
          <w:rFonts w:ascii="Arial" w:hAnsi="Arial" w:cs="Arial"/>
          <w:sz w:val="22"/>
          <w:szCs w:val="22"/>
        </w:rPr>
        <w:lastRenderedPageBreak/>
        <w:t>policies designed to reduce discrimination and increase inclusivity, which is important in enhancing mental health outcomes and the feeling of belonging in communities (</w:t>
      </w:r>
      <w:proofErr w:type="spellStart"/>
      <w:r w:rsidRPr="00A8046E">
        <w:rPr>
          <w:rFonts w:ascii="Arial" w:hAnsi="Arial" w:cs="Arial"/>
          <w:sz w:val="22"/>
          <w:szCs w:val="22"/>
        </w:rPr>
        <w:t>Thorlby</w:t>
      </w:r>
      <w:proofErr w:type="spellEnd"/>
      <w:r w:rsidRPr="00A8046E">
        <w:rPr>
          <w:rFonts w:ascii="Arial" w:hAnsi="Arial" w:cs="Arial"/>
          <w:sz w:val="22"/>
          <w:szCs w:val="22"/>
        </w:rPr>
        <w:t xml:space="preserve"> et al., 2021).</w:t>
      </w:r>
    </w:p>
    <w:p w14:paraId="21AC97D8" w14:textId="7418BFD1" w:rsidR="00D12039" w:rsidRPr="00A8046E" w:rsidRDefault="00B85DB5" w:rsidP="00B85DB5">
      <w:pPr>
        <w:spacing w:line="480" w:lineRule="auto"/>
        <w:jc w:val="both"/>
        <w:rPr>
          <w:rFonts w:ascii="Arial" w:hAnsi="Arial" w:cs="Arial"/>
          <w:sz w:val="22"/>
          <w:szCs w:val="22"/>
        </w:rPr>
      </w:pPr>
      <w:r w:rsidRPr="00A8046E">
        <w:rPr>
          <w:rFonts w:ascii="Arial" w:hAnsi="Arial" w:cs="Arial"/>
          <w:sz w:val="22"/>
          <w:szCs w:val="22"/>
        </w:rPr>
        <w:t>The health and wellbeing implications of SDG 10 are significant, because inequalities can be decreased and the result is a more equitable health outcome and a stronger and more cohesive society. By tackling inequalities, healthcare systems will be more accessible and effective, leading to better population health and lower healthcare costs (WHO, 2025). Also, the narrowing of disparities leads to increased social cohesion and trust, key factors in mental and social wellbeing (Public Health Wales, 2021). Nonetheless, SDG 10 is still difficult to achieve because of structural disparities, economic imbalances in the world, and unequal enforcement of policies by various nations. As such, political commitment, cross-sector cooperation, as well as targeted interventions, are required on a long-term basis to make sure that the gains of lower inequality may be used to improve health and wellbeing of every citizen.</w:t>
      </w:r>
    </w:p>
    <w:p w14:paraId="25B07FBB" w14:textId="77777777" w:rsidR="00D12039" w:rsidRPr="00A8046E" w:rsidRDefault="003F7D8A" w:rsidP="00A04B6E">
      <w:pPr>
        <w:pStyle w:val="Heading1"/>
        <w:rPr>
          <w:rFonts w:ascii="Arial" w:hAnsi="Arial" w:cs="Arial"/>
          <w:b/>
          <w:bCs/>
          <w:color w:val="000000" w:themeColor="text1"/>
          <w:sz w:val="22"/>
          <w:szCs w:val="22"/>
        </w:rPr>
      </w:pPr>
      <w:bookmarkStart w:id="3" w:name="_Toc227076000"/>
      <w:r w:rsidRPr="00A8046E">
        <w:rPr>
          <w:rFonts w:ascii="Arial" w:hAnsi="Arial" w:cs="Arial"/>
          <w:b/>
          <w:bCs/>
          <w:color w:val="000000" w:themeColor="text1"/>
          <w:sz w:val="22"/>
          <w:szCs w:val="22"/>
        </w:rPr>
        <w:t>National wellbeing initiatives</w:t>
      </w:r>
      <w:bookmarkEnd w:id="3"/>
    </w:p>
    <w:p w14:paraId="58F4F9BA" w14:textId="6313167E" w:rsidR="00D12039" w:rsidRPr="00A8046E" w:rsidRDefault="000F083E" w:rsidP="00543D32">
      <w:pPr>
        <w:spacing w:line="480" w:lineRule="auto"/>
        <w:jc w:val="both"/>
        <w:rPr>
          <w:rFonts w:ascii="Arial" w:hAnsi="Arial" w:cs="Arial"/>
          <w:sz w:val="22"/>
          <w:szCs w:val="22"/>
        </w:rPr>
      </w:pPr>
      <w:r w:rsidRPr="00A8046E">
        <w:rPr>
          <w:rFonts w:ascii="Arial" w:hAnsi="Arial" w:cs="Arial"/>
          <w:sz w:val="22"/>
          <w:szCs w:val="22"/>
        </w:rPr>
        <w:t>The NHS Long Term Plan (2019) and the Public Health England Prevention Strategy are two major national wellbeing and sustainable development strategies in the UK, both of which seek to enhance population health by prioriti</w:t>
      </w:r>
      <w:r w:rsidR="00D5270F" w:rsidRPr="00A8046E">
        <w:rPr>
          <w:rFonts w:ascii="Arial" w:hAnsi="Arial" w:cs="Arial"/>
          <w:sz w:val="22"/>
          <w:szCs w:val="22"/>
        </w:rPr>
        <w:t>s</w:t>
      </w:r>
      <w:r w:rsidRPr="00A8046E">
        <w:rPr>
          <w:rFonts w:ascii="Arial" w:hAnsi="Arial" w:cs="Arial"/>
          <w:sz w:val="22"/>
          <w:szCs w:val="22"/>
        </w:rPr>
        <w:t>ing integrated, preventive, and sustainable strategies. The NHS Long Term Plan is aimed at changing the way healthcare is delivered to be community-based (not hospital-based), increasing digital health systems, and putting more emphasis on prevention (NHS England, 2019). It also encourages integrated care systems (ICS), involving the union of healthcare providers in the provision of coordinated and patient centred care. It has been indicated that this strategy has led to better coordination of care and more patients have been able to receive care nearer to their homes, which has helped reduce unnecessary hospital admissions and better patient outcomes (NHS England, 2019). Also, the plan focuses on addressing key health issues like cancer, cardiovascular diseases, and mental illnesses, which will help to increase survival rates and overall health.</w:t>
      </w:r>
    </w:p>
    <w:p w14:paraId="7EE94B0E" w14:textId="3D588C8C" w:rsidR="00D12039" w:rsidRPr="00A8046E" w:rsidRDefault="0096416C" w:rsidP="00543D32">
      <w:pPr>
        <w:spacing w:line="480" w:lineRule="auto"/>
        <w:jc w:val="both"/>
        <w:rPr>
          <w:rFonts w:ascii="Arial" w:hAnsi="Arial" w:cs="Arial"/>
          <w:sz w:val="22"/>
          <w:szCs w:val="22"/>
        </w:rPr>
      </w:pPr>
      <w:r w:rsidRPr="00A8046E">
        <w:rPr>
          <w:rFonts w:ascii="Arial" w:hAnsi="Arial" w:cs="Arial"/>
          <w:sz w:val="22"/>
          <w:szCs w:val="22"/>
        </w:rPr>
        <w:lastRenderedPageBreak/>
        <w:t>Nevertheless, in spite of these positive results, the success of the NHS Long Term Plan is limited by a number of difficulties. Workforce shortages, increasing demand due to an ageing population, and funding pressures continue to limit service delivery (</w:t>
      </w:r>
      <w:proofErr w:type="spellStart"/>
      <w:r w:rsidRPr="00A8046E">
        <w:rPr>
          <w:rFonts w:ascii="Arial" w:hAnsi="Arial" w:cs="Arial"/>
          <w:sz w:val="22"/>
          <w:szCs w:val="22"/>
        </w:rPr>
        <w:t>Alderwick</w:t>
      </w:r>
      <w:proofErr w:type="spellEnd"/>
      <w:r w:rsidRPr="00A8046E">
        <w:rPr>
          <w:rFonts w:ascii="Arial" w:hAnsi="Arial" w:cs="Arial"/>
          <w:sz w:val="22"/>
          <w:szCs w:val="22"/>
        </w:rPr>
        <w:t xml:space="preserve"> and Dixon, 2019). Moreover, the COVID-19 pandemic slowed the process, postponing the achievement of major goals and showing the vulnerabilities of the resilience of the system (</w:t>
      </w:r>
      <w:proofErr w:type="spellStart"/>
      <w:r w:rsidRPr="00A8046E">
        <w:rPr>
          <w:rFonts w:ascii="Arial" w:hAnsi="Arial" w:cs="Arial"/>
          <w:sz w:val="22"/>
          <w:szCs w:val="22"/>
        </w:rPr>
        <w:t>Thorlby</w:t>
      </w:r>
      <w:proofErr w:type="spellEnd"/>
      <w:r w:rsidRPr="00A8046E">
        <w:rPr>
          <w:rFonts w:ascii="Arial" w:hAnsi="Arial" w:cs="Arial"/>
          <w:sz w:val="22"/>
          <w:szCs w:val="22"/>
        </w:rPr>
        <w:t xml:space="preserve"> et al., 2021). The presence of such persistent problems as long queues and unequal access to healthcare services across the regions suggests that the initiative has not met its goals completely (Office for National Statistics, 2021). Although the plan has high targets, critics claim that it would not be successful without long term investment, addition of more employees, and effective system coordination.</w:t>
      </w:r>
    </w:p>
    <w:p w14:paraId="03DAA060" w14:textId="2560E695" w:rsidR="00D12039" w:rsidRPr="00A8046E" w:rsidRDefault="00542000" w:rsidP="00543D32">
      <w:pPr>
        <w:spacing w:line="480" w:lineRule="auto"/>
        <w:jc w:val="both"/>
        <w:rPr>
          <w:rFonts w:ascii="Arial" w:hAnsi="Arial" w:cs="Arial"/>
          <w:sz w:val="22"/>
          <w:szCs w:val="22"/>
        </w:rPr>
      </w:pPr>
      <w:r w:rsidRPr="00A8046E">
        <w:rPr>
          <w:rFonts w:ascii="Arial" w:hAnsi="Arial" w:cs="Arial"/>
          <w:sz w:val="22"/>
          <w:szCs w:val="22"/>
        </w:rPr>
        <w:t>The Public Health England Prevention Strategy is another important national campaign, aimed at minimi</w:t>
      </w:r>
      <w:r w:rsidR="00D5270F" w:rsidRPr="00A8046E">
        <w:rPr>
          <w:rFonts w:ascii="Arial" w:hAnsi="Arial" w:cs="Arial"/>
          <w:sz w:val="22"/>
          <w:szCs w:val="22"/>
        </w:rPr>
        <w:t>s</w:t>
      </w:r>
      <w:r w:rsidRPr="00A8046E">
        <w:rPr>
          <w:rFonts w:ascii="Arial" w:hAnsi="Arial" w:cs="Arial"/>
          <w:sz w:val="22"/>
          <w:szCs w:val="22"/>
        </w:rPr>
        <w:t>ing risk factors that cause poor health, such as smoking, obesity, physical inactivity (Public Health England, 2018). This program has proved to be effective in enhancing the awareness of people and decreasing the bad habits; take the condition of smoking in the UK, which has plummeted to the lowest levels in the last ten years thanks to concerted efforts of campaigns and policy measures. Preventive strategies not only enhance the health outcomes of individuals but also enhance the healthcare expenditures in the long-term by lowering the occurrence of chronic diseases (Department of Health and Social Care, 2018). The strategy will help in sustaining the healthcare system by minimi</w:t>
      </w:r>
      <w:r w:rsidR="00D5270F" w:rsidRPr="00A8046E">
        <w:rPr>
          <w:rFonts w:ascii="Arial" w:hAnsi="Arial" w:cs="Arial"/>
          <w:sz w:val="22"/>
          <w:szCs w:val="22"/>
        </w:rPr>
        <w:t>s</w:t>
      </w:r>
      <w:r w:rsidRPr="00A8046E">
        <w:rPr>
          <w:rFonts w:ascii="Arial" w:hAnsi="Arial" w:cs="Arial"/>
          <w:sz w:val="22"/>
          <w:szCs w:val="22"/>
        </w:rPr>
        <w:t>ing the pressure on the health services by focusing on the lifestyle-related risk factors and enhancing the long-term wellbeing.</w:t>
      </w:r>
    </w:p>
    <w:p w14:paraId="2CFCEF2A" w14:textId="2604542F" w:rsidR="00A4238A" w:rsidRPr="00A8046E" w:rsidRDefault="0097549B" w:rsidP="00543D32">
      <w:pPr>
        <w:spacing w:line="480" w:lineRule="auto"/>
        <w:jc w:val="both"/>
        <w:rPr>
          <w:rFonts w:ascii="Arial" w:hAnsi="Arial" w:cs="Arial"/>
          <w:sz w:val="22"/>
          <w:szCs w:val="22"/>
        </w:rPr>
      </w:pPr>
      <w:r w:rsidRPr="00A8046E">
        <w:rPr>
          <w:rFonts w:ascii="Arial" w:hAnsi="Arial" w:cs="Arial"/>
          <w:sz w:val="22"/>
          <w:szCs w:val="22"/>
        </w:rPr>
        <w:t xml:space="preserve">The Prevention Strategy has its strengths, but it has weaknesses especially in dealing with health inequalities. Lower socioeconomic status is associated with a lower likelihood of low socioeconomic individuals to participate in health promotion efforts because of factors like resource access, health literacy, and environmental barriers (Marmot, 2020). This lessens the overall efficiency of the initiative in attaining fair health results. To enhance both initiatives, a number of recommendations can be given. To begin with, more funding and workforce are necessary to facilitate service delivery and lessen waiting time. Secondly, prevention </w:t>
      </w:r>
      <w:r w:rsidRPr="00A8046E">
        <w:rPr>
          <w:rFonts w:ascii="Arial" w:hAnsi="Arial" w:cs="Arial"/>
          <w:sz w:val="22"/>
          <w:szCs w:val="22"/>
        </w:rPr>
        <w:lastRenderedPageBreak/>
        <w:t>strategies should be designed to deal with health disparities, and the vulnerable groups should have access to prevention programmes. Third, there is a need to integrate national and local services better to increase their coordination and ease of access. Lastly, monitoring and evaluation should be a priority to evaluate impact and make evidence-based policy changes.</w:t>
      </w:r>
    </w:p>
    <w:p w14:paraId="3F152127" w14:textId="747FB4DB" w:rsidR="003F7D8A" w:rsidRPr="00A8046E" w:rsidRDefault="003F7D8A" w:rsidP="00A04B6E">
      <w:pPr>
        <w:pStyle w:val="Heading1"/>
        <w:rPr>
          <w:rFonts w:ascii="Arial" w:hAnsi="Arial" w:cs="Arial"/>
          <w:b/>
          <w:bCs/>
          <w:color w:val="000000" w:themeColor="text1"/>
          <w:sz w:val="22"/>
          <w:szCs w:val="22"/>
        </w:rPr>
      </w:pPr>
      <w:bookmarkStart w:id="4" w:name="_Toc227076001"/>
      <w:r w:rsidRPr="00A8046E">
        <w:rPr>
          <w:rFonts w:ascii="Arial" w:hAnsi="Arial" w:cs="Arial"/>
          <w:b/>
          <w:bCs/>
          <w:color w:val="000000" w:themeColor="text1"/>
          <w:sz w:val="22"/>
          <w:szCs w:val="22"/>
        </w:rPr>
        <w:t>Local wellbeing initiatives</w:t>
      </w:r>
      <w:bookmarkEnd w:id="4"/>
    </w:p>
    <w:p w14:paraId="6D09415B" w14:textId="728C70CC" w:rsidR="007D5E4C" w:rsidRPr="00A8046E" w:rsidRDefault="000835D6" w:rsidP="00543D32">
      <w:pPr>
        <w:spacing w:line="480" w:lineRule="auto"/>
        <w:rPr>
          <w:rFonts w:ascii="Arial" w:hAnsi="Arial" w:cs="Arial"/>
          <w:sz w:val="22"/>
          <w:szCs w:val="22"/>
        </w:rPr>
      </w:pPr>
      <w:r w:rsidRPr="00A8046E">
        <w:rPr>
          <w:rFonts w:ascii="Arial" w:hAnsi="Arial" w:cs="Arial"/>
          <w:sz w:val="22"/>
          <w:szCs w:val="22"/>
        </w:rPr>
        <w:t>Social prescribing programmes and community health outreach services are two prominent local health, wellbeing, and sustainable development initiatives in the UK and both strive to deal with the wider determinants of health on a community level. Social prescribing is a practice where healthcare professionals can refer patients to non-clinical services like exercise groups, counselling, financial advice, and community activities (NHS England, 2023). This program has already shown positive outcomes in terms of bettering mental health, causing less loneliness and an increased sense of wellbeing (Local Government Association, 2024). There is evidence indicating that a considerable percentage of participants report an increase in the quality of life and a decrease in the need to use primary healthcare services after taking part in social prescribing (Public Health England, 2018). Social prescribing helps to make healthcare delivery more holistic and sustainable as it helps to address social isolation and lifestyle issues.</w:t>
      </w:r>
    </w:p>
    <w:p w14:paraId="171D3387" w14:textId="1161AC06" w:rsidR="007D5E4C" w:rsidRPr="00A8046E" w:rsidRDefault="008D6D04" w:rsidP="00543D32">
      <w:pPr>
        <w:spacing w:line="480" w:lineRule="auto"/>
        <w:rPr>
          <w:rFonts w:ascii="Arial" w:hAnsi="Arial" w:cs="Arial"/>
          <w:sz w:val="22"/>
          <w:szCs w:val="22"/>
          <w:lang w:val="en-US"/>
        </w:rPr>
      </w:pPr>
      <w:r w:rsidRPr="00A8046E">
        <w:rPr>
          <w:rFonts w:ascii="Arial" w:hAnsi="Arial" w:cs="Arial"/>
          <w:sz w:val="22"/>
          <w:szCs w:val="22"/>
        </w:rPr>
        <w:t>Although social prescribing has its advantages, it is constrained by poor implementation and differences in service provision among regions. Certain regions have insufficient funds, trained link workers, and community resources to carry out referrals (Office for Health Improvement &amp; Disparities, 2022). Furthermore, patients and healthcare professionals are frequently unaware of it, thus decreasing uptake. Moreover, wellbeing improvements are subjective, and thus it can be difficult to determine the long-term effects, as they are hard to measure. These constraints imply that social prescribing is a viable initiative, but its effectiveness can be achieved only when it is properly resourced, standardised and evaluated by effective frameworks.</w:t>
      </w:r>
    </w:p>
    <w:p w14:paraId="564E7212" w14:textId="02E9A33F" w:rsidR="007D5E4C" w:rsidRPr="00A8046E" w:rsidRDefault="00C91590" w:rsidP="00543D32">
      <w:pPr>
        <w:spacing w:line="480" w:lineRule="auto"/>
        <w:rPr>
          <w:rFonts w:ascii="Arial" w:hAnsi="Arial" w:cs="Arial"/>
          <w:sz w:val="22"/>
          <w:szCs w:val="22"/>
        </w:rPr>
      </w:pPr>
      <w:r w:rsidRPr="00A8046E">
        <w:rPr>
          <w:rFonts w:ascii="Arial" w:hAnsi="Arial" w:cs="Arial"/>
          <w:sz w:val="22"/>
          <w:szCs w:val="22"/>
        </w:rPr>
        <w:lastRenderedPageBreak/>
        <w:t>Another significant local intervention is community health outreach programmes targeted at providing specific health services to underserved groups. Such programmes encompass mobile clinics, health screening, vaccination and health education programs to work towards better access to care and reducing health inequalities (Local Government Association, 2024). These campaigns have been effective, especially in accessing vulnerable communities, such as communities with low income, ethnic minorities, and rural populations that may not easily access traditional healthcare services. Community outreach programmes can help to achieve better health outcomes and less burden on secondary healthcare services by offering early intervention and preventive care (Ravaghi et al., 2023).</w:t>
      </w:r>
    </w:p>
    <w:p w14:paraId="7A0B14D9" w14:textId="3C59B07B" w:rsidR="00A8046E" w:rsidRDefault="00E75C56" w:rsidP="006B52BA">
      <w:pPr>
        <w:spacing w:line="480" w:lineRule="auto"/>
        <w:rPr>
          <w:rFonts w:ascii="Arial" w:hAnsi="Arial" w:cs="Arial"/>
          <w:b/>
          <w:bCs/>
          <w:color w:val="000000" w:themeColor="text1"/>
          <w:sz w:val="22"/>
          <w:szCs w:val="22"/>
        </w:rPr>
      </w:pPr>
      <w:r w:rsidRPr="00A8046E">
        <w:rPr>
          <w:rFonts w:ascii="Arial" w:hAnsi="Arial" w:cs="Arial"/>
          <w:sz w:val="22"/>
          <w:szCs w:val="22"/>
        </w:rPr>
        <w:t>Nevertheless, community health outreach programs also have a number of issues that restrain their efficiency. They may be limited by funding, a limited number of workers, and the inability to coordinate with national health policies (</w:t>
      </w:r>
      <w:proofErr w:type="spellStart"/>
      <w:r w:rsidRPr="00A8046E">
        <w:rPr>
          <w:rFonts w:ascii="Arial" w:hAnsi="Arial" w:cs="Arial"/>
          <w:sz w:val="22"/>
          <w:szCs w:val="22"/>
        </w:rPr>
        <w:t>Thorlby</w:t>
      </w:r>
      <w:proofErr w:type="spellEnd"/>
      <w:r w:rsidRPr="00A8046E">
        <w:rPr>
          <w:rFonts w:ascii="Arial" w:hAnsi="Arial" w:cs="Arial"/>
          <w:sz w:val="22"/>
          <w:szCs w:val="22"/>
        </w:rPr>
        <w:t xml:space="preserve"> et al., 2021). Moreover, short-term funding of projects can also lead to discontinuity of services, which has less long-term effects on the health of the community </w:t>
      </w:r>
      <w:r w:rsidR="00D5270F" w:rsidRPr="00A8046E">
        <w:rPr>
          <w:rFonts w:ascii="Arial" w:hAnsi="Arial" w:cs="Arial"/>
          <w:sz w:val="22"/>
          <w:szCs w:val="22"/>
          <w:lang w:val="en-US"/>
        </w:rPr>
        <w:t>(GOV.UK, 2022</w:t>
      </w:r>
      <w:r w:rsidRPr="00A8046E">
        <w:rPr>
          <w:rFonts w:ascii="Arial" w:hAnsi="Arial" w:cs="Arial"/>
          <w:sz w:val="22"/>
          <w:szCs w:val="22"/>
        </w:rPr>
        <w:t xml:space="preserve">). In order to enhance these initiatives, a number of suggestions can be made. To begin with, more and permanent funding is necessary to promote continuity and growth of services. Second, the integration of the local and national health systems would be strengthened, which would improve coordination and allocation of resources </w:t>
      </w:r>
      <w:r w:rsidR="00D5270F" w:rsidRPr="00A8046E">
        <w:rPr>
          <w:rFonts w:ascii="Arial" w:hAnsi="Arial" w:cs="Arial"/>
          <w:sz w:val="22"/>
          <w:szCs w:val="22"/>
          <w:lang w:val="en-US"/>
        </w:rPr>
        <w:t>(GOV.UK, 2022</w:t>
      </w:r>
      <w:r w:rsidRPr="00A8046E">
        <w:rPr>
          <w:rFonts w:ascii="Arial" w:hAnsi="Arial" w:cs="Arial"/>
          <w:sz w:val="22"/>
          <w:szCs w:val="22"/>
        </w:rPr>
        <w:t>). Thirdly, improved data collection and evaluation methods are needed to measure outcomes and demonstrate effectiveness. Lastly, there should be increased community engagement and awareness campaigns that may help to raise the number of people participating and make sure services are adapted to the particular needs of the local people.</w:t>
      </w:r>
    </w:p>
    <w:p w14:paraId="4FA43B3C" w14:textId="162BC8AA" w:rsidR="003F7D8A" w:rsidRPr="00A8046E" w:rsidRDefault="003F7D8A" w:rsidP="00A04B6E">
      <w:pPr>
        <w:pStyle w:val="Heading1"/>
        <w:rPr>
          <w:rFonts w:ascii="Arial" w:hAnsi="Arial" w:cs="Arial"/>
          <w:b/>
          <w:bCs/>
          <w:color w:val="000000" w:themeColor="text1"/>
          <w:sz w:val="22"/>
          <w:szCs w:val="22"/>
        </w:rPr>
      </w:pPr>
      <w:bookmarkStart w:id="5" w:name="_Toc227076002"/>
      <w:r w:rsidRPr="00A8046E">
        <w:rPr>
          <w:rFonts w:ascii="Arial" w:hAnsi="Arial" w:cs="Arial"/>
          <w:b/>
          <w:bCs/>
          <w:color w:val="000000" w:themeColor="text1"/>
          <w:sz w:val="22"/>
          <w:szCs w:val="22"/>
        </w:rPr>
        <w:t>Conclusion</w:t>
      </w:r>
      <w:bookmarkEnd w:id="5"/>
    </w:p>
    <w:p w14:paraId="37B0B4DC" w14:textId="56216275" w:rsidR="007D5E4C" w:rsidRPr="00A8046E" w:rsidRDefault="00F07146" w:rsidP="00543D32">
      <w:pPr>
        <w:spacing w:line="480" w:lineRule="auto"/>
        <w:rPr>
          <w:rFonts w:ascii="Arial" w:hAnsi="Arial" w:cs="Arial"/>
          <w:sz w:val="22"/>
          <w:szCs w:val="22"/>
        </w:rPr>
      </w:pPr>
      <w:r w:rsidRPr="00A8046E">
        <w:rPr>
          <w:rFonts w:ascii="Arial" w:hAnsi="Arial" w:cs="Arial"/>
          <w:sz w:val="22"/>
          <w:szCs w:val="22"/>
        </w:rPr>
        <w:t xml:space="preserve">This report has discussed the importance of sustainable development to enhance health and wellbeing, especially SDG 3 and SDG 10. Both goals highlight the importance of prevention, equity, and addressing the wider determinants of health. The assessment of national and local programs shows that although some steps have already been taken to encourage </w:t>
      </w:r>
      <w:r w:rsidRPr="00A8046E">
        <w:rPr>
          <w:rFonts w:ascii="Arial" w:hAnsi="Arial" w:cs="Arial"/>
          <w:sz w:val="22"/>
          <w:szCs w:val="22"/>
        </w:rPr>
        <w:lastRenderedPageBreak/>
        <w:t>integrated and sustainable healthcare, such issues as financial limitations and disparities remain. Better policy coordination, greater investment, and targeted interventions are needed to ensure effective implementation. Finally, sustainable improvements in health and wellbeing require intersectoral collaboration to guarantee equitable access and resilience of the system in the long term.</w:t>
      </w:r>
    </w:p>
    <w:p w14:paraId="703D720B" w14:textId="3F13192B" w:rsidR="00D22860" w:rsidRPr="00A04B6E" w:rsidRDefault="00E454F3" w:rsidP="00A04B6E">
      <w:pPr>
        <w:pStyle w:val="Heading1"/>
        <w:rPr>
          <w:rFonts w:ascii="Arial" w:hAnsi="Arial" w:cs="Arial"/>
          <w:b/>
          <w:bCs/>
          <w:sz w:val="24"/>
          <w:szCs w:val="24"/>
        </w:rPr>
      </w:pPr>
      <w:r w:rsidRPr="00A8046E">
        <w:rPr>
          <w:sz w:val="22"/>
          <w:szCs w:val="22"/>
        </w:rPr>
        <w:br w:type="page"/>
      </w:r>
      <w:bookmarkStart w:id="6" w:name="_Toc227076003"/>
      <w:r w:rsidR="00D22860" w:rsidRPr="00A04B6E">
        <w:rPr>
          <w:rFonts w:ascii="Arial" w:hAnsi="Arial" w:cs="Arial"/>
          <w:b/>
          <w:bCs/>
          <w:color w:val="000000" w:themeColor="text1"/>
          <w:sz w:val="24"/>
          <w:szCs w:val="24"/>
        </w:rPr>
        <w:lastRenderedPageBreak/>
        <w:t>REFERENCES</w:t>
      </w:r>
      <w:bookmarkEnd w:id="6"/>
    </w:p>
    <w:p w14:paraId="7B9E76BC" w14:textId="34B2CAA6" w:rsidR="00543D32" w:rsidRPr="000E5155" w:rsidRDefault="00543D32" w:rsidP="00543D32">
      <w:pPr>
        <w:spacing w:line="480" w:lineRule="auto"/>
        <w:ind w:left="720" w:hanging="720"/>
        <w:rPr>
          <w:rFonts w:ascii="Arial" w:hAnsi="Arial" w:cs="Arial"/>
          <w:lang w:val="en-US"/>
        </w:rPr>
      </w:pPr>
      <w:r w:rsidRPr="000E5155">
        <w:rPr>
          <w:rFonts w:ascii="Arial" w:hAnsi="Arial" w:cs="Arial"/>
          <w:lang w:val="en-US"/>
        </w:rPr>
        <w:t xml:space="preserve">Alderwick, H. and Dixon, J. (2019) ‘The NHS long term plan’, </w:t>
      </w:r>
      <w:r w:rsidRPr="000E5155">
        <w:rPr>
          <w:rFonts w:ascii="Arial" w:hAnsi="Arial" w:cs="Arial"/>
          <w:i/>
          <w:iCs/>
          <w:lang w:val="en-US"/>
        </w:rPr>
        <w:t>BMJ</w:t>
      </w:r>
      <w:r w:rsidRPr="000E5155">
        <w:rPr>
          <w:rFonts w:ascii="Arial" w:hAnsi="Arial" w:cs="Arial"/>
          <w:lang w:val="en-US"/>
        </w:rPr>
        <w:t>, 364, l84.</w:t>
      </w:r>
      <w:r w:rsidR="000E5155" w:rsidRPr="000E5155">
        <w:rPr>
          <w:rFonts w:ascii="Arial" w:hAnsi="Arial" w:cs="Arial"/>
          <w:lang w:val="en-US"/>
        </w:rPr>
        <w:t xml:space="preserve"> </w:t>
      </w:r>
      <w:proofErr w:type="spellStart"/>
      <w:r w:rsidR="000E5155" w:rsidRPr="000E5155">
        <w:rPr>
          <w:rFonts w:ascii="Arial" w:hAnsi="Arial" w:cs="Arial"/>
        </w:rPr>
        <w:t>doi</w:t>
      </w:r>
      <w:proofErr w:type="spellEnd"/>
      <w:r w:rsidR="000E5155" w:rsidRPr="000E5155">
        <w:rPr>
          <w:rFonts w:ascii="Arial" w:hAnsi="Arial" w:cs="Arial"/>
        </w:rPr>
        <w:t>: 10.1136/</w:t>
      </w:r>
      <w:proofErr w:type="gramStart"/>
      <w:r w:rsidR="000E5155" w:rsidRPr="000E5155">
        <w:rPr>
          <w:rFonts w:ascii="Arial" w:hAnsi="Arial" w:cs="Arial"/>
        </w:rPr>
        <w:t>bmj.l</w:t>
      </w:r>
      <w:proofErr w:type="gramEnd"/>
      <w:r w:rsidR="000E5155" w:rsidRPr="000E5155">
        <w:rPr>
          <w:rFonts w:ascii="Arial" w:hAnsi="Arial" w:cs="Arial"/>
        </w:rPr>
        <w:t>84</w:t>
      </w:r>
    </w:p>
    <w:p w14:paraId="2340CBD7" w14:textId="3146FD2B" w:rsidR="00543D32" w:rsidRDefault="00543D32" w:rsidP="00543D32">
      <w:pPr>
        <w:spacing w:line="480" w:lineRule="auto"/>
        <w:ind w:left="720" w:hanging="720"/>
        <w:rPr>
          <w:rFonts w:ascii="Arial" w:hAnsi="Arial" w:cs="Arial"/>
          <w:lang w:val="en-US"/>
        </w:rPr>
      </w:pPr>
      <w:r w:rsidRPr="00543D32">
        <w:rPr>
          <w:rFonts w:ascii="Arial" w:hAnsi="Arial" w:cs="Arial"/>
          <w:lang w:val="en-US"/>
        </w:rPr>
        <w:t>Department of Health and Social Care (</w:t>
      </w:r>
      <w:r w:rsidR="00A4338A">
        <w:rPr>
          <w:rFonts w:ascii="Arial" w:hAnsi="Arial" w:cs="Arial"/>
          <w:lang w:val="en-US"/>
        </w:rPr>
        <w:t>2018</w:t>
      </w:r>
      <w:r w:rsidRPr="00543D32">
        <w:rPr>
          <w:rFonts w:ascii="Arial" w:hAnsi="Arial" w:cs="Arial"/>
          <w:lang w:val="en-US"/>
        </w:rPr>
        <w:t xml:space="preserve">) </w:t>
      </w:r>
      <w:r w:rsidRPr="00543D32">
        <w:rPr>
          <w:rFonts w:ascii="Arial" w:hAnsi="Arial" w:cs="Arial"/>
          <w:i/>
          <w:iCs/>
          <w:lang w:val="en-US"/>
        </w:rPr>
        <w:t>Prevention is better than cure: Our vision to help you live well for longer</w:t>
      </w:r>
      <w:r w:rsidRPr="00543D32">
        <w:rPr>
          <w:rFonts w:ascii="Arial" w:hAnsi="Arial" w:cs="Arial"/>
          <w:lang w:val="en-US"/>
        </w:rPr>
        <w:t>. London: DHSC.</w:t>
      </w:r>
    </w:p>
    <w:p w14:paraId="1B8EB944" w14:textId="77777777" w:rsidR="00D42A15" w:rsidRDefault="00D42A15" w:rsidP="00D42A15">
      <w:pPr>
        <w:spacing w:line="480" w:lineRule="auto"/>
        <w:ind w:left="720" w:hanging="720"/>
        <w:rPr>
          <w:rFonts w:ascii="Arial" w:hAnsi="Arial" w:cs="Arial"/>
          <w:lang w:val="en-US"/>
        </w:rPr>
      </w:pPr>
      <w:r w:rsidRPr="00D42A15">
        <w:rPr>
          <w:rFonts w:ascii="Arial" w:hAnsi="Arial" w:cs="Arial"/>
          <w:lang w:val="en-US"/>
        </w:rPr>
        <w:t xml:space="preserve">GOV.UK (2022) </w:t>
      </w:r>
      <w:r w:rsidRPr="00D42A15">
        <w:rPr>
          <w:rFonts w:ascii="Arial" w:hAnsi="Arial" w:cs="Arial"/>
          <w:i/>
          <w:iCs/>
          <w:lang w:val="en-US"/>
        </w:rPr>
        <w:t>Vulnerabilities: Applying All Our Health</w:t>
      </w:r>
      <w:r w:rsidRPr="00D42A15">
        <w:rPr>
          <w:rFonts w:ascii="Arial" w:hAnsi="Arial" w:cs="Arial"/>
          <w:lang w:val="en-US"/>
        </w:rPr>
        <w:t xml:space="preserve">. Available at: </w:t>
      </w:r>
      <w:hyperlink r:id="rId9" w:history="1">
        <w:r w:rsidRPr="00D67138">
          <w:rPr>
            <w:rStyle w:val="Hyperlink"/>
            <w:rFonts w:ascii="Arial" w:hAnsi="Arial" w:cs="Arial"/>
            <w:lang w:val="en-US"/>
          </w:rPr>
          <w:t>https://www.gov.uk/government/publications/vulnerabilities-applying-all-our-health/vulnerabilities-applying-all-our-health</w:t>
        </w:r>
      </w:hyperlink>
      <w:r w:rsidRPr="00D42A15">
        <w:rPr>
          <w:rFonts w:ascii="Arial" w:hAnsi="Arial" w:cs="Arial"/>
          <w:lang w:val="en-US"/>
        </w:rPr>
        <w:t>.</w:t>
      </w:r>
      <w:r>
        <w:rPr>
          <w:rFonts w:ascii="Arial" w:hAnsi="Arial" w:cs="Arial"/>
          <w:lang w:val="en-US"/>
        </w:rPr>
        <w:t xml:space="preserve"> </w:t>
      </w:r>
      <w:r w:rsidRPr="00543D32">
        <w:rPr>
          <w:rFonts w:ascii="Arial" w:hAnsi="Arial" w:cs="Arial"/>
          <w:lang w:val="en-US"/>
        </w:rPr>
        <w:t>(Accessed: 1</w:t>
      </w:r>
      <w:r>
        <w:rPr>
          <w:rFonts w:ascii="Arial" w:hAnsi="Arial" w:cs="Arial"/>
          <w:lang w:val="en-US"/>
        </w:rPr>
        <w:t>3</w:t>
      </w:r>
      <w:r w:rsidRPr="00543D32">
        <w:rPr>
          <w:rFonts w:ascii="Arial" w:hAnsi="Arial" w:cs="Arial"/>
          <w:lang w:val="en-US"/>
        </w:rPr>
        <w:t xml:space="preserve"> April 2026).</w:t>
      </w:r>
    </w:p>
    <w:p w14:paraId="3C604F34" w14:textId="77777777" w:rsidR="009567EB" w:rsidRDefault="00A0360D" w:rsidP="009567EB">
      <w:pPr>
        <w:spacing w:line="480" w:lineRule="auto"/>
        <w:ind w:left="720" w:hanging="720"/>
        <w:rPr>
          <w:rFonts w:ascii="Arial" w:hAnsi="Arial" w:cs="Arial"/>
          <w:lang w:val="en-US"/>
        </w:rPr>
      </w:pPr>
      <w:r w:rsidRPr="00A0360D">
        <w:rPr>
          <w:rFonts w:ascii="Arial" w:hAnsi="Arial" w:cs="Arial"/>
          <w:lang w:val="en-US"/>
        </w:rPr>
        <w:t>Local Government Association (202</w:t>
      </w:r>
      <w:r w:rsidR="003F5830">
        <w:rPr>
          <w:rFonts w:ascii="Arial" w:hAnsi="Arial" w:cs="Arial"/>
          <w:lang w:val="en-US"/>
        </w:rPr>
        <w:t>4</w:t>
      </w:r>
      <w:r w:rsidRPr="00A0360D">
        <w:rPr>
          <w:rFonts w:ascii="Arial" w:hAnsi="Arial" w:cs="Arial"/>
          <w:lang w:val="en-US"/>
        </w:rPr>
        <w:t xml:space="preserve">) </w:t>
      </w:r>
      <w:r w:rsidRPr="00A0360D">
        <w:rPr>
          <w:rFonts w:ascii="Arial" w:hAnsi="Arial" w:cs="Arial"/>
          <w:i/>
          <w:iCs/>
          <w:lang w:val="en-US"/>
        </w:rPr>
        <w:t>Population Intervention Triangle toolkit</w:t>
      </w:r>
      <w:r w:rsidRPr="00A0360D">
        <w:rPr>
          <w:rFonts w:ascii="Arial" w:hAnsi="Arial" w:cs="Arial"/>
          <w:lang w:val="en-US"/>
        </w:rPr>
        <w:t xml:space="preserve">. Available at: </w:t>
      </w:r>
      <w:hyperlink r:id="rId10" w:history="1">
        <w:r w:rsidR="009567EB" w:rsidRPr="00D67138">
          <w:rPr>
            <w:rStyle w:val="Hyperlink"/>
            <w:rFonts w:ascii="Arial" w:hAnsi="Arial" w:cs="Arial"/>
            <w:lang w:val="en-US"/>
          </w:rPr>
          <w:t>https://www.local.gov.uk/topics/social-care-health-and-integration/population-intervention-triangle-toolkit</w:t>
        </w:r>
      </w:hyperlink>
      <w:r w:rsidRPr="00A0360D">
        <w:rPr>
          <w:rFonts w:ascii="Arial" w:hAnsi="Arial" w:cs="Arial"/>
          <w:lang w:val="en-US"/>
        </w:rPr>
        <w:t>.</w:t>
      </w:r>
      <w:r w:rsidR="009567EB">
        <w:rPr>
          <w:rFonts w:ascii="Arial" w:hAnsi="Arial" w:cs="Arial"/>
          <w:lang w:val="en-US"/>
        </w:rPr>
        <w:t xml:space="preserve"> </w:t>
      </w:r>
      <w:r w:rsidR="009567EB" w:rsidRPr="00543D32">
        <w:rPr>
          <w:rFonts w:ascii="Arial" w:hAnsi="Arial" w:cs="Arial"/>
          <w:lang w:val="en-US"/>
        </w:rPr>
        <w:t>(Accessed: 1</w:t>
      </w:r>
      <w:r w:rsidR="009567EB">
        <w:rPr>
          <w:rFonts w:ascii="Arial" w:hAnsi="Arial" w:cs="Arial"/>
          <w:lang w:val="en-US"/>
        </w:rPr>
        <w:t>3</w:t>
      </w:r>
      <w:r w:rsidR="009567EB" w:rsidRPr="00543D32">
        <w:rPr>
          <w:rFonts w:ascii="Arial" w:hAnsi="Arial" w:cs="Arial"/>
          <w:lang w:val="en-US"/>
        </w:rPr>
        <w:t xml:space="preserve"> April 2026).</w:t>
      </w:r>
    </w:p>
    <w:p w14:paraId="734BDD1D" w14:textId="77777777" w:rsidR="00543D32" w:rsidRDefault="00543D32" w:rsidP="00543D32">
      <w:pPr>
        <w:spacing w:line="480" w:lineRule="auto"/>
        <w:ind w:left="720" w:hanging="720"/>
        <w:rPr>
          <w:rFonts w:ascii="Arial" w:hAnsi="Arial" w:cs="Arial"/>
          <w:lang w:val="en-US"/>
        </w:rPr>
      </w:pPr>
      <w:r w:rsidRPr="00543D32">
        <w:rPr>
          <w:rFonts w:ascii="Arial" w:hAnsi="Arial" w:cs="Arial"/>
          <w:lang w:val="en-US"/>
        </w:rPr>
        <w:t xml:space="preserve">Marmot, M. (2020) </w:t>
      </w:r>
      <w:r w:rsidRPr="00543D32">
        <w:rPr>
          <w:rFonts w:ascii="Arial" w:hAnsi="Arial" w:cs="Arial"/>
          <w:i/>
          <w:iCs/>
          <w:lang w:val="en-US"/>
        </w:rPr>
        <w:t>Health equity in England: The Marmot Review 10 years on</w:t>
      </w:r>
      <w:r w:rsidRPr="00543D32">
        <w:rPr>
          <w:rFonts w:ascii="Arial" w:hAnsi="Arial" w:cs="Arial"/>
          <w:lang w:val="en-US"/>
        </w:rPr>
        <w:t>. London: Institute of Health Equity.</w:t>
      </w:r>
    </w:p>
    <w:p w14:paraId="008F3D24" w14:textId="77777777" w:rsidR="00A02436" w:rsidRDefault="00A02436" w:rsidP="00A02436">
      <w:pPr>
        <w:spacing w:line="480" w:lineRule="auto"/>
        <w:ind w:left="720" w:hanging="720"/>
        <w:rPr>
          <w:rFonts w:ascii="Arial" w:hAnsi="Arial" w:cs="Arial"/>
          <w:lang w:val="en-US"/>
        </w:rPr>
      </w:pPr>
      <w:r w:rsidRPr="00543D32">
        <w:rPr>
          <w:rFonts w:ascii="Arial" w:hAnsi="Arial" w:cs="Arial"/>
          <w:lang w:val="en-US"/>
        </w:rPr>
        <w:t xml:space="preserve">NHS England </w:t>
      </w:r>
      <w:r w:rsidRPr="00A02436">
        <w:rPr>
          <w:rFonts w:ascii="Arial" w:hAnsi="Arial" w:cs="Arial"/>
          <w:lang w:val="en-US"/>
        </w:rPr>
        <w:t xml:space="preserve">(2019) </w:t>
      </w:r>
      <w:r w:rsidRPr="00A02436">
        <w:rPr>
          <w:rFonts w:ascii="Arial" w:hAnsi="Arial" w:cs="Arial"/>
          <w:i/>
          <w:iCs/>
          <w:lang w:val="en-US"/>
        </w:rPr>
        <w:t>The NHS Long Term Plan</w:t>
      </w:r>
      <w:r w:rsidRPr="00A02436">
        <w:rPr>
          <w:rFonts w:ascii="Arial" w:hAnsi="Arial" w:cs="Arial"/>
          <w:lang w:val="en-US"/>
        </w:rPr>
        <w:t xml:space="preserve">. Available at: </w:t>
      </w:r>
      <w:hyperlink r:id="rId11" w:history="1">
        <w:r w:rsidRPr="00D67138">
          <w:rPr>
            <w:rStyle w:val="Hyperlink"/>
            <w:rFonts w:ascii="Arial" w:hAnsi="Arial" w:cs="Arial"/>
            <w:lang w:val="en-US"/>
          </w:rPr>
          <w:t>https://www.longtermplan.nhs.uk/wp-content/uploads/2019/01/nhs-long-term-plan-june-2019.pdf</w:t>
        </w:r>
      </w:hyperlink>
      <w:r w:rsidRPr="00A02436">
        <w:rPr>
          <w:rFonts w:ascii="Arial" w:hAnsi="Arial" w:cs="Arial"/>
          <w:lang w:val="en-US"/>
        </w:rPr>
        <w:t>.</w:t>
      </w:r>
      <w:r>
        <w:rPr>
          <w:rFonts w:ascii="Arial" w:hAnsi="Arial" w:cs="Arial"/>
          <w:lang w:val="en-US"/>
        </w:rPr>
        <w:t xml:space="preserve"> </w:t>
      </w:r>
      <w:r w:rsidRPr="00543D32">
        <w:rPr>
          <w:rFonts w:ascii="Arial" w:hAnsi="Arial" w:cs="Arial"/>
          <w:lang w:val="en-US"/>
        </w:rPr>
        <w:t>(Accessed: 1</w:t>
      </w:r>
      <w:r>
        <w:rPr>
          <w:rFonts w:ascii="Arial" w:hAnsi="Arial" w:cs="Arial"/>
          <w:lang w:val="en-US"/>
        </w:rPr>
        <w:t>3</w:t>
      </w:r>
      <w:r w:rsidRPr="00543D32">
        <w:rPr>
          <w:rFonts w:ascii="Arial" w:hAnsi="Arial" w:cs="Arial"/>
          <w:lang w:val="en-US"/>
        </w:rPr>
        <w:t xml:space="preserve"> April 2026).</w:t>
      </w:r>
    </w:p>
    <w:p w14:paraId="1F966EBC" w14:textId="6CDCB40B" w:rsidR="00543D32" w:rsidRDefault="00543D32" w:rsidP="00543D32">
      <w:pPr>
        <w:spacing w:line="480" w:lineRule="auto"/>
        <w:ind w:left="720" w:hanging="720"/>
        <w:rPr>
          <w:rFonts w:ascii="Arial" w:hAnsi="Arial" w:cs="Arial"/>
          <w:lang w:val="en-US"/>
        </w:rPr>
      </w:pPr>
      <w:r w:rsidRPr="00543D32">
        <w:rPr>
          <w:rFonts w:ascii="Arial" w:hAnsi="Arial" w:cs="Arial"/>
          <w:lang w:val="en-US"/>
        </w:rPr>
        <w:t xml:space="preserve">NHS England (2020) </w:t>
      </w:r>
      <w:r w:rsidRPr="00543D32">
        <w:rPr>
          <w:rFonts w:ascii="Arial" w:hAnsi="Arial" w:cs="Arial"/>
          <w:i/>
          <w:iCs/>
          <w:lang w:val="en-US"/>
        </w:rPr>
        <w:t>Adult and older adult mental health</w:t>
      </w:r>
      <w:r w:rsidRPr="00543D32">
        <w:rPr>
          <w:rFonts w:ascii="Arial" w:hAnsi="Arial" w:cs="Arial"/>
          <w:lang w:val="en-US"/>
        </w:rPr>
        <w:t xml:space="preserve">. Available at: </w:t>
      </w:r>
      <w:hyperlink r:id="rId12" w:history="1">
        <w:r w:rsidR="003F5830" w:rsidRPr="00D67138">
          <w:rPr>
            <w:rStyle w:val="Hyperlink"/>
            <w:rFonts w:ascii="Arial" w:hAnsi="Arial" w:cs="Arial"/>
            <w:lang w:val="en-US"/>
          </w:rPr>
          <w:t>https://www.england.nhs.uk/mental-health/adults/</w:t>
        </w:r>
      </w:hyperlink>
      <w:r w:rsidR="003F5830">
        <w:rPr>
          <w:rFonts w:ascii="Arial" w:hAnsi="Arial" w:cs="Arial"/>
          <w:lang w:val="en-US"/>
        </w:rPr>
        <w:t xml:space="preserve"> </w:t>
      </w:r>
      <w:r w:rsidRPr="00543D32">
        <w:rPr>
          <w:rFonts w:ascii="Arial" w:hAnsi="Arial" w:cs="Arial"/>
          <w:lang w:val="en-US"/>
        </w:rPr>
        <w:t>(Accessed: 1</w:t>
      </w:r>
      <w:r w:rsidR="009567EB">
        <w:rPr>
          <w:rFonts w:ascii="Arial" w:hAnsi="Arial" w:cs="Arial"/>
          <w:lang w:val="en-US"/>
        </w:rPr>
        <w:t>3</w:t>
      </w:r>
      <w:r w:rsidRPr="00543D32">
        <w:rPr>
          <w:rFonts w:ascii="Arial" w:hAnsi="Arial" w:cs="Arial"/>
          <w:lang w:val="en-US"/>
        </w:rPr>
        <w:t xml:space="preserve"> April 2026).</w:t>
      </w:r>
    </w:p>
    <w:p w14:paraId="5CABBE54" w14:textId="0CE03725" w:rsidR="00543D32" w:rsidRDefault="00543D32" w:rsidP="00543D32">
      <w:pPr>
        <w:spacing w:line="480" w:lineRule="auto"/>
        <w:ind w:left="720" w:hanging="720"/>
        <w:rPr>
          <w:rFonts w:ascii="Arial" w:hAnsi="Arial" w:cs="Arial"/>
          <w:lang w:val="en-US"/>
        </w:rPr>
      </w:pPr>
      <w:r w:rsidRPr="00543D32">
        <w:rPr>
          <w:rFonts w:ascii="Arial" w:hAnsi="Arial" w:cs="Arial"/>
          <w:lang w:val="en-US"/>
        </w:rPr>
        <w:t xml:space="preserve">NHS England (2022) </w:t>
      </w:r>
      <w:r w:rsidRPr="00543D32">
        <w:rPr>
          <w:rFonts w:ascii="Arial" w:hAnsi="Arial" w:cs="Arial"/>
          <w:i/>
          <w:iCs/>
          <w:lang w:val="en-US"/>
        </w:rPr>
        <w:t>Integrated care systems: Guidance</w:t>
      </w:r>
      <w:r w:rsidRPr="00543D32">
        <w:rPr>
          <w:rFonts w:ascii="Arial" w:hAnsi="Arial" w:cs="Arial"/>
          <w:lang w:val="en-US"/>
        </w:rPr>
        <w:t>. London: NHS England.</w:t>
      </w:r>
      <w:r w:rsidR="00F84A43">
        <w:rPr>
          <w:rFonts w:ascii="Arial" w:hAnsi="Arial" w:cs="Arial"/>
          <w:lang w:val="en-US"/>
        </w:rPr>
        <w:t xml:space="preserve"> </w:t>
      </w:r>
      <w:r w:rsidR="00F84A43" w:rsidRPr="00543D32">
        <w:rPr>
          <w:rFonts w:ascii="Arial" w:hAnsi="Arial" w:cs="Arial"/>
          <w:lang w:val="en-US"/>
        </w:rPr>
        <w:t xml:space="preserve">Available at: </w:t>
      </w:r>
      <w:hyperlink r:id="rId13" w:history="1">
        <w:r w:rsidR="009567EB" w:rsidRPr="00D67138">
          <w:rPr>
            <w:rStyle w:val="Hyperlink"/>
            <w:rFonts w:ascii="Arial" w:hAnsi="Arial" w:cs="Arial"/>
            <w:lang w:val="en-US"/>
          </w:rPr>
          <w:t>https://www.england.nhs.uk/integratedcare/resources/integrated-care-systems-guidance/</w:t>
        </w:r>
      </w:hyperlink>
      <w:r w:rsidR="009567EB">
        <w:rPr>
          <w:rFonts w:ascii="Arial" w:hAnsi="Arial" w:cs="Arial"/>
          <w:lang w:val="en-US"/>
        </w:rPr>
        <w:t xml:space="preserve"> </w:t>
      </w:r>
      <w:r w:rsidR="009567EB" w:rsidRPr="00543D32">
        <w:rPr>
          <w:rFonts w:ascii="Arial" w:hAnsi="Arial" w:cs="Arial"/>
          <w:lang w:val="en-US"/>
        </w:rPr>
        <w:t>(Accessed: 1</w:t>
      </w:r>
      <w:r w:rsidR="009567EB">
        <w:rPr>
          <w:rFonts w:ascii="Arial" w:hAnsi="Arial" w:cs="Arial"/>
          <w:lang w:val="en-US"/>
        </w:rPr>
        <w:t>3</w:t>
      </w:r>
      <w:r w:rsidR="009567EB" w:rsidRPr="00543D32">
        <w:rPr>
          <w:rFonts w:ascii="Arial" w:hAnsi="Arial" w:cs="Arial"/>
          <w:lang w:val="en-US"/>
        </w:rPr>
        <w:t xml:space="preserve"> April 2026).</w:t>
      </w:r>
    </w:p>
    <w:p w14:paraId="64C00E97" w14:textId="77777777" w:rsidR="009567EB" w:rsidRDefault="00543D32" w:rsidP="009567EB">
      <w:pPr>
        <w:spacing w:line="480" w:lineRule="auto"/>
        <w:ind w:left="720" w:hanging="720"/>
        <w:rPr>
          <w:rFonts w:ascii="Arial" w:hAnsi="Arial" w:cs="Arial"/>
          <w:lang w:val="en-US"/>
        </w:rPr>
      </w:pPr>
      <w:r w:rsidRPr="00543D32">
        <w:rPr>
          <w:rFonts w:ascii="Arial" w:hAnsi="Arial" w:cs="Arial"/>
          <w:lang w:val="en-US"/>
        </w:rPr>
        <w:t xml:space="preserve">NHS England (2023) </w:t>
      </w:r>
      <w:r w:rsidRPr="00543D32">
        <w:rPr>
          <w:rFonts w:ascii="Arial" w:hAnsi="Arial" w:cs="Arial"/>
          <w:i/>
          <w:iCs/>
          <w:lang w:val="en-US"/>
        </w:rPr>
        <w:t>Inclusive digital healthcare: A framework for action</w:t>
      </w:r>
      <w:r w:rsidRPr="00543D32">
        <w:rPr>
          <w:rFonts w:ascii="Arial" w:hAnsi="Arial" w:cs="Arial"/>
          <w:lang w:val="en-US"/>
        </w:rPr>
        <w:t>. London: NHS England.</w:t>
      </w:r>
      <w:r w:rsidR="00F84A43">
        <w:rPr>
          <w:rFonts w:ascii="Arial" w:hAnsi="Arial" w:cs="Arial"/>
          <w:lang w:val="en-US"/>
        </w:rPr>
        <w:t xml:space="preserve"> </w:t>
      </w:r>
      <w:r w:rsidR="00F84A43" w:rsidRPr="00543D32">
        <w:rPr>
          <w:rFonts w:ascii="Arial" w:hAnsi="Arial" w:cs="Arial"/>
          <w:lang w:val="en-US"/>
        </w:rPr>
        <w:t xml:space="preserve">Available at: </w:t>
      </w:r>
      <w:hyperlink r:id="rId14" w:history="1">
        <w:r w:rsidR="00D14AE7" w:rsidRPr="00D67138">
          <w:rPr>
            <w:rStyle w:val="Hyperlink"/>
            <w:rFonts w:ascii="Arial" w:hAnsi="Arial" w:cs="Arial"/>
            <w:lang w:val="en-US"/>
          </w:rPr>
          <w:t>https://www.england.nhs.uk/long-read/inclusive-</w:t>
        </w:r>
        <w:r w:rsidR="00D14AE7" w:rsidRPr="00D67138">
          <w:rPr>
            <w:rStyle w:val="Hyperlink"/>
            <w:rFonts w:ascii="Arial" w:hAnsi="Arial" w:cs="Arial"/>
            <w:lang w:val="en-US"/>
          </w:rPr>
          <w:lastRenderedPageBreak/>
          <w:t>digital-healthcare-a-framework-for-nhs-action-on-digital-inclusion/</w:t>
        </w:r>
      </w:hyperlink>
      <w:r w:rsidR="00D14AE7">
        <w:rPr>
          <w:rFonts w:ascii="Arial" w:hAnsi="Arial" w:cs="Arial"/>
          <w:lang w:val="en-US"/>
        </w:rPr>
        <w:t xml:space="preserve"> </w:t>
      </w:r>
      <w:r w:rsidR="009567EB" w:rsidRPr="00543D32">
        <w:rPr>
          <w:rFonts w:ascii="Arial" w:hAnsi="Arial" w:cs="Arial"/>
          <w:lang w:val="en-US"/>
        </w:rPr>
        <w:t>(Accessed: 1</w:t>
      </w:r>
      <w:r w:rsidR="009567EB">
        <w:rPr>
          <w:rFonts w:ascii="Arial" w:hAnsi="Arial" w:cs="Arial"/>
          <w:lang w:val="en-US"/>
        </w:rPr>
        <w:t>3</w:t>
      </w:r>
      <w:r w:rsidR="009567EB" w:rsidRPr="00543D32">
        <w:rPr>
          <w:rFonts w:ascii="Arial" w:hAnsi="Arial" w:cs="Arial"/>
          <w:lang w:val="en-US"/>
        </w:rPr>
        <w:t xml:space="preserve"> April 2026).</w:t>
      </w:r>
    </w:p>
    <w:p w14:paraId="461B0EF0" w14:textId="77777777" w:rsidR="00700EDB" w:rsidRDefault="009567EB" w:rsidP="00700EDB">
      <w:pPr>
        <w:spacing w:line="480" w:lineRule="auto"/>
        <w:ind w:left="720" w:hanging="720"/>
        <w:rPr>
          <w:rFonts w:ascii="Arial" w:hAnsi="Arial" w:cs="Arial"/>
          <w:lang w:val="en-US"/>
        </w:rPr>
      </w:pPr>
      <w:r w:rsidRPr="009567EB">
        <w:rPr>
          <w:rFonts w:ascii="Arial" w:hAnsi="Arial" w:cs="Arial"/>
          <w:lang w:val="en-US"/>
        </w:rPr>
        <w:t xml:space="preserve">OECD (2020) </w:t>
      </w:r>
      <w:r w:rsidRPr="009567EB">
        <w:rPr>
          <w:rFonts w:ascii="Arial" w:hAnsi="Arial" w:cs="Arial"/>
          <w:i/>
          <w:iCs/>
          <w:lang w:val="en-US"/>
        </w:rPr>
        <w:t>Health at a Glance: Europe 2020</w:t>
      </w:r>
      <w:r w:rsidRPr="009567EB">
        <w:rPr>
          <w:rFonts w:ascii="Arial" w:hAnsi="Arial" w:cs="Arial"/>
          <w:lang w:val="en-US"/>
        </w:rPr>
        <w:t xml:space="preserve">. Available at: </w:t>
      </w:r>
      <w:hyperlink r:id="rId15" w:history="1">
        <w:r w:rsidRPr="00D67138">
          <w:rPr>
            <w:rStyle w:val="Hyperlink"/>
            <w:rFonts w:ascii="Arial" w:hAnsi="Arial" w:cs="Arial"/>
            <w:lang w:val="en-US"/>
          </w:rPr>
          <w:t>https://www.oecd.org/en/publications/health-at-a-glance-europe-2020_82129230-en.html</w:t>
        </w:r>
      </w:hyperlink>
      <w:r w:rsidRPr="009567EB">
        <w:rPr>
          <w:rFonts w:ascii="Arial" w:hAnsi="Arial" w:cs="Arial"/>
          <w:lang w:val="en-US"/>
        </w:rPr>
        <w:t>.</w:t>
      </w:r>
      <w:r>
        <w:rPr>
          <w:rFonts w:ascii="Arial" w:hAnsi="Arial" w:cs="Arial"/>
          <w:lang w:val="en-US"/>
        </w:rPr>
        <w:t xml:space="preserve"> </w:t>
      </w:r>
      <w:r w:rsidR="00700EDB" w:rsidRPr="00543D32">
        <w:rPr>
          <w:rFonts w:ascii="Arial" w:hAnsi="Arial" w:cs="Arial"/>
          <w:lang w:val="en-US"/>
        </w:rPr>
        <w:t>(Accessed: 1</w:t>
      </w:r>
      <w:r w:rsidR="00700EDB">
        <w:rPr>
          <w:rFonts w:ascii="Arial" w:hAnsi="Arial" w:cs="Arial"/>
          <w:lang w:val="en-US"/>
        </w:rPr>
        <w:t>3</w:t>
      </w:r>
      <w:r w:rsidR="00700EDB" w:rsidRPr="00543D32">
        <w:rPr>
          <w:rFonts w:ascii="Arial" w:hAnsi="Arial" w:cs="Arial"/>
          <w:lang w:val="en-US"/>
        </w:rPr>
        <w:t xml:space="preserve"> April 2026).</w:t>
      </w:r>
    </w:p>
    <w:p w14:paraId="5B01E221" w14:textId="77777777" w:rsidR="00700EDB" w:rsidRDefault="00700EDB" w:rsidP="00700EDB">
      <w:pPr>
        <w:spacing w:line="480" w:lineRule="auto"/>
        <w:ind w:left="720" w:hanging="720"/>
        <w:rPr>
          <w:rFonts w:ascii="Arial" w:hAnsi="Arial" w:cs="Arial"/>
          <w:lang w:val="en-US"/>
        </w:rPr>
      </w:pPr>
      <w:r w:rsidRPr="00700EDB">
        <w:rPr>
          <w:rFonts w:ascii="Arial" w:hAnsi="Arial" w:cs="Arial"/>
          <w:lang w:val="en-US"/>
        </w:rPr>
        <w:t xml:space="preserve">Office for National Statistics (2021) </w:t>
      </w:r>
      <w:r w:rsidRPr="00700EDB">
        <w:rPr>
          <w:rFonts w:ascii="Arial" w:hAnsi="Arial" w:cs="Arial"/>
          <w:i/>
          <w:iCs/>
          <w:lang w:val="en-US"/>
        </w:rPr>
        <w:t>Health inequalities</w:t>
      </w:r>
      <w:r w:rsidRPr="00700EDB">
        <w:rPr>
          <w:rFonts w:ascii="Arial" w:hAnsi="Arial" w:cs="Arial"/>
          <w:lang w:val="en-US"/>
        </w:rPr>
        <w:t xml:space="preserve">. Available at: </w:t>
      </w:r>
      <w:hyperlink r:id="rId16" w:history="1">
        <w:r w:rsidRPr="00D67138">
          <w:rPr>
            <w:rStyle w:val="Hyperlink"/>
            <w:rFonts w:ascii="Arial" w:hAnsi="Arial" w:cs="Arial"/>
            <w:lang w:val="en-US"/>
          </w:rPr>
          <w:t>https://www.ons.gov.uk/peoplepopulationandcommunity/healthandsocialcare/healthinequalities</w:t>
        </w:r>
      </w:hyperlink>
      <w:r w:rsidRPr="00700EDB">
        <w:rPr>
          <w:rFonts w:ascii="Arial" w:hAnsi="Arial" w:cs="Arial"/>
          <w:lang w:val="en-US"/>
        </w:rPr>
        <w:t>.</w:t>
      </w:r>
      <w:r>
        <w:rPr>
          <w:rFonts w:ascii="Arial" w:hAnsi="Arial" w:cs="Arial"/>
          <w:lang w:val="en-US"/>
        </w:rPr>
        <w:t xml:space="preserve"> </w:t>
      </w:r>
      <w:r w:rsidRPr="00543D32">
        <w:rPr>
          <w:rFonts w:ascii="Arial" w:hAnsi="Arial" w:cs="Arial"/>
          <w:lang w:val="en-US"/>
        </w:rPr>
        <w:t>(Accessed: 1</w:t>
      </w:r>
      <w:r>
        <w:rPr>
          <w:rFonts w:ascii="Arial" w:hAnsi="Arial" w:cs="Arial"/>
          <w:lang w:val="en-US"/>
        </w:rPr>
        <w:t>3</w:t>
      </w:r>
      <w:r w:rsidRPr="00543D32">
        <w:rPr>
          <w:rFonts w:ascii="Arial" w:hAnsi="Arial" w:cs="Arial"/>
          <w:lang w:val="en-US"/>
        </w:rPr>
        <w:t xml:space="preserve"> April 2026).</w:t>
      </w:r>
    </w:p>
    <w:p w14:paraId="6A369CB5" w14:textId="77777777" w:rsidR="004663C4" w:rsidRDefault="004663C4" w:rsidP="004663C4">
      <w:pPr>
        <w:spacing w:line="480" w:lineRule="auto"/>
        <w:ind w:left="720" w:hanging="720"/>
        <w:rPr>
          <w:rFonts w:ascii="Arial" w:hAnsi="Arial" w:cs="Arial"/>
          <w:lang w:val="en-US"/>
        </w:rPr>
      </w:pPr>
      <w:r w:rsidRPr="004663C4">
        <w:rPr>
          <w:rFonts w:ascii="Arial" w:hAnsi="Arial" w:cs="Arial"/>
          <w:lang w:val="en-US"/>
        </w:rPr>
        <w:t xml:space="preserve">Office for Health Improvement &amp; Disparities (2022) </w:t>
      </w:r>
      <w:r w:rsidRPr="004663C4">
        <w:rPr>
          <w:rFonts w:ascii="Arial" w:hAnsi="Arial" w:cs="Arial"/>
          <w:i/>
          <w:iCs/>
          <w:lang w:val="en-US"/>
        </w:rPr>
        <w:t>Social prescribing: applying All Our Health</w:t>
      </w:r>
      <w:r w:rsidRPr="004663C4">
        <w:rPr>
          <w:rFonts w:ascii="Arial" w:hAnsi="Arial" w:cs="Arial"/>
          <w:lang w:val="en-US"/>
        </w:rPr>
        <w:t xml:space="preserve">. Available at: </w:t>
      </w:r>
      <w:hyperlink r:id="rId17" w:history="1">
        <w:r w:rsidRPr="00D67138">
          <w:rPr>
            <w:rStyle w:val="Hyperlink"/>
            <w:rFonts w:ascii="Arial" w:hAnsi="Arial" w:cs="Arial"/>
            <w:lang w:val="en-US"/>
          </w:rPr>
          <w:t>https://www.gov.uk/government/publications/social-prescribing-applying-all-our-health/social-prescribing-applying-all-our-health</w:t>
        </w:r>
      </w:hyperlink>
      <w:r w:rsidRPr="004663C4">
        <w:rPr>
          <w:rFonts w:ascii="Arial" w:hAnsi="Arial" w:cs="Arial"/>
          <w:lang w:val="en-US"/>
        </w:rPr>
        <w:t>.</w:t>
      </w:r>
      <w:r>
        <w:rPr>
          <w:rFonts w:ascii="Arial" w:hAnsi="Arial" w:cs="Arial"/>
          <w:lang w:val="en-US"/>
        </w:rPr>
        <w:t xml:space="preserve"> </w:t>
      </w:r>
      <w:r w:rsidRPr="00543D32">
        <w:rPr>
          <w:rFonts w:ascii="Arial" w:hAnsi="Arial" w:cs="Arial"/>
          <w:lang w:val="en-US"/>
        </w:rPr>
        <w:t>(Accessed: 1</w:t>
      </w:r>
      <w:r>
        <w:rPr>
          <w:rFonts w:ascii="Arial" w:hAnsi="Arial" w:cs="Arial"/>
          <w:lang w:val="en-US"/>
        </w:rPr>
        <w:t>3</w:t>
      </w:r>
      <w:r w:rsidRPr="00543D32">
        <w:rPr>
          <w:rFonts w:ascii="Arial" w:hAnsi="Arial" w:cs="Arial"/>
          <w:lang w:val="en-US"/>
        </w:rPr>
        <w:t xml:space="preserve"> April 2026).</w:t>
      </w:r>
    </w:p>
    <w:p w14:paraId="70867FF3" w14:textId="77777777" w:rsidR="00E32D43" w:rsidRDefault="00E32D43" w:rsidP="00E32D43">
      <w:pPr>
        <w:spacing w:line="480" w:lineRule="auto"/>
        <w:ind w:left="720" w:hanging="720"/>
        <w:rPr>
          <w:rFonts w:ascii="Arial" w:hAnsi="Arial" w:cs="Arial"/>
          <w:lang w:val="en-US"/>
        </w:rPr>
      </w:pPr>
      <w:r w:rsidRPr="00E32D43">
        <w:rPr>
          <w:rFonts w:ascii="Arial" w:hAnsi="Arial" w:cs="Arial"/>
          <w:lang w:val="en-US"/>
        </w:rPr>
        <w:t xml:space="preserve">Public Health England (2018) </w:t>
      </w:r>
      <w:r w:rsidRPr="00E32D43">
        <w:rPr>
          <w:rFonts w:ascii="Arial" w:hAnsi="Arial" w:cs="Arial"/>
          <w:i/>
          <w:iCs/>
          <w:lang w:val="en-US"/>
        </w:rPr>
        <w:t>Health profile for England: 2018</w:t>
      </w:r>
      <w:r w:rsidRPr="00E32D43">
        <w:rPr>
          <w:rFonts w:ascii="Arial" w:hAnsi="Arial" w:cs="Arial"/>
          <w:lang w:val="en-US"/>
        </w:rPr>
        <w:t xml:space="preserve">. Available at: </w:t>
      </w:r>
      <w:hyperlink r:id="rId18" w:history="1">
        <w:r w:rsidRPr="00D67138">
          <w:rPr>
            <w:rStyle w:val="Hyperlink"/>
            <w:rFonts w:ascii="Arial" w:hAnsi="Arial" w:cs="Arial"/>
            <w:lang w:val="en-US"/>
          </w:rPr>
          <w:t>https://www.gov.uk/government/publications/health-profile-for-england-2018</w:t>
        </w:r>
      </w:hyperlink>
      <w:r w:rsidRPr="00E32D43">
        <w:rPr>
          <w:rFonts w:ascii="Arial" w:hAnsi="Arial" w:cs="Arial"/>
          <w:lang w:val="en-US"/>
        </w:rPr>
        <w:t>.</w:t>
      </w:r>
      <w:r>
        <w:rPr>
          <w:rFonts w:ascii="Arial" w:hAnsi="Arial" w:cs="Arial"/>
          <w:lang w:val="en-US"/>
        </w:rPr>
        <w:t xml:space="preserve"> </w:t>
      </w:r>
      <w:r w:rsidRPr="00543D32">
        <w:rPr>
          <w:rFonts w:ascii="Arial" w:hAnsi="Arial" w:cs="Arial"/>
          <w:lang w:val="en-US"/>
        </w:rPr>
        <w:t>(Accessed: 1</w:t>
      </w:r>
      <w:r>
        <w:rPr>
          <w:rFonts w:ascii="Arial" w:hAnsi="Arial" w:cs="Arial"/>
          <w:lang w:val="en-US"/>
        </w:rPr>
        <w:t>3</w:t>
      </w:r>
      <w:r w:rsidRPr="00543D32">
        <w:rPr>
          <w:rFonts w:ascii="Arial" w:hAnsi="Arial" w:cs="Arial"/>
          <w:lang w:val="en-US"/>
        </w:rPr>
        <w:t xml:space="preserve"> April 2026).</w:t>
      </w:r>
    </w:p>
    <w:p w14:paraId="184B09E0" w14:textId="77777777" w:rsidR="00B414DB" w:rsidRDefault="00B414DB" w:rsidP="00B414DB">
      <w:pPr>
        <w:spacing w:line="480" w:lineRule="auto"/>
        <w:ind w:left="720" w:hanging="720"/>
        <w:rPr>
          <w:rFonts w:ascii="Arial" w:hAnsi="Arial" w:cs="Arial"/>
          <w:lang w:val="en-US"/>
        </w:rPr>
      </w:pPr>
      <w:r w:rsidRPr="00B414DB">
        <w:rPr>
          <w:rFonts w:ascii="Arial" w:hAnsi="Arial" w:cs="Arial"/>
          <w:lang w:val="en-US"/>
        </w:rPr>
        <w:t xml:space="preserve">Public Health Wales (2021) </w:t>
      </w:r>
      <w:r w:rsidRPr="00B414DB">
        <w:rPr>
          <w:rFonts w:ascii="Arial" w:hAnsi="Arial" w:cs="Arial"/>
          <w:i/>
          <w:iCs/>
          <w:lang w:val="en-US"/>
        </w:rPr>
        <w:t>Future Trends Report Wales 2021 Narrative summary</w:t>
      </w:r>
      <w:r w:rsidRPr="00B414DB">
        <w:rPr>
          <w:rFonts w:ascii="Arial" w:hAnsi="Arial" w:cs="Arial"/>
          <w:lang w:val="en-US"/>
        </w:rPr>
        <w:t xml:space="preserve">. Available at: </w:t>
      </w:r>
      <w:hyperlink r:id="rId19" w:history="1">
        <w:r w:rsidRPr="00D67138">
          <w:rPr>
            <w:rStyle w:val="Hyperlink"/>
            <w:rFonts w:ascii="Arial" w:hAnsi="Arial" w:cs="Arial"/>
            <w:lang w:val="en-US"/>
          </w:rPr>
          <w:t>https://www.gov.wales/sites/default/files/publications/2021-12/future-trends-report-wales-2021-narrative-summary.pdf</w:t>
        </w:r>
      </w:hyperlink>
      <w:r w:rsidRPr="00B414DB">
        <w:rPr>
          <w:rFonts w:ascii="Arial" w:hAnsi="Arial" w:cs="Arial"/>
          <w:lang w:val="en-US"/>
        </w:rPr>
        <w:t>.</w:t>
      </w:r>
      <w:r>
        <w:rPr>
          <w:rFonts w:ascii="Arial" w:hAnsi="Arial" w:cs="Arial"/>
          <w:lang w:val="en-US"/>
        </w:rPr>
        <w:t xml:space="preserve"> </w:t>
      </w:r>
      <w:r w:rsidRPr="00543D32">
        <w:rPr>
          <w:rFonts w:ascii="Arial" w:hAnsi="Arial" w:cs="Arial"/>
          <w:lang w:val="en-US"/>
        </w:rPr>
        <w:t>(Accessed: 1</w:t>
      </w:r>
      <w:r>
        <w:rPr>
          <w:rFonts w:ascii="Arial" w:hAnsi="Arial" w:cs="Arial"/>
          <w:lang w:val="en-US"/>
        </w:rPr>
        <w:t>3</w:t>
      </w:r>
      <w:r w:rsidRPr="00543D32">
        <w:rPr>
          <w:rFonts w:ascii="Arial" w:hAnsi="Arial" w:cs="Arial"/>
          <w:lang w:val="en-US"/>
        </w:rPr>
        <w:t xml:space="preserve"> April 2026).</w:t>
      </w:r>
    </w:p>
    <w:p w14:paraId="478BED07" w14:textId="4F6920BF" w:rsidR="008A17DD" w:rsidRPr="008A17DD" w:rsidRDefault="008A17DD" w:rsidP="008A17DD">
      <w:pPr>
        <w:spacing w:line="480" w:lineRule="auto"/>
        <w:ind w:left="720" w:hanging="720"/>
        <w:rPr>
          <w:rFonts w:ascii="Arial" w:hAnsi="Arial" w:cs="Arial"/>
          <w:lang w:val="en-US"/>
        </w:rPr>
      </w:pPr>
      <w:r w:rsidRPr="008A17DD">
        <w:rPr>
          <w:rFonts w:ascii="Arial" w:hAnsi="Arial" w:cs="Arial"/>
          <w:lang w:val="en-US"/>
        </w:rPr>
        <w:t xml:space="preserve">Ravaghi, H., </w:t>
      </w:r>
      <w:proofErr w:type="spellStart"/>
      <w:r w:rsidRPr="008A17DD">
        <w:rPr>
          <w:rFonts w:ascii="Arial" w:hAnsi="Arial" w:cs="Arial"/>
          <w:lang w:val="en-US"/>
        </w:rPr>
        <w:t>Guisset</w:t>
      </w:r>
      <w:proofErr w:type="spellEnd"/>
      <w:r w:rsidRPr="008A17DD">
        <w:rPr>
          <w:rFonts w:ascii="Arial" w:hAnsi="Arial" w:cs="Arial"/>
          <w:lang w:val="en-US"/>
        </w:rPr>
        <w:t xml:space="preserve">, A.-L., </w:t>
      </w:r>
      <w:proofErr w:type="spellStart"/>
      <w:r w:rsidRPr="008A17DD">
        <w:rPr>
          <w:rFonts w:ascii="Arial" w:hAnsi="Arial" w:cs="Arial"/>
          <w:lang w:val="en-US"/>
        </w:rPr>
        <w:t>Elfeky</w:t>
      </w:r>
      <w:proofErr w:type="spellEnd"/>
      <w:r w:rsidRPr="008A17DD">
        <w:rPr>
          <w:rFonts w:ascii="Arial" w:hAnsi="Arial" w:cs="Arial"/>
          <w:lang w:val="en-US"/>
        </w:rPr>
        <w:t xml:space="preserve">, S., Nasir, N., Khani, S., </w:t>
      </w:r>
      <w:proofErr w:type="spellStart"/>
      <w:r w:rsidRPr="008A17DD">
        <w:rPr>
          <w:rFonts w:ascii="Arial" w:hAnsi="Arial" w:cs="Arial"/>
          <w:lang w:val="en-US"/>
        </w:rPr>
        <w:t>Ahmadnezhad</w:t>
      </w:r>
      <w:proofErr w:type="spellEnd"/>
      <w:r w:rsidRPr="008A17DD">
        <w:rPr>
          <w:rFonts w:ascii="Arial" w:hAnsi="Arial" w:cs="Arial"/>
          <w:lang w:val="en-US"/>
        </w:rPr>
        <w:t xml:space="preserve">, E. and Abdi, Z. (2023) ‘A scoping review of community health needs and assets assessment: Concepts, rationale, tools and </w:t>
      </w:r>
      <w:proofErr w:type="gramStart"/>
      <w:r w:rsidRPr="008A17DD">
        <w:rPr>
          <w:rFonts w:ascii="Arial" w:hAnsi="Arial" w:cs="Arial"/>
          <w:lang w:val="en-US"/>
        </w:rPr>
        <w:t>uses’</w:t>
      </w:r>
      <w:proofErr w:type="gramEnd"/>
      <w:r w:rsidRPr="008A17DD">
        <w:rPr>
          <w:rFonts w:ascii="Arial" w:hAnsi="Arial" w:cs="Arial"/>
          <w:lang w:val="en-US"/>
        </w:rPr>
        <w:t xml:space="preserve">. </w:t>
      </w:r>
      <w:r w:rsidRPr="008A17DD">
        <w:rPr>
          <w:rFonts w:ascii="Arial" w:hAnsi="Arial" w:cs="Arial"/>
          <w:i/>
          <w:iCs/>
          <w:lang w:val="en-US"/>
        </w:rPr>
        <w:t>BMC Health Services Research</w:t>
      </w:r>
      <w:r w:rsidRPr="008A17DD">
        <w:rPr>
          <w:rFonts w:ascii="Arial" w:hAnsi="Arial" w:cs="Arial"/>
          <w:lang w:val="en-US"/>
        </w:rPr>
        <w:t xml:space="preserve"> 23(1), pp. 1–20. Available at: </w:t>
      </w:r>
      <w:hyperlink r:id="rId20" w:history="1">
        <w:r w:rsidRPr="00D67138">
          <w:rPr>
            <w:rStyle w:val="Hyperlink"/>
            <w:rFonts w:ascii="Arial" w:hAnsi="Arial" w:cs="Arial"/>
            <w:lang w:val="en-US"/>
          </w:rPr>
          <w:t>https://www.ncbi.nlm.nih.gov/pmc/articles/PMC9847055/</w:t>
        </w:r>
      </w:hyperlink>
      <w:r w:rsidRPr="008A17DD">
        <w:rPr>
          <w:rFonts w:ascii="Arial" w:hAnsi="Arial" w:cs="Arial"/>
          <w:lang w:val="en-US"/>
        </w:rPr>
        <w:t>.</w:t>
      </w:r>
      <w:r>
        <w:rPr>
          <w:rFonts w:ascii="Arial" w:hAnsi="Arial" w:cs="Arial"/>
          <w:lang w:val="en-US"/>
        </w:rPr>
        <w:t xml:space="preserve"> </w:t>
      </w:r>
    </w:p>
    <w:p w14:paraId="46B8889A" w14:textId="1D7DCDB9" w:rsidR="00A0360D" w:rsidRPr="00A0360D" w:rsidRDefault="00A0360D" w:rsidP="00A0360D">
      <w:pPr>
        <w:spacing w:line="480" w:lineRule="auto"/>
        <w:ind w:left="720" w:hanging="720"/>
        <w:rPr>
          <w:rFonts w:ascii="Arial" w:hAnsi="Arial" w:cs="Arial"/>
          <w:lang w:val="en-US"/>
        </w:rPr>
      </w:pPr>
      <w:proofErr w:type="spellStart"/>
      <w:r w:rsidRPr="00A0360D">
        <w:rPr>
          <w:rFonts w:ascii="Arial" w:hAnsi="Arial" w:cs="Arial"/>
          <w:lang w:val="en-US"/>
        </w:rPr>
        <w:lastRenderedPageBreak/>
        <w:t>Thorlby</w:t>
      </w:r>
      <w:proofErr w:type="spellEnd"/>
      <w:r w:rsidRPr="00A0360D">
        <w:rPr>
          <w:rFonts w:ascii="Arial" w:hAnsi="Arial" w:cs="Arial"/>
          <w:lang w:val="en-US"/>
        </w:rPr>
        <w:t xml:space="preserve">, R., Gardner, T., Allen, L. and Alderwick, H. (2021) ‘The NHS Long Term Plan and COVID-19: Assessing Progress and the Pandemic’s Impact’. </w:t>
      </w:r>
      <w:r w:rsidRPr="00A0360D">
        <w:rPr>
          <w:rFonts w:ascii="Arial" w:hAnsi="Arial" w:cs="Arial"/>
          <w:i/>
          <w:iCs/>
          <w:lang w:val="en-US"/>
        </w:rPr>
        <w:t xml:space="preserve">The Health </w:t>
      </w:r>
      <w:proofErr w:type="gramStart"/>
      <w:r w:rsidRPr="00A0360D">
        <w:rPr>
          <w:rFonts w:ascii="Arial" w:hAnsi="Arial" w:cs="Arial"/>
          <w:i/>
          <w:iCs/>
          <w:lang w:val="en-US"/>
        </w:rPr>
        <w:t>Foundation</w:t>
      </w:r>
      <w:r w:rsidRPr="00A0360D">
        <w:rPr>
          <w:rFonts w:ascii="Arial" w:hAnsi="Arial" w:cs="Arial"/>
          <w:lang w:val="en-US"/>
        </w:rPr>
        <w:t xml:space="preserve"> .</w:t>
      </w:r>
      <w:proofErr w:type="gramEnd"/>
      <w:r w:rsidRPr="00A0360D">
        <w:rPr>
          <w:rFonts w:ascii="Arial" w:hAnsi="Arial" w:cs="Arial"/>
          <w:lang w:val="en-US"/>
        </w:rPr>
        <w:t xml:space="preserve"> Available at: </w:t>
      </w:r>
      <w:hyperlink r:id="rId21" w:history="1">
        <w:r w:rsidRPr="00D67138">
          <w:rPr>
            <w:rStyle w:val="Hyperlink"/>
            <w:rFonts w:ascii="Arial" w:hAnsi="Arial" w:cs="Arial"/>
            <w:lang w:val="en-US"/>
          </w:rPr>
          <w:t>https://www.health.org.uk/sites/default/files/upload/publications/2021/The%20NHS%20Long%20Term%20Plan%20and%20COVID-19_WEB.pdf</w:t>
        </w:r>
      </w:hyperlink>
      <w:r w:rsidRPr="00A0360D">
        <w:rPr>
          <w:rFonts w:ascii="Arial" w:hAnsi="Arial" w:cs="Arial"/>
          <w:lang w:val="en-US"/>
        </w:rPr>
        <w:t>.</w:t>
      </w:r>
      <w:r>
        <w:rPr>
          <w:rFonts w:ascii="Arial" w:hAnsi="Arial" w:cs="Arial"/>
          <w:lang w:val="en-US"/>
        </w:rPr>
        <w:t xml:space="preserve"> </w:t>
      </w:r>
    </w:p>
    <w:p w14:paraId="503A2FC1" w14:textId="3D83345F" w:rsidR="00EE7600" w:rsidRDefault="00EE7600" w:rsidP="00EE7600">
      <w:pPr>
        <w:spacing w:line="480" w:lineRule="auto"/>
        <w:ind w:left="720" w:hanging="720"/>
        <w:rPr>
          <w:rFonts w:ascii="Arial" w:hAnsi="Arial" w:cs="Arial"/>
          <w:lang w:val="en-US"/>
        </w:rPr>
      </w:pPr>
      <w:r w:rsidRPr="00EE7600">
        <w:rPr>
          <w:rFonts w:ascii="Arial" w:hAnsi="Arial" w:cs="Arial"/>
          <w:lang w:val="en-US"/>
        </w:rPr>
        <w:t xml:space="preserve">United Nations (2015) </w:t>
      </w:r>
      <w:r w:rsidRPr="00EE7600">
        <w:rPr>
          <w:rFonts w:ascii="Arial" w:hAnsi="Arial" w:cs="Arial"/>
          <w:i/>
          <w:iCs/>
          <w:lang w:val="en-US"/>
        </w:rPr>
        <w:t>Transforming our world: The 2030 Agenda for Sustainable Development</w:t>
      </w:r>
      <w:r w:rsidRPr="00EE7600">
        <w:rPr>
          <w:rFonts w:ascii="Arial" w:hAnsi="Arial" w:cs="Arial"/>
          <w:lang w:val="en-US"/>
        </w:rPr>
        <w:t xml:space="preserve">. Available at: </w:t>
      </w:r>
      <w:hyperlink r:id="rId22" w:history="1">
        <w:r w:rsidRPr="00D67138">
          <w:rPr>
            <w:rStyle w:val="Hyperlink"/>
            <w:rFonts w:ascii="Arial" w:hAnsi="Arial" w:cs="Arial"/>
            <w:lang w:val="en-US"/>
          </w:rPr>
          <w:t>https://sdgs.un.org/2030agenda</w:t>
        </w:r>
      </w:hyperlink>
      <w:r w:rsidRPr="00EE7600">
        <w:rPr>
          <w:rFonts w:ascii="Arial" w:hAnsi="Arial" w:cs="Arial"/>
          <w:lang w:val="en-US"/>
        </w:rPr>
        <w:t>.</w:t>
      </w:r>
      <w:r>
        <w:rPr>
          <w:rFonts w:ascii="Arial" w:hAnsi="Arial" w:cs="Arial"/>
          <w:lang w:val="en-US"/>
        </w:rPr>
        <w:t xml:space="preserve"> </w:t>
      </w:r>
    </w:p>
    <w:p w14:paraId="09942A2F" w14:textId="02FD2695" w:rsidR="00EE7600" w:rsidRDefault="00EE7600" w:rsidP="00EE7600">
      <w:pPr>
        <w:spacing w:line="480" w:lineRule="auto"/>
        <w:ind w:left="720" w:hanging="720"/>
        <w:rPr>
          <w:rFonts w:ascii="Arial" w:hAnsi="Arial" w:cs="Arial"/>
          <w:lang w:val="en-US"/>
        </w:rPr>
      </w:pPr>
      <w:r w:rsidRPr="00EE7600">
        <w:rPr>
          <w:rFonts w:ascii="Arial" w:hAnsi="Arial" w:cs="Arial"/>
          <w:lang w:val="en-US"/>
        </w:rPr>
        <w:t xml:space="preserve">World Health </w:t>
      </w:r>
      <w:proofErr w:type="spellStart"/>
      <w:r w:rsidRPr="00EE7600">
        <w:rPr>
          <w:rFonts w:ascii="Arial" w:hAnsi="Arial" w:cs="Arial"/>
          <w:lang w:val="en-US"/>
        </w:rPr>
        <w:t>Organi</w:t>
      </w:r>
      <w:r w:rsidR="00D5270F">
        <w:rPr>
          <w:rFonts w:ascii="Arial" w:hAnsi="Arial" w:cs="Arial"/>
          <w:lang w:val="en-US"/>
        </w:rPr>
        <w:t>s</w:t>
      </w:r>
      <w:r w:rsidRPr="00EE7600">
        <w:rPr>
          <w:rFonts w:ascii="Arial" w:hAnsi="Arial" w:cs="Arial"/>
          <w:lang w:val="en-US"/>
        </w:rPr>
        <w:t>ation</w:t>
      </w:r>
      <w:proofErr w:type="spellEnd"/>
      <w:r w:rsidRPr="00EE7600">
        <w:rPr>
          <w:rFonts w:ascii="Arial" w:hAnsi="Arial" w:cs="Arial"/>
          <w:lang w:val="en-US"/>
        </w:rPr>
        <w:t xml:space="preserve"> (2022) </w:t>
      </w:r>
      <w:r w:rsidRPr="00EE7600">
        <w:rPr>
          <w:rFonts w:ascii="Arial" w:hAnsi="Arial" w:cs="Arial"/>
          <w:i/>
          <w:iCs/>
          <w:lang w:val="en-US"/>
        </w:rPr>
        <w:t>Sustainable Development Goals</w:t>
      </w:r>
      <w:r w:rsidRPr="00EE7600">
        <w:rPr>
          <w:rFonts w:ascii="Arial" w:hAnsi="Arial" w:cs="Arial"/>
          <w:lang w:val="en-US"/>
        </w:rPr>
        <w:t xml:space="preserve">. Available at: </w:t>
      </w:r>
      <w:hyperlink r:id="rId23" w:history="1">
        <w:r w:rsidRPr="00D67138">
          <w:rPr>
            <w:rStyle w:val="Hyperlink"/>
            <w:rFonts w:ascii="Arial" w:hAnsi="Arial" w:cs="Arial"/>
            <w:lang w:val="en-US"/>
          </w:rPr>
          <w:t>https://www.who.int/europe/about-us/our-work/sustainable-development-goals</w:t>
        </w:r>
      </w:hyperlink>
      <w:r w:rsidRPr="00EE7600">
        <w:rPr>
          <w:rFonts w:ascii="Arial" w:hAnsi="Arial" w:cs="Arial"/>
          <w:lang w:val="en-US"/>
        </w:rPr>
        <w:t>.</w:t>
      </w:r>
      <w:r>
        <w:rPr>
          <w:rFonts w:ascii="Arial" w:hAnsi="Arial" w:cs="Arial"/>
          <w:lang w:val="en-US"/>
        </w:rPr>
        <w:t xml:space="preserve"> </w:t>
      </w:r>
      <w:r w:rsidRPr="00543D32">
        <w:rPr>
          <w:rFonts w:ascii="Arial" w:hAnsi="Arial" w:cs="Arial"/>
          <w:lang w:val="en-US"/>
        </w:rPr>
        <w:t>(Accessed: 1</w:t>
      </w:r>
      <w:r>
        <w:rPr>
          <w:rFonts w:ascii="Arial" w:hAnsi="Arial" w:cs="Arial"/>
          <w:lang w:val="en-US"/>
        </w:rPr>
        <w:t>3</w:t>
      </w:r>
      <w:r w:rsidRPr="00543D32">
        <w:rPr>
          <w:rFonts w:ascii="Arial" w:hAnsi="Arial" w:cs="Arial"/>
          <w:lang w:val="en-US"/>
        </w:rPr>
        <w:t xml:space="preserve"> April 2026).</w:t>
      </w:r>
    </w:p>
    <w:p w14:paraId="4FD47808" w14:textId="4053FD05" w:rsidR="00EE7600" w:rsidRDefault="00EE7600" w:rsidP="00EE7600">
      <w:pPr>
        <w:spacing w:line="480" w:lineRule="auto"/>
        <w:ind w:left="720" w:hanging="720"/>
        <w:rPr>
          <w:rFonts w:ascii="Arial" w:hAnsi="Arial" w:cs="Arial"/>
          <w:lang w:val="en-US"/>
        </w:rPr>
      </w:pPr>
      <w:r w:rsidRPr="00EE7600">
        <w:rPr>
          <w:rFonts w:ascii="Arial" w:hAnsi="Arial" w:cs="Arial"/>
          <w:lang w:val="en-US"/>
        </w:rPr>
        <w:t xml:space="preserve">World Health </w:t>
      </w:r>
      <w:proofErr w:type="spellStart"/>
      <w:r w:rsidRPr="00EE7600">
        <w:rPr>
          <w:rFonts w:ascii="Arial" w:hAnsi="Arial" w:cs="Arial"/>
          <w:lang w:val="en-US"/>
        </w:rPr>
        <w:t>Organi</w:t>
      </w:r>
      <w:r w:rsidR="00D5270F">
        <w:rPr>
          <w:rFonts w:ascii="Arial" w:hAnsi="Arial" w:cs="Arial"/>
          <w:lang w:val="en-US"/>
        </w:rPr>
        <w:t>s</w:t>
      </w:r>
      <w:r w:rsidRPr="00EE7600">
        <w:rPr>
          <w:rFonts w:ascii="Arial" w:hAnsi="Arial" w:cs="Arial"/>
          <w:lang w:val="en-US"/>
        </w:rPr>
        <w:t>ation</w:t>
      </w:r>
      <w:proofErr w:type="spellEnd"/>
      <w:r w:rsidRPr="00EE7600">
        <w:rPr>
          <w:rFonts w:ascii="Arial" w:hAnsi="Arial" w:cs="Arial"/>
          <w:lang w:val="en-US"/>
        </w:rPr>
        <w:t xml:space="preserve"> (2023) </w:t>
      </w:r>
      <w:r w:rsidRPr="00EE7600">
        <w:rPr>
          <w:rFonts w:ascii="Arial" w:hAnsi="Arial" w:cs="Arial"/>
          <w:i/>
          <w:iCs/>
          <w:lang w:val="en-US"/>
        </w:rPr>
        <w:t>Health in All Policies Framework for Country Action</w:t>
      </w:r>
      <w:r w:rsidRPr="00EE7600">
        <w:rPr>
          <w:rFonts w:ascii="Arial" w:hAnsi="Arial" w:cs="Arial"/>
          <w:lang w:val="en-US"/>
        </w:rPr>
        <w:t xml:space="preserve">. Available at: </w:t>
      </w:r>
      <w:hyperlink r:id="rId24" w:history="1">
        <w:r w:rsidRPr="00D67138">
          <w:rPr>
            <w:rStyle w:val="Hyperlink"/>
            <w:rFonts w:ascii="Arial" w:hAnsi="Arial" w:cs="Arial"/>
            <w:lang w:val="en-US"/>
          </w:rPr>
          <w:t>https://www.afro.who.int/publications/health-all-policies-framework-country-action</w:t>
        </w:r>
      </w:hyperlink>
      <w:r w:rsidRPr="00EE7600">
        <w:rPr>
          <w:rFonts w:ascii="Arial" w:hAnsi="Arial" w:cs="Arial"/>
          <w:lang w:val="en-US"/>
        </w:rPr>
        <w:t>.</w:t>
      </w:r>
      <w:r>
        <w:rPr>
          <w:rFonts w:ascii="Arial" w:hAnsi="Arial" w:cs="Arial"/>
          <w:lang w:val="en-US"/>
        </w:rPr>
        <w:t xml:space="preserve"> </w:t>
      </w:r>
      <w:r w:rsidRPr="00543D32">
        <w:rPr>
          <w:rFonts w:ascii="Arial" w:hAnsi="Arial" w:cs="Arial"/>
          <w:lang w:val="en-US"/>
        </w:rPr>
        <w:t>(Accessed: 1</w:t>
      </w:r>
      <w:r>
        <w:rPr>
          <w:rFonts w:ascii="Arial" w:hAnsi="Arial" w:cs="Arial"/>
          <w:lang w:val="en-US"/>
        </w:rPr>
        <w:t>3</w:t>
      </w:r>
      <w:r w:rsidRPr="00543D32">
        <w:rPr>
          <w:rFonts w:ascii="Arial" w:hAnsi="Arial" w:cs="Arial"/>
          <w:lang w:val="en-US"/>
        </w:rPr>
        <w:t xml:space="preserve"> April 2026).</w:t>
      </w:r>
    </w:p>
    <w:p w14:paraId="7F07BF9C" w14:textId="7FD82C7A" w:rsidR="00EE7600" w:rsidRDefault="00EE7600" w:rsidP="00EE7600">
      <w:pPr>
        <w:spacing w:line="480" w:lineRule="auto"/>
        <w:ind w:left="720" w:hanging="720"/>
        <w:rPr>
          <w:rFonts w:ascii="Arial" w:hAnsi="Arial" w:cs="Arial"/>
          <w:lang w:val="en-US"/>
        </w:rPr>
      </w:pPr>
      <w:r w:rsidRPr="00EE7600">
        <w:rPr>
          <w:rFonts w:ascii="Arial" w:hAnsi="Arial" w:cs="Arial"/>
          <w:lang w:val="en-US"/>
        </w:rPr>
        <w:t xml:space="preserve">World Health </w:t>
      </w:r>
      <w:proofErr w:type="spellStart"/>
      <w:r w:rsidRPr="00EE7600">
        <w:rPr>
          <w:rFonts w:ascii="Arial" w:hAnsi="Arial" w:cs="Arial"/>
          <w:lang w:val="en-US"/>
        </w:rPr>
        <w:t>Organisation</w:t>
      </w:r>
      <w:proofErr w:type="spellEnd"/>
      <w:r w:rsidRPr="00EE7600">
        <w:rPr>
          <w:rFonts w:ascii="Arial" w:hAnsi="Arial" w:cs="Arial"/>
          <w:lang w:val="en-US"/>
        </w:rPr>
        <w:t xml:space="preserve"> (2025) </w:t>
      </w:r>
      <w:r w:rsidRPr="00EE7600">
        <w:rPr>
          <w:rFonts w:ascii="Arial" w:hAnsi="Arial" w:cs="Arial"/>
          <w:i/>
          <w:iCs/>
          <w:lang w:val="en-US"/>
        </w:rPr>
        <w:t>World Report on Social Determinants of Health Equity</w:t>
      </w:r>
      <w:r w:rsidRPr="00EE7600">
        <w:rPr>
          <w:rFonts w:ascii="Arial" w:hAnsi="Arial" w:cs="Arial"/>
          <w:lang w:val="en-US"/>
        </w:rPr>
        <w:t xml:space="preserve">. Available at: </w:t>
      </w:r>
      <w:hyperlink r:id="rId25" w:history="1">
        <w:r w:rsidRPr="00D67138">
          <w:rPr>
            <w:rStyle w:val="Hyperlink"/>
            <w:rFonts w:ascii="Arial" w:hAnsi="Arial" w:cs="Arial"/>
            <w:lang w:val="en-US"/>
          </w:rPr>
          <w:t>https://www.who.int/teams/social-determinants-of-health/equity-and-health/world-report-on-social-determinants-of-health-equity</w:t>
        </w:r>
      </w:hyperlink>
      <w:r w:rsidRPr="00EE7600">
        <w:rPr>
          <w:rFonts w:ascii="Arial" w:hAnsi="Arial" w:cs="Arial"/>
          <w:lang w:val="en-US"/>
        </w:rPr>
        <w:t>.</w:t>
      </w:r>
      <w:r>
        <w:rPr>
          <w:rFonts w:ascii="Arial" w:hAnsi="Arial" w:cs="Arial"/>
          <w:lang w:val="en-US"/>
        </w:rPr>
        <w:t xml:space="preserve"> </w:t>
      </w:r>
    </w:p>
    <w:p w14:paraId="47AC3847" w14:textId="57B63FB4" w:rsidR="009E5E96" w:rsidRPr="009E5E96" w:rsidRDefault="009E5E96" w:rsidP="009E5E96">
      <w:pPr>
        <w:spacing w:line="480" w:lineRule="auto"/>
        <w:ind w:left="720" w:hanging="720"/>
        <w:rPr>
          <w:rFonts w:ascii="Arial" w:hAnsi="Arial" w:cs="Arial"/>
          <w:lang w:val="en-US"/>
        </w:rPr>
      </w:pPr>
      <w:r w:rsidRPr="009E5E96">
        <w:rPr>
          <w:rFonts w:ascii="Arial" w:hAnsi="Arial" w:cs="Arial"/>
          <w:lang w:val="en-US"/>
        </w:rPr>
        <w:t xml:space="preserve">Xiao, X., Song, H., Sang, T., Wu, Z., Xie, Y. and Yang, Q. (2021) ‘Analysis of Real-World Implementation of the Biopsychosocial Approach to Healthcare: Evidence </w:t>
      </w:r>
      <w:proofErr w:type="gramStart"/>
      <w:r w:rsidRPr="009E5E96">
        <w:rPr>
          <w:rFonts w:ascii="Arial" w:hAnsi="Arial" w:cs="Arial"/>
          <w:lang w:val="en-US"/>
        </w:rPr>
        <w:t>From</w:t>
      </w:r>
      <w:proofErr w:type="gramEnd"/>
      <w:r w:rsidRPr="009E5E96">
        <w:rPr>
          <w:rFonts w:ascii="Arial" w:hAnsi="Arial" w:cs="Arial"/>
          <w:lang w:val="en-US"/>
        </w:rPr>
        <w:t xml:space="preserve"> a Combination of Qualitative and Quantitative Methods’. </w:t>
      </w:r>
      <w:r w:rsidRPr="009E5E96">
        <w:rPr>
          <w:rFonts w:ascii="Arial" w:hAnsi="Arial" w:cs="Arial"/>
          <w:i/>
          <w:iCs/>
          <w:lang w:val="en-US"/>
        </w:rPr>
        <w:t>Frontiers in Psychiatry</w:t>
      </w:r>
      <w:r w:rsidRPr="009E5E96">
        <w:rPr>
          <w:rFonts w:ascii="Arial" w:hAnsi="Arial" w:cs="Arial"/>
          <w:lang w:val="en-US"/>
        </w:rPr>
        <w:t xml:space="preserve"> 12(725596). Available at: </w:t>
      </w:r>
      <w:hyperlink r:id="rId26" w:history="1">
        <w:r w:rsidRPr="00D67138">
          <w:rPr>
            <w:rStyle w:val="Hyperlink"/>
            <w:rFonts w:ascii="Arial" w:hAnsi="Arial" w:cs="Arial"/>
            <w:lang w:val="en-US"/>
          </w:rPr>
          <w:t>https://www.ncbi.nlm.nih.gov/pmc/articles/PMC8576407/</w:t>
        </w:r>
      </w:hyperlink>
      <w:r w:rsidRPr="009E5E96">
        <w:rPr>
          <w:rFonts w:ascii="Arial" w:hAnsi="Arial" w:cs="Arial"/>
          <w:lang w:val="en-US"/>
        </w:rPr>
        <w:t>.</w:t>
      </w:r>
      <w:r>
        <w:rPr>
          <w:rFonts w:ascii="Arial" w:hAnsi="Arial" w:cs="Arial"/>
          <w:lang w:val="en-US"/>
        </w:rPr>
        <w:t xml:space="preserve"> </w:t>
      </w:r>
    </w:p>
    <w:p w14:paraId="3D49E206" w14:textId="77777777" w:rsidR="009E5E96" w:rsidRDefault="009E5E96" w:rsidP="00EE7600">
      <w:pPr>
        <w:spacing w:line="480" w:lineRule="auto"/>
        <w:ind w:left="720" w:hanging="720"/>
        <w:rPr>
          <w:rFonts w:ascii="Arial" w:hAnsi="Arial" w:cs="Arial"/>
          <w:lang w:val="en-US"/>
        </w:rPr>
      </w:pPr>
    </w:p>
    <w:p w14:paraId="7BC5D73A" w14:textId="77777777" w:rsidR="00A4238A" w:rsidRPr="002B17D7" w:rsidRDefault="00A4238A" w:rsidP="00543D32">
      <w:pPr>
        <w:spacing w:line="480" w:lineRule="auto"/>
        <w:jc w:val="both"/>
        <w:rPr>
          <w:rFonts w:ascii="Arial" w:hAnsi="Arial" w:cs="Arial"/>
        </w:rPr>
      </w:pPr>
    </w:p>
    <w:sectPr w:rsidR="00A4238A" w:rsidRPr="002B17D7">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25C4D" w14:textId="77777777" w:rsidR="00066EFF" w:rsidRDefault="00066EFF" w:rsidP="002B17D7">
      <w:pPr>
        <w:spacing w:after="0" w:line="240" w:lineRule="auto"/>
      </w:pPr>
      <w:r>
        <w:separator/>
      </w:r>
    </w:p>
  </w:endnote>
  <w:endnote w:type="continuationSeparator" w:id="0">
    <w:p w14:paraId="292F0DDE" w14:textId="77777777" w:rsidR="00066EFF" w:rsidRDefault="00066EFF" w:rsidP="002B1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B5682" w14:textId="77777777" w:rsidR="00066EFF" w:rsidRDefault="00066EFF" w:rsidP="002B17D7">
      <w:pPr>
        <w:spacing w:after="0" w:line="240" w:lineRule="auto"/>
      </w:pPr>
      <w:r>
        <w:separator/>
      </w:r>
    </w:p>
  </w:footnote>
  <w:footnote w:type="continuationSeparator" w:id="0">
    <w:p w14:paraId="047C1AB9" w14:textId="77777777" w:rsidR="00066EFF" w:rsidRDefault="00066EFF" w:rsidP="002B1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869488950"/>
      <w:docPartObj>
        <w:docPartGallery w:val="Page Numbers (Top of Page)"/>
        <w:docPartUnique/>
      </w:docPartObj>
    </w:sdtPr>
    <w:sdtEndPr>
      <w:rPr>
        <w:noProof/>
      </w:rPr>
    </w:sdtEndPr>
    <w:sdtContent>
      <w:p w14:paraId="0C7DD1E6" w14:textId="1CB71BEF" w:rsidR="002B17D7" w:rsidRPr="002B17D7" w:rsidRDefault="002B17D7">
        <w:pPr>
          <w:pStyle w:val="Header"/>
          <w:jc w:val="right"/>
          <w:rPr>
            <w:rFonts w:ascii="Times New Roman" w:hAnsi="Times New Roman" w:cs="Times New Roman"/>
          </w:rPr>
        </w:pPr>
        <w:r w:rsidRPr="002B17D7">
          <w:rPr>
            <w:rFonts w:ascii="Times New Roman" w:hAnsi="Times New Roman" w:cs="Times New Roman"/>
          </w:rPr>
          <w:fldChar w:fldCharType="begin"/>
        </w:r>
        <w:r w:rsidRPr="002B17D7">
          <w:rPr>
            <w:rFonts w:ascii="Times New Roman" w:hAnsi="Times New Roman" w:cs="Times New Roman"/>
          </w:rPr>
          <w:instrText xml:space="preserve"> PAGE   \* MERGEFORMAT </w:instrText>
        </w:r>
        <w:r w:rsidRPr="002B17D7">
          <w:rPr>
            <w:rFonts w:ascii="Times New Roman" w:hAnsi="Times New Roman" w:cs="Times New Roman"/>
          </w:rPr>
          <w:fldChar w:fldCharType="separate"/>
        </w:r>
        <w:r w:rsidRPr="002B17D7">
          <w:rPr>
            <w:rFonts w:ascii="Times New Roman" w:hAnsi="Times New Roman" w:cs="Times New Roman"/>
            <w:noProof/>
          </w:rPr>
          <w:t>2</w:t>
        </w:r>
        <w:r w:rsidRPr="002B17D7">
          <w:rPr>
            <w:rFonts w:ascii="Times New Roman" w:hAnsi="Times New Roman" w:cs="Times New Roman"/>
            <w:noProof/>
          </w:rPr>
          <w:fldChar w:fldCharType="end"/>
        </w:r>
      </w:p>
    </w:sdtContent>
  </w:sdt>
  <w:p w14:paraId="62ECD0D5" w14:textId="77777777" w:rsidR="002B17D7" w:rsidRPr="002B17D7" w:rsidRDefault="002B17D7">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38A"/>
    <w:rsid w:val="00045BC2"/>
    <w:rsid w:val="00066EFF"/>
    <w:rsid w:val="00077732"/>
    <w:rsid w:val="000835D6"/>
    <w:rsid w:val="000D2DAE"/>
    <w:rsid w:val="000E5155"/>
    <w:rsid w:val="000F083E"/>
    <w:rsid w:val="00125769"/>
    <w:rsid w:val="00222D9B"/>
    <w:rsid w:val="002B17D7"/>
    <w:rsid w:val="002F21C3"/>
    <w:rsid w:val="0035017A"/>
    <w:rsid w:val="003C1848"/>
    <w:rsid w:val="003F5830"/>
    <w:rsid w:val="003F7D8A"/>
    <w:rsid w:val="004663C4"/>
    <w:rsid w:val="00466BD8"/>
    <w:rsid w:val="004831A0"/>
    <w:rsid w:val="00542000"/>
    <w:rsid w:val="00543D32"/>
    <w:rsid w:val="005B082B"/>
    <w:rsid w:val="00682CA4"/>
    <w:rsid w:val="006B52BA"/>
    <w:rsid w:val="00700EDB"/>
    <w:rsid w:val="007B043F"/>
    <w:rsid w:val="007D5E4C"/>
    <w:rsid w:val="007F6D41"/>
    <w:rsid w:val="008A17DD"/>
    <w:rsid w:val="008A7BF1"/>
    <w:rsid w:val="008B29DC"/>
    <w:rsid w:val="008D6D04"/>
    <w:rsid w:val="009507DB"/>
    <w:rsid w:val="009567EB"/>
    <w:rsid w:val="0096416C"/>
    <w:rsid w:val="0096698F"/>
    <w:rsid w:val="009726F2"/>
    <w:rsid w:val="0097549B"/>
    <w:rsid w:val="009B57DF"/>
    <w:rsid w:val="009E5E96"/>
    <w:rsid w:val="00A02436"/>
    <w:rsid w:val="00A0360D"/>
    <w:rsid w:val="00A04B6E"/>
    <w:rsid w:val="00A4238A"/>
    <w:rsid w:val="00A4338A"/>
    <w:rsid w:val="00A70A85"/>
    <w:rsid w:val="00A8046E"/>
    <w:rsid w:val="00B2763B"/>
    <w:rsid w:val="00B414DB"/>
    <w:rsid w:val="00B85DB5"/>
    <w:rsid w:val="00B87FAF"/>
    <w:rsid w:val="00C17886"/>
    <w:rsid w:val="00C739DA"/>
    <w:rsid w:val="00C91590"/>
    <w:rsid w:val="00CA55FA"/>
    <w:rsid w:val="00D12039"/>
    <w:rsid w:val="00D14AE7"/>
    <w:rsid w:val="00D178C4"/>
    <w:rsid w:val="00D22860"/>
    <w:rsid w:val="00D42A15"/>
    <w:rsid w:val="00D5270F"/>
    <w:rsid w:val="00DC6777"/>
    <w:rsid w:val="00E32D43"/>
    <w:rsid w:val="00E4472C"/>
    <w:rsid w:val="00E454F3"/>
    <w:rsid w:val="00E75C56"/>
    <w:rsid w:val="00EE4C59"/>
    <w:rsid w:val="00EE7600"/>
    <w:rsid w:val="00F07146"/>
    <w:rsid w:val="00F30C56"/>
    <w:rsid w:val="00F84A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60E1"/>
  <w15:chartTrackingRefBased/>
  <w15:docId w15:val="{8C59807E-722A-4D21-A96A-E1C8DCD1D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A15"/>
  </w:style>
  <w:style w:type="paragraph" w:styleId="Heading1">
    <w:name w:val="heading 1"/>
    <w:basedOn w:val="Normal"/>
    <w:next w:val="Normal"/>
    <w:link w:val="Heading1Char"/>
    <w:uiPriority w:val="9"/>
    <w:qFormat/>
    <w:rsid w:val="00A42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38A"/>
    <w:rPr>
      <w:rFonts w:eastAsiaTheme="majorEastAsia" w:cstheme="majorBidi"/>
      <w:color w:val="272727" w:themeColor="text1" w:themeTint="D8"/>
    </w:rPr>
  </w:style>
  <w:style w:type="paragraph" w:styleId="Title">
    <w:name w:val="Title"/>
    <w:basedOn w:val="Normal"/>
    <w:next w:val="Normal"/>
    <w:link w:val="TitleChar"/>
    <w:uiPriority w:val="10"/>
    <w:qFormat/>
    <w:rsid w:val="00A42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38A"/>
    <w:pPr>
      <w:spacing w:before="160"/>
      <w:jc w:val="center"/>
    </w:pPr>
    <w:rPr>
      <w:i/>
      <w:iCs/>
      <w:color w:val="404040" w:themeColor="text1" w:themeTint="BF"/>
    </w:rPr>
  </w:style>
  <w:style w:type="character" w:customStyle="1" w:styleId="QuoteChar">
    <w:name w:val="Quote Char"/>
    <w:basedOn w:val="DefaultParagraphFont"/>
    <w:link w:val="Quote"/>
    <w:uiPriority w:val="29"/>
    <w:rsid w:val="00A4238A"/>
    <w:rPr>
      <w:i/>
      <w:iCs/>
      <w:color w:val="404040" w:themeColor="text1" w:themeTint="BF"/>
    </w:rPr>
  </w:style>
  <w:style w:type="paragraph" w:styleId="ListParagraph">
    <w:name w:val="List Paragraph"/>
    <w:basedOn w:val="Normal"/>
    <w:uiPriority w:val="34"/>
    <w:qFormat/>
    <w:rsid w:val="00A4238A"/>
    <w:pPr>
      <w:ind w:left="720"/>
      <w:contextualSpacing/>
    </w:pPr>
  </w:style>
  <w:style w:type="character" w:styleId="IntenseEmphasis">
    <w:name w:val="Intense Emphasis"/>
    <w:basedOn w:val="DefaultParagraphFont"/>
    <w:uiPriority w:val="21"/>
    <w:qFormat/>
    <w:rsid w:val="00A4238A"/>
    <w:rPr>
      <w:i/>
      <w:iCs/>
      <w:color w:val="0F4761" w:themeColor="accent1" w:themeShade="BF"/>
    </w:rPr>
  </w:style>
  <w:style w:type="paragraph" w:styleId="IntenseQuote">
    <w:name w:val="Intense Quote"/>
    <w:basedOn w:val="Normal"/>
    <w:next w:val="Normal"/>
    <w:link w:val="IntenseQuoteChar"/>
    <w:uiPriority w:val="30"/>
    <w:qFormat/>
    <w:rsid w:val="00A42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38A"/>
    <w:rPr>
      <w:i/>
      <w:iCs/>
      <w:color w:val="0F4761" w:themeColor="accent1" w:themeShade="BF"/>
    </w:rPr>
  </w:style>
  <w:style w:type="character" w:styleId="IntenseReference">
    <w:name w:val="Intense Reference"/>
    <w:basedOn w:val="DefaultParagraphFont"/>
    <w:uiPriority w:val="32"/>
    <w:qFormat/>
    <w:rsid w:val="00A4238A"/>
    <w:rPr>
      <w:b/>
      <w:bCs/>
      <w:smallCaps/>
      <w:color w:val="0F4761" w:themeColor="accent1" w:themeShade="BF"/>
      <w:spacing w:val="5"/>
    </w:rPr>
  </w:style>
  <w:style w:type="paragraph" w:styleId="Header">
    <w:name w:val="header"/>
    <w:basedOn w:val="Normal"/>
    <w:link w:val="HeaderChar"/>
    <w:uiPriority w:val="99"/>
    <w:unhideWhenUsed/>
    <w:rsid w:val="002B1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7D7"/>
  </w:style>
  <w:style w:type="paragraph" w:styleId="Footer">
    <w:name w:val="footer"/>
    <w:basedOn w:val="Normal"/>
    <w:link w:val="FooterChar"/>
    <w:uiPriority w:val="99"/>
    <w:unhideWhenUsed/>
    <w:rsid w:val="002B1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7D7"/>
  </w:style>
  <w:style w:type="character" w:styleId="Hyperlink">
    <w:name w:val="Hyperlink"/>
    <w:basedOn w:val="DefaultParagraphFont"/>
    <w:uiPriority w:val="99"/>
    <w:unhideWhenUsed/>
    <w:rsid w:val="00543D32"/>
    <w:rPr>
      <w:color w:val="467886" w:themeColor="hyperlink"/>
      <w:u w:val="single"/>
    </w:rPr>
  </w:style>
  <w:style w:type="character" w:styleId="UnresolvedMention">
    <w:name w:val="Unresolved Mention"/>
    <w:basedOn w:val="DefaultParagraphFont"/>
    <w:uiPriority w:val="99"/>
    <w:semiHidden/>
    <w:unhideWhenUsed/>
    <w:rsid w:val="00543D32"/>
    <w:rPr>
      <w:color w:val="605E5C"/>
      <w:shd w:val="clear" w:color="auto" w:fill="E1DFDD"/>
    </w:rPr>
  </w:style>
  <w:style w:type="paragraph" w:styleId="TOCHeading">
    <w:name w:val="TOC Heading"/>
    <w:basedOn w:val="Heading1"/>
    <w:next w:val="Normal"/>
    <w:uiPriority w:val="39"/>
    <w:unhideWhenUsed/>
    <w:qFormat/>
    <w:rsid w:val="004831A0"/>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831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integratedcare/resources/integrated-care-systems-guidance/" TargetMode="External"/><Relationship Id="rId18" Type="http://schemas.openxmlformats.org/officeDocument/2006/relationships/hyperlink" Target="https://www.gov.uk/government/publications/health-profile-for-england-2018" TargetMode="External"/><Relationship Id="rId26" Type="http://schemas.openxmlformats.org/officeDocument/2006/relationships/hyperlink" Target="https://www.ncbi.nlm.nih.gov/pmc/articles/PMC8576407/" TargetMode="External"/><Relationship Id="rId3" Type="http://schemas.openxmlformats.org/officeDocument/2006/relationships/settings" Target="settings.xml"/><Relationship Id="rId21" Type="http://schemas.openxmlformats.org/officeDocument/2006/relationships/hyperlink" Target="https://www.health.org.uk/sites/default/files/upload/publications/2021/The%20NHS%20Long%20Term%20Plan%20and%20COVID-19_WEB.pdf" TargetMode="External"/><Relationship Id="rId7" Type="http://schemas.openxmlformats.org/officeDocument/2006/relationships/image" Target="media/image1.png"/><Relationship Id="rId12" Type="http://schemas.openxmlformats.org/officeDocument/2006/relationships/hyperlink" Target="https://www.england.nhs.uk/mental-health/adults/" TargetMode="External"/><Relationship Id="rId17" Type="http://schemas.openxmlformats.org/officeDocument/2006/relationships/hyperlink" Target="https://www.gov.uk/government/publications/social-prescribing-applying-all-our-health/social-prescribing-applying-all-our-health" TargetMode="External"/><Relationship Id="rId25" Type="http://schemas.openxmlformats.org/officeDocument/2006/relationships/hyperlink" Target="https://www.who.int/teams/social-determinants-of-health/equity-and-health/world-report-on-social-determinants-of-health-equity" TargetMode="External"/><Relationship Id="rId2" Type="http://schemas.openxmlformats.org/officeDocument/2006/relationships/styles" Target="styles.xml"/><Relationship Id="rId16" Type="http://schemas.openxmlformats.org/officeDocument/2006/relationships/hyperlink" Target="https://www.ons.gov.uk/peoplepopulationandcommunity/healthandsocialcare/healthinequalities" TargetMode="External"/><Relationship Id="rId20" Type="http://schemas.openxmlformats.org/officeDocument/2006/relationships/hyperlink" Target="https://www.ncbi.nlm.nih.gov/pmc/articles/PMC984705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ongtermplan.nhs.uk/wp-content/uploads/2019/01/nhs-long-term-plan-june-2019.pdf" TargetMode="External"/><Relationship Id="rId24" Type="http://schemas.openxmlformats.org/officeDocument/2006/relationships/hyperlink" Target="https://www.afro.who.int/publications/health-all-policies-framework-country-action" TargetMode="External"/><Relationship Id="rId5" Type="http://schemas.openxmlformats.org/officeDocument/2006/relationships/footnotes" Target="footnotes.xml"/><Relationship Id="rId15" Type="http://schemas.openxmlformats.org/officeDocument/2006/relationships/hyperlink" Target="https://www.oecd.org/en/publications/health-at-a-glance-europe-2020_82129230-en.html" TargetMode="External"/><Relationship Id="rId23" Type="http://schemas.openxmlformats.org/officeDocument/2006/relationships/hyperlink" Target="https://www.who.int/europe/about-us/our-work/sustainable-development-goals" TargetMode="External"/><Relationship Id="rId28" Type="http://schemas.openxmlformats.org/officeDocument/2006/relationships/fontTable" Target="fontTable.xml"/><Relationship Id="rId10" Type="http://schemas.openxmlformats.org/officeDocument/2006/relationships/hyperlink" Target="https://www.local.gov.uk/topics/social-care-health-and-integration/population-intervention-triangle-toolkit" TargetMode="External"/><Relationship Id="rId19" Type="http://schemas.openxmlformats.org/officeDocument/2006/relationships/hyperlink" Target="https://www.gov.wales/sites/default/files/publications/2021-12/future-trends-report-wales-2021-narrative-summary.pdf" TargetMode="External"/><Relationship Id="rId4" Type="http://schemas.openxmlformats.org/officeDocument/2006/relationships/webSettings" Target="webSettings.xml"/><Relationship Id="rId9" Type="http://schemas.openxmlformats.org/officeDocument/2006/relationships/hyperlink" Target="https://www.gov.uk/government/publications/vulnerabilities-applying-all-our-health/vulnerabilities-applying-all-our-health" TargetMode="External"/><Relationship Id="rId14" Type="http://schemas.openxmlformats.org/officeDocument/2006/relationships/hyperlink" Target="https://www.england.nhs.uk/long-read/inclusive-digital-healthcare-a-framework-for-nhs-action-on-digital-inclusion/" TargetMode="External"/><Relationship Id="rId22" Type="http://schemas.openxmlformats.org/officeDocument/2006/relationships/hyperlink" Target="https://sdgs.un.org/2030agenda"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2340E-BFF5-4FCE-89C0-843F2D1CB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13</Pages>
  <Words>3208</Words>
  <Characters>20247</Characters>
  <Application>Microsoft Office Word</Application>
  <DocSecurity>0</DocSecurity>
  <Lines>355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Mafuva</dc:creator>
  <cp:keywords/>
  <dc:description/>
  <cp:lastModifiedBy>USER</cp:lastModifiedBy>
  <cp:revision>58</cp:revision>
  <dcterms:created xsi:type="dcterms:W3CDTF">2025-07-22T12:27:00Z</dcterms:created>
  <dcterms:modified xsi:type="dcterms:W3CDTF">2026-04-14T13:20:00Z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91bd5ea3-042e-4647-ae95-9f357c75bac6</vt:lpwstr>
  </property>
</Properties>
</file>