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85F14E" w14:textId="4B0695EC" w:rsidR="00271124" w:rsidRDefault="007666EA" w:rsidP="007666EA">
      <w:pPr>
        <w:jc w:val="center"/>
        <w:rPr>
          <w:b/>
          <w:bCs/>
          <w:sz w:val="32"/>
          <w:szCs w:val="32"/>
          <w:u w:val="single"/>
        </w:rPr>
      </w:pPr>
      <w:r w:rsidRPr="007666EA">
        <w:rPr>
          <w:b/>
          <w:bCs/>
          <w:sz w:val="32"/>
          <w:szCs w:val="32"/>
          <w:u w:val="single"/>
        </w:rPr>
        <w:t>Potfolio</w:t>
      </w:r>
    </w:p>
    <w:p w14:paraId="56B25739" w14:textId="12C91368" w:rsidR="007666EA" w:rsidRDefault="007666EA" w:rsidP="007666EA">
      <w:pPr>
        <w:jc w:val="center"/>
        <w:rPr>
          <w:b/>
          <w:bCs/>
          <w:sz w:val="32"/>
          <w:szCs w:val="32"/>
          <w:u w:val="single"/>
        </w:rPr>
      </w:pPr>
    </w:p>
    <w:p w14:paraId="46FA2D42" w14:textId="25D9B058" w:rsidR="007666EA" w:rsidRPr="00F53212" w:rsidRDefault="007666EA" w:rsidP="007666EA">
      <w:pPr>
        <w:rPr>
          <w:b/>
          <w:bCs/>
          <w:sz w:val="28"/>
          <w:szCs w:val="28"/>
          <w:u w:val="single"/>
        </w:rPr>
      </w:pPr>
      <w:r w:rsidRPr="00F53212">
        <w:rPr>
          <w:b/>
          <w:bCs/>
          <w:sz w:val="28"/>
          <w:szCs w:val="28"/>
          <w:u w:val="single"/>
        </w:rPr>
        <w:t>Cynnwys:</w:t>
      </w:r>
    </w:p>
    <w:p w14:paraId="2B4EF83C" w14:textId="0F95EE97" w:rsidR="007666EA" w:rsidRDefault="007666EA" w:rsidP="007666EA">
      <w:pPr>
        <w:rPr>
          <w:b/>
          <w:bCs/>
          <w:sz w:val="32"/>
          <w:szCs w:val="32"/>
          <w:u w:val="single"/>
        </w:rPr>
      </w:pPr>
    </w:p>
    <w:p w14:paraId="05EED3B3" w14:textId="4ED2999B" w:rsidR="007666EA" w:rsidRPr="00F53212" w:rsidRDefault="007666EA" w:rsidP="007666EA">
      <w:pPr>
        <w:rPr>
          <w:b/>
          <w:bCs/>
        </w:rPr>
      </w:pPr>
      <w:r w:rsidRPr="00F53212">
        <w:rPr>
          <w:b/>
          <w:bCs/>
        </w:rPr>
        <w:t xml:space="preserve">Taflen glawr AI: </w:t>
      </w:r>
      <w:r w:rsidRPr="00F53212">
        <w:t>Tudalen 2</w:t>
      </w:r>
    </w:p>
    <w:p w14:paraId="09DCA159" w14:textId="77777777" w:rsidR="007666EA" w:rsidRPr="00F53212" w:rsidRDefault="007666EA" w:rsidP="007666EA">
      <w:pPr>
        <w:jc w:val="center"/>
        <w:rPr>
          <w:rFonts w:eastAsiaTheme="minorEastAsia"/>
          <w:b/>
          <w:bCs/>
          <w:color w:val="000000" w:themeColor="text1"/>
          <w:u w:val="single"/>
        </w:rPr>
      </w:pPr>
    </w:p>
    <w:p w14:paraId="12C930F5" w14:textId="6C5EC0FF" w:rsidR="007666EA" w:rsidRDefault="00F53212" w:rsidP="00F53212">
      <w:pPr>
        <w:tabs>
          <w:tab w:val="left" w:pos="223"/>
        </w:tabs>
        <w:rPr>
          <w:rFonts w:eastAsiaTheme="minorEastAsia"/>
          <w:color w:val="000000" w:themeColor="text1"/>
        </w:rPr>
      </w:pPr>
      <w:r w:rsidRPr="00F53212">
        <w:rPr>
          <w:rFonts w:eastAsiaTheme="minorEastAsia"/>
          <w:b/>
          <w:bCs/>
          <w:color w:val="000000" w:themeColor="text1"/>
        </w:rPr>
        <w:t xml:space="preserve">Rhan 1: </w:t>
      </w:r>
      <w:r w:rsidRPr="00F53212">
        <w:rPr>
          <w:rFonts w:eastAsiaTheme="minorEastAsia"/>
          <w:color w:val="000000" w:themeColor="text1"/>
        </w:rPr>
        <w:t>Tudalen 3</w:t>
      </w:r>
      <w:r w:rsidR="00E436F4">
        <w:rPr>
          <w:rFonts w:eastAsiaTheme="minorEastAsia"/>
          <w:color w:val="000000" w:themeColor="text1"/>
        </w:rPr>
        <w:t xml:space="preserve">. Amser 10 munud 44 eiliad </w:t>
      </w:r>
    </w:p>
    <w:p w14:paraId="0E3330D7" w14:textId="5CE561B9" w:rsidR="00F53212" w:rsidRDefault="00F53212" w:rsidP="00F53212">
      <w:pPr>
        <w:tabs>
          <w:tab w:val="left" w:pos="223"/>
        </w:tabs>
        <w:rPr>
          <w:rFonts w:eastAsiaTheme="minorEastAsia"/>
          <w:color w:val="000000" w:themeColor="text1"/>
        </w:rPr>
      </w:pPr>
    </w:p>
    <w:p w14:paraId="66E2EA32" w14:textId="3E23C960" w:rsidR="00F53212" w:rsidRDefault="00F53212" w:rsidP="00F53212">
      <w:pPr>
        <w:tabs>
          <w:tab w:val="left" w:pos="223"/>
        </w:tabs>
        <w:rPr>
          <w:rFonts w:eastAsiaTheme="minorEastAsia"/>
          <w:color w:val="000000" w:themeColor="text1"/>
        </w:rPr>
      </w:pPr>
      <w:r>
        <w:rPr>
          <w:rFonts w:eastAsiaTheme="minorEastAsia"/>
          <w:b/>
          <w:bCs/>
          <w:color w:val="000000" w:themeColor="text1"/>
        </w:rPr>
        <w:t xml:space="preserve">Rhan 2: </w:t>
      </w:r>
      <w:r>
        <w:rPr>
          <w:rFonts w:eastAsiaTheme="minorEastAsia"/>
          <w:color w:val="000000" w:themeColor="text1"/>
        </w:rPr>
        <w:t>Tudalen 4-</w:t>
      </w:r>
      <w:r w:rsidR="007446AE">
        <w:rPr>
          <w:rFonts w:eastAsiaTheme="minorEastAsia"/>
          <w:color w:val="000000" w:themeColor="text1"/>
        </w:rPr>
        <w:t>7</w:t>
      </w:r>
      <w:r w:rsidR="00E436F4">
        <w:rPr>
          <w:rFonts w:eastAsiaTheme="minorEastAsia"/>
          <w:color w:val="000000" w:themeColor="text1"/>
        </w:rPr>
        <w:t>.</w:t>
      </w:r>
      <w:r>
        <w:rPr>
          <w:rFonts w:eastAsiaTheme="minorEastAsia"/>
          <w:color w:val="000000" w:themeColor="text1"/>
        </w:rPr>
        <w:t xml:space="preserve"> Cyfrif geiriau </w:t>
      </w:r>
      <w:r w:rsidR="007446AE">
        <w:rPr>
          <w:rFonts w:eastAsiaTheme="minorEastAsia"/>
          <w:color w:val="000000" w:themeColor="text1"/>
        </w:rPr>
        <w:t>–</w:t>
      </w:r>
      <w:r>
        <w:rPr>
          <w:rFonts w:eastAsiaTheme="minorEastAsia"/>
          <w:color w:val="000000" w:themeColor="text1"/>
        </w:rPr>
        <w:t xml:space="preserve"> </w:t>
      </w:r>
      <w:r w:rsidR="007446AE">
        <w:rPr>
          <w:rFonts w:eastAsiaTheme="minorEastAsia"/>
          <w:color w:val="000000" w:themeColor="text1"/>
        </w:rPr>
        <w:t xml:space="preserve">1636 </w:t>
      </w:r>
    </w:p>
    <w:p w14:paraId="58E6B2B5" w14:textId="2562A40B" w:rsidR="007446AE" w:rsidRDefault="007446AE" w:rsidP="00F53212">
      <w:pPr>
        <w:tabs>
          <w:tab w:val="left" w:pos="223"/>
        </w:tabs>
        <w:rPr>
          <w:rFonts w:eastAsiaTheme="minorEastAsia"/>
          <w:color w:val="000000" w:themeColor="text1"/>
        </w:rPr>
      </w:pPr>
    </w:p>
    <w:p w14:paraId="543C0F1D" w14:textId="77DB69CE" w:rsidR="007446AE" w:rsidRPr="007446AE" w:rsidRDefault="007446AE" w:rsidP="00F53212">
      <w:pPr>
        <w:tabs>
          <w:tab w:val="left" w:pos="223"/>
        </w:tabs>
        <w:rPr>
          <w:rFonts w:eastAsiaTheme="minorEastAsia"/>
          <w:color w:val="000000" w:themeColor="text1"/>
        </w:rPr>
      </w:pPr>
      <w:r>
        <w:rPr>
          <w:rFonts w:eastAsiaTheme="minorEastAsia"/>
          <w:b/>
          <w:bCs/>
          <w:color w:val="000000" w:themeColor="text1"/>
        </w:rPr>
        <w:t xml:space="preserve">Rhestr cyfeirnodi: </w:t>
      </w:r>
      <w:r>
        <w:rPr>
          <w:rFonts w:eastAsiaTheme="minorEastAsia"/>
          <w:color w:val="000000" w:themeColor="text1"/>
        </w:rPr>
        <w:t xml:space="preserve">Tudalen 8 </w:t>
      </w:r>
    </w:p>
    <w:p w14:paraId="6CC4D4DE" w14:textId="6EC00EE4" w:rsidR="007666EA" w:rsidRDefault="007666EA" w:rsidP="007666EA">
      <w:pPr>
        <w:jc w:val="center"/>
        <w:rPr>
          <w:rFonts w:eastAsiaTheme="minorEastAsia"/>
          <w:b/>
          <w:bCs/>
          <w:color w:val="000000" w:themeColor="text1"/>
          <w:sz w:val="28"/>
          <w:szCs w:val="28"/>
          <w:u w:val="single"/>
        </w:rPr>
      </w:pPr>
    </w:p>
    <w:p w14:paraId="59083DBB" w14:textId="77777777" w:rsidR="00F53212" w:rsidRDefault="00F53212" w:rsidP="007666EA">
      <w:pPr>
        <w:jc w:val="center"/>
        <w:rPr>
          <w:rFonts w:eastAsiaTheme="minorEastAsia"/>
          <w:b/>
          <w:bCs/>
          <w:color w:val="000000" w:themeColor="text1"/>
          <w:sz w:val="28"/>
          <w:szCs w:val="28"/>
          <w:u w:val="single"/>
        </w:rPr>
      </w:pPr>
    </w:p>
    <w:p w14:paraId="393D064F" w14:textId="77777777" w:rsidR="007666EA" w:rsidRDefault="007666EA" w:rsidP="007666EA">
      <w:pPr>
        <w:jc w:val="center"/>
        <w:rPr>
          <w:rFonts w:eastAsiaTheme="minorEastAsia"/>
          <w:b/>
          <w:bCs/>
          <w:color w:val="000000" w:themeColor="text1"/>
          <w:sz w:val="28"/>
          <w:szCs w:val="28"/>
          <w:u w:val="single"/>
        </w:rPr>
      </w:pPr>
    </w:p>
    <w:p w14:paraId="14E78D70" w14:textId="77777777" w:rsidR="007666EA" w:rsidRDefault="007666EA" w:rsidP="007666EA">
      <w:pPr>
        <w:jc w:val="center"/>
        <w:rPr>
          <w:rFonts w:eastAsiaTheme="minorEastAsia"/>
          <w:b/>
          <w:bCs/>
          <w:color w:val="000000" w:themeColor="text1"/>
          <w:sz w:val="28"/>
          <w:szCs w:val="28"/>
          <w:u w:val="single"/>
        </w:rPr>
      </w:pPr>
    </w:p>
    <w:p w14:paraId="66FAC833" w14:textId="77777777" w:rsidR="007666EA" w:rsidRDefault="007666EA" w:rsidP="007666EA">
      <w:pPr>
        <w:jc w:val="center"/>
        <w:rPr>
          <w:rFonts w:eastAsiaTheme="minorEastAsia"/>
          <w:b/>
          <w:bCs/>
          <w:color w:val="000000" w:themeColor="text1"/>
          <w:sz w:val="28"/>
          <w:szCs w:val="28"/>
          <w:u w:val="single"/>
        </w:rPr>
      </w:pPr>
    </w:p>
    <w:p w14:paraId="3A39377C" w14:textId="77777777" w:rsidR="007666EA" w:rsidRDefault="007666EA" w:rsidP="007666EA">
      <w:pPr>
        <w:jc w:val="center"/>
        <w:rPr>
          <w:rFonts w:eastAsiaTheme="minorEastAsia"/>
          <w:b/>
          <w:bCs/>
          <w:color w:val="000000" w:themeColor="text1"/>
          <w:sz w:val="28"/>
          <w:szCs w:val="28"/>
          <w:u w:val="single"/>
        </w:rPr>
      </w:pPr>
    </w:p>
    <w:p w14:paraId="1EAB6D2C" w14:textId="77777777" w:rsidR="007666EA" w:rsidRDefault="007666EA" w:rsidP="007666EA">
      <w:pPr>
        <w:jc w:val="center"/>
        <w:rPr>
          <w:rFonts w:eastAsiaTheme="minorEastAsia"/>
          <w:b/>
          <w:bCs/>
          <w:color w:val="000000" w:themeColor="text1"/>
          <w:sz w:val="28"/>
          <w:szCs w:val="28"/>
          <w:u w:val="single"/>
        </w:rPr>
      </w:pPr>
    </w:p>
    <w:p w14:paraId="478D7AEF" w14:textId="77777777" w:rsidR="007666EA" w:rsidRDefault="007666EA" w:rsidP="007666EA">
      <w:pPr>
        <w:jc w:val="center"/>
        <w:rPr>
          <w:rFonts w:eastAsiaTheme="minorEastAsia"/>
          <w:b/>
          <w:bCs/>
          <w:color w:val="000000" w:themeColor="text1"/>
          <w:sz w:val="28"/>
          <w:szCs w:val="28"/>
          <w:u w:val="single"/>
        </w:rPr>
      </w:pPr>
    </w:p>
    <w:p w14:paraId="5A98EA0D" w14:textId="77777777" w:rsidR="007666EA" w:rsidRDefault="007666EA" w:rsidP="007666EA">
      <w:pPr>
        <w:jc w:val="center"/>
        <w:rPr>
          <w:rFonts w:eastAsiaTheme="minorEastAsia"/>
          <w:b/>
          <w:bCs/>
          <w:color w:val="000000" w:themeColor="text1"/>
          <w:sz w:val="28"/>
          <w:szCs w:val="28"/>
          <w:u w:val="single"/>
        </w:rPr>
      </w:pPr>
    </w:p>
    <w:p w14:paraId="413CDDB9" w14:textId="77777777" w:rsidR="007666EA" w:rsidRDefault="007666EA" w:rsidP="007666EA">
      <w:pPr>
        <w:jc w:val="center"/>
        <w:rPr>
          <w:rFonts w:eastAsiaTheme="minorEastAsia"/>
          <w:b/>
          <w:bCs/>
          <w:color w:val="000000" w:themeColor="text1"/>
          <w:sz w:val="28"/>
          <w:szCs w:val="28"/>
          <w:u w:val="single"/>
        </w:rPr>
      </w:pPr>
    </w:p>
    <w:p w14:paraId="08B613DD" w14:textId="77777777" w:rsidR="007666EA" w:rsidRDefault="007666EA" w:rsidP="007666EA">
      <w:pPr>
        <w:jc w:val="center"/>
        <w:rPr>
          <w:rFonts w:eastAsiaTheme="minorEastAsia"/>
          <w:b/>
          <w:bCs/>
          <w:color w:val="000000" w:themeColor="text1"/>
          <w:sz w:val="28"/>
          <w:szCs w:val="28"/>
          <w:u w:val="single"/>
        </w:rPr>
      </w:pPr>
    </w:p>
    <w:p w14:paraId="38B1186D" w14:textId="77777777" w:rsidR="007666EA" w:rsidRDefault="007666EA" w:rsidP="007666EA">
      <w:pPr>
        <w:jc w:val="center"/>
        <w:rPr>
          <w:rFonts w:eastAsiaTheme="minorEastAsia"/>
          <w:b/>
          <w:bCs/>
          <w:color w:val="000000" w:themeColor="text1"/>
          <w:sz w:val="28"/>
          <w:szCs w:val="28"/>
          <w:u w:val="single"/>
        </w:rPr>
      </w:pPr>
    </w:p>
    <w:p w14:paraId="71369F39" w14:textId="77777777" w:rsidR="007666EA" w:rsidRDefault="007666EA" w:rsidP="007666EA">
      <w:pPr>
        <w:jc w:val="center"/>
        <w:rPr>
          <w:rFonts w:eastAsiaTheme="minorEastAsia"/>
          <w:b/>
          <w:bCs/>
          <w:color w:val="000000" w:themeColor="text1"/>
          <w:sz w:val="28"/>
          <w:szCs w:val="28"/>
          <w:u w:val="single"/>
        </w:rPr>
      </w:pPr>
    </w:p>
    <w:p w14:paraId="79C2580C" w14:textId="77777777" w:rsidR="007666EA" w:rsidRDefault="007666EA" w:rsidP="007666EA">
      <w:pPr>
        <w:jc w:val="center"/>
        <w:rPr>
          <w:rFonts w:eastAsiaTheme="minorEastAsia"/>
          <w:b/>
          <w:bCs/>
          <w:color w:val="000000" w:themeColor="text1"/>
          <w:sz w:val="28"/>
          <w:szCs w:val="28"/>
          <w:u w:val="single"/>
        </w:rPr>
      </w:pPr>
    </w:p>
    <w:p w14:paraId="5E1D3CD9" w14:textId="77777777" w:rsidR="007666EA" w:rsidRDefault="007666EA" w:rsidP="007666EA">
      <w:pPr>
        <w:jc w:val="center"/>
        <w:rPr>
          <w:rFonts w:eastAsiaTheme="minorEastAsia"/>
          <w:b/>
          <w:bCs/>
          <w:color w:val="000000" w:themeColor="text1"/>
          <w:sz w:val="28"/>
          <w:szCs w:val="28"/>
          <w:u w:val="single"/>
        </w:rPr>
      </w:pPr>
    </w:p>
    <w:p w14:paraId="7853D1EF" w14:textId="77777777" w:rsidR="007666EA" w:rsidRDefault="007666EA" w:rsidP="007666EA">
      <w:pPr>
        <w:jc w:val="center"/>
        <w:rPr>
          <w:rFonts w:eastAsiaTheme="minorEastAsia"/>
          <w:b/>
          <w:bCs/>
          <w:color w:val="000000" w:themeColor="text1"/>
          <w:sz w:val="28"/>
          <w:szCs w:val="28"/>
          <w:u w:val="single"/>
        </w:rPr>
      </w:pPr>
    </w:p>
    <w:p w14:paraId="0281E006" w14:textId="77777777" w:rsidR="007666EA" w:rsidRDefault="007666EA" w:rsidP="007666EA">
      <w:pPr>
        <w:jc w:val="center"/>
        <w:rPr>
          <w:rFonts w:eastAsiaTheme="minorEastAsia"/>
          <w:b/>
          <w:bCs/>
          <w:color w:val="000000" w:themeColor="text1"/>
          <w:sz w:val="28"/>
          <w:szCs w:val="28"/>
          <w:u w:val="single"/>
        </w:rPr>
      </w:pPr>
    </w:p>
    <w:p w14:paraId="6EA10E24" w14:textId="77777777" w:rsidR="007666EA" w:rsidRDefault="007666EA" w:rsidP="007666EA">
      <w:pPr>
        <w:jc w:val="center"/>
        <w:rPr>
          <w:rFonts w:eastAsiaTheme="minorEastAsia"/>
          <w:b/>
          <w:bCs/>
          <w:color w:val="000000" w:themeColor="text1"/>
          <w:sz w:val="28"/>
          <w:szCs w:val="28"/>
          <w:u w:val="single"/>
        </w:rPr>
      </w:pPr>
    </w:p>
    <w:p w14:paraId="61604CF8" w14:textId="77777777" w:rsidR="007666EA" w:rsidRDefault="007666EA" w:rsidP="007666EA">
      <w:pPr>
        <w:jc w:val="center"/>
        <w:rPr>
          <w:rFonts w:eastAsiaTheme="minorEastAsia"/>
          <w:b/>
          <w:bCs/>
          <w:color w:val="000000" w:themeColor="text1"/>
          <w:sz w:val="28"/>
          <w:szCs w:val="28"/>
          <w:u w:val="single"/>
        </w:rPr>
      </w:pPr>
    </w:p>
    <w:p w14:paraId="2EA14AA7" w14:textId="77777777" w:rsidR="007666EA" w:rsidRDefault="007666EA" w:rsidP="007666EA">
      <w:pPr>
        <w:jc w:val="center"/>
        <w:rPr>
          <w:rFonts w:eastAsiaTheme="minorEastAsia"/>
          <w:b/>
          <w:bCs/>
          <w:color w:val="000000" w:themeColor="text1"/>
          <w:sz w:val="28"/>
          <w:szCs w:val="28"/>
          <w:u w:val="single"/>
        </w:rPr>
      </w:pPr>
    </w:p>
    <w:p w14:paraId="7E0B9F86" w14:textId="77777777" w:rsidR="007666EA" w:rsidRDefault="007666EA" w:rsidP="007666EA">
      <w:pPr>
        <w:jc w:val="center"/>
        <w:rPr>
          <w:rFonts w:eastAsiaTheme="minorEastAsia"/>
          <w:b/>
          <w:bCs/>
          <w:color w:val="000000" w:themeColor="text1"/>
          <w:sz w:val="28"/>
          <w:szCs w:val="28"/>
          <w:u w:val="single"/>
        </w:rPr>
      </w:pPr>
    </w:p>
    <w:p w14:paraId="0AEA53A5" w14:textId="77777777" w:rsidR="007666EA" w:rsidRDefault="007666EA" w:rsidP="007666EA">
      <w:pPr>
        <w:jc w:val="center"/>
        <w:rPr>
          <w:rFonts w:eastAsiaTheme="minorEastAsia"/>
          <w:b/>
          <w:bCs/>
          <w:color w:val="000000" w:themeColor="text1"/>
          <w:sz w:val="28"/>
          <w:szCs w:val="28"/>
          <w:u w:val="single"/>
        </w:rPr>
      </w:pPr>
    </w:p>
    <w:p w14:paraId="06E01F1F" w14:textId="77777777" w:rsidR="007666EA" w:rsidRDefault="007666EA" w:rsidP="007666EA">
      <w:pPr>
        <w:jc w:val="center"/>
        <w:rPr>
          <w:rFonts w:eastAsiaTheme="minorEastAsia"/>
          <w:b/>
          <w:bCs/>
          <w:color w:val="000000" w:themeColor="text1"/>
          <w:sz w:val="28"/>
          <w:szCs w:val="28"/>
          <w:u w:val="single"/>
        </w:rPr>
      </w:pPr>
    </w:p>
    <w:p w14:paraId="00B7DAF7" w14:textId="77777777" w:rsidR="007666EA" w:rsidRDefault="007666EA" w:rsidP="007666EA">
      <w:pPr>
        <w:jc w:val="center"/>
        <w:rPr>
          <w:rFonts w:eastAsiaTheme="minorEastAsia"/>
          <w:b/>
          <w:bCs/>
          <w:color w:val="000000" w:themeColor="text1"/>
          <w:sz w:val="28"/>
          <w:szCs w:val="28"/>
          <w:u w:val="single"/>
        </w:rPr>
      </w:pPr>
    </w:p>
    <w:p w14:paraId="517A7254" w14:textId="77777777" w:rsidR="007666EA" w:rsidRDefault="007666EA" w:rsidP="007666EA">
      <w:pPr>
        <w:jc w:val="center"/>
        <w:rPr>
          <w:rFonts w:eastAsiaTheme="minorEastAsia"/>
          <w:b/>
          <w:bCs/>
          <w:color w:val="000000" w:themeColor="text1"/>
          <w:sz w:val="28"/>
          <w:szCs w:val="28"/>
          <w:u w:val="single"/>
        </w:rPr>
      </w:pPr>
    </w:p>
    <w:p w14:paraId="2946BF9C" w14:textId="77777777" w:rsidR="007666EA" w:rsidRDefault="007666EA" w:rsidP="007666EA">
      <w:pPr>
        <w:jc w:val="center"/>
        <w:rPr>
          <w:rFonts w:eastAsiaTheme="minorEastAsia"/>
          <w:b/>
          <w:bCs/>
          <w:color w:val="000000" w:themeColor="text1"/>
          <w:sz w:val="28"/>
          <w:szCs w:val="28"/>
          <w:u w:val="single"/>
        </w:rPr>
      </w:pPr>
    </w:p>
    <w:p w14:paraId="7ADC4E9F" w14:textId="77777777" w:rsidR="007666EA" w:rsidRDefault="007666EA" w:rsidP="007666EA">
      <w:pPr>
        <w:jc w:val="center"/>
        <w:rPr>
          <w:rFonts w:eastAsiaTheme="minorEastAsia"/>
          <w:b/>
          <w:bCs/>
          <w:color w:val="000000" w:themeColor="text1"/>
          <w:sz w:val="28"/>
          <w:szCs w:val="28"/>
          <w:u w:val="single"/>
        </w:rPr>
      </w:pPr>
    </w:p>
    <w:p w14:paraId="3ED82A71" w14:textId="77777777" w:rsidR="007666EA" w:rsidRDefault="007666EA" w:rsidP="007666EA">
      <w:pPr>
        <w:jc w:val="center"/>
        <w:rPr>
          <w:rFonts w:eastAsiaTheme="minorEastAsia"/>
          <w:b/>
          <w:bCs/>
          <w:color w:val="000000" w:themeColor="text1"/>
          <w:sz w:val="28"/>
          <w:szCs w:val="28"/>
          <w:u w:val="single"/>
        </w:rPr>
      </w:pPr>
    </w:p>
    <w:p w14:paraId="24912855" w14:textId="77777777" w:rsidR="007666EA" w:rsidRDefault="007666EA" w:rsidP="007666EA">
      <w:pPr>
        <w:jc w:val="center"/>
        <w:rPr>
          <w:rFonts w:eastAsiaTheme="minorEastAsia"/>
          <w:b/>
          <w:bCs/>
          <w:color w:val="000000" w:themeColor="text1"/>
          <w:sz w:val="28"/>
          <w:szCs w:val="28"/>
          <w:u w:val="single"/>
        </w:rPr>
      </w:pPr>
    </w:p>
    <w:p w14:paraId="7358C2A4" w14:textId="77777777" w:rsidR="007666EA" w:rsidRDefault="007666EA" w:rsidP="007666EA">
      <w:pPr>
        <w:jc w:val="center"/>
        <w:rPr>
          <w:rFonts w:eastAsiaTheme="minorEastAsia"/>
          <w:b/>
          <w:bCs/>
          <w:color w:val="000000" w:themeColor="text1"/>
          <w:sz w:val="28"/>
          <w:szCs w:val="28"/>
          <w:u w:val="single"/>
        </w:rPr>
      </w:pPr>
    </w:p>
    <w:p w14:paraId="5153B97E" w14:textId="77777777" w:rsidR="007666EA" w:rsidRDefault="007666EA" w:rsidP="00355EAE">
      <w:pPr>
        <w:rPr>
          <w:rFonts w:eastAsiaTheme="minorEastAsia"/>
          <w:b/>
          <w:bCs/>
          <w:color w:val="000000" w:themeColor="text1"/>
          <w:sz w:val="28"/>
          <w:szCs w:val="28"/>
          <w:u w:val="single"/>
        </w:rPr>
      </w:pPr>
    </w:p>
    <w:p w14:paraId="093D34C8" w14:textId="40ECE167" w:rsidR="007666EA" w:rsidRDefault="007666EA" w:rsidP="007666EA">
      <w:pPr>
        <w:jc w:val="center"/>
        <w:rPr>
          <w:rFonts w:eastAsiaTheme="minorEastAsia"/>
          <w:b/>
          <w:bCs/>
          <w:color w:val="000000" w:themeColor="text1"/>
          <w:sz w:val="28"/>
          <w:szCs w:val="28"/>
          <w:u w:val="single"/>
        </w:rPr>
      </w:pPr>
      <w:r>
        <w:rPr>
          <w:rFonts w:eastAsiaTheme="minorEastAsia"/>
          <w:b/>
          <w:bCs/>
          <w:color w:val="000000" w:themeColor="text1"/>
          <w:sz w:val="28"/>
          <w:szCs w:val="28"/>
          <w:u w:val="single"/>
        </w:rPr>
        <w:t>Taflen glawr AI</w:t>
      </w:r>
    </w:p>
    <w:p w14:paraId="0C1E9BD3" w14:textId="77777777" w:rsidR="007666EA" w:rsidRDefault="007666EA" w:rsidP="007666EA">
      <w:pPr>
        <w:jc w:val="center"/>
        <w:rPr>
          <w:rFonts w:eastAsiaTheme="minorEastAsia"/>
          <w:b/>
          <w:bCs/>
          <w:color w:val="000000" w:themeColor="text1"/>
          <w:sz w:val="28"/>
          <w:szCs w:val="28"/>
          <w:u w:val="single"/>
        </w:rPr>
      </w:pPr>
    </w:p>
    <w:p w14:paraId="0D4CA5DA" w14:textId="77777777" w:rsidR="007666EA" w:rsidRDefault="007666EA" w:rsidP="007666EA">
      <w:r>
        <w:t xml:space="preserve">Rwy’n cydsynio i fod wedi defnyddio Cysill-ar-lein i wirio fy nghwaith drwy gydol fy nghwaith. </w:t>
      </w:r>
    </w:p>
    <w:p w14:paraId="50835883" w14:textId="77777777" w:rsidR="007666EA" w:rsidRDefault="00355EAE" w:rsidP="007666EA">
      <w:hyperlink r:id="rId6" w:history="1">
        <w:r w:rsidR="007666EA" w:rsidRPr="009E355F">
          <w:rPr>
            <w:rStyle w:val="Hyperlink"/>
          </w:rPr>
          <w:t>https://www.cysgliad.com/cysill/arlein/</w:t>
        </w:r>
      </w:hyperlink>
      <w:r w:rsidR="007666EA">
        <w:t xml:space="preserve"> </w:t>
      </w:r>
    </w:p>
    <w:p w14:paraId="59E77BE5" w14:textId="77777777" w:rsidR="007666EA" w:rsidRDefault="007666EA" w:rsidP="007666EA"/>
    <w:p w14:paraId="2088E605" w14:textId="77777777" w:rsidR="007666EA" w:rsidRDefault="007666EA" w:rsidP="007666EA">
      <w:r>
        <w:t>Rwy’n cydsynio i fod wedi defnyddio ‘Google Scholar’ i helpu gyda fy ymchwil drwy gydol fy nghwaith.</w:t>
      </w:r>
    </w:p>
    <w:p w14:paraId="3EED21E3" w14:textId="77777777" w:rsidR="007666EA" w:rsidRPr="00840284" w:rsidRDefault="00355EAE" w:rsidP="007666EA">
      <w:hyperlink r:id="rId7" w:history="1">
        <w:r w:rsidR="007666EA" w:rsidRPr="009E355F">
          <w:rPr>
            <w:rStyle w:val="Hyperlink"/>
          </w:rPr>
          <w:t>https://scholar.google.com/scholar?hl=en&amp;as_sdt=0%2C5&amp;q=Maslow+books+&amp;btnG=</w:t>
        </w:r>
      </w:hyperlink>
      <w:r w:rsidR="007666EA">
        <w:t xml:space="preserve"> </w:t>
      </w:r>
    </w:p>
    <w:p w14:paraId="2A39D3AA" w14:textId="77777777" w:rsidR="007666EA" w:rsidRDefault="007666EA" w:rsidP="007666EA"/>
    <w:p w14:paraId="0779DE34" w14:textId="77777777" w:rsidR="007666EA" w:rsidRDefault="007666EA" w:rsidP="007666EA">
      <w:r>
        <w:t xml:space="preserve">Rwy’n cydsynio i fod wedi defnyddio ‘My Bib’ i wirio fy nghwiath cyfeirio drwy gydol fy nghwaith. </w:t>
      </w:r>
    </w:p>
    <w:p w14:paraId="694E2244" w14:textId="77777777" w:rsidR="007666EA" w:rsidRDefault="00355EAE" w:rsidP="007666EA">
      <w:hyperlink r:id="rId8" w:anchor="/projects/9xPgWv/citations" w:history="1">
        <w:r w:rsidR="007666EA" w:rsidRPr="004A000B">
          <w:rPr>
            <w:rStyle w:val="Hyperlink"/>
          </w:rPr>
          <w:t>https://www.mybib.com/#/projects/9xPgWv/citations</w:t>
        </w:r>
      </w:hyperlink>
      <w:r w:rsidR="007666EA">
        <w:t xml:space="preserve"> </w:t>
      </w:r>
    </w:p>
    <w:p w14:paraId="56229F11" w14:textId="75857F70" w:rsidR="007666EA" w:rsidRDefault="007666EA" w:rsidP="007666EA">
      <w:pPr>
        <w:rPr>
          <w:b/>
          <w:bCs/>
          <w:sz w:val="32"/>
          <w:szCs w:val="32"/>
          <w:u w:val="single"/>
        </w:rPr>
      </w:pPr>
    </w:p>
    <w:p w14:paraId="1D76EBBE" w14:textId="106C955C" w:rsidR="007666EA" w:rsidRDefault="007666EA" w:rsidP="007666EA">
      <w:r>
        <w:t xml:space="preserve">Rwy’n cydsynio i fod wedi cadw fy nodiau o’r gwesri </w:t>
      </w:r>
    </w:p>
    <w:p w14:paraId="30AAB055" w14:textId="1F3B726A" w:rsidR="002016C7" w:rsidRPr="002016C7" w:rsidRDefault="002016C7" w:rsidP="002016C7"/>
    <w:p w14:paraId="46A11590" w14:textId="2CC512F9" w:rsidR="002016C7" w:rsidRPr="002016C7" w:rsidRDefault="002016C7" w:rsidP="002016C7"/>
    <w:p w14:paraId="1F75B63F" w14:textId="01DD55EC" w:rsidR="002016C7" w:rsidRPr="002016C7" w:rsidRDefault="002016C7" w:rsidP="002016C7"/>
    <w:p w14:paraId="2335F9B4" w14:textId="68B9465B" w:rsidR="002016C7" w:rsidRPr="002016C7" w:rsidRDefault="002016C7" w:rsidP="002016C7"/>
    <w:p w14:paraId="26CD0B58" w14:textId="2338F33B" w:rsidR="002016C7" w:rsidRPr="002016C7" w:rsidRDefault="002016C7" w:rsidP="002016C7"/>
    <w:p w14:paraId="5AD7E41E" w14:textId="275729E4" w:rsidR="002016C7" w:rsidRPr="002016C7" w:rsidRDefault="002016C7" w:rsidP="002016C7"/>
    <w:p w14:paraId="55EEE53F" w14:textId="48DD7E6C" w:rsidR="002016C7" w:rsidRPr="002016C7" w:rsidRDefault="002016C7" w:rsidP="002016C7"/>
    <w:p w14:paraId="7447DB95" w14:textId="03BFE7FB" w:rsidR="002016C7" w:rsidRPr="002016C7" w:rsidRDefault="002016C7" w:rsidP="002016C7"/>
    <w:p w14:paraId="74333D9B" w14:textId="6CCF50B4" w:rsidR="002016C7" w:rsidRPr="002016C7" w:rsidRDefault="002016C7" w:rsidP="002016C7"/>
    <w:p w14:paraId="6857EAB8" w14:textId="0FD49340" w:rsidR="002016C7" w:rsidRPr="002016C7" w:rsidRDefault="002016C7" w:rsidP="002016C7"/>
    <w:p w14:paraId="6921C222" w14:textId="4F2181EB" w:rsidR="002016C7" w:rsidRPr="002016C7" w:rsidRDefault="002016C7" w:rsidP="002016C7"/>
    <w:p w14:paraId="5381FFF8" w14:textId="3D45A0A4" w:rsidR="002016C7" w:rsidRPr="002016C7" w:rsidRDefault="002016C7" w:rsidP="002016C7"/>
    <w:p w14:paraId="33307B5C" w14:textId="65F952B5" w:rsidR="002016C7" w:rsidRPr="002016C7" w:rsidRDefault="002016C7" w:rsidP="002016C7"/>
    <w:p w14:paraId="28E6E53D" w14:textId="3CF515D3" w:rsidR="002016C7" w:rsidRPr="002016C7" w:rsidRDefault="002016C7" w:rsidP="002016C7"/>
    <w:p w14:paraId="21531021" w14:textId="0A9E789D" w:rsidR="002016C7" w:rsidRPr="002016C7" w:rsidRDefault="002016C7" w:rsidP="002016C7"/>
    <w:p w14:paraId="7C85E278" w14:textId="374E01B7" w:rsidR="002016C7" w:rsidRPr="002016C7" w:rsidRDefault="002016C7" w:rsidP="002016C7"/>
    <w:p w14:paraId="46A4A784" w14:textId="35BB4B38" w:rsidR="002016C7" w:rsidRPr="002016C7" w:rsidRDefault="002016C7" w:rsidP="002016C7"/>
    <w:p w14:paraId="6D417C22" w14:textId="04440790" w:rsidR="002016C7" w:rsidRPr="002016C7" w:rsidRDefault="002016C7" w:rsidP="002016C7"/>
    <w:p w14:paraId="40E2BF4F" w14:textId="55D202AE" w:rsidR="002016C7" w:rsidRPr="002016C7" w:rsidRDefault="002016C7" w:rsidP="002016C7"/>
    <w:p w14:paraId="74BDA3E6" w14:textId="2A45B4D4" w:rsidR="002016C7" w:rsidRPr="002016C7" w:rsidRDefault="002016C7" w:rsidP="002016C7"/>
    <w:p w14:paraId="4F36EFAC" w14:textId="09957E57" w:rsidR="002016C7" w:rsidRPr="002016C7" w:rsidRDefault="002016C7" w:rsidP="002016C7"/>
    <w:p w14:paraId="471C95D0" w14:textId="2EAC2DF8" w:rsidR="002016C7" w:rsidRPr="002016C7" w:rsidRDefault="002016C7" w:rsidP="002016C7"/>
    <w:p w14:paraId="1E6C6208" w14:textId="3EF985B4" w:rsidR="002016C7" w:rsidRPr="002016C7" w:rsidRDefault="002016C7" w:rsidP="002016C7"/>
    <w:p w14:paraId="058B1818" w14:textId="4428120E" w:rsidR="002016C7" w:rsidRPr="002016C7" w:rsidRDefault="002016C7" w:rsidP="002016C7"/>
    <w:p w14:paraId="50498BE9" w14:textId="308947E8" w:rsidR="002016C7" w:rsidRDefault="002016C7" w:rsidP="002016C7">
      <w:pPr>
        <w:jc w:val="center"/>
      </w:pPr>
    </w:p>
    <w:p w14:paraId="7FAE3668" w14:textId="77777777" w:rsidR="00355EAE" w:rsidRDefault="00355EAE" w:rsidP="00693BBF">
      <w:pPr>
        <w:jc w:val="center"/>
        <w:rPr>
          <w:b/>
          <w:bCs/>
          <w:sz w:val="28"/>
          <w:szCs w:val="28"/>
          <w:u w:val="single"/>
        </w:rPr>
      </w:pPr>
    </w:p>
    <w:p w14:paraId="5B8F8E53" w14:textId="77777777" w:rsidR="00355EAE" w:rsidRDefault="00355EAE" w:rsidP="00693BBF">
      <w:pPr>
        <w:jc w:val="center"/>
        <w:rPr>
          <w:b/>
          <w:bCs/>
          <w:sz w:val="28"/>
          <w:szCs w:val="28"/>
          <w:u w:val="single"/>
        </w:rPr>
      </w:pPr>
    </w:p>
    <w:p w14:paraId="09095F51" w14:textId="77777777" w:rsidR="00355EAE" w:rsidRDefault="00355EAE" w:rsidP="00693BBF">
      <w:pPr>
        <w:jc w:val="center"/>
        <w:rPr>
          <w:b/>
          <w:bCs/>
          <w:sz w:val="28"/>
          <w:szCs w:val="28"/>
          <w:u w:val="single"/>
        </w:rPr>
      </w:pPr>
    </w:p>
    <w:p w14:paraId="05E83692" w14:textId="77777777" w:rsidR="00355EAE" w:rsidRDefault="00355EAE" w:rsidP="00693BBF">
      <w:pPr>
        <w:jc w:val="center"/>
        <w:rPr>
          <w:b/>
          <w:bCs/>
          <w:sz w:val="28"/>
          <w:szCs w:val="28"/>
          <w:u w:val="single"/>
        </w:rPr>
      </w:pPr>
    </w:p>
    <w:p w14:paraId="257432EB" w14:textId="479A4F7D" w:rsidR="002016C7" w:rsidRDefault="002016C7" w:rsidP="00693BBF">
      <w:pPr>
        <w:jc w:val="center"/>
        <w:rPr>
          <w:b/>
          <w:bCs/>
          <w:sz w:val="28"/>
          <w:szCs w:val="28"/>
          <w:u w:val="single"/>
        </w:rPr>
      </w:pPr>
      <w:r w:rsidRPr="00B018CA">
        <w:rPr>
          <w:b/>
          <w:bCs/>
          <w:sz w:val="28"/>
          <w:szCs w:val="28"/>
          <w:u w:val="single"/>
        </w:rPr>
        <w:t>Rhan 1</w:t>
      </w:r>
    </w:p>
    <w:p w14:paraId="4B3401DA" w14:textId="2537D4C6" w:rsidR="00B018CA" w:rsidRDefault="00B018CA" w:rsidP="00B018CA">
      <w:pPr>
        <w:rPr>
          <w:sz w:val="28"/>
          <w:szCs w:val="28"/>
        </w:rPr>
      </w:pPr>
    </w:p>
    <w:p w14:paraId="69EA7BD4" w14:textId="639D744A" w:rsidR="00B018CA" w:rsidRDefault="00B018CA" w:rsidP="00B018CA">
      <w:pPr>
        <w:rPr>
          <w:sz w:val="28"/>
          <w:szCs w:val="28"/>
        </w:rPr>
      </w:pPr>
    </w:p>
    <w:p w14:paraId="24BB4B30" w14:textId="05D137A7" w:rsidR="0021795D" w:rsidRDefault="00355EAE" w:rsidP="0021795D">
      <w:hyperlink r:id="rId9" w:history="1">
        <w:r w:rsidR="0021795D">
          <w:rPr>
            <w:rStyle w:val="Hyperlink"/>
          </w:rPr>
          <w:t>20260317_131203000_iOS.MOV</w:t>
        </w:r>
      </w:hyperlink>
      <w:r w:rsidR="00103E51">
        <w:t xml:space="preserve"> </w:t>
      </w:r>
    </w:p>
    <w:p w14:paraId="4650B080" w14:textId="208FE622" w:rsidR="00103E51" w:rsidRDefault="00103E51" w:rsidP="0021795D"/>
    <w:p w14:paraId="08696F0D" w14:textId="77777777" w:rsidR="00BA41AB" w:rsidRPr="00BA41AB" w:rsidRDefault="00BA41AB" w:rsidP="00BA41AB">
      <w:pPr>
        <w:rPr>
          <w:rFonts w:eastAsia="Times New Roman" w:cstheme="minorHAnsi"/>
          <w:lang w:eastAsia="en-GB"/>
        </w:rPr>
      </w:pPr>
      <w:r w:rsidRPr="00BA41AB">
        <w:rPr>
          <w:rFonts w:eastAsia="Times New Roman" w:cstheme="minorHAnsi"/>
          <w:color w:val="1F1F1F"/>
          <w:shd w:val="clear" w:color="auto" w:fill="FFFFFF"/>
          <w:lang w:eastAsia="en-GB"/>
        </w:rPr>
        <w:t>Yn y fideo yma, rydw i wedi penderfynu gwneud fideo ar amser cylch, gan gynnwys caneuon, y tywydd, stryd rhifau a lliwiau.</w:t>
      </w:r>
    </w:p>
    <w:p w14:paraId="4B7C72B4" w14:textId="77777777" w:rsidR="00103E51" w:rsidRDefault="00103E51" w:rsidP="0021795D"/>
    <w:p w14:paraId="2A8339E3" w14:textId="7DE7291B" w:rsidR="00B018CA" w:rsidRPr="00B018CA" w:rsidRDefault="0021795D" w:rsidP="00B018CA">
      <w:pPr>
        <w:rPr>
          <w:sz w:val="28"/>
          <w:szCs w:val="28"/>
        </w:rPr>
      </w:pPr>
      <w:r>
        <w:rPr>
          <w:sz w:val="28"/>
          <w:szCs w:val="28"/>
        </w:rPr>
        <w:t xml:space="preserve"> </w:t>
      </w:r>
    </w:p>
    <w:p w14:paraId="395A6F1B" w14:textId="5D652DC8" w:rsidR="002016C7" w:rsidRDefault="002016C7" w:rsidP="002016C7">
      <w:pPr>
        <w:jc w:val="center"/>
        <w:rPr>
          <w:b/>
          <w:bCs/>
          <w:sz w:val="32"/>
          <w:szCs w:val="32"/>
          <w:u w:val="single"/>
        </w:rPr>
      </w:pPr>
    </w:p>
    <w:p w14:paraId="0D9A3CBB" w14:textId="2820ECAB" w:rsidR="002016C7" w:rsidRDefault="002016C7" w:rsidP="002016C7">
      <w:pPr>
        <w:jc w:val="center"/>
        <w:rPr>
          <w:sz w:val="32"/>
          <w:szCs w:val="32"/>
        </w:rPr>
      </w:pPr>
    </w:p>
    <w:p w14:paraId="12241957" w14:textId="0DECE172" w:rsidR="0021795D" w:rsidRDefault="0021795D" w:rsidP="002016C7">
      <w:pPr>
        <w:jc w:val="center"/>
        <w:rPr>
          <w:sz w:val="32"/>
          <w:szCs w:val="32"/>
        </w:rPr>
      </w:pPr>
    </w:p>
    <w:p w14:paraId="539186CA" w14:textId="10ECCBF4" w:rsidR="0021795D" w:rsidRDefault="0021795D" w:rsidP="002016C7">
      <w:pPr>
        <w:jc w:val="center"/>
        <w:rPr>
          <w:sz w:val="32"/>
          <w:szCs w:val="32"/>
        </w:rPr>
      </w:pPr>
    </w:p>
    <w:p w14:paraId="6758F793" w14:textId="5B1EBB7C" w:rsidR="0021795D" w:rsidRDefault="0021795D" w:rsidP="002016C7">
      <w:pPr>
        <w:jc w:val="center"/>
        <w:rPr>
          <w:sz w:val="32"/>
          <w:szCs w:val="32"/>
        </w:rPr>
      </w:pPr>
    </w:p>
    <w:p w14:paraId="450B7244" w14:textId="632B7BF5" w:rsidR="0021795D" w:rsidRDefault="0021795D" w:rsidP="002016C7">
      <w:pPr>
        <w:jc w:val="center"/>
        <w:rPr>
          <w:sz w:val="32"/>
          <w:szCs w:val="32"/>
        </w:rPr>
      </w:pPr>
    </w:p>
    <w:p w14:paraId="163F5D5E" w14:textId="17EDA030" w:rsidR="0021795D" w:rsidRDefault="0021795D" w:rsidP="002016C7">
      <w:pPr>
        <w:jc w:val="center"/>
        <w:rPr>
          <w:sz w:val="32"/>
          <w:szCs w:val="32"/>
        </w:rPr>
      </w:pPr>
    </w:p>
    <w:p w14:paraId="12271E64" w14:textId="01C5AAB7" w:rsidR="0021795D" w:rsidRDefault="0021795D" w:rsidP="002016C7">
      <w:pPr>
        <w:jc w:val="center"/>
        <w:rPr>
          <w:sz w:val="32"/>
          <w:szCs w:val="32"/>
        </w:rPr>
      </w:pPr>
    </w:p>
    <w:p w14:paraId="1732CD6E" w14:textId="12FFA91E" w:rsidR="0021795D" w:rsidRDefault="0021795D" w:rsidP="002016C7">
      <w:pPr>
        <w:jc w:val="center"/>
        <w:rPr>
          <w:sz w:val="32"/>
          <w:szCs w:val="32"/>
        </w:rPr>
      </w:pPr>
    </w:p>
    <w:p w14:paraId="75079832" w14:textId="3F66AE20" w:rsidR="0021795D" w:rsidRDefault="0021795D" w:rsidP="002016C7">
      <w:pPr>
        <w:jc w:val="center"/>
        <w:rPr>
          <w:sz w:val="32"/>
          <w:szCs w:val="32"/>
        </w:rPr>
      </w:pPr>
    </w:p>
    <w:p w14:paraId="6132D41F" w14:textId="76008293" w:rsidR="0021795D" w:rsidRDefault="0021795D" w:rsidP="002016C7">
      <w:pPr>
        <w:jc w:val="center"/>
        <w:rPr>
          <w:sz w:val="32"/>
          <w:szCs w:val="32"/>
        </w:rPr>
      </w:pPr>
    </w:p>
    <w:p w14:paraId="0C9E2F07" w14:textId="2B7EC921" w:rsidR="0021795D" w:rsidRDefault="0021795D" w:rsidP="002016C7">
      <w:pPr>
        <w:jc w:val="center"/>
        <w:rPr>
          <w:sz w:val="32"/>
          <w:szCs w:val="32"/>
        </w:rPr>
      </w:pPr>
    </w:p>
    <w:p w14:paraId="39F6C98F" w14:textId="4B9F533B" w:rsidR="0021795D" w:rsidRDefault="0021795D" w:rsidP="002016C7">
      <w:pPr>
        <w:jc w:val="center"/>
        <w:rPr>
          <w:sz w:val="32"/>
          <w:szCs w:val="32"/>
        </w:rPr>
      </w:pPr>
    </w:p>
    <w:p w14:paraId="3A48E7EF" w14:textId="19F68C13" w:rsidR="0021795D" w:rsidRDefault="0021795D" w:rsidP="002016C7">
      <w:pPr>
        <w:jc w:val="center"/>
        <w:rPr>
          <w:sz w:val="32"/>
          <w:szCs w:val="32"/>
        </w:rPr>
      </w:pPr>
    </w:p>
    <w:p w14:paraId="22687CFC" w14:textId="1D8F9F59" w:rsidR="0021795D" w:rsidRDefault="0021795D" w:rsidP="002016C7">
      <w:pPr>
        <w:jc w:val="center"/>
        <w:rPr>
          <w:sz w:val="32"/>
          <w:szCs w:val="32"/>
        </w:rPr>
      </w:pPr>
    </w:p>
    <w:p w14:paraId="29E0DDF8" w14:textId="32B03542" w:rsidR="0021795D" w:rsidRDefault="0021795D" w:rsidP="002016C7">
      <w:pPr>
        <w:jc w:val="center"/>
        <w:rPr>
          <w:sz w:val="32"/>
          <w:szCs w:val="32"/>
        </w:rPr>
      </w:pPr>
    </w:p>
    <w:p w14:paraId="2CF7E75D" w14:textId="3D73B214" w:rsidR="0021795D" w:rsidRDefault="0021795D" w:rsidP="002016C7">
      <w:pPr>
        <w:jc w:val="center"/>
        <w:rPr>
          <w:sz w:val="32"/>
          <w:szCs w:val="32"/>
        </w:rPr>
      </w:pPr>
    </w:p>
    <w:p w14:paraId="1A837432" w14:textId="400D6E37" w:rsidR="0021795D" w:rsidRDefault="0021795D" w:rsidP="002016C7">
      <w:pPr>
        <w:jc w:val="center"/>
        <w:rPr>
          <w:sz w:val="32"/>
          <w:szCs w:val="32"/>
        </w:rPr>
      </w:pPr>
    </w:p>
    <w:p w14:paraId="5E4A1BD4" w14:textId="5C1A8AC7" w:rsidR="0021795D" w:rsidRDefault="0021795D" w:rsidP="002016C7">
      <w:pPr>
        <w:jc w:val="center"/>
        <w:rPr>
          <w:sz w:val="32"/>
          <w:szCs w:val="32"/>
        </w:rPr>
      </w:pPr>
    </w:p>
    <w:p w14:paraId="014ACA51" w14:textId="2D40269F" w:rsidR="0021795D" w:rsidRDefault="0021795D" w:rsidP="002016C7">
      <w:pPr>
        <w:jc w:val="center"/>
        <w:rPr>
          <w:sz w:val="32"/>
          <w:szCs w:val="32"/>
        </w:rPr>
      </w:pPr>
    </w:p>
    <w:p w14:paraId="11166726" w14:textId="237FE36D" w:rsidR="0021795D" w:rsidRDefault="0021795D" w:rsidP="002016C7">
      <w:pPr>
        <w:jc w:val="center"/>
        <w:rPr>
          <w:sz w:val="32"/>
          <w:szCs w:val="32"/>
        </w:rPr>
      </w:pPr>
    </w:p>
    <w:p w14:paraId="7C449AC8" w14:textId="6EF2EC78" w:rsidR="0021795D" w:rsidRDefault="0021795D" w:rsidP="002016C7">
      <w:pPr>
        <w:jc w:val="center"/>
        <w:rPr>
          <w:sz w:val="32"/>
          <w:szCs w:val="32"/>
        </w:rPr>
      </w:pPr>
    </w:p>
    <w:p w14:paraId="786698EC" w14:textId="13059424" w:rsidR="0021795D" w:rsidRDefault="0021795D" w:rsidP="002016C7">
      <w:pPr>
        <w:jc w:val="center"/>
        <w:rPr>
          <w:sz w:val="32"/>
          <w:szCs w:val="32"/>
        </w:rPr>
      </w:pPr>
    </w:p>
    <w:p w14:paraId="5810ED09" w14:textId="1C6268CF" w:rsidR="0021795D" w:rsidRDefault="0021795D" w:rsidP="002016C7">
      <w:pPr>
        <w:jc w:val="center"/>
        <w:rPr>
          <w:sz w:val="32"/>
          <w:szCs w:val="32"/>
        </w:rPr>
      </w:pPr>
    </w:p>
    <w:p w14:paraId="50030DC4" w14:textId="3C30A8BC" w:rsidR="0021795D" w:rsidRDefault="0021795D" w:rsidP="00E436F4">
      <w:pPr>
        <w:rPr>
          <w:sz w:val="32"/>
          <w:szCs w:val="32"/>
        </w:rPr>
      </w:pPr>
    </w:p>
    <w:p w14:paraId="31C61A6D" w14:textId="77777777" w:rsidR="00E436F4" w:rsidRDefault="00E436F4" w:rsidP="00E436F4">
      <w:pPr>
        <w:rPr>
          <w:sz w:val="32"/>
          <w:szCs w:val="32"/>
        </w:rPr>
      </w:pPr>
    </w:p>
    <w:p w14:paraId="03B4035A" w14:textId="2BF155EF" w:rsidR="0021795D" w:rsidRDefault="0021795D" w:rsidP="002016C7">
      <w:pPr>
        <w:jc w:val="center"/>
        <w:rPr>
          <w:sz w:val="32"/>
          <w:szCs w:val="32"/>
        </w:rPr>
      </w:pPr>
    </w:p>
    <w:p w14:paraId="7562E8ED" w14:textId="77777777" w:rsidR="00355EAE" w:rsidRDefault="00355EAE" w:rsidP="002016C7">
      <w:pPr>
        <w:jc w:val="center"/>
        <w:rPr>
          <w:b/>
          <w:bCs/>
          <w:sz w:val="28"/>
          <w:szCs w:val="28"/>
          <w:u w:val="single"/>
        </w:rPr>
      </w:pPr>
    </w:p>
    <w:p w14:paraId="647A7B2D" w14:textId="38822F72" w:rsidR="0021795D" w:rsidRDefault="0021795D" w:rsidP="002016C7">
      <w:pPr>
        <w:jc w:val="center"/>
        <w:rPr>
          <w:b/>
          <w:bCs/>
          <w:sz w:val="28"/>
          <w:szCs w:val="28"/>
          <w:u w:val="single"/>
        </w:rPr>
      </w:pPr>
      <w:r>
        <w:rPr>
          <w:b/>
          <w:bCs/>
          <w:sz w:val="28"/>
          <w:szCs w:val="28"/>
          <w:u w:val="single"/>
        </w:rPr>
        <w:t xml:space="preserve">Rhan 2 </w:t>
      </w:r>
    </w:p>
    <w:p w14:paraId="1162BBC5" w14:textId="13CA3229" w:rsidR="0021795D" w:rsidRDefault="0021795D" w:rsidP="002016C7">
      <w:pPr>
        <w:jc w:val="center"/>
        <w:rPr>
          <w:b/>
          <w:bCs/>
          <w:sz w:val="28"/>
          <w:szCs w:val="28"/>
          <w:u w:val="single"/>
        </w:rPr>
      </w:pPr>
    </w:p>
    <w:p w14:paraId="4EF30E35" w14:textId="342467E6" w:rsidR="0021795D" w:rsidRDefault="0021795D" w:rsidP="0021795D">
      <w:r>
        <w:t xml:space="preserve">Mae dwyiethrwydd ac amlieithrwydd yn cyfeirio at y gallu </w:t>
      </w:r>
      <w:r w:rsidR="00536A22">
        <w:t xml:space="preserve">i ddefnyddio dwy iaith neu fwy mewn cyfathrebu bob dydd. Mae’r galluoedd ieithyddol hyn yn gynyddol gyffredin yn y byd rhyng-gysylltiedig heddiw ac ynn chwarae rhan sylweddol mewn addysg, diwylliant a hunaniaeth. Yn hytrach na bod yn sgil yn unig, mae dwieithrwydd yn adlweyrchu prosesau gwybodol, cymdeithasol a diwylliannol cymhleth sy’n llunio sut mae unigolion yn meddwl, yn dysgu ac yn rhyngweithio ag eraill. </w:t>
      </w:r>
    </w:p>
    <w:p w14:paraId="73B2B2BA" w14:textId="297F710C" w:rsidR="00536A22" w:rsidRDefault="00536A22" w:rsidP="0021795D"/>
    <w:p w14:paraId="1920AD5B" w14:textId="2F03FD66" w:rsidR="00536A22" w:rsidRDefault="00536A22" w:rsidP="0021795D">
      <w:r>
        <w:t>Yn yr papur yma bydd hwn yn archwilio pwysigrwydd dwyieithrwydd ac amlieithrwydd, gyda sylw arbenning i gyd-destun y Gymraeg a’r Saesneg fel iaith ychwanegol. Bydd</w:t>
      </w:r>
      <w:r w:rsidR="00184B52">
        <w:t xml:space="preserve">ai hefyd yn archwilio sut y gall dysgu a defyddio mwy nag un iaith ddylanwadau ar ddatblygiad yr ymennydd a chefnogi hyblygrwydd gwybyddol. Yn benodol, bydd y drafodaeth yn ystyried sut mae dwyieithrwydd yn gysyllieidig â meddwl dargyfeiriol, gann alluogi unigolion i ymdrin â phroblemau yn greadigol ac o safbwyntiau lluosog. Bydd y papur hefyd yn adolygu fframweithiau allweddol a rhaglenni addysgol sy’n cefnogi dysgwyr dwyieithog ac amleithiog, gan amlygu eu rôl wrth hyrwyddo caffael iaith effeithiol ac amgylcheddau dysgu cynhwysol. </w:t>
      </w:r>
    </w:p>
    <w:p w14:paraId="471CEC0D" w14:textId="3B9878D4" w:rsidR="00184B52" w:rsidRDefault="00184B52" w:rsidP="0021795D"/>
    <w:p w14:paraId="2E83EDAD" w14:textId="708BBF24" w:rsidR="007F74E8" w:rsidRPr="007F74E8" w:rsidRDefault="007F74E8" w:rsidP="007F74E8">
      <w:pPr>
        <w:rPr>
          <w:rFonts w:ascii="Times New Roman" w:eastAsia="Times New Roman" w:hAnsi="Times New Roman" w:cs="Times New Roman"/>
          <w:lang w:eastAsia="en-GB"/>
        </w:rPr>
      </w:pPr>
      <w:r w:rsidRPr="007F74E8">
        <w:rPr>
          <w:rFonts w:eastAsia="Times New Roman" w:cstheme="minorHAnsi"/>
          <w:color w:val="1F1F1F"/>
          <w:shd w:val="clear" w:color="auto" w:fill="FFFFFF"/>
          <w:lang w:eastAsia="en-GB"/>
        </w:rPr>
        <w:t>Mae dwyieithrwydd ac amlieithrwydd yn cynnig manteision sylweddol i ddatblygiad plant, yn enwedig o fewn lleoliadau plentyndod cynnar a gofal plant. Mae ymchwil yn dangos yn gyson bod plant sy'n agored i fwy nag un iaith yn datblygu sgiliau swyddogaeth weithredol gwell, gan gynnwys rheoli sylw, hyblygrwydd gwybyddol, a datrys problemau (Bialystok, 2017</w:t>
      </w:r>
      <w:r w:rsidR="008332B8">
        <w:rPr>
          <w:rFonts w:eastAsia="Times New Roman" w:cstheme="minorHAnsi"/>
          <w:color w:val="1F1F1F"/>
          <w:shd w:val="clear" w:color="auto" w:fill="FFFFFF"/>
          <w:lang w:eastAsia="en-GB"/>
        </w:rPr>
        <w:t>)</w:t>
      </w:r>
      <w:r w:rsidRPr="007F74E8">
        <w:rPr>
          <w:rFonts w:eastAsia="Times New Roman" w:cstheme="minorHAnsi"/>
          <w:color w:val="1F1F1F"/>
          <w:shd w:val="clear" w:color="auto" w:fill="FFFFFF"/>
          <w:lang w:eastAsia="en-GB"/>
        </w:rPr>
        <w:t>.</w:t>
      </w:r>
      <w:r>
        <w:rPr>
          <w:rFonts w:eastAsia="Times New Roman" w:cstheme="minorHAnsi"/>
          <w:color w:val="1F1F1F"/>
          <w:shd w:val="clear" w:color="auto" w:fill="FFFFFF"/>
          <w:lang w:eastAsia="en-GB"/>
        </w:rPr>
        <w:t xml:space="preserve"> </w:t>
      </w:r>
      <w:r w:rsidRPr="007F74E8">
        <w:rPr>
          <w:rFonts w:eastAsia="Times New Roman" w:cstheme="minorHAnsi"/>
          <w:color w:val="1F1F1F"/>
          <w:shd w:val="clear" w:color="auto" w:fill="FFFFFF"/>
          <w:lang w:eastAsia="en-GB"/>
        </w:rPr>
        <w:t xml:space="preserve">Mae'r manteision hyn yn dod i'r amlwg oherwydd bod yn rhaid i blant dwyieithog reoli a newid rhwng ieithoedd yn gyson, gan gryfhau prosesau'r ymennydd sy'n gysylltiedig â hunanreoleiddio. Mae astudiaethau sy'n canolbwyntio ar blant ifanc hefyd yn dangos y gall plant bach dwyieithog ddangos perfformiad gwell ar dasgau sy'n cynnwys datrys gwrthdaro a sylw dethol o'i gymharu â chyfoedion uniaith (Crivello </w:t>
      </w:r>
      <w:r w:rsidRPr="007F74E8">
        <w:rPr>
          <w:rFonts w:eastAsia="Times New Roman" w:cstheme="minorHAnsi"/>
          <w:i/>
          <w:iCs/>
          <w:color w:val="1F1F1F"/>
          <w:shd w:val="clear" w:color="auto" w:fill="FFFFFF"/>
          <w:lang w:eastAsia="en-GB"/>
        </w:rPr>
        <w:t>et al.,</w:t>
      </w:r>
      <w:r w:rsidRPr="007F74E8">
        <w:rPr>
          <w:rFonts w:eastAsia="Times New Roman" w:cstheme="minorHAnsi"/>
          <w:color w:val="1F1F1F"/>
          <w:shd w:val="clear" w:color="auto" w:fill="FFFFFF"/>
          <w:lang w:eastAsia="en-GB"/>
        </w:rPr>
        <w:t xml:space="preserve"> 2016).</w:t>
      </w:r>
      <w:r>
        <w:rPr>
          <w:rFonts w:eastAsia="Times New Roman" w:cstheme="minorHAnsi"/>
          <w:color w:val="1F1F1F"/>
          <w:shd w:val="clear" w:color="auto" w:fill="FFFFFF"/>
          <w:lang w:eastAsia="en-GB"/>
        </w:rPr>
        <w:t xml:space="preserve"> </w:t>
      </w:r>
    </w:p>
    <w:p w14:paraId="2B6CF8EE" w14:textId="1641D99F" w:rsidR="007F74E8" w:rsidRPr="007F74E8" w:rsidRDefault="007F74E8" w:rsidP="007F74E8">
      <w:pPr>
        <w:rPr>
          <w:rFonts w:eastAsia="Times New Roman" w:cstheme="minorHAnsi"/>
          <w:lang w:eastAsia="en-GB"/>
        </w:rPr>
      </w:pPr>
    </w:p>
    <w:p w14:paraId="7AE2F61F" w14:textId="77777777" w:rsidR="00EA4D8E" w:rsidRPr="00EA4D8E" w:rsidRDefault="00EA4D8E" w:rsidP="00EA4D8E">
      <w:pPr>
        <w:rPr>
          <w:rFonts w:eastAsia="Times New Roman" w:cstheme="minorHAnsi"/>
          <w:lang w:eastAsia="en-GB"/>
        </w:rPr>
      </w:pPr>
      <w:r w:rsidRPr="00EA4D8E">
        <w:rPr>
          <w:rFonts w:eastAsia="Times New Roman" w:cstheme="minorHAnsi"/>
          <w:color w:val="1F1F1F"/>
          <w:shd w:val="clear" w:color="auto" w:fill="FFFFFF"/>
          <w:lang w:eastAsia="en-GB"/>
        </w:rPr>
        <w:t xml:space="preserve">Yn bwysig, nid yw dod i gysylltiad cynnar â sawl iaith yn oedi datblygiad iaith; yn hytrach, mae'n cefnogi canlyniadau ieithyddol ac academaidd hirdymor. Yn aml, mae plant dwyieithog yn datblygu ymwybyddiaeth feta-ieithyddol fwy, gan ganiatáu iddynt ddeall strwythurau iaith yn well a throsglwyddo sgiliau ar draws ieithoedd, sy'n fuddiol i ddatblygiad llythrennedd (Cummins, 2021). Mewn cyd-destunau addysgol a gofal plant, gall hyn arwain at barodrwydd gwell ar gyfer yr ysgol a chyrhaeddiad cyffredinol cryfach. Ar ben hynny, mae dwyieithrwydd yn cyfrannu at ddatblygiad cymdeithasol plant trwy feithrin ymwybyddiaeth ddiwylliannol, empathi a sgiliau cyfathrebu effeithiol, sy'n hanfodol mewn amgylcheddau blynyddoedd cynnar cynyddol amrywiol (Adesope </w:t>
      </w:r>
      <w:r w:rsidRPr="00EA4D8E">
        <w:rPr>
          <w:rFonts w:eastAsia="Times New Roman" w:cstheme="minorHAnsi"/>
          <w:i/>
          <w:iCs/>
          <w:color w:val="1F1F1F"/>
          <w:shd w:val="clear" w:color="auto" w:fill="FFFFFF"/>
          <w:lang w:eastAsia="en-GB"/>
        </w:rPr>
        <w:t>et al</w:t>
      </w:r>
      <w:r w:rsidRPr="00EA4D8E">
        <w:rPr>
          <w:rFonts w:eastAsia="Times New Roman" w:cstheme="minorHAnsi"/>
          <w:color w:val="1F1F1F"/>
          <w:shd w:val="clear" w:color="auto" w:fill="FFFFFF"/>
          <w:lang w:eastAsia="en-GB"/>
        </w:rPr>
        <w:t>., 2010).</w:t>
      </w:r>
    </w:p>
    <w:p w14:paraId="4B274217" w14:textId="3C1F3AF5" w:rsidR="007F74E8" w:rsidRDefault="007F74E8" w:rsidP="0021795D"/>
    <w:p w14:paraId="304D1512" w14:textId="77777777" w:rsidR="00EA4D8E" w:rsidRPr="00EA4D8E" w:rsidRDefault="00EA4D8E" w:rsidP="00EA4D8E">
      <w:pPr>
        <w:rPr>
          <w:rFonts w:eastAsia="Times New Roman" w:cstheme="minorHAnsi"/>
          <w:lang w:eastAsia="en-GB"/>
        </w:rPr>
      </w:pPr>
      <w:r w:rsidRPr="00EA4D8E">
        <w:rPr>
          <w:rFonts w:eastAsia="Times New Roman" w:cstheme="minorHAnsi"/>
          <w:color w:val="1F1F1F"/>
          <w:shd w:val="clear" w:color="auto" w:fill="FFFFFF"/>
          <w:lang w:eastAsia="en-GB"/>
        </w:rPr>
        <w:t>Mae'r manteision cymdeithasol hyn yn cefnogi rhyngweithiadau cadarnhaol gyda chyfoedion ac oedolion o gefndiroedd gwahanol. At ei gilydd, mae'r dystiolaeth yn dangos bod dwyieithrwydd ac amlieithrwydd yn asedau gwerthfawr yn ystod plentyndod cynnar, gan gefnogi datblygiad gwybyddol, addysgol a chymdeithasol, ac atgyfnerthu pwysigrwydd hyrwyddo arferion amlieithog o fewn lleoliadau gofal plant ac addysg gynnar.</w:t>
      </w:r>
    </w:p>
    <w:p w14:paraId="1525913D" w14:textId="3FA283ED" w:rsidR="007F74E8" w:rsidRDefault="007F74E8" w:rsidP="0021795D"/>
    <w:p w14:paraId="58ABDF95" w14:textId="54AD31B7" w:rsidR="00EA4D8E" w:rsidRDefault="00EA4D8E" w:rsidP="0021795D"/>
    <w:p w14:paraId="60DE7AFB" w14:textId="77777777" w:rsidR="00EA4D8E" w:rsidRPr="00EA4D8E" w:rsidRDefault="00EA4D8E" w:rsidP="00EA4D8E">
      <w:pPr>
        <w:rPr>
          <w:rFonts w:eastAsia="Times New Roman" w:cstheme="minorHAnsi"/>
          <w:lang w:eastAsia="en-GB"/>
        </w:rPr>
      </w:pPr>
      <w:r w:rsidRPr="00EA4D8E">
        <w:rPr>
          <w:rFonts w:eastAsia="Times New Roman" w:cstheme="minorHAnsi"/>
          <w:color w:val="1F1F1F"/>
          <w:shd w:val="clear" w:color="auto" w:fill="FFFFFF"/>
          <w:lang w:eastAsia="en-GB"/>
        </w:rPr>
        <w:t>O fewn Cwricwlwm Cymru, mae dwyieithrwydd yn y Gymraeg a'r Saesneg yn agwedd sylfaenol ar ddysgu plant, yn enwedig mewn lleoliadau blynyddoedd cynnar a gofal plant. Mae'r cwricwlwm yn cydnabod Cymru fel cenedl ddwyieithog ac yn rhoi pwyslais cryf ar ddatblygu gallu plant i ddefnyddio'r Gymraeg a'r Saesneg yn hyderus mewn cyd-destunau bob dydd. O fewn Maes Dysgu a Phrofiad Ieithoedd, Llythrennedd a Chyfathrebu, anogir plant i brofi amgylcheddau iaith cyfoethog lle defnyddir y ddwy iaith yn weithredol, gan gefnogi sgiliau cyfathrebu a datblygiad cyffredinol (Llywodraeth Cymru, 2022).</w:t>
      </w:r>
    </w:p>
    <w:p w14:paraId="13592A7A" w14:textId="016E1951" w:rsidR="00EA4D8E" w:rsidRDefault="00EA4D8E" w:rsidP="0021795D"/>
    <w:p w14:paraId="14004A74" w14:textId="77777777" w:rsidR="00057F96" w:rsidRPr="00057F96" w:rsidRDefault="00057F96" w:rsidP="00057F96">
      <w:pPr>
        <w:rPr>
          <w:rFonts w:eastAsia="Times New Roman" w:cstheme="minorHAnsi"/>
          <w:lang w:eastAsia="en-GB"/>
        </w:rPr>
      </w:pPr>
      <w:r w:rsidRPr="00057F96">
        <w:rPr>
          <w:rFonts w:eastAsia="Times New Roman" w:cstheme="minorHAnsi"/>
          <w:color w:val="1F1F1F"/>
          <w:shd w:val="clear" w:color="auto" w:fill="FFFFFF"/>
          <w:lang w:eastAsia="en-GB"/>
        </w:rPr>
        <w:t>Mewn lleoliadau plentyndod cynnar, cyflawnir hyn drwy ddysgu seiliedig ar chwarae, lle mae'r Gymraeg wedi'i hymgorffori'n naturiol mewn arferion, rhyngweithiadau a gweithgareddau, gan helpu plant i gaffael yr iaith mewn ffyrdd ystyrlon. Mae Cwricwlwm Cymru hefyd yn hyrwyddo dilyniant mewn dysgu ieithoedd o 3 i 16 oed, gan gefnogi plant o fod â fawr ddim Cymraeg neu ddim Cymraeg o gwbl i ddod yn ddefnyddwyr mwyfwy hyderus o'r iaith (Llywodraeth Cymru, 2023).</w:t>
      </w:r>
    </w:p>
    <w:p w14:paraId="77CDF87D" w14:textId="2735B9DE" w:rsidR="00057F96" w:rsidRPr="00057F96" w:rsidRDefault="00057F96" w:rsidP="0021795D">
      <w:pPr>
        <w:rPr>
          <w:rFonts w:cstheme="minorHAnsi"/>
        </w:rPr>
      </w:pPr>
    </w:p>
    <w:p w14:paraId="7A624BC8" w14:textId="77777777" w:rsidR="00057F96" w:rsidRPr="00057F96" w:rsidRDefault="00057F96" w:rsidP="00057F96">
      <w:pPr>
        <w:rPr>
          <w:rFonts w:eastAsia="Times New Roman" w:cstheme="minorHAnsi"/>
          <w:lang w:eastAsia="en-GB"/>
        </w:rPr>
      </w:pPr>
      <w:r w:rsidRPr="00057F96">
        <w:rPr>
          <w:rFonts w:eastAsia="Times New Roman" w:cstheme="minorHAnsi"/>
          <w:color w:val="1F1F1F"/>
          <w:shd w:val="clear" w:color="auto" w:fill="FFFFFF"/>
          <w:lang w:eastAsia="en-GB"/>
        </w:rPr>
        <w:t>Mae hyn yn cyd-fynd â pholisïau cenedlaethol fel Cymraeg 2050, sy'n anelu at gynyddu nifer y siaradwyr Cymraeg drwy gryfhau darpariaeth y blynyddoedd cynnar fel sylfaen allweddol ar gyfer datblygiad iaith (Llywodraeth Cymru, 2025). Mae ymchwil yn awgrymu bod integreiddio'r Gymraeg i arfer dyddiol mewn gofal plant yn cefnogi caffael iaith a datblygiad gwybyddol, yn enwedig pan fydd plant yn cael eu hamlygu'n gyson ar draws gwahanol gyd-destunau (Rhys, 2018). At ei gilydd, mae Cwricwlwm Cymru yn cefnogi datblygiad dwyieithog drwy ymgorffori'r Gymraeg a'r Saesneg ar draws profiadau dysgu, gan hyrwyddo nid yn unig sgiliau ieithyddol ond hefyd hunaniaeth ddiwylliannol, cynhwysiant, ac ymdeimlad o berthyn o oedran cynnar.</w:t>
      </w:r>
    </w:p>
    <w:p w14:paraId="53283A63" w14:textId="21B7B17C" w:rsidR="00057F96" w:rsidRDefault="00057F96" w:rsidP="0021795D"/>
    <w:p w14:paraId="0CEE1407" w14:textId="56D62664" w:rsidR="00A80358" w:rsidRDefault="00A80358" w:rsidP="00A80358">
      <w:pPr>
        <w:rPr>
          <w:rFonts w:eastAsia="Times New Roman" w:cstheme="minorHAnsi"/>
          <w:color w:val="1F1F1F"/>
          <w:shd w:val="clear" w:color="auto" w:fill="FFFFFF"/>
          <w:lang w:eastAsia="en-GB"/>
        </w:rPr>
      </w:pPr>
      <w:r w:rsidRPr="00A80358">
        <w:rPr>
          <w:rFonts w:eastAsia="Times New Roman" w:cstheme="minorHAnsi"/>
          <w:color w:val="1F1F1F"/>
          <w:shd w:val="clear" w:color="auto" w:fill="FFFFFF"/>
          <w:lang w:eastAsia="en-GB"/>
        </w:rPr>
        <w:t>Mae dwyieithrwydd yn chwarae rhan bwysig yn natblygiad ymennydd plant, yn enwedig yn ystod plentyndod cynnar pan fydd systemau gwybyddol a niwral yn dal i ffurfio. Mae dysgu Cymraeg a Saesneg yn ei gwneud yn ofynnol i blant reoli dau system ieithyddol, sy'n cryfhau sgiliau swyddogaeth weithredol fel rheoli sylw, cof gweithio, a hyblygrwydd gwybyddol (Baker a Wright, 2025). Mae'r newid cyson hwn rhwng ieithoedd yn annog yr ymennydd i fod yn fwy effeithlon wrth brosesu gwybodaeth a rheoleiddio ymatebion. Mewn lleoliadau blynyddoedd cynnar, mae hyn yn arbennig o fuddiol gan fod plant yn datblygu sgiliau sylfaenol ar gyfer dysgu. Mae ymchwil hefyd yn tynnu sylw at y ffaith bod plant amlieithog yn aml yn dangos mwy o addasrwydd meddyliol a galluoedd datrys problemau oherwydd mwy o ymgysylltiad niwral (Smidt, 2016).</w:t>
      </w:r>
    </w:p>
    <w:p w14:paraId="4A200833" w14:textId="49E764CB" w:rsidR="00A80358" w:rsidRDefault="00A80358" w:rsidP="00A80358">
      <w:pPr>
        <w:rPr>
          <w:rFonts w:eastAsia="Times New Roman" w:cstheme="minorHAnsi"/>
          <w:color w:val="1F1F1F"/>
          <w:shd w:val="clear" w:color="auto" w:fill="FFFFFF"/>
          <w:lang w:eastAsia="en-GB"/>
        </w:rPr>
      </w:pPr>
    </w:p>
    <w:p w14:paraId="0574D3D0" w14:textId="0EECC251" w:rsidR="00A80358" w:rsidRPr="00A80358" w:rsidRDefault="00A80358" w:rsidP="00A80358">
      <w:pPr>
        <w:rPr>
          <w:rFonts w:ascii="Times New Roman" w:eastAsia="Times New Roman" w:hAnsi="Times New Roman" w:cs="Times New Roman"/>
          <w:lang w:eastAsia="en-GB"/>
        </w:rPr>
      </w:pPr>
      <w:r w:rsidRPr="00A80358">
        <w:rPr>
          <w:rFonts w:eastAsia="Times New Roman" w:cstheme="minorHAnsi"/>
          <w:color w:val="1F1F1F"/>
          <w:shd w:val="clear" w:color="auto" w:fill="FFFFFF"/>
          <w:lang w:eastAsia="en-GB"/>
        </w:rPr>
        <w:t xml:space="preserve">Mae'r manteision gwybyddol hyn yn gysylltiedig â sut mae'r ymennydd yn addasu i amgylcheddau dwyieithog, gan gefnogi datblygiad patrymau meddwl mwy hyblyg. Ar ben hynny, mae astudiaethau diweddar yn awgrymu y gall dwyieithrwydd wella meddwl creadigol a meddwl dargyfeiriol, gan fod plant yn gallu tynnu ar fframweithiau ieithyddol lluosog wrth ddehongli ac ymateb i dasgau (Booton </w:t>
      </w:r>
      <w:r w:rsidRPr="00A80358">
        <w:rPr>
          <w:rFonts w:eastAsia="Times New Roman" w:cstheme="minorHAnsi"/>
          <w:i/>
          <w:iCs/>
          <w:color w:val="1F1F1F"/>
          <w:shd w:val="clear" w:color="auto" w:fill="FFFFFF"/>
          <w:lang w:eastAsia="en-GB"/>
        </w:rPr>
        <w:t>et al.,</w:t>
      </w:r>
      <w:r w:rsidRPr="00A80358">
        <w:rPr>
          <w:rFonts w:eastAsia="Times New Roman" w:cstheme="minorHAnsi"/>
          <w:color w:val="1F1F1F"/>
          <w:shd w:val="clear" w:color="auto" w:fill="FFFFFF"/>
          <w:lang w:eastAsia="en-GB"/>
        </w:rPr>
        <w:t xml:space="preserve"> 2021). O fewn cyd-destunau gofal plant, cefnogir hyn drwy amgylcheddau sy'n seiliedig ar chwarae ac sy'n gyfoethog o ran iaith lle defnyddir y Gymraeg a'r Saesneg yn ystyrlon. Fodd bynnag, mae hefyd yn bwysig cydnabod y gall maint y manteision gwybyddol amrywio yn dibynnu ar ffactorau fel amlygiad, hyfedredd ac ansawdd mewnbwn iaith (Bialystok, 2017). At ei gilydd, mae dwyieithrwydd yn cefnogi datblygiad yr ymennydd drwy gryfhau swyddogaethau gweithredol, annog hyblygrwydd gwybyddol a hyrwyddo meddwl addasadwy, sydd i gyd yn hanfodol ar gyfer dysgu a datblygiad plant.</w:t>
      </w:r>
    </w:p>
    <w:p w14:paraId="674ECD46" w14:textId="19E57697" w:rsidR="00A80358" w:rsidRDefault="00A80358" w:rsidP="00A80358">
      <w:pPr>
        <w:rPr>
          <w:rFonts w:eastAsia="Times New Roman" w:cstheme="minorHAnsi"/>
          <w:color w:val="1F1F1F"/>
          <w:shd w:val="clear" w:color="auto" w:fill="FFFFFF"/>
          <w:lang w:eastAsia="en-GB"/>
        </w:rPr>
      </w:pPr>
    </w:p>
    <w:p w14:paraId="2CFC5314" w14:textId="77777777" w:rsidR="00A80358" w:rsidRPr="00A80358" w:rsidRDefault="00A80358" w:rsidP="00A80358">
      <w:pPr>
        <w:rPr>
          <w:rFonts w:eastAsia="Times New Roman" w:cstheme="minorHAnsi"/>
          <w:lang w:eastAsia="en-GB"/>
        </w:rPr>
      </w:pPr>
      <w:r w:rsidRPr="00A80358">
        <w:rPr>
          <w:rFonts w:eastAsia="Times New Roman" w:cstheme="minorHAnsi"/>
          <w:color w:val="1F1F1F"/>
          <w:shd w:val="clear" w:color="auto" w:fill="FFFFFF"/>
          <w:lang w:eastAsia="en-GB"/>
        </w:rPr>
        <w:t xml:space="preserve">Mae meddwl dargyfeiriol, y gallu i gynhyrchu syniadau ac atebion lluosog, yn agwedd bwysig ar greadigrwydd ac mae'n gysylltiedig fwyfwy â dwyieithrwydd yn ystod plentyndod cynnar. Mae plant sy'n dysgu Cymraeg a Saesneg yn cael eu hamlygu'n rheolaidd i wahanol strwythurau ieithyddol a safbwyntiau diwylliannol, sy'n annog meddwl hyblyg a'r gallu i ymdrin â phroblemau mewn amrywiol ffyrdd. Mae'r hyblygrwydd gwybyddol hwn yn gysylltiedig yn agos â meddwl dargyfeiriol, wrth i blant ddysgu symud rhwng ieithoedd a dehongli ystyr mewn gwahanol gyd-destunau (Baker a Wright, 2025). Canfu ymchwil gan Booton </w:t>
      </w:r>
      <w:r w:rsidRPr="00A80358">
        <w:rPr>
          <w:rFonts w:eastAsia="Times New Roman" w:cstheme="minorHAnsi"/>
          <w:i/>
          <w:iCs/>
          <w:color w:val="1F1F1F"/>
          <w:shd w:val="clear" w:color="auto" w:fill="FFFFFF"/>
          <w:lang w:eastAsia="en-GB"/>
        </w:rPr>
        <w:t>et al.</w:t>
      </w:r>
      <w:r w:rsidRPr="00A80358">
        <w:rPr>
          <w:rFonts w:eastAsia="Times New Roman" w:cstheme="minorHAnsi"/>
          <w:color w:val="1F1F1F"/>
          <w:shd w:val="clear" w:color="auto" w:fill="FFFFFF"/>
          <w:lang w:eastAsia="en-GB"/>
        </w:rPr>
        <w:t xml:space="preserve"> (2021) y gall plant dwyieithog ddangos lefelau uwch o feddwl creadigol o'i gymharu â chyfoedion uniaith, yn enwedig mewn tasgau sy'n gofyn am gynhyrchu ymatebion lluosog neu syniadau newydd. Mewn lleoliadau gofal plant, cefnogir hyn trwy ddysgu seiliedig ar chwarae, adrodd straeon, a gweithgareddau agored lle mae plant yn cael eu hannog i archwilio iaith yn greadigol.</w:t>
      </w:r>
    </w:p>
    <w:p w14:paraId="44E18FCC" w14:textId="670BDF5C" w:rsidR="00A80358" w:rsidRPr="00A80358" w:rsidRDefault="00A80358" w:rsidP="00A80358">
      <w:pPr>
        <w:rPr>
          <w:rFonts w:eastAsia="Times New Roman" w:cstheme="minorHAnsi"/>
          <w:lang w:eastAsia="en-GB"/>
        </w:rPr>
      </w:pPr>
    </w:p>
    <w:p w14:paraId="641281B5" w14:textId="672EF152" w:rsidR="00693593" w:rsidRPr="00693593" w:rsidRDefault="00693593" w:rsidP="00693593">
      <w:pPr>
        <w:rPr>
          <w:rFonts w:ascii="Times New Roman" w:eastAsia="Times New Roman" w:hAnsi="Times New Roman" w:cs="Times New Roman"/>
          <w:lang w:eastAsia="en-GB"/>
        </w:rPr>
      </w:pPr>
      <w:r w:rsidRPr="00693593">
        <w:rPr>
          <w:rFonts w:eastAsia="Times New Roman" w:cstheme="minorHAnsi"/>
          <w:color w:val="1F1F1F"/>
          <w:shd w:val="clear" w:color="auto" w:fill="FFFFFF"/>
          <w:lang w:eastAsia="en-GB"/>
        </w:rPr>
        <w:t>Mae dod i gysylltiad ag amgylcheddau amlieithog hefyd yn caniatáu i blant dynnu ar ystod ehangach o eirfa a phrofiadau, gan gefnogi cynhyrchu syniadau a meddwl dychmygus ymhellach (Smidt, 2016). Fodd bynnag, mae'n bwysig cydnabod bod y berthynas rhwng dwyieithrwydd a chreadigrwydd yn cael ei dylanwadu gan ffactorau fel hyfedredd iaith ac ansawdd profiadau dysgu (Bialystok, 2017). Yng nghyd-destun Cymru, mae hyrwyddo’r Gymraeg a’r Saesneg mewn lleoliadau blynyddoedd cynnar nid yn unig yn cefnogi datblygiad iaith ond hefyd yn meithrin sgiliau meddwl creadigol a hyblyg. At ei gilydd, mae dwyieithrwydd yn cyfrannu at ddatblygiad meddwl dargyfeiriol drwy wella hyblygrwydd gwybyddol, cefnogi creadigrwydd, a galluogi plant i ymgysylltu â syniadau o safbwyntiau lluosog.</w:t>
      </w:r>
    </w:p>
    <w:p w14:paraId="56B9366A" w14:textId="3506DFA9" w:rsidR="00693593" w:rsidRPr="00693593" w:rsidRDefault="00693593" w:rsidP="00693593">
      <w:pPr>
        <w:rPr>
          <w:rFonts w:eastAsia="Times New Roman" w:cstheme="minorHAnsi"/>
          <w:lang w:eastAsia="en-GB"/>
        </w:rPr>
      </w:pPr>
    </w:p>
    <w:p w14:paraId="68DBF626" w14:textId="01049325" w:rsidR="00693593" w:rsidRDefault="00693593" w:rsidP="00693593">
      <w:pPr>
        <w:rPr>
          <w:rFonts w:eastAsia="Times New Roman" w:cstheme="minorHAnsi"/>
          <w:color w:val="1F1F1F"/>
          <w:shd w:val="clear" w:color="auto" w:fill="FFFFFF"/>
          <w:lang w:eastAsia="en-GB"/>
        </w:rPr>
      </w:pPr>
      <w:r w:rsidRPr="00693593">
        <w:rPr>
          <w:rFonts w:eastAsia="Times New Roman" w:cstheme="minorHAnsi"/>
          <w:color w:val="1F1F1F"/>
          <w:shd w:val="clear" w:color="auto" w:fill="FFFFFF"/>
          <w:lang w:eastAsia="en-GB"/>
        </w:rPr>
        <w:t>Mae fframweithiau a rhaglenni yng Nghymru yn chwarae rhan hanfodol wrth gefnogi dwyieithrwydd yn ystod plentyndod cynnar, yn enwedig drwy hyrwyddo’r Gymraeg a’r Saesneg mewn lleoliadau gofal plant. Mae Llywodraeth Cymru wedi gweithredu polisïau allweddol fel Cymraeg 2050, sy’n anelu at gynyddu nifer y siaradwyr Cymraeg i filiwn erbyn 2050, gyda ffocws cryf ar ddarpariaeth y blynyddoedd cynnar fel y sylfaen ar gyfer datblygiad iaith. O fewn y strategaeth hon, mae rhaglenni fel Mudiad Meithrin yn darparu gofal plant cyfrwng Cymraeg ac yn cefnogi ymarferwyr i ddarparu addysg ddwyieithog o ansawdd uchel drwy fentrau fel lleoliadau Cylchoedd Meithrin.</w:t>
      </w:r>
    </w:p>
    <w:p w14:paraId="278DAB64" w14:textId="77777777" w:rsidR="00693593" w:rsidRPr="00693593" w:rsidRDefault="00693593" w:rsidP="00693593">
      <w:pPr>
        <w:rPr>
          <w:rFonts w:eastAsia="Times New Roman" w:cstheme="minorHAnsi"/>
          <w:lang w:eastAsia="en-GB"/>
        </w:rPr>
      </w:pPr>
    </w:p>
    <w:p w14:paraId="60943D39" w14:textId="6C3277E8" w:rsidR="00693593" w:rsidRPr="00693593" w:rsidRDefault="00693593" w:rsidP="00693593">
      <w:pPr>
        <w:rPr>
          <w:rFonts w:ascii="Times New Roman" w:eastAsia="Times New Roman" w:hAnsi="Times New Roman" w:cs="Times New Roman"/>
          <w:lang w:eastAsia="en-GB"/>
        </w:rPr>
      </w:pPr>
      <w:r w:rsidRPr="00693593">
        <w:rPr>
          <w:rFonts w:eastAsia="Times New Roman" w:cstheme="minorHAnsi"/>
          <w:color w:val="1F1F1F"/>
          <w:shd w:val="clear" w:color="auto" w:fill="FFFFFF"/>
          <w:lang w:eastAsia="en-GB"/>
        </w:rPr>
        <w:t>Yn ogystal, mae Dechrau'n Deg yn cynnig cymorth wedi'i dargedu i deuluoedd â phlant ifanc, gan gynnwys mynediad at ofal plant o safon lle mae datblygiad iaith, gan gynnwys y Gymraeg, yn cael ei annog. Mae Cwricwlwm Cymru yn atgyfnerthu dwyieithrwydd ymhellach trwy ymgorffori'r Gymraeg a'r Saesneg ar draws pob Maes Dysgu a Phrofiad, gan sicrhau bod plant yn datblygu sgiliau cyfathrebu yn y ddwy iaith o oedran cynnar (Llywodraeth Cymru, 2022). Mae'r fframweithiau hyn yn cyd-fynd ag ymchwil sy'n tynnu sylw at bwysigrwydd amlygiad cyson ac amgylcheddau cefnogol wrth gaffael iaith yn llwyddiannus (Baker a Wright, 202</w:t>
      </w:r>
      <w:r w:rsidR="008332B8">
        <w:rPr>
          <w:rFonts w:eastAsia="Times New Roman" w:cstheme="minorHAnsi"/>
          <w:color w:val="1F1F1F"/>
          <w:shd w:val="clear" w:color="auto" w:fill="FFFFFF"/>
          <w:lang w:eastAsia="en-GB"/>
        </w:rPr>
        <w:t>5)</w:t>
      </w:r>
      <w:r w:rsidRPr="00693593">
        <w:rPr>
          <w:rFonts w:eastAsia="Times New Roman" w:cstheme="minorHAnsi"/>
          <w:color w:val="1F1F1F"/>
          <w:shd w:val="clear" w:color="auto" w:fill="FFFFFF"/>
          <w:lang w:eastAsia="en-GB"/>
        </w:rPr>
        <w:t>. Yn ymarferol, mae lleoliadau gofal plant yn gweithredu'r polisïau hyn trwy amgylcheddau sy'n seiliedig ar chwarae ac sy'n gyfoethog o ran iaith lle defnyddir y Gymraeg yn naturiol ochr yn ochr â Saesneg, gan gefnogi datblygiad gwybyddol a chymdeithasol. At ei gilydd, mae'r fframweithiau a'r rhaglenni hyn yn hanfodol wrth hyrwyddo dwyieithrwydd, cefnogi datblygiad plant, a chadw'r iaith Gymraeg o fewn cymdeithas fodern.</w:t>
      </w:r>
    </w:p>
    <w:p w14:paraId="63484854" w14:textId="57C00A4D" w:rsidR="00693593" w:rsidRPr="007446AE" w:rsidRDefault="00693593" w:rsidP="00693593">
      <w:pPr>
        <w:rPr>
          <w:rFonts w:eastAsia="Times New Roman" w:cstheme="minorHAnsi"/>
          <w:lang w:eastAsia="en-GB"/>
        </w:rPr>
      </w:pPr>
    </w:p>
    <w:p w14:paraId="0C11FECE" w14:textId="77777777" w:rsidR="007446AE" w:rsidRPr="007446AE" w:rsidRDefault="007446AE" w:rsidP="007446AE">
      <w:pPr>
        <w:rPr>
          <w:rFonts w:eastAsia="Times New Roman" w:cstheme="minorHAnsi"/>
          <w:lang w:eastAsia="en-GB"/>
        </w:rPr>
      </w:pPr>
      <w:r w:rsidRPr="007446AE">
        <w:rPr>
          <w:rFonts w:eastAsia="Times New Roman" w:cstheme="minorHAnsi"/>
          <w:color w:val="1F1F1F"/>
          <w:shd w:val="clear" w:color="auto" w:fill="FFFFFF"/>
          <w:lang w:eastAsia="en-GB"/>
        </w:rPr>
        <w:t>I gloi, mae dwyieithrwydd yn chwarae rhan bwysig yn natblygiad plant, yn enwedig o fewn lleoliadau blynyddoedd cynnar Cymraeg a Saesneg. Mae'n cefnogi datblygiad yr ymennydd trwy wella sgiliau fel sylw, cof, a hyblygrwydd gwybyddol, tra hefyd yn hyrwyddo meddwl dargyfeiriol a chreadigrwydd. Yng Nghymru, mae hyn yn cael ei atgyfnerthu trwy fframweithiau fel Cwricwlwm i Gymru a Chymraeg 2050, ochr yn ochr â rhaglenni fel Dechrau'n Deg a darpariaeth cyfrwng Cymraeg. Mae'r rhain yn sicrhau bod plant yn cael eu cefnogi i ddysgu'r ddwy iaith trwy brofiadau ystyrlon. At ei gilydd, mae dwyieithrwydd o fudd i ddatblygiad gwybyddol, cymdeithasol a diwylliannol plant, gan dynnu sylw at bwysigrwydd arferion dwyieithog effeithiol mewn addysg plentyndod cynnar.</w:t>
      </w:r>
    </w:p>
    <w:p w14:paraId="7D581611" w14:textId="77777777" w:rsidR="00693593" w:rsidRPr="00693593" w:rsidRDefault="00693593" w:rsidP="00693593">
      <w:pPr>
        <w:rPr>
          <w:rFonts w:eastAsia="Times New Roman" w:cstheme="minorHAnsi"/>
          <w:lang w:eastAsia="en-GB"/>
        </w:rPr>
      </w:pPr>
    </w:p>
    <w:p w14:paraId="13034E22" w14:textId="77777777" w:rsidR="00A80358" w:rsidRPr="00A80358" w:rsidRDefault="00A80358" w:rsidP="00A80358">
      <w:pPr>
        <w:rPr>
          <w:rFonts w:eastAsia="Times New Roman" w:cstheme="minorHAnsi"/>
          <w:color w:val="1F1F1F"/>
          <w:shd w:val="clear" w:color="auto" w:fill="FFFFFF"/>
          <w:lang w:eastAsia="en-GB"/>
        </w:rPr>
      </w:pPr>
    </w:p>
    <w:p w14:paraId="4D129889" w14:textId="77777777" w:rsidR="00A80358" w:rsidRPr="00A80358" w:rsidRDefault="00A80358" w:rsidP="00A80358">
      <w:pPr>
        <w:rPr>
          <w:rFonts w:ascii="Times New Roman" w:eastAsia="Times New Roman" w:hAnsi="Times New Roman" w:cs="Times New Roman"/>
          <w:lang w:eastAsia="en-GB"/>
        </w:rPr>
      </w:pPr>
    </w:p>
    <w:p w14:paraId="25E6071A" w14:textId="24831182" w:rsidR="00A80358" w:rsidRPr="00A80358" w:rsidRDefault="00A80358" w:rsidP="00A80358">
      <w:pPr>
        <w:rPr>
          <w:rFonts w:eastAsia="Times New Roman" w:cstheme="minorHAnsi"/>
          <w:lang w:eastAsia="en-GB"/>
        </w:rPr>
      </w:pPr>
    </w:p>
    <w:p w14:paraId="1F20AE2D" w14:textId="3776EFBC" w:rsidR="00A80358" w:rsidRDefault="00A80358" w:rsidP="0021795D"/>
    <w:p w14:paraId="68D7C85A" w14:textId="392E025B" w:rsidR="007446AE" w:rsidRDefault="007446AE" w:rsidP="0021795D"/>
    <w:p w14:paraId="351D38D9" w14:textId="3D1AA3DD" w:rsidR="007446AE" w:rsidRDefault="007446AE" w:rsidP="0021795D"/>
    <w:p w14:paraId="420D369E" w14:textId="0FF5235E" w:rsidR="007446AE" w:rsidRDefault="007446AE" w:rsidP="0021795D"/>
    <w:p w14:paraId="4A5A8A11" w14:textId="0E6F7B81" w:rsidR="007446AE" w:rsidRDefault="007446AE" w:rsidP="0021795D"/>
    <w:p w14:paraId="65E1C8B8" w14:textId="21DE3847" w:rsidR="007446AE" w:rsidRDefault="007446AE" w:rsidP="0021795D"/>
    <w:p w14:paraId="6521B1D0" w14:textId="58AF7757" w:rsidR="007446AE" w:rsidRDefault="007446AE" w:rsidP="0021795D"/>
    <w:p w14:paraId="5E822B55" w14:textId="42C536D8" w:rsidR="007446AE" w:rsidRDefault="007446AE" w:rsidP="0021795D"/>
    <w:p w14:paraId="22D5C394" w14:textId="7DBCC6B3" w:rsidR="007446AE" w:rsidRDefault="007446AE" w:rsidP="0021795D"/>
    <w:p w14:paraId="4E1FBB3C" w14:textId="325ED087" w:rsidR="007446AE" w:rsidRDefault="007446AE" w:rsidP="0021795D"/>
    <w:p w14:paraId="7A729BD0" w14:textId="19D0736D" w:rsidR="007446AE" w:rsidRDefault="007446AE" w:rsidP="0021795D"/>
    <w:p w14:paraId="6CE8CF9F" w14:textId="3A71FB5A" w:rsidR="007446AE" w:rsidRDefault="007446AE" w:rsidP="0021795D"/>
    <w:p w14:paraId="41C47773" w14:textId="292742C2" w:rsidR="007446AE" w:rsidRDefault="007446AE" w:rsidP="0021795D"/>
    <w:p w14:paraId="6238C6FE" w14:textId="3736F928" w:rsidR="007446AE" w:rsidRDefault="007446AE" w:rsidP="0021795D"/>
    <w:p w14:paraId="5301492C" w14:textId="73610E6C" w:rsidR="007446AE" w:rsidRDefault="007446AE" w:rsidP="0021795D"/>
    <w:p w14:paraId="6D734596" w14:textId="7A416B2C" w:rsidR="007446AE" w:rsidRDefault="007446AE" w:rsidP="0021795D"/>
    <w:p w14:paraId="3AB9758A" w14:textId="77DF0107" w:rsidR="007446AE" w:rsidRDefault="007446AE" w:rsidP="0021795D"/>
    <w:p w14:paraId="413757D6" w14:textId="033194F9" w:rsidR="007446AE" w:rsidRDefault="007446AE" w:rsidP="0021795D"/>
    <w:p w14:paraId="202CBAF9" w14:textId="6F0DA3DF" w:rsidR="007446AE" w:rsidRDefault="007446AE" w:rsidP="0021795D"/>
    <w:p w14:paraId="79548271" w14:textId="3A1D2090" w:rsidR="007446AE" w:rsidRDefault="007446AE" w:rsidP="0021795D"/>
    <w:p w14:paraId="0A77035E" w14:textId="12C8D277" w:rsidR="007446AE" w:rsidRDefault="007446AE" w:rsidP="0021795D"/>
    <w:p w14:paraId="3D3EE43D" w14:textId="30C6DD2A" w:rsidR="007446AE" w:rsidRDefault="007446AE" w:rsidP="0021795D"/>
    <w:p w14:paraId="581F6867" w14:textId="47F51095" w:rsidR="007446AE" w:rsidRDefault="007446AE" w:rsidP="0021795D"/>
    <w:p w14:paraId="1F8A03D1" w14:textId="0CC11AAE" w:rsidR="007446AE" w:rsidRDefault="007446AE" w:rsidP="0021795D"/>
    <w:p w14:paraId="67295010" w14:textId="36F16143" w:rsidR="007446AE" w:rsidRDefault="007446AE" w:rsidP="0021795D"/>
    <w:p w14:paraId="652D0CF2" w14:textId="0C56964E" w:rsidR="007446AE" w:rsidRDefault="007446AE" w:rsidP="0021795D"/>
    <w:p w14:paraId="70D0E182" w14:textId="18683AC1" w:rsidR="007446AE" w:rsidRDefault="007446AE" w:rsidP="0021795D"/>
    <w:p w14:paraId="71A2C1C5" w14:textId="17F0912E" w:rsidR="007446AE" w:rsidRDefault="007446AE" w:rsidP="0021795D"/>
    <w:p w14:paraId="02FE536D" w14:textId="71D33B89" w:rsidR="00E436F4" w:rsidRDefault="00E436F4" w:rsidP="0021795D"/>
    <w:p w14:paraId="4F9FE6CA" w14:textId="77777777" w:rsidR="00E436F4" w:rsidRDefault="00E436F4" w:rsidP="0021795D"/>
    <w:p w14:paraId="34A30745" w14:textId="77777777" w:rsidR="007446AE" w:rsidRDefault="007446AE" w:rsidP="0021795D"/>
    <w:p w14:paraId="763D9775" w14:textId="6D5AC1F9" w:rsidR="007446AE" w:rsidRDefault="007446AE" w:rsidP="007446AE">
      <w:pPr>
        <w:jc w:val="center"/>
        <w:rPr>
          <w:b/>
          <w:bCs/>
          <w:sz w:val="28"/>
          <w:szCs w:val="28"/>
          <w:u w:val="single"/>
        </w:rPr>
      </w:pPr>
      <w:r w:rsidRPr="007446AE">
        <w:rPr>
          <w:b/>
          <w:bCs/>
          <w:sz w:val="28"/>
          <w:szCs w:val="28"/>
          <w:u w:val="single"/>
        </w:rPr>
        <w:t xml:space="preserve">Rhestr cyfeirnodi </w:t>
      </w:r>
    </w:p>
    <w:p w14:paraId="4DD05A7A" w14:textId="4D2BDF40" w:rsidR="007446AE" w:rsidRDefault="007446AE" w:rsidP="007446AE">
      <w:pPr>
        <w:jc w:val="center"/>
        <w:rPr>
          <w:b/>
          <w:bCs/>
          <w:sz w:val="28"/>
          <w:szCs w:val="28"/>
          <w:u w:val="single"/>
        </w:rPr>
      </w:pPr>
    </w:p>
    <w:p w14:paraId="47B1C669" w14:textId="77777777" w:rsidR="007446AE" w:rsidRPr="00D24268" w:rsidRDefault="007446AE" w:rsidP="007446AE">
      <w:pPr>
        <w:pStyle w:val="NormalWeb"/>
        <w:rPr>
          <w:rFonts w:asciiTheme="minorHAnsi" w:hAnsiTheme="minorHAnsi" w:cstheme="minorHAnsi"/>
          <w:color w:val="000000"/>
        </w:rPr>
      </w:pPr>
      <w:r w:rsidRPr="00D24268">
        <w:rPr>
          <w:rFonts w:asciiTheme="minorHAnsi" w:hAnsiTheme="minorHAnsi" w:cstheme="minorHAnsi"/>
          <w:color w:val="000000"/>
        </w:rPr>
        <w:t>Adesope, O.O., Lavin, T., Thompson, T. and Ungerleider, C. (2010) ‘A systematic review and meta-analysis of the cognitive correlates of bilingualism’,</w:t>
      </w:r>
      <w:r w:rsidRPr="00D24268">
        <w:rPr>
          <w:rStyle w:val="apple-converted-space"/>
          <w:rFonts w:asciiTheme="minorHAnsi" w:hAnsiTheme="minorHAnsi" w:cstheme="minorHAnsi"/>
          <w:color w:val="000000"/>
        </w:rPr>
        <w:t> </w:t>
      </w:r>
      <w:r w:rsidRPr="00D24268">
        <w:rPr>
          <w:rStyle w:val="Emphasis"/>
          <w:rFonts w:asciiTheme="minorHAnsi" w:hAnsiTheme="minorHAnsi" w:cstheme="minorHAnsi"/>
          <w:color w:val="000000"/>
        </w:rPr>
        <w:t>Review of Educational Research</w:t>
      </w:r>
      <w:r w:rsidRPr="00D24268">
        <w:rPr>
          <w:rFonts w:asciiTheme="minorHAnsi" w:hAnsiTheme="minorHAnsi" w:cstheme="minorHAnsi"/>
          <w:color w:val="000000"/>
        </w:rPr>
        <w:t>, 80(2), pp. 207–245.</w:t>
      </w:r>
    </w:p>
    <w:p w14:paraId="0080CA18" w14:textId="57EF9195" w:rsidR="008332B8" w:rsidRPr="00033649" w:rsidRDefault="008332B8" w:rsidP="008332B8">
      <w:pPr>
        <w:pStyle w:val="NormalWeb"/>
        <w:rPr>
          <w:rFonts w:asciiTheme="minorHAnsi" w:hAnsiTheme="minorHAnsi" w:cstheme="minorHAnsi"/>
          <w:color w:val="000000"/>
        </w:rPr>
      </w:pPr>
      <w:r w:rsidRPr="00033649">
        <w:rPr>
          <w:rFonts w:asciiTheme="minorHAnsi" w:hAnsiTheme="minorHAnsi" w:cstheme="minorHAnsi"/>
          <w:color w:val="000000"/>
        </w:rPr>
        <w:t>Baker, C. and Wright, W.E. (2025</w:t>
      </w:r>
      <w:r>
        <w:rPr>
          <w:rFonts w:asciiTheme="minorHAnsi" w:hAnsiTheme="minorHAnsi" w:cstheme="minorHAnsi"/>
          <w:color w:val="000000"/>
        </w:rPr>
        <w:t>a</w:t>
      </w:r>
      <w:r w:rsidRPr="00033649">
        <w:rPr>
          <w:rFonts w:asciiTheme="minorHAnsi" w:hAnsiTheme="minorHAnsi" w:cstheme="minorHAnsi"/>
          <w:color w:val="000000"/>
        </w:rPr>
        <w:t>)</w:t>
      </w:r>
      <w:r w:rsidRPr="00033649">
        <w:rPr>
          <w:rStyle w:val="apple-converted-space"/>
          <w:rFonts w:asciiTheme="minorHAnsi" w:hAnsiTheme="minorHAnsi" w:cstheme="minorHAnsi"/>
          <w:color w:val="000000"/>
        </w:rPr>
        <w:t> </w:t>
      </w:r>
      <w:r w:rsidRPr="00033649">
        <w:rPr>
          <w:rStyle w:val="Emphasis"/>
          <w:rFonts w:asciiTheme="minorHAnsi" w:hAnsiTheme="minorHAnsi" w:cstheme="minorHAnsi"/>
          <w:color w:val="000000"/>
        </w:rPr>
        <w:t>Foundations of Bilingual Education and Bilingualism</w:t>
      </w:r>
      <w:r w:rsidRPr="00033649">
        <w:rPr>
          <w:rFonts w:asciiTheme="minorHAnsi" w:hAnsiTheme="minorHAnsi" w:cstheme="minorHAnsi"/>
          <w:color w:val="000000"/>
        </w:rPr>
        <w:t>. 8th edn. Bristol: Multilingual Matters.</w:t>
      </w:r>
    </w:p>
    <w:p w14:paraId="37E7CAA9" w14:textId="47C1998D" w:rsidR="008332B8" w:rsidRDefault="008332B8" w:rsidP="008332B8">
      <w:pPr>
        <w:pStyle w:val="NormalWeb"/>
        <w:rPr>
          <w:rFonts w:asciiTheme="minorHAnsi" w:hAnsiTheme="minorHAnsi" w:cstheme="minorHAnsi"/>
          <w:color w:val="000000"/>
        </w:rPr>
      </w:pPr>
      <w:r w:rsidRPr="00D24268">
        <w:rPr>
          <w:rFonts w:asciiTheme="minorHAnsi" w:hAnsiTheme="minorHAnsi" w:cstheme="minorHAnsi"/>
          <w:color w:val="000000"/>
        </w:rPr>
        <w:t>Bialystok, E. (2017) ‘The bilingual adaptation: How minds accommodate experience’,</w:t>
      </w:r>
      <w:r w:rsidRPr="00D24268">
        <w:rPr>
          <w:rStyle w:val="apple-converted-space"/>
          <w:rFonts w:asciiTheme="minorHAnsi" w:hAnsiTheme="minorHAnsi" w:cstheme="minorHAnsi"/>
          <w:color w:val="000000"/>
        </w:rPr>
        <w:t> </w:t>
      </w:r>
      <w:r w:rsidRPr="00D24268">
        <w:rPr>
          <w:rStyle w:val="Emphasis"/>
          <w:rFonts w:asciiTheme="minorHAnsi" w:hAnsiTheme="minorHAnsi" w:cstheme="minorHAnsi"/>
          <w:color w:val="000000"/>
        </w:rPr>
        <w:t>Psychological Bulletin</w:t>
      </w:r>
      <w:r w:rsidRPr="00D24268">
        <w:rPr>
          <w:rFonts w:asciiTheme="minorHAnsi" w:hAnsiTheme="minorHAnsi" w:cstheme="minorHAnsi"/>
          <w:color w:val="000000"/>
        </w:rPr>
        <w:t>, 143(3), pp. 233–262.</w:t>
      </w:r>
    </w:p>
    <w:p w14:paraId="69F53701" w14:textId="77777777" w:rsidR="008332B8" w:rsidRPr="00033649" w:rsidRDefault="008332B8" w:rsidP="008332B8">
      <w:pPr>
        <w:pStyle w:val="NormalWeb"/>
        <w:rPr>
          <w:rFonts w:asciiTheme="minorHAnsi" w:hAnsiTheme="minorHAnsi" w:cstheme="minorHAnsi"/>
          <w:color w:val="000000"/>
        </w:rPr>
      </w:pPr>
      <w:r w:rsidRPr="00033649">
        <w:rPr>
          <w:rFonts w:asciiTheme="minorHAnsi" w:hAnsiTheme="minorHAnsi" w:cstheme="minorHAnsi"/>
          <w:color w:val="000000"/>
        </w:rPr>
        <w:t>Booton, S.A., Hoicka, E., O’Grady, A., Chan, H.Y.N. and Murphy, V.A. (2021) ‘Children’s divergent thinking and bilingualism’,</w:t>
      </w:r>
      <w:r w:rsidRPr="00033649">
        <w:rPr>
          <w:rStyle w:val="apple-converted-space"/>
          <w:rFonts w:asciiTheme="minorHAnsi" w:hAnsiTheme="minorHAnsi" w:cstheme="minorHAnsi"/>
          <w:color w:val="000000"/>
        </w:rPr>
        <w:t> </w:t>
      </w:r>
      <w:r w:rsidRPr="00033649">
        <w:rPr>
          <w:rStyle w:val="Emphasis"/>
          <w:rFonts w:asciiTheme="minorHAnsi" w:hAnsiTheme="minorHAnsi" w:cstheme="minorHAnsi"/>
          <w:color w:val="000000"/>
        </w:rPr>
        <w:t>Thinking Skills and Creativity</w:t>
      </w:r>
      <w:r w:rsidRPr="00033649">
        <w:rPr>
          <w:rFonts w:asciiTheme="minorHAnsi" w:hAnsiTheme="minorHAnsi" w:cstheme="minorHAnsi"/>
          <w:color w:val="000000"/>
        </w:rPr>
        <w:t>, 41, 100918.</w:t>
      </w:r>
    </w:p>
    <w:p w14:paraId="1A91F930" w14:textId="77777777" w:rsidR="008332B8" w:rsidRPr="00D24268" w:rsidRDefault="008332B8" w:rsidP="008332B8">
      <w:pPr>
        <w:pStyle w:val="NormalWeb"/>
        <w:rPr>
          <w:rFonts w:asciiTheme="minorHAnsi" w:hAnsiTheme="minorHAnsi" w:cstheme="minorHAnsi"/>
          <w:color w:val="000000"/>
        </w:rPr>
      </w:pPr>
      <w:r w:rsidRPr="00D24268">
        <w:rPr>
          <w:rFonts w:asciiTheme="minorHAnsi" w:hAnsiTheme="minorHAnsi" w:cstheme="minorHAnsi"/>
          <w:color w:val="000000"/>
        </w:rPr>
        <w:t>Crivello, C., Kuzyk, O., Rodrigues, M., Friend, M., Zesiger, P. and Poulin-Dubois, D. (2016) ‘The effects of bilingual growth on toddlers’ executive function’,</w:t>
      </w:r>
      <w:r w:rsidRPr="00D24268">
        <w:rPr>
          <w:rStyle w:val="apple-converted-space"/>
          <w:rFonts w:asciiTheme="minorHAnsi" w:hAnsiTheme="minorHAnsi" w:cstheme="minorHAnsi"/>
          <w:color w:val="000000"/>
        </w:rPr>
        <w:t> </w:t>
      </w:r>
      <w:r w:rsidRPr="00D24268">
        <w:rPr>
          <w:rStyle w:val="Emphasis"/>
          <w:rFonts w:asciiTheme="minorHAnsi" w:hAnsiTheme="minorHAnsi" w:cstheme="minorHAnsi"/>
          <w:color w:val="000000"/>
        </w:rPr>
        <w:t>Journal of Experimental Child Psychology</w:t>
      </w:r>
      <w:r w:rsidRPr="00D24268">
        <w:rPr>
          <w:rFonts w:asciiTheme="minorHAnsi" w:hAnsiTheme="minorHAnsi" w:cstheme="minorHAnsi"/>
          <w:color w:val="000000"/>
        </w:rPr>
        <w:t>, 141, pp. 121–132.</w:t>
      </w:r>
    </w:p>
    <w:p w14:paraId="6787E238" w14:textId="163C6BCC" w:rsidR="008332B8" w:rsidRDefault="008332B8" w:rsidP="008332B8">
      <w:pPr>
        <w:pStyle w:val="NormalWeb"/>
        <w:rPr>
          <w:rFonts w:asciiTheme="minorHAnsi" w:hAnsiTheme="minorHAnsi" w:cstheme="minorHAnsi"/>
          <w:color w:val="000000"/>
        </w:rPr>
      </w:pPr>
      <w:r w:rsidRPr="00141F0C">
        <w:rPr>
          <w:rFonts w:asciiTheme="minorHAnsi" w:hAnsiTheme="minorHAnsi" w:cstheme="minorHAnsi"/>
          <w:color w:val="000000"/>
        </w:rPr>
        <w:t>Cummins, J. (2021)</w:t>
      </w:r>
      <w:r w:rsidRPr="00141F0C">
        <w:rPr>
          <w:rStyle w:val="apple-converted-space"/>
          <w:rFonts w:asciiTheme="minorHAnsi" w:hAnsiTheme="minorHAnsi" w:cstheme="minorHAnsi"/>
          <w:color w:val="000000"/>
        </w:rPr>
        <w:t> </w:t>
      </w:r>
      <w:r w:rsidRPr="00141F0C">
        <w:rPr>
          <w:rStyle w:val="Emphasis"/>
          <w:rFonts w:asciiTheme="minorHAnsi" w:hAnsiTheme="minorHAnsi" w:cstheme="minorHAnsi"/>
          <w:color w:val="000000"/>
        </w:rPr>
        <w:t>Rethinking the Education of Multilingual Learners: A Critical Analysis of Theoretical Concepts</w:t>
      </w:r>
      <w:r w:rsidRPr="00141F0C">
        <w:rPr>
          <w:rFonts w:asciiTheme="minorHAnsi" w:hAnsiTheme="minorHAnsi" w:cstheme="minorHAnsi"/>
          <w:color w:val="000000"/>
        </w:rPr>
        <w:t>. Bristol: Multilingual Matters.</w:t>
      </w:r>
    </w:p>
    <w:p w14:paraId="27001CCB" w14:textId="3CB39086" w:rsidR="009A7D27" w:rsidRDefault="009A7D27" w:rsidP="009A7D27">
      <w:pPr>
        <w:rPr>
          <w:rFonts w:eastAsia="Times New Roman" w:cstheme="minorHAnsi"/>
          <w:color w:val="000000"/>
          <w:lang w:eastAsia="en-GB"/>
        </w:rPr>
      </w:pPr>
      <w:r w:rsidRPr="005424AA">
        <w:rPr>
          <w:rFonts w:eastAsia="Times New Roman" w:cstheme="minorHAnsi"/>
          <w:color w:val="000000"/>
          <w:lang w:eastAsia="en-GB"/>
        </w:rPr>
        <w:t>Mudiad Meithrin (2023) </w:t>
      </w:r>
      <w:r w:rsidRPr="005424AA">
        <w:rPr>
          <w:rFonts w:eastAsia="Times New Roman" w:cstheme="minorHAnsi"/>
          <w:i/>
          <w:iCs/>
          <w:color w:val="000000"/>
          <w:lang w:eastAsia="en-GB"/>
        </w:rPr>
        <w:t>About us</w:t>
      </w:r>
      <w:r w:rsidRPr="005424AA">
        <w:rPr>
          <w:rFonts w:eastAsia="Times New Roman" w:cstheme="minorHAnsi"/>
          <w:color w:val="000000"/>
          <w:lang w:eastAsia="en-GB"/>
        </w:rPr>
        <w:t xml:space="preserve">. Available at: </w:t>
      </w:r>
      <w:hyperlink r:id="rId10" w:history="1">
        <w:r w:rsidRPr="005424AA">
          <w:rPr>
            <w:rStyle w:val="Hyperlink"/>
            <w:rFonts w:eastAsia="Times New Roman" w:cstheme="minorHAnsi"/>
            <w:lang w:eastAsia="en-GB"/>
          </w:rPr>
          <w:t>https://meithrin.cymru/for-supporters/about-us/?lang=en</w:t>
        </w:r>
      </w:hyperlink>
      <w:r w:rsidRPr="005424AA">
        <w:rPr>
          <w:rFonts w:eastAsia="Times New Roman" w:cstheme="minorHAnsi"/>
          <w:color w:val="000000"/>
          <w:lang w:eastAsia="en-GB"/>
        </w:rPr>
        <w:t xml:space="preserve"> </w:t>
      </w:r>
      <w:r>
        <w:rPr>
          <w:rFonts w:eastAsia="Times New Roman" w:cstheme="minorHAnsi"/>
          <w:color w:val="000000"/>
          <w:lang w:eastAsia="en-GB"/>
        </w:rPr>
        <w:t xml:space="preserve">(Accessed 20 March 2026) </w:t>
      </w:r>
    </w:p>
    <w:p w14:paraId="22106AD5" w14:textId="77777777" w:rsidR="009A7D27" w:rsidRPr="009A7D27" w:rsidRDefault="009A7D27" w:rsidP="009A7D27">
      <w:pPr>
        <w:rPr>
          <w:rFonts w:eastAsia="Times New Roman" w:cstheme="minorHAnsi"/>
          <w:lang w:eastAsia="en-GB"/>
        </w:rPr>
      </w:pPr>
    </w:p>
    <w:p w14:paraId="4412D34C" w14:textId="77777777" w:rsidR="009A7D27" w:rsidRPr="00141F0C" w:rsidRDefault="009A7D27" w:rsidP="009A7D27">
      <w:pPr>
        <w:rPr>
          <w:rFonts w:eastAsia="Times New Roman" w:cstheme="minorHAnsi"/>
          <w:color w:val="000000"/>
          <w:lang w:eastAsia="en-GB"/>
        </w:rPr>
      </w:pPr>
      <w:r w:rsidRPr="00141F0C">
        <w:rPr>
          <w:rFonts w:eastAsia="Times New Roman" w:cstheme="minorHAnsi"/>
          <w:color w:val="000000"/>
          <w:lang w:eastAsia="en-GB"/>
        </w:rPr>
        <w:t>Rhys, M. (2018) ‘The Welsh language in the Foundation Phase’, </w:t>
      </w:r>
      <w:r w:rsidRPr="00141F0C">
        <w:rPr>
          <w:rFonts w:eastAsia="Times New Roman" w:cstheme="minorHAnsi"/>
          <w:i/>
          <w:iCs/>
          <w:color w:val="000000"/>
          <w:lang w:eastAsia="en-GB"/>
        </w:rPr>
        <w:t>Gwerddon</w:t>
      </w:r>
      <w:r w:rsidRPr="00141F0C">
        <w:rPr>
          <w:rFonts w:eastAsia="Times New Roman" w:cstheme="minorHAnsi"/>
          <w:color w:val="000000"/>
          <w:lang w:eastAsia="en-GB"/>
        </w:rPr>
        <w:t>, 26(2).</w:t>
      </w:r>
    </w:p>
    <w:p w14:paraId="42B1D051" w14:textId="692C868B" w:rsidR="009A7D27" w:rsidRPr="00033649" w:rsidRDefault="009A7D27" w:rsidP="009A7D27">
      <w:pPr>
        <w:pStyle w:val="NormalWeb"/>
        <w:rPr>
          <w:rFonts w:asciiTheme="minorHAnsi" w:hAnsiTheme="minorHAnsi" w:cstheme="minorHAnsi"/>
          <w:color w:val="000000"/>
        </w:rPr>
      </w:pPr>
      <w:r w:rsidRPr="00033649">
        <w:rPr>
          <w:rFonts w:asciiTheme="minorHAnsi" w:hAnsiTheme="minorHAnsi" w:cstheme="minorHAnsi"/>
          <w:color w:val="000000"/>
        </w:rPr>
        <w:t>Smidt, S. (2016)</w:t>
      </w:r>
      <w:r w:rsidRPr="00033649">
        <w:rPr>
          <w:rStyle w:val="apple-converted-space"/>
          <w:rFonts w:asciiTheme="minorHAnsi" w:hAnsiTheme="minorHAnsi" w:cstheme="minorHAnsi"/>
          <w:color w:val="000000"/>
        </w:rPr>
        <w:t> </w:t>
      </w:r>
      <w:r w:rsidRPr="00033649">
        <w:rPr>
          <w:rStyle w:val="Emphasis"/>
          <w:rFonts w:asciiTheme="minorHAnsi" w:hAnsiTheme="minorHAnsi" w:cstheme="minorHAnsi"/>
          <w:color w:val="000000"/>
        </w:rPr>
        <w:t>Multilingualism in the Early Years: Extending the Limits of Our World</w:t>
      </w:r>
      <w:r w:rsidRPr="00033649">
        <w:rPr>
          <w:rFonts w:asciiTheme="minorHAnsi" w:hAnsiTheme="minorHAnsi" w:cstheme="minorHAnsi"/>
          <w:color w:val="000000"/>
        </w:rPr>
        <w:t>. London: Routledge.</w:t>
      </w:r>
    </w:p>
    <w:p w14:paraId="71CF461A" w14:textId="5A7EA660" w:rsidR="009A7D27" w:rsidRDefault="009A7D27" w:rsidP="009A7D27">
      <w:pPr>
        <w:rPr>
          <w:rFonts w:eastAsia="Times New Roman" w:cstheme="minorHAnsi"/>
          <w:color w:val="000000"/>
          <w:lang w:eastAsia="en-GB"/>
        </w:rPr>
      </w:pPr>
      <w:r w:rsidRPr="00141F0C">
        <w:rPr>
          <w:rFonts w:eastAsia="Times New Roman" w:cstheme="minorHAnsi"/>
          <w:color w:val="000000"/>
          <w:lang w:eastAsia="en-GB"/>
        </w:rPr>
        <w:t>Welsh Government (2022) </w:t>
      </w:r>
      <w:r w:rsidRPr="00141F0C">
        <w:rPr>
          <w:rFonts w:eastAsia="Times New Roman" w:cstheme="minorHAnsi"/>
          <w:i/>
          <w:iCs/>
          <w:color w:val="000000"/>
          <w:lang w:eastAsia="en-GB"/>
        </w:rPr>
        <w:t>Curriculum for Wales: Languages, Literacy and Communication Area of Learning and Experience</w:t>
      </w:r>
      <w:r w:rsidRPr="00141F0C">
        <w:rPr>
          <w:rFonts w:eastAsia="Times New Roman" w:cstheme="minorHAnsi"/>
          <w:color w:val="000000"/>
          <w:lang w:eastAsia="en-GB"/>
        </w:rPr>
        <w:t xml:space="preserve">. Available at: </w:t>
      </w:r>
      <w:hyperlink r:id="rId11" w:history="1">
        <w:r w:rsidRPr="00141F0C">
          <w:rPr>
            <w:rStyle w:val="Hyperlink"/>
            <w:rFonts w:eastAsia="Times New Roman" w:cstheme="minorHAnsi"/>
            <w:lang w:eastAsia="en-GB"/>
          </w:rPr>
          <w:t>https://hwb.gov.wales/curriculum-for-wales/languages-literacy-and-communication/</w:t>
        </w:r>
      </w:hyperlink>
      <w:r w:rsidRPr="00141F0C">
        <w:rPr>
          <w:rFonts w:eastAsia="Times New Roman" w:cstheme="minorHAnsi"/>
          <w:color w:val="000000"/>
          <w:lang w:eastAsia="en-GB"/>
        </w:rPr>
        <w:t xml:space="preserve"> </w:t>
      </w:r>
      <w:r>
        <w:rPr>
          <w:rFonts w:eastAsia="Times New Roman" w:cstheme="minorHAnsi"/>
          <w:color w:val="000000"/>
          <w:lang w:eastAsia="en-GB"/>
        </w:rPr>
        <w:t>(Accessed 16 March 2026)</w:t>
      </w:r>
    </w:p>
    <w:p w14:paraId="37C151C6" w14:textId="77777777" w:rsidR="009A7D27" w:rsidRPr="00141F0C" w:rsidRDefault="009A7D27" w:rsidP="009A7D27">
      <w:pPr>
        <w:rPr>
          <w:rFonts w:eastAsia="Times New Roman" w:cstheme="minorHAnsi"/>
          <w:color w:val="000000"/>
          <w:lang w:eastAsia="en-GB"/>
        </w:rPr>
      </w:pPr>
    </w:p>
    <w:p w14:paraId="0E6AFC5D" w14:textId="3C2E1D89" w:rsidR="009A7D27" w:rsidRPr="00141F0C" w:rsidRDefault="009A7D27" w:rsidP="009A7D27">
      <w:pPr>
        <w:rPr>
          <w:rFonts w:eastAsia="Times New Roman" w:cstheme="minorHAnsi"/>
          <w:lang w:eastAsia="en-GB"/>
        </w:rPr>
      </w:pPr>
      <w:r w:rsidRPr="00141F0C">
        <w:rPr>
          <w:rFonts w:eastAsia="Times New Roman" w:cstheme="minorHAnsi"/>
          <w:color w:val="000000"/>
          <w:lang w:eastAsia="en-GB"/>
        </w:rPr>
        <w:t>Welsh Government (2023) </w:t>
      </w:r>
      <w:r w:rsidRPr="00141F0C">
        <w:rPr>
          <w:rFonts w:eastAsia="Times New Roman" w:cstheme="minorHAnsi"/>
          <w:i/>
          <w:iCs/>
          <w:color w:val="000000"/>
          <w:lang w:eastAsia="en-GB"/>
        </w:rPr>
        <w:t>Curriculum for Wales guidance</w:t>
      </w:r>
      <w:r w:rsidRPr="00141F0C">
        <w:rPr>
          <w:rFonts w:eastAsia="Times New Roman" w:cstheme="minorHAnsi"/>
          <w:color w:val="000000"/>
          <w:lang w:eastAsia="en-GB"/>
        </w:rPr>
        <w:t xml:space="preserve">. Available at: </w:t>
      </w:r>
      <w:hyperlink r:id="rId12" w:history="1">
        <w:r w:rsidRPr="00141F0C">
          <w:rPr>
            <w:rStyle w:val="Hyperlink"/>
            <w:rFonts w:eastAsia="Times New Roman" w:cstheme="minorHAnsi"/>
            <w:lang w:eastAsia="en-GB"/>
          </w:rPr>
          <w:t>https://hwb.gov.wales/api/storage/18d0d2f1-0563-4945-a889-d1548ae24c4e/curriculum-for-wales-guidance.pdf</w:t>
        </w:r>
      </w:hyperlink>
      <w:r w:rsidRPr="00141F0C">
        <w:rPr>
          <w:rFonts w:eastAsia="Times New Roman" w:cstheme="minorHAnsi"/>
          <w:color w:val="000000"/>
          <w:lang w:eastAsia="en-GB"/>
        </w:rPr>
        <w:t xml:space="preserve"> </w:t>
      </w:r>
      <w:r>
        <w:rPr>
          <w:rFonts w:eastAsia="Times New Roman" w:cstheme="minorHAnsi"/>
          <w:color w:val="000000"/>
          <w:lang w:eastAsia="en-GB"/>
        </w:rPr>
        <w:t>(Accessed 16 March 2026)</w:t>
      </w:r>
    </w:p>
    <w:p w14:paraId="396030AF" w14:textId="77777777" w:rsidR="009A7D27" w:rsidRPr="00141F0C" w:rsidRDefault="009A7D27" w:rsidP="009A7D27">
      <w:pPr>
        <w:rPr>
          <w:rFonts w:eastAsia="Times New Roman" w:cstheme="minorHAnsi"/>
          <w:lang w:eastAsia="en-GB"/>
        </w:rPr>
      </w:pPr>
    </w:p>
    <w:p w14:paraId="3A388C8E" w14:textId="1021805A" w:rsidR="009A7D27" w:rsidRPr="00141F0C" w:rsidRDefault="009A7D27" w:rsidP="009A7D27">
      <w:pPr>
        <w:rPr>
          <w:rFonts w:eastAsia="Times New Roman" w:cstheme="minorHAnsi"/>
          <w:lang w:eastAsia="en-GB"/>
        </w:rPr>
      </w:pPr>
      <w:r w:rsidRPr="00141F0C">
        <w:rPr>
          <w:rFonts w:eastAsia="Times New Roman" w:cstheme="minorHAnsi"/>
          <w:color w:val="000000"/>
          <w:lang w:eastAsia="en-GB"/>
        </w:rPr>
        <w:t>Welsh Government (2025) </w:t>
      </w:r>
      <w:r w:rsidRPr="00141F0C">
        <w:rPr>
          <w:rFonts w:eastAsia="Times New Roman" w:cstheme="minorHAnsi"/>
          <w:i/>
          <w:iCs/>
          <w:color w:val="000000"/>
          <w:lang w:eastAsia="en-GB"/>
        </w:rPr>
        <w:t>Cymraeg 2050: Welsh language strategy action plan 2025 to 2026</w:t>
      </w:r>
      <w:r w:rsidRPr="00141F0C">
        <w:rPr>
          <w:rFonts w:eastAsia="Times New Roman" w:cstheme="minorHAnsi"/>
          <w:color w:val="000000"/>
          <w:lang w:eastAsia="en-GB"/>
        </w:rPr>
        <w:t>.</w:t>
      </w:r>
      <w:r w:rsidRPr="00033649">
        <w:rPr>
          <w:rFonts w:eastAsia="Times New Roman" w:cstheme="minorHAnsi"/>
          <w:color w:val="000000"/>
          <w:lang w:eastAsia="en-GB"/>
        </w:rPr>
        <w:t xml:space="preserve"> Available at: </w:t>
      </w:r>
      <w:hyperlink r:id="rId13" w:history="1">
        <w:r w:rsidRPr="00033649">
          <w:rPr>
            <w:rStyle w:val="Hyperlink"/>
            <w:rFonts w:eastAsia="Times New Roman" w:cstheme="minorHAnsi"/>
            <w:lang w:eastAsia="en-GB"/>
          </w:rPr>
          <w:t>https://www.gov.wales/cymraeg-2050-welsh-language-strategy-action-plan-2025-2026-html</w:t>
        </w:r>
      </w:hyperlink>
      <w:r w:rsidRPr="00033649">
        <w:rPr>
          <w:rFonts w:eastAsia="Times New Roman" w:cstheme="minorHAnsi"/>
          <w:color w:val="000000"/>
          <w:lang w:eastAsia="en-GB"/>
        </w:rPr>
        <w:t xml:space="preserve"> </w:t>
      </w:r>
      <w:r>
        <w:rPr>
          <w:rFonts w:eastAsia="Times New Roman" w:cstheme="minorHAnsi"/>
          <w:color w:val="000000"/>
          <w:lang w:eastAsia="en-GB"/>
        </w:rPr>
        <w:t>(Accessed 16 March 2026)</w:t>
      </w:r>
    </w:p>
    <w:p w14:paraId="2674FB67" w14:textId="77777777" w:rsidR="009A7D27" w:rsidRPr="00141F0C" w:rsidRDefault="009A7D27" w:rsidP="009A7D27">
      <w:pPr>
        <w:rPr>
          <w:rFonts w:eastAsia="Times New Roman" w:cstheme="minorHAnsi"/>
          <w:lang w:eastAsia="en-GB"/>
        </w:rPr>
      </w:pPr>
    </w:p>
    <w:p w14:paraId="70DD73C2" w14:textId="77777777" w:rsidR="009A7D27" w:rsidRPr="00033649" w:rsidRDefault="009A7D27" w:rsidP="009A7D27">
      <w:pPr>
        <w:rPr>
          <w:rFonts w:eastAsia="Times New Roman" w:cstheme="minorHAnsi"/>
          <w:lang w:eastAsia="en-GB"/>
        </w:rPr>
      </w:pPr>
    </w:p>
    <w:p w14:paraId="7AAED568" w14:textId="5B9AFC95" w:rsidR="009A7D27" w:rsidRPr="005424AA" w:rsidRDefault="009A7D27" w:rsidP="009A7D27">
      <w:pPr>
        <w:rPr>
          <w:rFonts w:eastAsia="Times New Roman" w:cstheme="minorHAnsi"/>
          <w:color w:val="000000"/>
          <w:lang w:eastAsia="en-GB"/>
        </w:rPr>
      </w:pPr>
      <w:r w:rsidRPr="005424AA">
        <w:rPr>
          <w:rFonts w:eastAsia="Times New Roman" w:cstheme="minorHAnsi"/>
          <w:color w:val="000000"/>
          <w:lang w:eastAsia="en-GB"/>
        </w:rPr>
        <w:t>Welsh Government (2022) </w:t>
      </w:r>
      <w:r w:rsidRPr="005424AA">
        <w:rPr>
          <w:rFonts w:eastAsia="Times New Roman" w:cstheme="minorHAnsi"/>
          <w:i/>
          <w:iCs/>
          <w:color w:val="000000"/>
          <w:lang w:eastAsia="en-GB"/>
        </w:rPr>
        <w:t>Curriculum for Wales guidance</w:t>
      </w:r>
      <w:r w:rsidRPr="005424AA">
        <w:rPr>
          <w:rFonts w:eastAsia="Times New Roman" w:cstheme="minorHAnsi"/>
          <w:color w:val="000000"/>
          <w:lang w:eastAsia="en-GB"/>
        </w:rPr>
        <w:t xml:space="preserve">. Available at: </w:t>
      </w:r>
      <w:hyperlink r:id="rId14" w:history="1">
        <w:r w:rsidRPr="005424AA">
          <w:rPr>
            <w:rStyle w:val="Hyperlink"/>
            <w:rFonts w:eastAsia="Times New Roman" w:cstheme="minorHAnsi"/>
            <w:lang w:eastAsia="en-GB"/>
          </w:rPr>
          <w:t>https://hwb.gov.wales/storage/f8f9760c-64a1-48ea-80fd-db130ad9050b/a-guide-to-curriculum-for-wales-2022.pdf</w:t>
        </w:r>
      </w:hyperlink>
      <w:r w:rsidRPr="005424AA">
        <w:rPr>
          <w:rFonts w:eastAsia="Times New Roman" w:cstheme="minorHAnsi"/>
          <w:color w:val="000000"/>
          <w:lang w:eastAsia="en-GB"/>
        </w:rPr>
        <w:t xml:space="preserve"> </w:t>
      </w:r>
      <w:r>
        <w:rPr>
          <w:rFonts w:eastAsia="Times New Roman" w:cstheme="minorHAnsi"/>
          <w:color w:val="000000"/>
          <w:lang w:eastAsia="en-GB"/>
        </w:rPr>
        <w:t>(Accessed 16 March 2026)</w:t>
      </w:r>
    </w:p>
    <w:p w14:paraId="203DE168" w14:textId="77777777" w:rsidR="009A7D27" w:rsidRPr="005424AA" w:rsidRDefault="009A7D27" w:rsidP="009A7D27">
      <w:pPr>
        <w:rPr>
          <w:rFonts w:eastAsia="Times New Roman" w:cstheme="minorHAnsi"/>
          <w:color w:val="000000"/>
          <w:lang w:eastAsia="en-GB"/>
        </w:rPr>
      </w:pPr>
    </w:p>
    <w:p w14:paraId="00FD188B" w14:textId="3024CDBC" w:rsidR="009A7D27" w:rsidRPr="005424AA" w:rsidRDefault="009A7D27" w:rsidP="009A7D27">
      <w:pPr>
        <w:rPr>
          <w:rFonts w:eastAsia="Times New Roman" w:cstheme="minorHAnsi"/>
          <w:color w:val="000000"/>
          <w:lang w:eastAsia="en-GB"/>
        </w:rPr>
      </w:pPr>
      <w:r w:rsidRPr="005424AA">
        <w:rPr>
          <w:rFonts w:eastAsia="Times New Roman" w:cstheme="minorHAnsi"/>
          <w:color w:val="000000"/>
          <w:lang w:eastAsia="en-GB"/>
        </w:rPr>
        <w:t>Welsh Government (2017) </w:t>
      </w:r>
      <w:r w:rsidRPr="005424AA">
        <w:rPr>
          <w:rFonts w:eastAsia="Times New Roman" w:cstheme="minorHAnsi"/>
          <w:i/>
          <w:iCs/>
          <w:color w:val="000000"/>
          <w:lang w:eastAsia="en-GB"/>
        </w:rPr>
        <w:t>Cymraeg 2050: A million Welsh speakers</w:t>
      </w:r>
      <w:r w:rsidRPr="005424AA">
        <w:rPr>
          <w:rFonts w:eastAsia="Times New Roman" w:cstheme="minorHAnsi"/>
          <w:color w:val="000000"/>
          <w:lang w:eastAsia="en-GB"/>
        </w:rPr>
        <w:t xml:space="preserve">. Available at: </w:t>
      </w:r>
      <w:hyperlink r:id="rId15" w:history="1">
        <w:r w:rsidRPr="005424AA">
          <w:rPr>
            <w:rStyle w:val="Hyperlink"/>
            <w:rFonts w:eastAsia="Times New Roman" w:cstheme="minorHAnsi"/>
            <w:lang w:eastAsia="en-GB"/>
          </w:rPr>
          <w:t>https://www.gov.wales/sites/default/files/publications/2018-12/cymraeg-2050-welsh-language-strategy.pdf</w:t>
        </w:r>
      </w:hyperlink>
      <w:r w:rsidRPr="005424AA">
        <w:rPr>
          <w:rFonts w:eastAsia="Times New Roman" w:cstheme="minorHAnsi"/>
          <w:color w:val="000000"/>
          <w:lang w:eastAsia="en-GB"/>
        </w:rPr>
        <w:t xml:space="preserve"> </w:t>
      </w:r>
      <w:r>
        <w:rPr>
          <w:rFonts w:eastAsia="Times New Roman" w:cstheme="minorHAnsi"/>
          <w:color w:val="000000"/>
          <w:lang w:eastAsia="en-GB"/>
        </w:rPr>
        <w:t>(Accessed 16 March 2026)</w:t>
      </w:r>
    </w:p>
    <w:p w14:paraId="08A34419" w14:textId="77777777" w:rsidR="009A7D27" w:rsidRPr="005424AA" w:rsidRDefault="009A7D27" w:rsidP="009A7D27">
      <w:pPr>
        <w:rPr>
          <w:rFonts w:eastAsia="Times New Roman" w:cstheme="minorHAnsi"/>
          <w:color w:val="000000"/>
          <w:lang w:eastAsia="en-GB"/>
        </w:rPr>
      </w:pPr>
    </w:p>
    <w:p w14:paraId="7A781E04" w14:textId="30B8B2ED" w:rsidR="009A7D27" w:rsidRPr="005424AA" w:rsidRDefault="009A7D27" w:rsidP="009A7D27">
      <w:pPr>
        <w:rPr>
          <w:rFonts w:eastAsia="Times New Roman" w:cstheme="minorHAnsi"/>
          <w:lang w:eastAsia="en-GB"/>
        </w:rPr>
      </w:pPr>
      <w:r w:rsidRPr="005424AA">
        <w:rPr>
          <w:rFonts w:eastAsia="Times New Roman" w:cstheme="minorHAnsi"/>
          <w:color w:val="000000"/>
          <w:lang w:eastAsia="en-GB"/>
        </w:rPr>
        <w:t>Welsh Government (2023) </w:t>
      </w:r>
      <w:r w:rsidRPr="005424AA">
        <w:rPr>
          <w:rFonts w:eastAsia="Times New Roman" w:cstheme="minorHAnsi"/>
          <w:i/>
          <w:iCs/>
          <w:color w:val="000000"/>
          <w:lang w:eastAsia="en-GB"/>
        </w:rPr>
        <w:t>Flying Start: Guidance for local authorities</w:t>
      </w:r>
      <w:r w:rsidRPr="005424AA">
        <w:rPr>
          <w:rFonts w:eastAsia="Times New Roman" w:cstheme="minorHAnsi"/>
          <w:color w:val="000000"/>
          <w:lang w:eastAsia="en-GB"/>
        </w:rPr>
        <w:t xml:space="preserve">. Available at : </w:t>
      </w:r>
      <w:hyperlink r:id="rId16" w:history="1">
        <w:r w:rsidRPr="005424AA">
          <w:rPr>
            <w:rStyle w:val="Hyperlink"/>
            <w:rFonts w:eastAsia="Times New Roman" w:cstheme="minorHAnsi"/>
            <w:lang w:eastAsia="en-GB"/>
          </w:rPr>
          <w:t>https://www.gov.wales/flying-start-outreach-guidance-local-authorities-html</w:t>
        </w:r>
      </w:hyperlink>
      <w:r w:rsidRPr="005424AA">
        <w:rPr>
          <w:rFonts w:eastAsia="Times New Roman" w:cstheme="minorHAnsi"/>
          <w:color w:val="000000"/>
          <w:lang w:eastAsia="en-GB"/>
        </w:rPr>
        <w:t xml:space="preserve"> </w:t>
      </w:r>
      <w:r>
        <w:rPr>
          <w:rFonts w:eastAsia="Times New Roman" w:cstheme="minorHAnsi"/>
          <w:color w:val="000000"/>
          <w:lang w:eastAsia="en-GB"/>
        </w:rPr>
        <w:t>(Accessed 16 March 2026)</w:t>
      </w:r>
    </w:p>
    <w:p w14:paraId="0CB72AE4" w14:textId="77777777" w:rsidR="008332B8" w:rsidRPr="00D24268" w:rsidRDefault="008332B8" w:rsidP="008332B8">
      <w:pPr>
        <w:pStyle w:val="NormalWeb"/>
        <w:rPr>
          <w:rFonts w:asciiTheme="minorHAnsi" w:hAnsiTheme="minorHAnsi" w:cstheme="minorHAnsi"/>
          <w:color w:val="000000"/>
        </w:rPr>
      </w:pPr>
    </w:p>
    <w:p w14:paraId="154A632E" w14:textId="77777777" w:rsidR="008332B8" w:rsidRPr="00D24268" w:rsidRDefault="008332B8" w:rsidP="008332B8">
      <w:pPr>
        <w:pStyle w:val="NormalWeb"/>
        <w:rPr>
          <w:rFonts w:asciiTheme="minorHAnsi" w:hAnsiTheme="minorHAnsi" w:cstheme="minorHAnsi"/>
          <w:color w:val="000000"/>
        </w:rPr>
      </w:pPr>
    </w:p>
    <w:p w14:paraId="62BDC6C9" w14:textId="77777777" w:rsidR="008332B8" w:rsidRPr="00033649" w:rsidRDefault="008332B8" w:rsidP="008332B8">
      <w:pPr>
        <w:pStyle w:val="NormalWeb"/>
        <w:rPr>
          <w:rFonts w:asciiTheme="minorHAnsi" w:hAnsiTheme="minorHAnsi" w:cstheme="minorHAnsi"/>
          <w:color w:val="000000"/>
        </w:rPr>
      </w:pPr>
    </w:p>
    <w:p w14:paraId="2720676E" w14:textId="77777777" w:rsidR="007446AE" w:rsidRPr="007446AE" w:rsidRDefault="007446AE" w:rsidP="007446AE"/>
    <w:sectPr w:rsidR="007446AE" w:rsidRPr="007446AE" w:rsidSect="00103E51">
      <w:headerReference w:type="default" r:id="rId17"/>
      <w:footerReference w:type="even" r:id="rId18"/>
      <w:footerReference w:type="default" r:id="rId19"/>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5DB9D8" w14:textId="77777777" w:rsidR="00334C8A" w:rsidRDefault="00334C8A" w:rsidP="007666EA">
      <w:r>
        <w:separator/>
      </w:r>
    </w:p>
  </w:endnote>
  <w:endnote w:type="continuationSeparator" w:id="0">
    <w:p w14:paraId="63F0B02F" w14:textId="77777777" w:rsidR="00334C8A" w:rsidRDefault="00334C8A" w:rsidP="007666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14748448"/>
      <w:docPartObj>
        <w:docPartGallery w:val="Page Numbers (Bottom of Page)"/>
        <w:docPartUnique/>
      </w:docPartObj>
    </w:sdtPr>
    <w:sdtEndPr>
      <w:rPr>
        <w:rStyle w:val="PageNumber"/>
      </w:rPr>
    </w:sdtEndPr>
    <w:sdtContent>
      <w:p w14:paraId="2654075E" w14:textId="49EE17DF" w:rsidR="002016C7" w:rsidRDefault="002016C7" w:rsidP="00AE65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B5FBC94" w14:textId="77777777" w:rsidR="007666EA" w:rsidRDefault="007666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67534002"/>
      <w:docPartObj>
        <w:docPartGallery w:val="Page Numbers (Bottom of Page)"/>
        <w:docPartUnique/>
      </w:docPartObj>
    </w:sdtPr>
    <w:sdtEndPr>
      <w:rPr>
        <w:rStyle w:val="PageNumber"/>
      </w:rPr>
    </w:sdtEndPr>
    <w:sdtContent>
      <w:p w14:paraId="36E01B43" w14:textId="57AC84B9" w:rsidR="002016C7" w:rsidRDefault="002016C7" w:rsidP="00AE65A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7C7ED4CA" w14:textId="77777777" w:rsidR="007666EA" w:rsidRDefault="007666E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BC131D" w14:textId="77777777" w:rsidR="00334C8A" w:rsidRDefault="00334C8A" w:rsidP="007666EA">
      <w:r>
        <w:separator/>
      </w:r>
    </w:p>
  </w:footnote>
  <w:footnote w:type="continuationSeparator" w:id="0">
    <w:p w14:paraId="55FB7E9D" w14:textId="77777777" w:rsidR="00334C8A" w:rsidRDefault="00334C8A" w:rsidP="007666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0D8F0" w14:textId="7D8A3509" w:rsidR="007666EA" w:rsidRDefault="007666EA">
    <w:pPr>
      <w:pStyle w:val="Header"/>
    </w:pPr>
    <w:r>
      <w:t xml:space="preserve">ECEY4010/C                                                                                                            Cyfrif geiriau: </w:t>
    </w:r>
    <w:r w:rsidR="00693593">
      <w:t>1</w:t>
    </w:r>
    <w:r w:rsidR="00103E51">
      <w:t>,</w:t>
    </w:r>
    <w:r w:rsidR="007446AE">
      <w:t>636</w:t>
    </w:r>
  </w:p>
  <w:p w14:paraId="0FDD27E3" w14:textId="63EC667C" w:rsidR="007666EA" w:rsidRDefault="007666EA">
    <w:pPr>
      <w:pStyle w:val="Header"/>
    </w:pPr>
    <w:r>
      <w:t xml:space="preserve">2508409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56DD"/>
    <w:rsid w:val="00057F96"/>
    <w:rsid w:val="00103E51"/>
    <w:rsid w:val="00184B52"/>
    <w:rsid w:val="002016C7"/>
    <w:rsid w:val="0021795D"/>
    <w:rsid w:val="00271124"/>
    <w:rsid w:val="00334C8A"/>
    <w:rsid w:val="00355EAE"/>
    <w:rsid w:val="00536A22"/>
    <w:rsid w:val="00580B1D"/>
    <w:rsid w:val="00693593"/>
    <w:rsid w:val="00693BBF"/>
    <w:rsid w:val="007446AE"/>
    <w:rsid w:val="007637A9"/>
    <w:rsid w:val="007666EA"/>
    <w:rsid w:val="007F74E8"/>
    <w:rsid w:val="008332B8"/>
    <w:rsid w:val="00851322"/>
    <w:rsid w:val="008C017A"/>
    <w:rsid w:val="009A7D27"/>
    <w:rsid w:val="00A80358"/>
    <w:rsid w:val="00B018CA"/>
    <w:rsid w:val="00B656DD"/>
    <w:rsid w:val="00BA41AB"/>
    <w:rsid w:val="00D769B0"/>
    <w:rsid w:val="00E436F4"/>
    <w:rsid w:val="00EA4D8E"/>
    <w:rsid w:val="00F532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E802E53"/>
  <w15:chartTrackingRefBased/>
  <w15:docId w15:val="{E76954CF-65FC-5C4A-B4D8-1B099E3160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666EA"/>
    <w:rPr>
      <w:color w:val="0563C1" w:themeColor="hyperlink"/>
      <w:u w:val="single"/>
    </w:rPr>
  </w:style>
  <w:style w:type="paragraph" w:styleId="Header">
    <w:name w:val="header"/>
    <w:basedOn w:val="Normal"/>
    <w:link w:val="HeaderChar"/>
    <w:uiPriority w:val="99"/>
    <w:unhideWhenUsed/>
    <w:rsid w:val="007666EA"/>
    <w:pPr>
      <w:tabs>
        <w:tab w:val="center" w:pos="4513"/>
        <w:tab w:val="right" w:pos="9026"/>
      </w:tabs>
    </w:pPr>
  </w:style>
  <w:style w:type="character" w:customStyle="1" w:styleId="HeaderChar">
    <w:name w:val="Header Char"/>
    <w:basedOn w:val="DefaultParagraphFont"/>
    <w:link w:val="Header"/>
    <w:uiPriority w:val="99"/>
    <w:rsid w:val="007666EA"/>
  </w:style>
  <w:style w:type="paragraph" w:styleId="Footer">
    <w:name w:val="footer"/>
    <w:basedOn w:val="Normal"/>
    <w:link w:val="FooterChar"/>
    <w:uiPriority w:val="99"/>
    <w:unhideWhenUsed/>
    <w:rsid w:val="007666EA"/>
    <w:pPr>
      <w:tabs>
        <w:tab w:val="center" w:pos="4513"/>
        <w:tab w:val="right" w:pos="9026"/>
      </w:tabs>
    </w:pPr>
  </w:style>
  <w:style w:type="character" w:customStyle="1" w:styleId="FooterChar">
    <w:name w:val="Footer Char"/>
    <w:basedOn w:val="DefaultParagraphFont"/>
    <w:link w:val="Footer"/>
    <w:uiPriority w:val="99"/>
    <w:rsid w:val="007666EA"/>
  </w:style>
  <w:style w:type="character" w:styleId="PageNumber">
    <w:name w:val="page number"/>
    <w:basedOn w:val="DefaultParagraphFont"/>
    <w:uiPriority w:val="99"/>
    <w:semiHidden/>
    <w:unhideWhenUsed/>
    <w:rsid w:val="002016C7"/>
  </w:style>
  <w:style w:type="character" w:styleId="FollowedHyperlink">
    <w:name w:val="FollowedHyperlink"/>
    <w:basedOn w:val="DefaultParagraphFont"/>
    <w:uiPriority w:val="99"/>
    <w:semiHidden/>
    <w:unhideWhenUsed/>
    <w:rsid w:val="0021795D"/>
    <w:rPr>
      <w:color w:val="954F72" w:themeColor="followedHyperlink"/>
      <w:u w:val="single"/>
    </w:rPr>
  </w:style>
  <w:style w:type="paragraph" w:styleId="NormalWeb">
    <w:name w:val="Normal (Web)"/>
    <w:basedOn w:val="Normal"/>
    <w:uiPriority w:val="99"/>
    <w:semiHidden/>
    <w:unhideWhenUsed/>
    <w:rsid w:val="007446AE"/>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7446AE"/>
  </w:style>
  <w:style w:type="character" w:styleId="Emphasis">
    <w:name w:val="Emphasis"/>
    <w:basedOn w:val="DefaultParagraphFont"/>
    <w:uiPriority w:val="20"/>
    <w:qFormat/>
    <w:rsid w:val="007446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93674">
      <w:bodyDiv w:val="1"/>
      <w:marLeft w:val="0"/>
      <w:marRight w:val="0"/>
      <w:marTop w:val="0"/>
      <w:marBottom w:val="0"/>
      <w:divBdr>
        <w:top w:val="none" w:sz="0" w:space="0" w:color="auto"/>
        <w:left w:val="none" w:sz="0" w:space="0" w:color="auto"/>
        <w:bottom w:val="none" w:sz="0" w:space="0" w:color="auto"/>
        <w:right w:val="none" w:sz="0" w:space="0" w:color="auto"/>
      </w:divBdr>
    </w:div>
    <w:div w:id="229967415">
      <w:bodyDiv w:val="1"/>
      <w:marLeft w:val="0"/>
      <w:marRight w:val="0"/>
      <w:marTop w:val="0"/>
      <w:marBottom w:val="0"/>
      <w:divBdr>
        <w:top w:val="none" w:sz="0" w:space="0" w:color="auto"/>
        <w:left w:val="none" w:sz="0" w:space="0" w:color="auto"/>
        <w:bottom w:val="none" w:sz="0" w:space="0" w:color="auto"/>
        <w:right w:val="none" w:sz="0" w:space="0" w:color="auto"/>
      </w:divBdr>
    </w:div>
    <w:div w:id="649024309">
      <w:bodyDiv w:val="1"/>
      <w:marLeft w:val="0"/>
      <w:marRight w:val="0"/>
      <w:marTop w:val="0"/>
      <w:marBottom w:val="0"/>
      <w:divBdr>
        <w:top w:val="none" w:sz="0" w:space="0" w:color="auto"/>
        <w:left w:val="none" w:sz="0" w:space="0" w:color="auto"/>
        <w:bottom w:val="none" w:sz="0" w:space="0" w:color="auto"/>
        <w:right w:val="none" w:sz="0" w:space="0" w:color="auto"/>
      </w:divBdr>
    </w:div>
    <w:div w:id="690302604">
      <w:bodyDiv w:val="1"/>
      <w:marLeft w:val="0"/>
      <w:marRight w:val="0"/>
      <w:marTop w:val="0"/>
      <w:marBottom w:val="0"/>
      <w:divBdr>
        <w:top w:val="none" w:sz="0" w:space="0" w:color="auto"/>
        <w:left w:val="none" w:sz="0" w:space="0" w:color="auto"/>
        <w:bottom w:val="none" w:sz="0" w:space="0" w:color="auto"/>
        <w:right w:val="none" w:sz="0" w:space="0" w:color="auto"/>
      </w:divBdr>
    </w:div>
    <w:div w:id="934945732">
      <w:bodyDiv w:val="1"/>
      <w:marLeft w:val="0"/>
      <w:marRight w:val="0"/>
      <w:marTop w:val="0"/>
      <w:marBottom w:val="0"/>
      <w:divBdr>
        <w:top w:val="none" w:sz="0" w:space="0" w:color="auto"/>
        <w:left w:val="none" w:sz="0" w:space="0" w:color="auto"/>
        <w:bottom w:val="none" w:sz="0" w:space="0" w:color="auto"/>
        <w:right w:val="none" w:sz="0" w:space="0" w:color="auto"/>
      </w:divBdr>
    </w:div>
    <w:div w:id="1003513125">
      <w:bodyDiv w:val="1"/>
      <w:marLeft w:val="0"/>
      <w:marRight w:val="0"/>
      <w:marTop w:val="0"/>
      <w:marBottom w:val="0"/>
      <w:divBdr>
        <w:top w:val="none" w:sz="0" w:space="0" w:color="auto"/>
        <w:left w:val="none" w:sz="0" w:space="0" w:color="auto"/>
        <w:bottom w:val="none" w:sz="0" w:space="0" w:color="auto"/>
        <w:right w:val="none" w:sz="0" w:space="0" w:color="auto"/>
      </w:divBdr>
    </w:div>
    <w:div w:id="1128858216">
      <w:bodyDiv w:val="1"/>
      <w:marLeft w:val="0"/>
      <w:marRight w:val="0"/>
      <w:marTop w:val="0"/>
      <w:marBottom w:val="0"/>
      <w:divBdr>
        <w:top w:val="none" w:sz="0" w:space="0" w:color="auto"/>
        <w:left w:val="none" w:sz="0" w:space="0" w:color="auto"/>
        <w:bottom w:val="none" w:sz="0" w:space="0" w:color="auto"/>
        <w:right w:val="none" w:sz="0" w:space="0" w:color="auto"/>
      </w:divBdr>
    </w:div>
    <w:div w:id="1250694429">
      <w:bodyDiv w:val="1"/>
      <w:marLeft w:val="0"/>
      <w:marRight w:val="0"/>
      <w:marTop w:val="0"/>
      <w:marBottom w:val="0"/>
      <w:divBdr>
        <w:top w:val="none" w:sz="0" w:space="0" w:color="auto"/>
        <w:left w:val="none" w:sz="0" w:space="0" w:color="auto"/>
        <w:bottom w:val="none" w:sz="0" w:space="0" w:color="auto"/>
        <w:right w:val="none" w:sz="0" w:space="0" w:color="auto"/>
      </w:divBdr>
    </w:div>
    <w:div w:id="1260213434">
      <w:bodyDiv w:val="1"/>
      <w:marLeft w:val="0"/>
      <w:marRight w:val="0"/>
      <w:marTop w:val="0"/>
      <w:marBottom w:val="0"/>
      <w:divBdr>
        <w:top w:val="none" w:sz="0" w:space="0" w:color="auto"/>
        <w:left w:val="none" w:sz="0" w:space="0" w:color="auto"/>
        <w:bottom w:val="none" w:sz="0" w:space="0" w:color="auto"/>
        <w:right w:val="none" w:sz="0" w:space="0" w:color="auto"/>
      </w:divBdr>
    </w:div>
    <w:div w:id="1341929795">
      <w:bodyDiv w:val="1"/>
      <w:marLeft w:val="0"/>
      <w:marRight w:val="0"/>
      <w:marTop w:val="0"/>
      <w:marBottom w:val="0"/>
      <w:divBdr>
        <w:top w:val="none" w:sz="0" w:space="0" w:color="auto"/>
        <w:left w:val="none" w:sz="0" w:space="0" w:color="auto"/>
        <w:bottom w:val="none" w:sz="0" w:space="0" w:color="auto"/>
        <w:right w:val="none" w:sz="0" w:space="0" w:color="auto"/>
      </w:divBdr>
    </w:div>
    <w:div w:id="1381595005">
      <w:bodyDiv w:val="1"/>
      <w:marLeft w:val="0"/>
      <w:marRight w:val="0"/>
      <w:marTop w:val="0"/>
      <w:marBottom w:val="0"/>
      <w:divBdr>
        <w:top w:val="none" w:sz="0" w:space="0" w:color="auto"/>
        <w:left w:val="none" w:sz="0" w:space="0" w:color="auto"/>
        <w:bottom w:val="none" w:sz="0" w:space="0" w:color="auto"/>
        <w:right w:val="none" w:sz="0" w:space="0" w:color="auto"/>
      </w:divBdr>
    </w:div>
    <w:div w:id="1386372955">
      <w:bodyDiv w:val="1"/>
      <w:marLeft w:val="0"/>
      <w:marRight w:val="0"/>
      <w:marTop w:val="0"/>
      <w:marBottom w:val="0"/>
      <w:divBdr>
        <w:top w:val="none" w:sz="0" w:space="0" w:color="auto"/>
        <w:left w:val="none" w:sz="0" w:space="0" w:color="auto"/>
        <w:bottom w:val="none" w:sz="0" w:space="0" w:color="auto"/>
        <w:right w:val="none" w:sz="0" w:space="0" w:color="auto"/>
      </w:divBdr>
    </w:div>
    <w:div w:id="1421483670">
      <w:bodyDiv w:val="1"/>
      <w:marLeft w:val="0"/>
      <w:marRight w:val="0"/>
      <w:marTop w:val="0"/>
      <w:marBottom w:val="0"/>
      <w:divBdr>
        <w:top w:val="none" w:sz="0" w:space="0" w:color="auto"/>
        <w:left w:val="none" w:sz="0" w:space="0" w:color="auto"/>
        <w:bottom w:val="none" w:sz="0" w:space="0" w:color="auto"/>
        <w:right w:val="none" w:sz="0" w:space="0" w:color="auto"/>
      </w:divBdr>
    </w:div>
    <w:div w:id="1663700003">
      <w:bodyDiv w:val="1"/>
      <w:marLeft w:val="0"/>
      <w:marRight w:val="0"/>
      <w:marTop w:val="0"/>
      <w:marBottom w:val="0"/>
      <w:divBdr>
        <w:top w:val="none" w:sz="0" w:space="0" w:color="auto"/>
        <w:left w:val="none" w:sz="0" w:space="0" w:color="auto"/>
        <w:bottom w:val="none" w:sz="0" w:space="0" w:color="auto"/>
        <w:right w:val="none" w:sz="0" w:space="0" w:color="auto"/>
      </w:divBdr>
    </w:div>
    <w:div w:id="1691950899">
      <w:bodyDiv w:val="1"/>
      <w:marLeft w:val="0"/>
      <w:marRight w:val="0"/>
      <w:marTop w:val="0"/>
      <w:marBottom w:val="0"/>
      <w:divBdr>
        <w:top w:val="none" w:sz="0" w:space="0" w:color="auto"/>
        <w:left w:val="none" w:sz="0" w:space="0" w:color="auto"/>
        <w:bottom w:val="none" w:sz="0" w:space="0" w:color="auto"/>
        <w:right w:val="none" w:sz="0" w:space="0" w:color="auto"/>
      </w:divBdr>
    </w:div>
    <w:div w:id="1692218318">
      <w:bodyDiv w:val="1"/>
      <w:marLeft w:val="0"/>
      <w:marRight w:val="0"/>
      <w:marTop w:val="0"/>
      <w:marBottom w:val="0"/>
      <w:divBdr>
        <w:top w:val="none" w:sz="0" w:space="0" w:color="auto"/>
        <w:left w:val="none" w:sz="0" w:space="0" w:color="auto"/>
        <w:bottom w:val="none" w:sz="0" w:space="0" w:color="auto"/>
        <w:right w:val="none" w:sz="0" w:space="0" w:color="auto"/>
      </w:divBdr>
    </w:div>
    <w:div w:id="1748762997">
      <w:bodyDiv w:val="1"/>
      <w:marLeft w:val="0"/>
      <w:marRight w:val="0"/>
      <w:marTop w:val="0"/>
      <w:marBottom w:val="0"/>
      <w:divBdr>
        <w:top w:val="none" w:sz="0" w:space="0" w:color="auto"/>
        <w:left w:val="none" w:sz="0" w:space="0" w:color="auto"/>
        <w:bottom w:val="none" w:sz="0" w:space="0" w:color="auto"/>
        <w:right w:val="none" w:sz="0" w:space="0" w:color="auto"/>
      </w:divBdr>
    </w:div>
    <w:div w:id="1828790303">
      <w:bodyDiv w:val="1"/>
      <w:marLeft w:val="0"/>
      <w:marRight w:val="0"/>
      <w:marTop w:val="0"/>
      <w:marBottom w:val="0"/>
      <w:divBdr>
        <w:top w:val="none" w:sz="0" w:space="0" w:color="auto"/>
        <w:left w:val="none" w:sz="0" w:space="0" w:color="auto"/>
        <w:bottom w:val="none" w:sz="0" w:space="0" w:color="auto"/>
        <w:right w:val="none" w:sz="0" w:space="0" w:color="auto"/>
      </w:divBdr>
    </w:div>
    <w:div w:id="1859849868">
      <w:bodyDiv w:val="1"/>
      <w:marLeft w:val="0"/>
      <w:marRight w:val="0"/>
      <w:marTop w:val="0"/>
      <w:marBottom w:val="0"/>
      <w:divBdr>
        <w:top w:val="none" w:sz="0" w:space="0" w:color="auto"/>
        <w:left w:val="none" w:sz="0" w:space="0" w:color="auto"/>
        <w:bottom w:val="none" w:sz="0" w:space="0" w:color="auto"/>
        <w:right w:val="none" w:sz="0" w:space="0" w:color="auto"/>
      </w:divBdr>
    </w:div>
    <w:div w:id="2092044709">
      <w:bodyDiv w:val="1"/>
      <w:marLeft w:val="0"/>
      <w:marRight w:val="0"/>
      <w:marTop w:val="0"/>
      <w:marBottom w:val="0"/>
      <w:divBdr>
        <w:top w:val="none" w:sz="0" w:space="0" w:color="auto"/>
        <w:left w:val="none" w:sz="0" w:space="0" w:color="auto"/>
        <w:bottom w:val="none" w:sz="0" w:space="0" w:color="auto"/>
        <w:right w:val="none" w:sz="0" w:space="0" w:color="auto"/>
      </w:divBdr>
    </w:div>
    <w:div w:id="2128501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ybib.com/" TargetMode="External"/><Relationship Id="rId13" Type="http://schemas.openxmlformats.org/officeDocument/2006/relationships/hyperlink" Target="https://www.gov.wales/cymraeg-2050-welsh-language-strategy-action-plan-2025-2026-html" TargetMode="External"/><Relationship Id="rId18"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scholar.google.com/scholar?hl=en&amp;as_sdt=0%2C5&amp;q=Maslow+books+&amp;btnG=" TargetMode="External"/><Relationship Id="rId12" Type="http://schemas.openxmlformats.org/officeDocument/2006/relationships/hyperlink" Target="https://hwb.gov.wales/api/storage/18d0d2f1-0563-4945-a889-d1548ae24c4e/curriculum-for-wales-guidance.pdf" TargetMode="External"/><Relationship Id="rId17"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hyperlink" Target="https://www.gov.wales/flying-start-outreach-guidance-local-authorities-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cysgliad.com/cysill/arlein/" TargetMode="External"/><Relationship Id="rId11" Type="http://schemas.openxmlformats.org/officeDocument/2006/relationships/hyperlink" Target="https://hwb.gov.wales/curriculum-for-wales/languages-literacy-and-communication/" TargetMode="External"/><Relationship Id="rId5" Type="http://schemas.openxmlformats.org/officeDocument/2006/relationships/endnotes" Target="endnotes.xml"/><Relationship Id="rId15" Type="http://schemas.openxmlformats.org/officeDocument/2006/relationships/hyperlink" Target="https://www.gov.wales/sites/default/files/publications/2018-12/cymraeg-2050-welsh-language-strategy.pdf" TargetMode="External"/><Relationship Id="rId10" Type="http://schemas.openxmlformats.org/officeDocument/2006/relationships/hyperlink" Target="https://meithrin.cymru/for-supporters/about-us/?lang=en" TargetMode="External"/><Relationship Id="rId19"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uowtsd-my.sharepoint.com/:v:/r/personal/2508409_student_uwtsd_ac_uk/Documents/video/20260317_131203000_iOS.MOV?csf=1&amp;web=1&amp;nav=eyJyZWZlcnJhbEluZm8iOnsicmVmZXJyYWxBcHAiOiJPbmVEcml2ZUZvckJ1c2luZXNzIiwicmVmZXJyYWxBcHBQbGF0Zm9ybSI6IldlYiIsInJlZmVycmFsTW9kZSI6InZpZXciLCJyZWZlcnJhbFZpZXciOiJNeUZpbGVzTGlua0NvcHkifX0&amp;e=0KFGF7" TargetMode="External"/><Relationship Id="rId14" Type="http://schemas.openxmlformats.org/officeDocument/2006/relationships/hyperlink" Target="https://hwb.gov.wales/storage/f8f9760c-64a1-48ea-80fd-db130ad9050b/a-guide-to-curriculum-for-wales-20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2359</Words>
  <Characters>13451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Jones (2508409)</dc:creator>
  <cp:keywords/>
  <dc:description/>
  <cp:lastModifiedBy>Katie Jones (2508409)</cp:lastModifiedBy>
  <cp:revision>4</cp:revision>
  <dcterms:created xsi:type="dcterms:W3CDTF">2026-03-20T12:08:00Z</dcterms:created>
  <dcterms:modified xsi:type="dcterms:W3CDTF">2026-03-20T12:16:00Z</dcterms:modified>
</cp:coreProperties>
</file>