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2918FD" w14:textId="2E7C555D" w:rsidR="00CE25FA" w:rsidRDefault="00D016A3" w:rsidP="00CE25FA">
      <w:pPr>
        <w:pStyle w:val="NormalWeb"/>
        <w:spacing w:before="0" w:beforeAutospacing="0" w:after="0" w:afterAutospacing="0"/>
        <w:ind w:left="-180" w:right="-334"/>
      </w:pPr>
      <w:r>
        <w:t xml:space="preserve"> </w:t>
      </w:r>
      <w:r w:rsidR="00CE25FA">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4421FA9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w:t>
            </w:r>
            <w:r w:rsidR="00213807">
              <w:rPr>
                <w:rFonts w:ascii="Arial" w:hAnsi="Arial" w:cs="Arial"/>
                <w:sz w:val="22"/>
                <w:szCs w:val="22"/>
              </w:rPr>
              <w:t>6</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7C95D076"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sidR="00213807">
              <w:rPr>
                <w:rFonts w:ascii="Arial" w:hAnsi="Arial" w:cs="Arial"/>
                <w:sz w:val="22"/>
                <w:szCs w:val="22"/>
              </w:rPr>
              <w:t>Researching Contemporary Cosmologies</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4B22C84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F94A02">
              <w:rPr>
                <w:rFonts w:ascii="Arial" w:hAnsi="Arial" w:cs="Arial"/>
                <w:sz w:val="22"/>
                <w:szCs w:val="22"/>
              </w:rPr>
              <w:t>A Critical Comparison of</w:t>
            </w:r>
            <w:r w:rsidR="00C70CB2">
              <w:rPr>
                <w:rFonts w:ascii="Arial" w:hAnsi="Arial" w:cs="Arial"/>
                <w:sz w:val="22"/>
                <w:szCs w:val="22"/>
              </w:rPr>
              <w:t xml:space="preserve"> two Secondary Sources</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1A6B3EFF"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5341E">
              <w:rPr>
                <w:rFonts w:ascii="Arial" w:hAnsi="Arial" w:cs="Arial"/>
                <w:sz w:val="22"/>
                <w:szCs w:val="22"/>
              </w:rPr>
              <w:t xml:space="preserve"> </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02DE4E6"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85934">
              <w:rPr>
                <w:rFonts w:ascii="MS Gothic" w:eastAsia="MS Gothic" w:hAnsi="MS Gothic" w:cs="MS Gothic" w:hint="eastAsia"/>
                <w:color w:val="222222"/>
                <w:shd w:val="clear" w:color="auto" w:fill="FFFFFF"/>
              </w:rPr>
              <w:t>✔</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DB2E68">
              <w:rPr>
                <w:rFonts w:ascii="Arial" w:hAnsi="Arial" w:cs="Arial"/>
              </w:rPr>
            </w:r>
            <w:r w:rsidR="00DB2E68">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DB2E68">
              <w:rPr>
                <w:rFonts w:ascii="Arial" w:hAnsi="Arial" w:cs="Arial"/>
              </w:rPr>
            </w:r>
            <w:r w:rsidR="00DB2E68">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DB2E68">
              <w:rPr>
                <w:rFonts w:ascii="Arial" w:hAnsi="Arial" w:cs="Arial"/>
              </w:rPr>
            </w:r>
            <w:r w:rsidR="00DB2E68">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DB2E68">
              <w:rPr>
                <w:rFonts w:ascii="Arial" w:hAnsi="Arial" w:cs="Arial"/>
              </w:rPr>
            </w:r>
            <w:r w:rsidR="00DB2E68">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hint="eastAsia"/>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0C26CF68" w14:textId="77777777" w:rsidR="00CE25FA" w:rsidRDefault="00CE25FA" w:rsidP="00D72EF5">
      <w:pPr>
        <w:rPr>
          <w:b/>
          <w:sz w:val="24"/>
          <w:szCs w:val="24"/>
          <w:u w:val="single"/>
        </w:rPr>
      </w:pPr>
    </w:p>
    <w:p w14:paraId="47EF6F12" w14:textId="77777777" w:rsidR="00CE25FA" w:rsidRDefault="00CE25FA" w:rsidP="00D72EF5">
      <w:pPr>
        <w:rPr>
          <w:b/>
          <w:sz w:val="24"/>
          <w:szCs w:val="24"/>
          <w:u w:val="single"/>
        </w:rPr>
      </w:pPr>
    </w:p>
    <w:p w14:paraId="4784D869" w14:textId="77777777" w:rsidR="00CE25FA" w:rsidRDefault="00CE25FA" w:rsidP="00D72EF5">
      <w:pPr>
        <w:rPr>
          <w:b/>
          <w:sz w:val="24"/>
          <w:szCs w:val="24"/>
          <w:u w:val="single"/>
        </w:rPr>
      </w:pPr>
    </w:p>
    <w:p w14:paraId="4E6F09F0" w14:textId="77777777" w:rsidR="00CE25FA" w:rsidRDefault="00CE25FA" w:rsidP="00D72EF5">
      <w:pPr>
        <w:rPr>
          <w:b/>
          <w:sz w:val="24"/>
          <w:szCs w:val="24"/>
          <w:u w:val="single"/>
        </w:rPr>
      </w:pPr>
    </w:p>
    <w:p w14:paraId="14DD1535" w14:textId="77777777" w:rsidR="00CE25FA" w:rsidRDefault="00CE25FA" w:rsidP="00D72EF5">
      <w:pPr>
        <w:rPr>
          <w:b/>
          <w:sz w:val="24"/>
          <w:szCs w:val="24"/>
          <w:u w:val="single"/>
        </w:rPr>
      </w:pPr>
    </w:p>
    <w:p w14:paraId="00833DA4" w14:textId="77777777" w:rsidR="00CE25FA" w:rsidRDefault="00CE25FA" w:rsidP="00D72EF5">
      <w:pPr>
        <w:rPr>
          <w:b/>
          <w:sz w:val="24"/>
          <w:szCs w:val="24"/>
          <w:u w:val="single"/>
        </w:rPr>
      </w:pPr>
    </w:p>
    <w:p w14:paraId="45E07693" w14:textId="77777777" w:rsidR="00CE25FA" w:rsidRDefault="00CE25FA" w:rsidP="00D72EF5">
      <w:pPr>
        <w:rPr>
          <w:b/>
          <w:sz w:val="24"/>
          <w:szCs w:val="24"/>
          <w:u w:val="single"/>
        </w:rPr>
      </w:pPr>
    </w:p>
    <w:p w14:paraId="4F31AF82" w14:textId="77777777" w:rsidR="00CE25FA" w:rsidRDefault="00CE25FA" w:rsidP="00D72EF5">
      <w:pPr>
        <w:rPr>
          <w:b/>
          <w:sz w:val="24"/>
          <w:szCs w:val="24"/>
          <w:u w:val="single"/>
        </w:rPr>
      </w:pPr>
    </w:p>
    <w:p w14:paraId="4026E5D1" w14:textId="77777777" w:rsidR="00CE25FA" w:rsidRDefault="00CE25FA" w:rsidP="00D72EF5">
      <w:pPr>
        <w:rPr>
          <w:b/>
          <w:sz w:val="24"/>
          <w:szCs w:val="24"/>
          <w:u w:val="single"/>
        </w:rPr>
      </w:pPr>
    </w:p>
    <w:p w14:paraId="2F4B69BB" w14:textId="77777777" w:rsidR="00CE25FA" w:rsidRDefault="00CE25FA" w:rsidP="00D72EF5">
      <w:pPr>
        <w:rPr>
          <w:b/>
          <w:sz w:val="24"/>
          <w:szCs w:val="24"/>
          <w:u w:val="single"/>
        </w:rPr>
      </w:pPr>
    </w:p>
    <w:p w14:paraId="7B23E680" w14:textId="77777777" w:rsidR="00CE25FA" w:rsidRDefault="00CE25FA" w:rsidP="00D72EF5">
      <w:pPr>
        <w:rPr>
          <w:b/>
          <w:sz w:val="24"/>
          <w:szCs w:val="24"/>
          <w:u w:val="single"/>
        </w:rPr>
      </w:pPr>
    </w:p>
    <w:p w14:paraId="2B4EA5DA" w14:textId="77777777" w:rsidR="00CE25FA" w:rsidRDefault="00CE25FA" w:rsidP="00D72EF5">
      <w:pPr>
        <w:rPr>
          <w:b/>
          <w:sz w:val="24"/>
          <w:szCs w:val="24"/>
          <w:u w:val="single"/>
        </w:rPr>
      </w:pPr>
    </w:p>
    <w:p w14:paraId="033D5E83" w14:textId="77777777" w:rsidR="00CE25FA" w:rsidRDefault="00CE25FA" w:rsidP="00D72EF5">
      <w:pPr>
        <w:rPr>
          <w:b/>
          <w:sz w:val="24"/>
          <w:szCs w:val="24"/>
          <w:u w:val="single"/>
        </w:rPr>
      </w:pPr>
    </w:p>
    <w:p w14:paraId="645F718C" w14:textId="77777777" w:rsidR="00CE25FA" w:rsidRDefault="00CE25FA" w:rsidP="00D72EF5">
      <w:pPr>
        <w:rPr>
          <w:b/>
          <w:sz w:val="24"/>
          <w:szCs w:val="24"/>
          <w:u w:val="single"/>
        </w:rPr>
      </w:pPr>
    </w:p>
    <w:p w14:paraId="3C93FD46" w14:textId="77777777" w:rsidR="00CE25FA" w:rsidRDefault="00CE25FA" w:rsidP="00D72EF5">
      <w:pPr>
        <w:rPr>
          <w:b/>
          <w:sz w:val="24"/>
          <w:szCs w:val="24"/>
          <w:u w:val="single"/>
        </w:rPr>
      </w:pPr>
    </w:p>
    <w:p w14:paraId="7FF103C9" w14:textId="77777777" w:rsidR="00385934" w:rsidRPr="00155D25" w:rsidRDefault="00385934" w:rsidP="00385934">
      <w:pPr>
        <w:rPr>
          <w:b/>
          <w:sz w:val="24"/>
          <w:szCs w:val="24"/>
        </w:rPr>
      </w:pPr>
      <w:r>
        <w:rPr>
          <w:b/>
          <w:sz w:val="24"/>
          <w:szCs w:val="24"/>
        </w:rPr>
        <w:lastRenderedPageBreak/>
        <w:t>???</w:t>
      </w:r>
      <w:r w:rsidRPr="00155D25">
        <w:rPr>
          <w:b/>
          <w:sz w:val="24"/>
          <w:szCs w:val="24"/>
        </w:rPr>
        <w:t xml:space="preserve"> words</w:t>
      </w:r>
    </w:p>
    <w:p w14:paraId="19E24F49" w14:textId="1B68218A" w:rsidR="00F674F2" w:rsidRPr="006750E1" w:rsidRDefault="00FC7A64" w:rsidP="00D72EF5">
      <w:pPr>
        <w:rPr>
          <w:b/>
          <w:sz w:val="24"/>
          <w:szCs w:val="24"/>
        </w:rPr>
      </w:pPr>
      <w:r>
        <w:rPr>
          <w:b/>
          <w:sz w:val="24"/>
          <w:szCs w:val="24"/>
        </w:rPr>
        <w:t>A</w:t>
      </w:r>
      <w:r w:rsidR="006750E1">
        <w:rPr>
          <w:b/>
          <w:sz w:val="24"/>
          <w:szCs w:val="24"/>
        </w:rPr>
        <w:t xml:space="preserve"> Critical Comparison of two Secondary Sources</w:t>
      </w:r>
    </w:p>
    <w:p w14:paraId="71E084EB" w14:textId="77777777" w:rsidR="00155D25" w:rsidRPr="00F674F2" w:rsidRDefault="00155D25" w:rsidP="00D72EF5">
      <w:pPr>
        <w:rPr>
          <w:b/>
          <w:sz w:val="24"/>
          <w:szCs w:val="24"/>
          <w:u w:val="single"/>
        </w:rPr>
      </w:pPr>
    </w:p>
    <w:p w14:paraId="4A5A57F9" w14:textId="66A960AC" w:rsidR="00063663" w:rsidRDefault="00063663" w:rsidP="00D72EF5">
      <w:pPr>
        <w:rPr>
          <w:b/>
          <w:sz w:val="24"/>
          <w:szCs w:val="24"/>
          <w:u w:val="single"/>
        </w:rPr>
      </w:pPr>
      <w:r>
        <w:rPr>
          <w:b/>
          <w:sz w:val="24"/>
          <w:szCs w:val="24"/>
          <w:u w:val="single"/>
        </w:rPr>
        <w:t>INTRODUCTION</w:t>
      </w:r>
    </w:p>
    <w:p w14:paraId="0124EF37" w14:textId="5816FD33" w:rsidR="00DD07BD" w:rsidRDefault="001A3454" w:rsidP="00D72EF5">
      <w:pPr>
        <w:rPr>
          <w:sz w:val="24"/>
          <w:szCs w:val="24"/>
        </w:rPr>
      </w:pPr>
      <w:r>
        <w:rPr>
          <w:sz w:val="24"/>
          <w:szCs w:val="24"/>
        </w:rPr>
        <w:t xml:space="preserve">This paper critically compares two secondary sources.  The sources chosen are T. L. Brink, ‘Inconsistency of Belief Among Roman Catholic Girls: Concerning Religion, Astrology, Reincarnation’ </w:t>
      </w:r>
      <w:r>
        <w:rPr>
          <w:sz w:val="23"/>
          <w:szCs w:val="23"/>
        </w:rPr>
        <w:t xml:space="preserve">Review of Religious Research, 20:1 (1978) pp.82-85, and G. Bennett, “If I Knew You Were </w:t>
      </w:r>
      <w:r w:rsidRPr="00A4341E">
        <w:rPr>
          <w:sz w:val="24"/>
          <w:szCs w:val="24"/>
        </w:rPr>
        <w:t>Coming I’d Have Baked a Cake”: The Folklore of Foreknowledge in a Neighbourhood Group’, Out of the Ordinary: Folklore and the Supernatural, edited by Barbara Walker, Logan, Utah: Utah University Press</w:t>
      </w:r>
      <w:r>
        <w:rPr>
          <w:sz w:val="24"/>
          <w:szCs w:val="24"/>
        </w:rPr>
        <w:t xml:space="preserve">, pp. </w:t>
      </w:r>
      <w:r w:rsidRPr="00A4341E">
        <w:rPr>
          <w:sz w:val="24"/>
          <w:szCs w:val="24"/>
        </w:rPr>
        <w:t>122-142</w:t>
      </w:r>
      <w:r>
        <w:rPr>
          <w:sz w:val="24"/>
          <w:szCs w:val="24"/>
        </w:rPr>
        <w:t>.</w:t>
      </w:r>
      <w:r w:rsidR="008F4733">
        <w:rPr>
          <w:sz w:val="24"/>
          <w:szCs w:val="24"/>
        </w:rPr>
        <w:t xml:space="preserve">  </w:t>
      </w:r>
      <w:r w:rsidR="00E258E6">
        <w:rPr>
          <w:sz w:val="24"/>
          <w:szCs w:val="24"/>
        </w:rPr>
        <w:t>The papers will be considered under the themes of methodology, insider/outsider perspective, and literature review.</w:t>
      </w:r>
    </w:p>
    <w:p w14:paraId="06D6267E" w14:textId="77777777" w:rsidR="00DD07BD" w:rsidRDefault="00DD07BD" w:rsidP="00D72EF5">
      <w:pPr>
        <w:rPr>
          <w:sz w:val="24"/>
          <w:szCs w:val="24"/>
        </w:rPr>
      </w:pPr>
    </w:p>
    <w:p w14:paraId="7AA6B8EB" w14:textId="7F6BD444" w:rsidR="00DD07BD" w:rsidRPr="00DD07BD" w:rsidRDefault="00DD07BD" w:rsidP="00D72EF5">
      <w:pPr>
        <w:rPr>
          <w:b/>
          <w:bCs/>
          <w:sz w:val="24"/>
          <w:szCs w:val="24"/>
          <w:u w:val="single"/>
        </w:rPr>
      </w:pPr>
      <w:r>
        <w:rPr>
          <w:b/>
          <w:bCs/>
          <w:sz w:val="24"/>
          <w:szCs w:val="24"/>
          <w:u w:val="single"/>
        </w:rPr>
        <w:t>Context</w:t>
      </w:r>
      <w:r w:rsidR="0073525F">
        <w:rPr>
          <w:b/>
          <w:bCs/>
          <w:sz w:val="24"/>
          <w:szCs w:val="24"/>
          <w:u w:val="single"/>
        </w:rPr>
        <w:t xml:space="preserve"> and Structure</w:t>
      </w:r>
    </w:p>
    <w:p w14:paraId="60C9DED7" w14:textId="7D5FAF7E" w:rsidR="00165A6D" w:rsidRDefault="00DD07BD" w:rsidP="00D72EF5">
      <w:pPr>
        <w:rPr>
          <w:sz w:val="24"/>
          <w:szCs w:val="24"/>
        </w:rPr>
      </w:pPr>
      <w:r>
        <w:rPr>
          <w:sz w:val="24"/>
          <w:szCs w:val="24"/>
        </w:rPr>
        <w:t>Both</w:t>
      </w:r>
      <w:r w:rsidR="008F4733">
        <w:rPr>
          <w:sz w:val="24"/>
          <w:szCs w:val="24"/>
        </w:rPr>
        <w:t xml:space="preserve"> papers were published in academic journals, </w:t>
      </w:r>
      <w:r w:rsidR="002519F8">
        <w:rPr>
          <w:sz w:val="24"/>
          <w:szCs w:val="24"/>
        </w:rPr>
        <w:t xml:space="preserve">nearly 20 years apart.  </w:t>
      </w:r>
      <w:r w:rsidR="00CF58C1">
        <w:rPr>
          <w:sz w:val="24"/>
          <w:szCs w:val="24"/>
        </w:rPr>
        <w:t>The academic environment is clearly present in the structure of Brink’s paper, with its formal statement of a hypothesis</w:t>
      </w:r>
      <w:r w:rsidR="00E073D9">
        <w:rPr>
          <w:sz w:val="24"/>
          <w:szCs w:val="24"/>
        </w:rPr>
        <w:t>, followed by brief description of the process and subjects, and a table setting out the results</w:t>
      </w:r>
      <w:r w:rsidR="00CF58C1">
        <w:rPr>
          <w:sz w:val="24"/>
          <w:szCs w:val="24"/>
        </w:rPr>
        <w:t>.  The cursory references to theories in his field appear to assume an audience well versed in his subject area, using short-cut references such as ‘cognitive dissonance (Festinger, 1957)’ without explanation.</w:t>
      </w:r>
      <w:r w:rsidR="002C73B5">
        <w:rPr>
          <w:rStyle w:val="FootnoteReference"/>
          <w:sz w:val="24"/>
          <w:szCs w:val="24"/>
        </w:rPr>
        <w:footnoteReference w:id="1"/>
      </w:r>
      <w:r w:rsidR="00FB7F32" w:rsidRPr="00FB7F32">
        <w:rPr>
          <w:sz w:val="24"/>
          <w:szCs w:val="24"/>
        </w:rPr>
        <w:t xml:space="preserve"> </w:t>
      </w:r>
      <w:r w:rsidR="00CC01CC">
        <w:rPr>
          <w:sz w:val="24"/>
          <w:szCs w:val="24"/>
        </w:rPr>
        <w:t xml:space="preserve"> </w:t>
      </w:r>
      <w:r w:rsidR="00FB7F32">
        <w:rPr>
          <w:sz w:val="24"/>
          <w:szCs w:val="24"/>
        </w:rPr>
        <w:t xml:space="preserve">Bennett on the other hand took more trouble to explain the background to her research and used a more discursive style that suggested her </w:t>
      </w:r>
      <w:r w:rsidR="002F3A1E">
        <w:rPr>
          <w:sz w:val="24"/>
          <w:szCs w:val="24"/>
        </w:rPr>
        <w:t xml:space="preserve">intended </w:t>
      </w:r>
      <w:r w:rsidR="00FB7F32">
        <w:rPr>
          <w:sz w:val="24"/>
          <w:szCs w:val="24"/>
        </w:rPr>
        <w:t xml:space="preserve">audience may not have been wholly academic.  </w:t>
      </w:r>
      <w:r w:rsidR="00A43959">
        <w:rPr>
          <w:sz w:val="24"/>
          <w:szCs w:val="24"/>
        </w:rPr>
        <w:t xml:space="preserve">Since her approach was qualitative rather than quantitative, she did not set out with a specific hypothesis, but </w:t>
      </w:r>
      <w:r w:rsidR="00E073D9">
        <w:rPr>
          <w:sz w:val="24"/>
          <w:szCs w:val="24"/>
        </w:rPr>
        <w:t xml:space="preserve">she clearly states her </w:t>
      </w:r>
      <w:r w:rsidR="00A43959">
        <w:rPr>
          <w:sz w:val="24"/>
          <w:szCs w:val="24"/>
        </w:rPr>
        <w:t>aim</w:t>
      </w:r>
      <w:r w:rsidR="00E073D9">
        <w:rPr>
          <w:sz w:val="24"/>
          <w:szCs w:val="24"/>
        </w:rPr>
        <w:t>, to investigate the ‘ways in which I believe the women’s social situation and moral code shape the folklore they share’.</w:t>
      </w:r>
      <w:r w:rsidR="00E073D9">
        <w:rPr>
          <w:rStyle w:val="FootnoteReference"/>
          <w:sz w:val="24"/>
          <w:szCs w:val="24"/>
        </w:rPr>
        <w:footnoteReference w:id="2"/>
      </w:r>
      <w:r w:rsidR="00E073D9">
        <w:rPr>
          <w:sz w:val="24"/>
          <w:szCs w:val="24"/>
        </w:rPr>
        <w:t xml:space="preserve"> </w:t>
      </w:r>
      <w:r w:rsidR="00A43959">
        <w:rPr>
          <w:sz w:val="24"/>
          <w:szCs w:val="24"/>
        </w:rPr>
        <w:t xml:space="preserve"> </w:t>
      </w:r>
      <w:r w:rsidR="00FB7F32">
        <w:rPr>
          <w:sz w:val="24"/>
          <w:szCs w:val="24"/>
        </w:rPr>
        <w:t xml:space="preserve">Her paper was </w:t>
      </w:r>
      <w:r w:rsidR="00CC01CC">
        <w:rPr>
          <w:sz w:val="24"/>
          <w:szCs w:val="24"/>
        </w:rPr>
        <w:t xml:space="preserve">also </w:t>
      </w:r>
      <w:r w:rsidR="0073525F">
        <w:rPr>
          <w:sz w:val="24"/>
          <w:szCs w:val="24"/>
        </w:rPr>
        <w:t>well</w:t>
      </w:r>
      <w:r w:rsidR="00FB7F32">
        <w:rPr>
          <w:sz w:val="24"/>
          <w:szCs w:val="24"/>
        </w:rPr>
        <w:t xml:space="preserve"> structured</w:t>
      </w:r>
      <w:r w:rsidR="001735DA">
        <w:rPr>
          <w:sz w:val="24"/>
          <w:szCs w:val="24"/>
        </w:rPr>
        <w:t xml:space="preserve">, </w:t>
      </w:r>
      <w:r w:rsidR="0073525F">
        <w:rPr>
          <w:sz w:val="24"/>
          <w:szCs w:val="24"/>
        </w:rPr>
        <w:t>with sections clearly following in a logical sequence.  Her concluding section however, instead of drawing together the threads of her study, introduced several new ideas that did not follow from the prior discussion</w:t>
      </w:r>
      <w:r w:rsidR="009208EF">
        <w:rPr>
          <w:sz w:val="24"/>
          <w:szCs w:val="24"/>
        </w:rPr>
        <w:t>, weakening the sense of a coherent structure.</w:t>
      </w:r>
    </w:p>
    <w:p w14:paraId="548FAFAE" w14:textId="77777777" w:rsidR="00165A6D" w:rsidRDefault="00165A6D" w:rsidP="00D72EF5">
      <w:pPr>
        <w:rPr>
          <w:sz w:val="24"/>
          <w:szCs w:val="24"/>
        </w:rPr>
      </w:pPr>
    </w:p>
    <w:p w14:paraId="19E15C4D" w14:textId="77777777" w:rsidR="00DD07BD" w:rsidRDefault="00DD07BD" w:rsidP="00D72EF5">
      <w:pPr>
        <w:rPr>
          <w:sz w:val="24"/>
          <w:szCs w:val="24"/>
        </w:rPr>
      </w:pPr>
      <w:r>
        <w:rPr>
          <w:b/>
          <w:bCs/>
          <w:sz w:val="24"/>
          <w:szCs w:val="24"/>
          <w:u w:val="single"/>
        </w:rPr>
        <w:lastRenderedPageBreak/>
        <w:t>Summary</w:t>
      </w:r>
      <w:r w:rsidRPr="00DD07BD">
        <w:rPr>
          <w:sz w:val="24"/>
          <w:szCs w:val="24"/>
        </w:rPr>
        <w:t xml:space="preserve"> </w:t>
      </w:r>
    </w:p>
    <w:p w14:paraId="4CC76943" w14:textId="0C90BC17" w:rsidR="004A53EB" w:rsidRDefault="00DD07BD" w:rsidP="00D72EF5">
      <w:pPr>
        <w:rPr>
          <w:sz w:val="24"/>
          <w:szCs w:val="24"/>
        </w:rPr>
      </w:pPr>
      <w:r>
        <w:rPr>
          <w:sz w:val="24"/>
          <w:szCs w:val="24"/>
        </w:rPr>
        <w:t>Common ground between them can be found in the fact that both papers focused on the beliefs of their participants:  Brink</w:t>
      </w:r>
      <w:r w:rsidR="00684906">
        <w:rPr>
          <w:sz w:val="24"/>
          <w:szCs w:val="24"/>
        </w:rPr>
        <w:t xml:space="preserve">’s study examined </w:t>
      </w:r>
      <w:r>
        <w:rPr>
          <w:sz w:val="24"/>
          <w:szCs w:val="24"/>
        </w:rPr>
        <w:t xml:space="preserve">a hypothesis concerning the impossibility of simultaneously holding contradictory beliefs, while Bennett’s research aimed to explore beliefs about the possibility </w:t>
      </w:r>
      <w:r w:rsidR="0066658C">
        <w:rPr>
          <w:sz w:val="24"/>
          <w:szCs w:val="24"/>
        </w:rPr>
        <w:t xml:space="preserve">and experience </w:t>
      </w:r>
      <w:r>
        <w:rPr>
          <w:sz w:val="24"/>
          <w:szCs w:val="24"/>
        </w:rPr>
        <w:t xml:space="preserve">of foreknowledge.  </w:t>
      </w:r>
      <w:r w:rsidR="0057228F">
        <w:rPr>
          <w:sz w:val="24"/>
          <w:szCs w:val="24"/>
        </w:rPr>
        <w:t>Brink’s hypothesis was that his subjects</w:t>
      </w:r>
      <w:r w:rsidR="0041225D">
        <w:rPr>
          <w:sz w:val="24"/>
          <w:szCs w:val="24"/>
        </w:rPr>
        <w:t>, a class of girls at the school where he taught,</w:t>
      </w:r>
      <w:r w:rsidR="0057228F">
        <w:rPr>
          <w:sz w:val="24"/>
          <w:szCs w:val="24"/>
        </w:rPr>
        <w:t xml:space="preserve"> would accept only one of three ‘belief sets’ (Roman Catholic doctrine, astrology and reincarnation).  His hypothesis was not confirmed, as his subjects demonstrated considerable overlap between the three belief sets.</w:t>
      </w:r>
      <w:r w:rsidR="0066658C">
        <w:rPr>
          <w:sz w:val="24"/>
          <w:szCs w:val="24"/>
        </w:rPr>
        <w:t xml:space="preserve">  </w:t>
      </w:r>
      <w:r w:rsidR="004A53EB">
        <w:rPr>
          <w:sz w:val="24"/>
          <w:szCs w:val="24"/>
        </w:rPr>
        <w:t>Bennett distinguished between two strands of the folklore of foreknowledge</w:t>
      </w:r>
      <w:r w:rsidR="00740B57">
        <w:rPr>
          <w:sz w:val="24"/>
          <w:szCs w:val="24"/>
        </w:rPr>
        <w:t>: divination and extrasensory perception</w:t>
      </w:r>
      <w:r w:rsidR="004616A1">
        <w:rPr>
          <w:sz w:val="24"/>
          <w:szCs w:val="24"/>
        </w:rPr>
        <w:t xml:space="preserve"> (ESP)</w:t>
      </w:r>
      <w:r w:rsidR="00740B57">
        <w:rPr>
          <w:sz w:val="24"/>
          <w:szCs w:val="24"/>
        </w:rPr>
        <w:t xml:space="preserve">.  Both strands </w:t>
      </w:r>
      <w:r w:rsidR="00B13DCD">
        <w:rPr>
          <w:sz w:val="24"/>
          <w:szCs w:val="24"/>
        </w:rPr>
        <w:t xml:space="preserve">were </w:t>
      </w:r>
      <w:r w:rsidR="00165A6D">
        <w:rPr>
          <w:sz w:val="24"/>
          <w:szCs w:val="24"/>
        </w:rPr>
        <w:t xml:space="preserve">found to be </w:t>
      </w:r>
      <w:r w:rsidR="00B13DCD">
        <w:rPr>
          <w:sz w:val="24"/>
          <w:szCs w:val="24"/>
        </w:rPr>
        <w:t>familiar to the participants</w:t>
      </w:r>
      <w:r w:rsidR="0041225D">
        <w:rPr>
          <w:sz w:val="24"/>
          <w:szCs w:val="24"/>
        </w:rPr>
        <w:t>, who were patients at her father’s podiatry clinic</w:t>
      </w:r>
      <w:r w:rsidR="00165A6D">
        <w:rPr>
          <w:sz w:val="24"/>
          <w:szCs w:val="24"/>
        </w:rPr>
        <w:t xml:space="preserve">: </w:t>
      </w:r>
      <w:r w:rsidR="00B13DCD">
        <w:rPr>
          <w:sz w:val="24"/>
          <w:szCs w:val="24"/>
        </w:rPr>
        <w:t xml:space="preserve">levels of belief </w:t>
      </w:r>
      <w:r w:rsidR="005A7F91">
        <w:rPr>
          <w:sz w:val="24"/>
          <w:szCs w:val="24"/>
        </w:rPr>
        <w:t xml:space="preserve">and acceptance </w:t>
      </w:r>
      <w:r w:rsidR="00B13DCD">
        <w:rPr>
          <w:sz w:val="24"/>
          <w:szCs w:val="24"/>
        </w:rPr>
        <w:t>were low</w:t>
      </w:r>
      <w:r w:rsidR="004616A1">
        <w:rPr>
          <w:sz w:val="24"/>
          <w:szCs w:val="24"/>
        </w:rPr>
        <w:t xml:space="preserve"> for divination, but much higher for ESP.</w:t>
      </w:r>
      <w:r w:rsidR="0080749D">
        <w:rPr>
          <w:sz w:val="24"/>
          <w:szCs w:val="24"/>
        </w:rPr>
        <w:t xml:space="preserve">  Bennett </w:t>
      </w:r>
      <w:r w:rsidR="00165A6D">
        <w:rPr>
          <w:sz w:val="24"/>
          <w:szCs w:val="24"/>
        </w:rPr>
        <w:t>considered that</w:t>
      </w:r>
      <w:r w:rsidR="0080749D">
        <w:rPr>
          <w:sz w:val="24"/>
          <w:szCs w:val="24"/>
        </w:rPr>
        <w:t xml:space="preserve"> the relationship of her female participants to the beliefs in foreknowledge </w:t>
      </w:r>
      <w:r w:rsidR="00165A6D">
        <w:rPr>
          <w:sz w:val="24"/>
          <w:szCs w:val="24"/>
        </w:rPr>
        <w:t>was largely a result of their upbringing and</w:t>
      </w:r>
      <w:r w:rsidR="0080749D">
        <w:rPr>
          <w:sz w:val="24"/>
          <w:szCs w:val="24"/>
        </w:rPr>
        <w:t xml:space="preserve"> their understanding of what a traditional female role in society should be.</w:t>
      </w:r>
    </w:p>
    <w:p w14:paraId="12A34B49" w14:textId="1D8BED6A" w:rsidR="006A6E90" w:rsidRDefault="006A6E90" w:rsidP="00D72EF5">
      <w:pPr>
        <w:rPr>
          <w:sz w:val="24"/>
          <w:szCs w:val="24"/>
        </w:rPr>
      </w:pPr>
    </w:p>
    <w:p w14:paraId="1C1FB056" w14:textId="1CC4C648" w:rsidR="006A6E90" w:rsidRDefault="006A6E90" w:rsidP="00D72EF5">
      <w:pPr>
        <w:rPr>
          <w:sz w:val="24"/>
          <w:szCs w:val="24"/>
        </w:rPr>
      </w:pPr>
      <w:r>
        <w:rPr>
          <w:b/>
          <w:bCs/>
          <w:sz w:val="24"/>
          <w:szCs w:val="24"/>
          <w:u w:val="single"/>
        </w:rPr>
        <w:t>ANALYSIS</w:t>
      </w:r>
    </w:p>
    <w:p w14:paraId="0CB696F0" w14:textId="77777777" w:rsidR="00E258E6" w:rsidRDefault="00E258E6" w:rsidP="00E258E6">
      <w:pPr>
        <w:rPr>
          <w:b/>
          <w:bCs/>
          <w:sz w:val="24"/>
          <w:szCs w:val="24"/>
          <w:u w:val="single"/>
        </w:rPr>
      </w:pPr>
      <w:r>
        <w:rPr>
          <w:b/>
          <w:bCs/>
          <w:sz w:val="24"/>
          <w:szCs w:val="24"/>
          <w:u w:val="single"/>
        </w:rPr>
        <w:t>Methodology</w:t>
      </w:r>
    </w:p>
    <w:p w14:paraId="53C92B49" w14:textId="472DAE9F" w:rsidR="00E258E6" w:rsidRPr="00D14ADF" w:rsidRDefault="00E258E6" w:rsidP="00E258E6">
      <w:pPr>
        <w:pStyle w:val="Default"/>
        <w:rPr>
          <w:rFonts w:asciiTheme="minorHAnsi" w:hAnsiTheme="minorHAnsi"/>
          <w:color w:val="auto"/>
        </w:rPr>
      </w:pPr>
      <w:r w:rsidRPr="004705D3">
        <w:rPr>
          <w:rFonts w:asciiTheme="minorHAnsi" w:hAnsiTheme="minorHAnsi"/>
          <w:color w:val="auto"/>
        </w:rPr>
        <w:t>Both papers were concerned with understanding the beliefs of their study populations, but the methods adopted were very different, both in type and in level of detail provided.  Brink carried out the research by means of a questionnaire, generating data which he analysed in a quantitative way, providing a table including statistical measures of the responses to his questions.  This indicates a quantitative approach, described by Alan Bryman as ‘a genre which uses a special language which appears to exhibit some similarity to the ways in which scientists talk about how they investigate the natural order..’.</w:t>
      </w:r>
      <w:r w:rsidR="00A816AF">
        <w:rPr>
          <w:rStyle w:val="FootnoteReference"/>
          <w:rFonts w:asciiTheme="minorHAnsi" w:hAnsiTheme="minorHAnsi"/>
          <w:color w:val="auto"/>
        </w:rPr>
        <w:footnoteReference w:id="3"/>
      </w:r>
      <w:r w:rsidRPr="004705D3">
        <w:rPr>
          <w:rFonts w:asciiTheme="minorHAnsi" w:hAnsiTheme="minorHAnsi"/>
          <w:color w:val="auto"/>
        </w:rPr>
        <w:t xml:space="preserve">  The questionnaire used was however not described or appended, so its content can only be deduced from the table of results provided</w:t>
      </w:r>
      <w:r>
        <w:rPr>
          <w:rFonts w:asciiTheme="minorHAnsi" w:hAnsiTheme="minorHAnsi"/>
          <w:color w:val="auto"/>
        </w:rPr>
        <w:t xml:space="preserve">: this indicated </w:t>
      </w:r>
      <w:r w:rsidRPr="004705D3">
        <w:rPr>
          <w:rFonts w:asciiTheme="minorHAnsi" w:hAnsiTheme="minorHAnsi"/>
          <w:color w:val="auto"/>
        </w:rPr>
        <w:t xml:space="preserve">that the questions were closed and quantitative, with no scope for qualitative analysis of how the girls involved might have defined the topics.  The nature of his enquiry into the beliefs of his subjects, as well as the topics of his enquiry into religion, reincarnation and astrology, suggests that a qualitative approach </w:t>
      </w:r>
      <w:r w:rsidR="001F74B6">
        <w:rPr>
          <w:rFonts w:asciiTheme="minorHAnsi" w:hAnsiTheme="minorHAnsi"/>
          <w:color w:val="auto"/>
        </w:rPr>
        <w:t xml:space="preserve">involving interviews as well as a questionnaire </w:t>
      </w:r>
      <w:r w:rsidRPr="004705D3">
        <w:rPr>
          <w:rFonts w:asciiTheme="minorHAnsi" w:hAnsiTheme="minorHAnsi"/>
          <w:color w:val="auto"/>
        </w:rPr>
        <w:t xml:space="preserve">might have been more appropriate.  As </w:t>
      </w:r>
      <w:r w:rsidRPr="004705D3">
        <w:rPr>
          <w:color w:val="auto"/>
        </w:rPr>
        <w:t xml:space="preserve">Monique Hennink, Inge Hutter, and Ajay Bailey </w:t>
      </w:r>
      <w:r w:rsidRPr="004705D3">
        <w:rPr>
          <w:rFonts w:asciiTheme="minorHAnsi" w:hAnsiTheme="minorHAnsi"/>
          <w:color w:val="auto"/>
        </w:rPr>
        <w:t>point out, ‘Qualitative research is useful for … explaining peoples’ beliefs’.</w:t>
      </w:r>
      <w:r w:rsidRPr="004705D3">
        <w:rPr>
          <w:rStyle w:val="FootnoteReference"/>
          <w:rFonts w:asciiTheme="minorHAnsi" w:hAnsiTheme="minorHAnsi"/>
          <w:color w:val="auto"/>
        </w:rPr>
        <w:footnoteReference w:id="4"/>
      </w:r>
      <w:r w:rsidRPr="004705D3">
        <w:rPr>
          <w:rFonts w:asciiTheme="minorHAnsi" w:hAnsiTheme="minorHAnsi"/>
          <w:color w:val="auto"/>
        </w:rPr>
        <w:t xml:space="preserve">  Given that the </w:t>
      </w:r>
      <w:r>
        <w:rPr>
          <w:rFonts w:asciiTheme="minorHAnsi" w:hAnsiTheme="minorHAnsi"/>
          <w:color w:val="auto"/>
        </w:rPr>
        <w:t>beliefs</w:t>
      </w:r>
      <w:r w:rsidRPr="004705D3">
        <w:rPr>
          <w:rFonts w:asciiTheme="minorHAnsi" w:hAnsiTheme="minorHAnsi"/>
          <w:color w:val="auto"/>
        </w:rPr>
        <w:t xml:space="preserve"> being examined (religion, reincarnation and astrology) </w:t>
      </w:r>
      <w:r w:rsidR="006F614F">
        <w:rPr>
          <w:rFonts w:asciiTheme="minorHAnsi" w:hAnsiTheme="minorHAnsi"/>
          <w:color w:val="auto"/>
        </w:rPr>
        <w:t>are</w:t>
      </w:r>
      <w:r w:rsidRPr="004705D3">
        <w:rPr>
          <w:rFonts w:asciiTheme="minorHAnsi" w:hAnsiTheme="minorHAnsi"/>
          <w:color w:val="auto"/>
        </w:rPr>
        <w:t xml:space="preserve"> complex and difficult to define, the validity of the results </w:t>
      </w:r>
      <w:r w:rsidR="006F614F">
        <w:rPr>
          <w:rFonts w:asciiTheme="minorHAnsi" w:hAnsiTheme="minorHAnsi"/>
          <w:color w:val="auto"/>
        </w:rPr>
        <w:t>was</w:t>
      </w:r>
      <w:r w:rsidRPr="004705D3">
        <w:rPr>
          <w:rFonts w:asciiTheme="minorHAnsi" w:hAnsiTheme="minorHAnsi"/>
          <w:color w:val="auto"/>
        </w:rPr>
        <w:t xml:space="preserve"> in doubt since there is no certainty that all the girls had the same understanding of the terms.  By contrast, Bennett in her paper </w:t>
      </w:r>
      <w:r w:rsidR="00081172">
        <w:rPr>
          <w:rFonts w:asciiTheme="minorHAnsi" w:hAnsiTheme="minorHAnsi"/>
          <w:color w:val="auto"/>
        </w:rPr>
        <w:t xml:space="preserve">took a clearly qualitative </w:t>
      </w:r>
      <w:r w:rsidR="00081172">
        <w:rPr>
          <w:rFonts w:asciiTheme="minorHAnsi" w:hAnsiTheme="minorHAnsi"/>
          <w:color w:val="auto"/>
        </w:rPr>
        <w:lastRenderedPageBreak/>
        <w:t>approach, as described by Hennink and others as setting out to seek ‘a contextualized understanding of phenomena’.</w:t>
      </w:r>
      <w:r w:rsidR="00081172">
        <w:rPr>
          <w:rStyle w:val="FootnoteReference"/>
          <w:rFonts w:asciiTheme="minorHAnsi" w:hAnsiTheme="minorHAnsi"/>
          <w:color w:val="auto"/>
        </w:rPr>
        <w:footnoteReference w:id="5"/>
      </w:r>
      <w:r w:rsidR="00081172">
        <w:rPr>
          <w:rFonts w:asciiTheme="minorHAnsi" w:hAnsiTheme="minorHAnsi"/>
          <w:color w:val="auto"/>
        </w:rPr>
        <w:t xml:space="preserve"> </w:t>
      </w:r>
      <w:r w:rsidR="00DE3C3B">
        <w:rPr>
          <w:rFonts w:asciiTheme="minorHAnsi" w:hAnsiTheme="minorHAnsi"/>
          <w:color w:val="auto"/>
        </w:rPr>
        <w:t xml:space="preserve"> She </w:t>
      </w:r>
      <w:r w:rsidRPr="004705D3">
        <w:rPr>
          <w:rFonts w:asciiTheme="minorHAnsi" w:hAnsiTheme="minorHAnsi"/>
          <w:color w:val="auto"/>
        </w:rPr>
        <w:t xml:space="preserve">provided a good deal of information about the way the research was carried out, </w:t>
      </w:r>
      <w:r w:rsidR="00DE3C3B">
        <w:rPr>
          <w:rFonts w:asciiTheme="minorHAnsi" w:hAnsiTheme="minorHAnsi"/>
          <w:color w:val="auto"/>
        </w:rPr>
        <w:t xml:space="preserve">describing the setting as well as the demographic context of her respondents, </w:t>
      </w:r>
      <w:r w:rsidRPr="004705D3">
        <w:rPr>
          <w:rFonts w:asciiTheme="minorHAnsi" w:hAnsiTheme="minorHAnsi"/>
          <w:color w:val="auto"/>
        </w:rPr>
        <w:t xml:space="preserve">though she also omitted details about the actual questions used.  </w:t>
      </w:r>
      <w:r w:rsidR="00DE3C3B">
        <w:rPr>
          <w:rFonts w:asciiTheme="minorHAnsi" w:hAnsiTheme="minorHAnsi"/>
          <w:color w:val="auto"/>
        </w:rPr>
        <w:t>Her</w:t>
      </w:r>
      <w:r w:rsidRPr="004705D3">
        <w:rPr>
          <w:rFonts w:asciiTheme="minorHAnsi" w:hAnsiTheme="minorHAnsi"/>
          <w:color w:val="auto"/>
        </w:rPr>
        <w:t xml:space="preserve"> method </w:t>
      </w:r>
      <w:r w:rsidR="006F614F">
        <w:rPr>
          <w:rFonts w:asciiTheme="minorHAnsi" w:hAnsiTheme="minorHAnsi"/>
          <w:color w:val="auto"/>
        </w:rPr>
        <w:t>appeared to be</w:t>
      </w:r>
      <w:r w:rsidRPr="004705D3">
        <w:rPr>
          <w:rFonts w:asciiTheme="minorHAnsi" w:hAnsiTheme="minorHAnsi"/>
          <w:color w:val="auto"/>
        </w:rPr>
        <w:t xml:space="preserve"> unstructured interview, which she referred to as ‘conversation’ so clearly defined questions</w:t>
      </w:r>
      <w:r w:rsidR="00EA4653">
        <w:rPr>
          <w:rFonts w:asciiTheme="minorHAnsi" w:hAnsiTheme="minorHAnsi"/>
          <w:color w:val="auto"/>
        </w:rPr>
        <w:t>, or a questionnaire,</w:t>
      </w:r>
      <w:r w:rsidRPr="004705D3">
        <w:rPr>
          <w:rFonts w:asciiTheme="minorHAnsi" w:hAnsiTheme="minorHAnsi"/>
          <w:color w:val="auto"/>
        </w:rPr>
        <w:t xml:space="preserve"> would not have been appropriate.</w:t>
      </w:r>
      <w:r w:rsidRPr="004705D3">
        <w:rPr>
          <w:rStyle w:val="FootnoteReference"/>
          <w:rFonts w:asciiTheme="minorHAnsi" w:hAnsiTheme="minorHAnsi"/>
          <w:color w:val="auto"/>
        </w:rPr>
        <w:footnoteReference w:id="6"/>
      </w:r>
      <w:r w:rsidRPr="004705D3">
        <w:rPr>
          <w:rFonts w:asciiTheme="minorHAnsi" w:hAnsiTheme="minorHAnsi"/>
          <w:color w:val="auto"/>
        </w:rPr>
        <w:t xml:space="preserve">  </w:t>
      </w:r>
      <w:r w:rsidR="00872999">
        <w:rPr>
          <w:rFonts w:asciiTheme="minorHAnsi" w:hAnsiTheme="minorHAnsi"/>
          <w:color w:val="auto"/>
        </w:rPr>
        <w:t>Like Brink, Bennett provide</w:t>
      </w:r>
      <w:r w:rsidR="00992D48">
        <w:rPr>
          <w:rFonts w:asciiTheme="minorHAnsi" w:hAnsiTheme="minorHAnsi"/>
          <w:color w:val="auto"/>
        </w:rPr>
        <w:t>d</w:t>
      </w:r>
      <w:r w:rsidR="00872999">
        <w:rPr>
          <w:rFonts w:asciiTheme="minorHAnsi" w:hAnsiTheme="minorHAnsi"/>
          <w:color w:val="auto"/>
        </w:rPr>
        <w:t xml:space="preserve"> a table of some numerical data to display the demographic make-up of her participants</w:t>
      </w:r>
      <w:r w:rsidR="00992D48">
        <w:rPr>
          <w:rFonts w:asciiTheme="minorHAnsi" w:hAnsiTheme="minorHAnsi"/>
          <w:color w:val="auto"/>
        </w:rPr>
        <w:t xml:space="preserve">, providing a quantitative element to her study that helped to situate her study’s social context. </w:t>
      </w:r>
      <w:r w:rsidR="00C72933">
        <w:rPr>
          <w:rFonts w:asciiTheme="minorHAnsi" w:hAnsiTheme="minorHAnsi"/>
          <w:color w:val="auto"/>
        </w:rPr>
        <w:t xml:space="preserve"> Her introductory section also included discussion of various quantitative surveys providing a broader social setting of her topic, though this was not presented formally in a table.  </w:t>
      </w:r>
      <w:r w:rsidR="00370FA8">
        <w:rPr>
          <w:rFonts w:asciiTheme="minorHAnsi" w:hAnsiTheme="minorHAnsi"/>
          <w:color w:val="auto"/>
        </w:rPr>
        <w:t xml:space="preserve">Bryman indicates that ‘when quantitative and qualitative research are jointly pursued, much more complete accounts of social reality can </w:t>
      </w:r>
      <w:r w:rsidR="00370FA8" w:rsidRPr="006C7655">
        <w:rPr>
          <w:rFonts w:asciiTheme="minorHAnsi" w:hAnsiTheme="minorHAnsi"/>
          <w:color w:val="auto"/>
        </w:rPr>
        <w:t>ensue’.</w:t>
      </w:r>
      <w:r w:rsidR="00370FA8" w:rsidRPr="006C7655">
        <w:rPr>
          <w:rStyle w:val="FootnoteReference"/>
          <w:rFonts w:asciiTheme="minorHAnsi" w:hAnsiTheme="minorHAnsi"/>
          <w:color w:val="auto"/>
        </w:rPr>
        <w:footnoteReference w:id="7"/>
      </w:r>
      <w:r w:rsidR="00992D48" w:rsidRPr="006C7655">
        <w:rPr>
          <w:rFonts w:asciiTheme="minorHAnsi" w:hAnsiTheme="minorHAnsi"/>
          <w:color w:val="auto"/>
        </w:rPr>
        <w:t xml:space="preserve"> </w:t>
      </w:r>
      <w:r w:rsidR="006C7655" w:rsidRPr="006C7655">
        <w:rPr>
          <w:rFonts w:asciiTheme="minorHAnsi" w:hAnsiTheme="minorHAnsi"/>
          <w:color w:val="auto"/>
        </w:rPr>
        <w:t>Brink</w:t>
      </w:r>
      <w:r w:rsidR="006C7655">
        <w:rPr>
          <w:rFonts w:asciiTheme="minorHAnsi" w:hAnsiTheme="minorHAnsi"/>
          <w:color w:val="auto"/>
        </w:rPr>
        <w:t xml:space="preserve">’s paper does include some speculation about the social positioning and understanding of his subjects by alluding to their ‘marginality’, but this is unsupported by qualitative data.  </w:t>
      </w:r>
      <w:r>
        <w:rPr>
          <w:rFonts w:asciiTheme="minorHAnsi" w:hAnsiTheme="minorHAnsi"/>
          <w:color w:val="auto"/>
        </w:rPr>
        <w:t>These</w:t>
      </w:r>
      <w:r w:rsidRPr="00D14ADF">
        <w:rPr>
          <w:rFonts w:asciiTheme="minorHAnsi" w:hAnsiTheme="minorHAnsi"/>
          <w:color w:val="auto"/>
        </w:rPr>
        <w:t xml:space="preserve"> two papers therefore illustrate two methodological approaches to research into beliefs, with Brink following a </w:t>
      </w:r>
      <w:r w:rsidR="00ED7DDA">
        <w:rPr>
          <w:rFonts w:asciiTheme="minorHAnsi" w:hAnsiTheme="minorHAnsi"/>
          <w:color w:val="auto"/>
        </w:rPr>
        <w:t xml:space="preserve">quantitative </w:t>
      </w:r>
      <w:r w:rsidRPr="00D14ADF">
        <w:rPr>
          <w:rFonts w:asciiTheme="minorHAnsi" w:hAnsiTheme="minorHAnsi"/>
          <w:color w:val="auto"/>
        </w:rPr>
        <w:t>approach, and Bennett a qualitative framework</w:t>
      </w:r>
      <w:r w:rsidR="00ED7DDA">
        <w:rPr>
          <w:rFonts w:asciiTheme="minorHAnsi" w:hAnsiTheme="minorHAnsi"/>
          <w:color w:val="auto"/>
        </w:rPr>
        <w:t>, backed by some informal quantitative data</w:t>
      </w:r>
      <w:r w:rsidRPr="00D14ADF">
        <w:rPr>
          <w:rFonts w:asciiTheme="minorHAnsi" w:hAnsiTheme="minorHAnsi"/>
          <w:color w:val="auto"/>
        </w:rPr>
        <w:t>.</w:t>
      </w:r>
    </w:p>
    <w:p w14:paraId="64502320" w14:textId="77777777" w:rsidR="00E258E6" w:rsidRDefault="00E258E6" w:rsidP="00E258E6">
      <w:pPr>
        <w:rPr>
          <w:b/>
          <w:bCs/>
          <w:sz w:val="24"/>
          <w:szCs w:val="24"/>
          <w:u w:val="single"/>
        </w:rPr>
      </w:pPr>
    </w:p>
    <w:p w14:paraId="19634BEC" w14:textId="77777777" w:rsidR="00E258E6" w:rsidRDefault="00E258E6" w:rsidP="00E258E6">
      <w:pPr>
        <w:rPr>
          <w:b/>
          <w:bCs/>
          <w:sz w:val="24"/>
          <w:szCs w:val="24"/>
          <w:u w:val="single"/>
        </w:rPr>
      </w:pPr>
      <w:r>
        <w:rPr>
          <w:b/>
          <w:bCs/>
          <w:sz w:val="24"/>
          <w:szCs w:val="24"/>
          <w:u w:val="single"/>
        </w:rPr>
        <w:t>Insider/Outsider Perspective</w:t>
      </w:r>
    </w:p>
    <w:p w14:paraId="1112AE5A" w14:textId="02A8C99D" w:rsidR="00E258E6" w:rsidRDefault="000843CD" w:rsidP="003E7A7B">
      <w:pPr>
        <w:autoSpaceDE w:val="0"/>
        <w:autoSpaceDN w:val="0"/>
        <w:adjustRightInd w:val="0"/>
        <w:spacing w:after="0" w:line="240" w:lineRule="auto"/>
        <w:rPr>
          <w:sz w:val="24"/>
          <w:szCs w:val="24"/>
        </w:rPr>
      </w:pPr>
      <w:r>
        <w:rPr>
          <w:sz w:val="24"/>
          <w:szCs w:val="24"/>
        </w:rPr>
        <w:t xml:space="preserve">Victor Turner, </w:t>
      </w:r>
      <w:r w:rsidRPr="00B55A59">
        <w:rPr>
          <w:rFonts w:cs="Code"/>
          <w:sz w:val="24"/>
          <w:szCs w:val="24"/>
        </w:rPr>
        <w:t xml:space="preserve">cited in Deborah Court and Randa Abbas, wrote that one should work towards having ‘an objective relation to one’s own subjectivity,” </w:t>
      </w:r>
      <w:r w:rsidR="00B55A59" w:rsidRPr="00B55A59">
        <w:rPr>
          <w:rFonts w:cs="Code"/>
          <w:sz w:val="24"/>
          <w:szCs w:val="24"/>
        </w:rPr>
        <w:t>to</w:t>
      </w:r>
      <w:r w:rsidRPr="00B55A59">
        <w:rPr>
          <w:rFonts w:cs="Code"/>
          <w:sz w:val="24"/>
          <w:szCs w:val="24"/>
        </w:rPr>
        <w:t xml:space="preserve"> ‘understand how subjectivity is at play in the research in which one is engaged.’</w:t>
      </w:r>
      <w:r w:rsidR="00B55A59">
        <w:rPr>
          <w:rFonts w:cs="Code"/>
          <w:sz w:val="24"/>
          <w:szCs w:val="24"/>
        </w:rPr>
        <w:t xml:space="preserve"> </w:t>
      </w:r>
      <w:r w:rsidR="00B55A59">
        <w:rPr>
          <w:rFonts w:cs="Code"/>
          <w:color w:val="FF0000"/>
          <w:sz w:val="24"/>
          <w:szCs w:val="24"/>
        </w:rPr>
        <w:t xml:space="preserve">Cite </w:t>
      </w:r>
      <w:r w:rsidR="00B55A59">
        <w:rPr>
          <w:rFonts w:cs="Code"/>
          <w:sz w:val="24"/>
          <w:szCs w:val="24"/>
        </w:rPr>
        <w:t xml:space="preserve">There is wide recognition of the fact that researchers exist somewhere on a continuum between being an insider and an outsider to the people they are studying, and that their position on that spectrum must be acknowledged and </w:t>
      </w:r>
      <w:r w:rsidR="003E7A7B">
        <w:rPr>
          <w:rFonts w:cs="Code"/>
          <w:sz w:val="24"/>
          <w:szCs w:val="24"/>
        </w:rPr>
        <w:t>considered</w:t>
      </w:r>
      <w:r w:rsidR="00B55A59">
        <w:rPr>
          <w:rFonts w:cs="Code"/>
          <w:sz w:val="24"/>
          <w:szCs w:val="24"/>
        </w:rPr>
        <w:t xml:space="preserve"> when analysing their findings.  </w:t>
      </w:r>
      <w:r w:rsidR="00FF48C2">
        <w:rPr>
          <w:rFonts w:cs="Code"/>
          <w:sz w:val="24"/>
          <w:szCs w:val="24"/>
        </w:rPr>
        <w:t>In considering the notion of insider/outsider perspectives applied to the two papers examined here, it is very notable that Brink position</w:t>
      </w:r>
      <w:r w:rsidR="00035AD1">
        <w:rPr>
          <w:rFonts w:cs="Code"/>
          <w:sz w:val="24"/>
          <w:szCs w:val="24"/>
        </w:rPr>
        <w:t>ed</w:t>
      </w:r>
      <w:r w:rsidR="00FF48C2">
        <w:rPr>
          <w:rFonts w:cs="Code"/>
          <w:sz w:val="24"/>
          <w:szCs w:val="24"/>
        </w:rPr>
        <w:t xml:space="preserve"> himself firmly at the ‘outsider’ end of the spectrum.  </w:t>
      </w:r>
      <w:r w:rsidR="003E7A7B">
        <w:rPr>
          <w:rFonts w:cs="Code"/>
          <w:sz w:val="24"/>
          <w:szCs w:val="24"/>
        </w:rPr>
        <w:t>He appeared to take a positivist view that the beliefs being investigated could be treated as</w:t>
      </w:r>
      <w:r w:rsidR="00ED7DDA">
        <w:rPr>
          <w:rFonts w:cs="Code"/>
          <w:sz w:val="24"/>
          <w:szCs w:val="24"/>
        </w:rPr>
        <w:t xml:space="preserve"> separate objective</w:t>
      </w:r>
      <w:r w:rsidR="003E7A7B">
        <w:rPr>
          <w:rFonts w:cs="Code"/>
          <w:sz w:val="24"/>
          <w:szCs w:val="24"/>
        </w:rPr>
        <w:t xml:space="preserve"> ‘facts’.  </w:t>
      </w:r>
      <w:r w:rsidR="00BD45A2">
        <w:rPr>
          <w:sz w:val="24"/>
          <w:szCs w:val="24"/>
        </w:rPr>
        <w:t xml:space="preserve">The validity of Brink’s findings was seriously undermined by </w:t>
      </w:r>
      <w:r w:rsidR="00404617">
        <w:rPr>
          <w:sz w:val="24"/>
          <w:szCs w:val="24"/>
        </w:rPr>
        <w:t xml:space="preserve">the fact that he left himself out of the account.  </w:t>
      </w:r>
      <w:r w:rsidR="00ED7DDA">
        <w:rPr>
          <w:rFonts w:cs="Code"/>
          <w:sz w:val="24"/>
          <w:szCs w:val="24"/>
        </w:rPr>
        <w:t>As David Hufford pointed out, ‘</w:t>
      </w:r>
      <w:r w:rsidR="00ED7DDA">
        <w:rPr>
          <w:sz w:val="24"/>
          <w:szCs w:val="24"/>
        </w:rPr>
        <w:t>If we obtain</w:t>
      </w:r>
      <w:r w:rsidR="00ED7DDA" w:rsidRPr="00C451DA">
        <w:rPr>
          <w:sz w:val="24"/>
          <w:szCs w:val="24"/>
        </w:rPr>
        <w:t xml:space="preserve"> the appearance of objec</w:t>
      </w:r>
      <w:r w:rsidR="00ED7DDA">
        <w:rPr>
          <w:sz w:val="24"/>
          <w:szCs w:val="24"/>
        </w:rPr>
        <w:t xml:space="preserve">tivity by leaving ourselves out of our accounts </w:t>
      </w:r>
      <w:r w:rsidR="00ED7DDA" w:rsidRPr="00C451DA">
        <w:rPr>
          <w:sz w:val="24"/>
          <w:szCs w:val="24"/>
        </w:rPr>
        <w:t>we simply leave t</w:t>
      </w:r>
      <w:r w:rsidR="00ED7DDA">
        <w:rPr>
          <w:sz w:val="24"/>
          <w:szCs w:val="24"/>
        </w:rPr>
        <w:t>he subjective realities of our work uncontrolled’.</w:t>
      </w:r>
      <w:r w:rsidR="00ED7DDA">
        <w:rPr>
          <w:rStyle w:val="FootnoteReference"/>
          <w:sz w:val="24"/>
          <w:szCs w:val="24"/>
        </w:rPr>
        <w:footnoteReference w:id="8"/>
      </w:r>
      <w:r w:rsidR="00ED7DDA">
        <w:rPr>
          <w:sz w:val="24"/>
          <w:szCs w:val="24"/>
        </w:rPr>
        <w:t xml:space="preserve"> </w:t>
      </w:r>
      <w:r w:rsidR="00ED7DDA">
        <w:rPr>
          <w:sz w:val="24"/>
          <w:szCs w:val="24"/>
        </w:rPr>
        <w:t xml:space="preserve"> </w:t>
      </w:r>
      <w:r w:rsidR="002B1E7F">
        <w:rPr>
          <w:sz w:val="24"/>
          <w:szCs w:val="24"/>
        </w:rPr>
        <w:t xml:space="preserve">He may have considered himself an ‘outsider’ because he was not a schoolgirl, </w:t>
      </w:r>
      <w:r w:rsidR="00837993">
        <w:rPr>
          <w:sz w:val="24"/>
          <w:szCs w:val="24"/>
        </w:rPr>
        <w:t xml:space="preserve">like his study group, </w:t>
      </w:r>
      <w:r w:rsidR="002B1E7F">
        <w:rPr>
          <w:sz w:val="24"/>
          <w:szCs w:val="24"/>
        </w:rPr>
        <w:t xml:space="preserve">however he could also be </w:t>
      </w:r>
      <w:r w:rsidR="00A4630A">
        <w:rPr>
          <w:sz w:val="24"/>
          <w:szCs w:val="24"/>
        </w:rPr>
        <w:t>seen as</w:t>
      </w:r>
      <w:r w:rsidR="002B1E7F">
        <w:rPr>
          <w:sz w:val="24"/>
          <w:szCs w:val="24"/>
        </w:rPr>
        <w:t xml:space="preserve"> an insider in his capacity as a teacher in the school</w:t>
      </w:r>
      <w:r w:rsidR="008E2885">
        <w:rPr>
          <w:sz w:val="24"/>
          <w:szCs w:val="24"/>
        </w:rPr>
        <w:t xml:space="preserve">, and also a religious insider in his capacity as a </w:t>
      </w:r>
      <w:r w:rsidR="008E2885" w:rsidRPr="006262D3">
        <w:rPr>
          <w:color w:val="FF0000"/>
          <w:sz w:val="24"/>
          <w:szCs w:val="24"/>
        </w:rPr>
        <w:t>priest</w:t>
      </w:r>
      <w:r w:rsidR="002B1E7F">
        <w:rPr>
          <w:sz w:val="24"/>
          <w:szCs w:val="24"/>
        </w:rPr>
        <w:t xml:space="preserve">.  </w:t>
      </w:r>
      <w:r w:rsidR="00A21469">
        <w:rPr>
          <w:sz w:val="24"/>
          <w:szCs w:val="24"/>
        </w:rPr>
        <w:t xml:space="preserve">Ethical issues also arise from his potentially conflicted position </w:t>
      </w:r>
      <w:r w:rsidR="007758EC">
        <w:rPr>
          <w:sz w:val="24"/>
          <w:szCs w:val="24"/>
        </w:rPr>
        <w:t xml:space="preserve">on the insider/outsider continuum:  </w:t>
      </w:r>
      <w:r w:rsidR="00AC1913">
        <w:rPr>
          <w:sz w:val="24"/>
          <w:szCs w:val="24"/>
        </w:rPr>
        <w:t>a</w:t>
      </w:r>
      <w:r w:rsidR="007758EC" w:rsidRPr="007758EC">
        <w:rPr>
          <w:sz w:val="24"/>
          <w:szCs w:val="24"/>
        </w:rPr>
        <w:t xml:space="preserve">s an adult, Brink </w:t>
      </w:r>
      <w:r w:rsidR="00E6586D">
        <w:rPr>
          <w:sz w:val="24"/>
          <w:szCs w:val="24"/>
        </w:rPr>
        <w:t>was</w:t>
      </w:r>
      <w:r w:rsidR="007758EC" w:rsidRPr="007758EC">
        <w:rPr>
          <w:sz w:val="24"/>
          <w:szCs w:val="24"/>
        </w:rPr>
        <w:t xml:space="preserve"> in a position of authority that could be taken as making it very difficult for a child to challenge if they had questions about the research or did not want to take part. Brink did not provide any </w:t>
      </w:r>
      <w:r w:rsidR="007758EC" w:rsidRPr="007758EC">
        <w:rPr>
          <w:sz w:val="24"/>
          <w:szCs w:val="24"/>
        </w:rPr>
        <w:lastRenderedPageBreak/>
        <w:t>information in his report about whether the participants were informed of the purpose or the outcome of the survey.  This suggests that they were treated very much as passive subjects</w:t>
      </w:r>
      <w:r w:rsidR="007758EC">
        <w:rPr>
          <w:sz w:val="24"/>
          <w:szCs w:val="24"/>
        </w:rPr>
        <w:t xml:space="preserve"> rather than participants.</w:t>
      </w:r>
      <w:r w:rsidR="00EB39B1">
        <w:rPr>
          <w:sz w:val="24"/>
          <w:szCs w:val="24"/>
        </w:rPr>
        <w:t xml:space="preserve">  Similar factors apply to a consideration of Bennett’s position on the insider/outsider spectrum.  Bennett appeared to have taken an ‘etic’ or outsider position</w:t>
      </w:r>
      <w:r w:rsidR="00454972">
        <w:rPr>
          <w:sz w:val="24"/>
          <w:szCs w:val="24"/>
        </w:rPr>
        <w:t xml:space="preserve"> to the extent that </w:t>
      </w:r>
      <w:r w:rsidR="00EB39B1">
        <w:rPr>
          <w:sz w:val="24"/>
          <w:szCs w:val="24"/>
        </w:rPr>
        <w:t xml:space="preserve">making no comment about her own beliefs about foreknowledge.  But the fact that the interviews took place in her father’s clinic would </w:t>
      </w:r>
      <w:r w:rsidR="0084248D">
        <w:rPr>
          <w:sz w:val="24"/>
          <w:szCs w:val="24"/>
        </w:rPr>
        <w:t xml:space="preserve">also </w:t>
      </w:r>
      <w:r w:rsidR="00EB39B1">
        <w:rPr>
          <w:sz w:val="24"/>
          <w:szCs w:val="24"/>
        </w:rPr>
        <w:t xml:space="preserve">have given her an insider, or ‘emic’ perspective, as she was in a comfortable setting she knew well.  </w:t>
      </w:r>
      <w:r w:rsidR="00E25210">
        <w:rPr>
          <w:sz w:val="24"/>
          <w:szCs w:val="24"/>
        </w:rPr>
        <w:t>As with Brink, this could be considered to give rise to ethical considerations of power and authority</w:t>
      </w:r>
      <w:r w:rsidR="008B7EA0">
        <w:rPr>
          <w:sz w:val="24"/>
          <w:szCs w:val="24"/>
        </w:rPr>
        <w:t xml:space="preserve">:  for example, demographic information about her participants was obtained from her father, thus exploiting her insider status.  We are not told if she had permission from the participants of request this data, but it is surprising that her father </w:t>
      </w:r>
      <w:r w:rsidR="00A11C32">
        <w:rPr>
          <w:sz w:val="24"/>
          <w:szCs w:val="24"/>
        </w:rPr>
        <w:t>did not treat the data as confidential.</w:t>
      </w:r>
    </w:p>
    <w:p w14:paraId="318CE041" w14:textId="0483DA76" w:rsidR="00AC739F" w:rsidRDefault="00AC739F" w:rsidP="003E7A7B">
      <w:pPr>
        <w:autoSpaceDE w:val="0"/>
        <w:autoSpaceDN w:val="0"/>
        <w:adjustRightInd w:val="0"/>
        <w:spacing w:after="0" w:line="240" w:lineRule="auto"/>
        <w:rPr>
          <w:sz w:val="24"/>
          <w:szCs w:val="24"/>
        </w:rPr>
      </w:pPr>
    </w:p>
    <w:p w14:paraId="516080DC" w14:textId="77777777" w:rsidR="00AC739F" w:rsidRDefault="00AC739F" w:rsidP="003E7A7B">
      <w:pPr>
        <w:autoSpaceDE w:val="0"/>
        <w:autoSpaceDN w:val="0"/>
        <w:adjustRightInd w:val="0"/>
        <w:spacing w:after="0" w:line="240" w:lineRule="auto"/>
        <w:rPr>
          <w:sz w:val="24"/>
          <w:szCs w:val="24"/>
        </w:rPr>
      </w:pPr>
    </w:p>
    <w:p w14:paraId="1C06CACC" w14:textId="4B9EA87C" w:rsidR="00BD45A2" w:rsidRDefault="00BD45A2" w:rsidP="003E7A7B">
      <w:pPr>
        <w:autoSpaceDE w:val="0"/>
        <w:autoSpaceDN w:val="0"/>
        <w:adjustRightInd w:val="0"/>
        <w:spacing w:after="0" w:line="240" w:lineRule="auto"/>
        <w:rPr>
          <w:sz w:val="24"/>
          <w:szCs w:val="24"/>
        </w:rPr>
      </w:pPr>
    </w:p>
    <w:p w14:paraId="2F57EA26" w14:textId="454CC757" w:rsidR="006A6E90" w:rsidRDefault="00C10B6B" w:rsidP="00D72EF5">
      <w:pPr>
        <w:rPr>
          <w:b/>
          <w:bCs/>
          <w:sz w:val="24"/>
          <w:szCs w:val="24"/>
          <w:u w:val="single"/>
        </w:rPr>
      </w:pPr>
      <w:r>
        <w:rPr>
          <w:b/>
          <w:bCs/>
          <w:sz w:val="24"/>
          <w:szCs w:val="24"/>
          <w:u w:val="single"/>
        </w:rPr>
        <w:t>Literature Review</w:t>
      </w:r>
    </w:p>
    <w:p w14:paraId="76104F57" w14:textId="5EC810D1" w:rsidR="00E051BB" w:rsidRDefault="00E051BB" w:rsidP="00E051BB">
      <w:pPr>
        <w:autoSpaceDE w:val="0"/>
        <w:autoSpaceDN w:val="0"/>
        <w:adjustRightInd w:val="0"/>
        <w:spacing w:after="0" w:line="240" w:lineRule="auto"/>
        <w:rPr>
          <w:rFonts w:ascii="Code" w:hAnsi="Code" w:cs="Code"/>
          <w:color w:val="000000"/>
          <w:sz w:val="24"/>
          <w:szCs w:val="24"/>
        </w:rPr>
      </w:pPr>
      <w:r>
        <w:rPr>
          <w:rFonts w:ascii="Code" w:hAnsi="Code" w:cs="Code"/>
          <w:color w:val="000000"/>
          <w:sz w:val="24"/>
          <w:szCs w:val="24"/>
        </w:rPr>
        <w:t xml:space="preserve">A literature review </w:t>
      </w:r>
      <w:r w:rsidR="002F4509">
        <w:rPr>
          <w:rFonts w:ascii="Code" w:hAnsi="Code" w:cs="Code"/>
          <w:color w:val="000000"/>
          <w:sz w:val="24"/>
          <w:szCs w:val="24"/>
        </w:rPr>
        <w:t>is based on</w:t>
      </w:r>
      <w:r>
        <w:rPr>
          <w:rFonts w:ascii="Code" w:hAnsi="Code" w:cs="Code"/>
          <w:color w:val="000000"/>
          <w:sz w:val="24"/>
          <w:szCs w:val="24"/>
        </w:rPr>
        <w:t xml:space="preserve"> a thorough reading of all the previous scholarship available relevant to the research topic in question.  </w:t>
      </w:r>
      <w:r w:rsidR="00492ED9">
        <w:rPr>
          <w:rFonts w:ascii="Code" w:hAnsi="Code" w:cs="Code"/>
          <w:color w:val="000000"/>
          <w:sz w:val="24"/>
          <w:szCs w:val="24"/>
        </w:rPr>
        <w:t xml:space="preserve">Judith Bell explains that a literature review should ‘provide the reader with a picture … of the state of knowledge and of major questions in the subject area being investigated’. </w:t>
      </w:r>
      <w:r w:rsidR="00492ED9">
        <w:rPr>
          <w:rStyle w:val="FootnoteReference"/>
          <w:rFonts w:ascii="Code" w:hAnsi="Code" w:cs="Code"/>
          <w:color w:val="000000"/>
          <w:sz w:val="24"/>
          <w:szCs w:val="24"/>
        </w:rPr>
        <w:footnoteReference w:id="9"/>
      </w:r>
      <w:r w:rsidR="002F4509">
        <w:rPr>
          <w:rFonts w:ascii="Code" w:hAnsi="Code" w:cs="Code"/>
          <w:color w:val="000000"/>
          <w:sz w:val="24"/>
          <w:szCs w:val="24"/>
        </w:rPr>
        <w:t xml:space="preserve">  </w:t>
      </w:r>
      <w:r>
        <w:rPr>
          <w:rFonts w:ascii="Code" w:hAnsi="Code" w:cs="Code"/>
          <w:color w:val="000000"/>
          <w:sz w:val="24"/>
          <w:szCs w:val="24"/>
        </w:rPr>
        <w:t>David Boote and Penny Beile consider that ‘</w:t>
      </w:r>
      <w:r w:rsidRPr="00DB5EA1">
        <w:rPr>
          <w:rFonts w:ascii="Code" w:hAnsi="Code" w:cs="Code"/>
          <w:color w:val="000000"/>
          <w:sz w:val="24"/>
          <w:szCs w:val="24"/>
        </w:rPr>
        <w:t>A researcher cannot perform significant research without first understanding the literature</w:t>
      </w:r>
      <w:r>
        <w:rPr>
          <w:rFonts w:ascii="Code" w:hAnsi="Code" w:cs="Code"/>
          <w:color w:val="000000"/>
          <w:sz w:val="24"/>
          <w:szCs w:val="24"/>
        </w:rPr>
        <w:t xml:space="preserve"> in the field.’ and hold the literature review to be ‘the foundation of any research project’</w:t>
      </w:r>
      <w:r w:rsidR="00780F24">
        <w:rPr>
          <w:rFonts w:ascii="Code" w:hAnsi="Code" w:cs="Code"/>
          <w:color w:val="000000"/>
          <w:sz w:val="24"/>
          <w:szCs w:val="24"/>
        </w:rPr>
        <w:t xml:space="preserve">, emphasizing its </w:t>
      </w:r>
      <w:r w:rsidR="00A56E54">
        <w:rPr>
          <w:rFonts w:ascii="Code" w:hAnsi="Code" w:cs="Code"/>
          <w:color w:val="000000"/>
          <w:sz w:val="24"/>
          <w:szCs w:val="24"/>
        </w:rPr>
        <w:t xml:space="preserve">fundamental </w:t>
      </w:r>
      <w:r w:rsidR="00780F24">
        <w:rPr>
          <w:rFonts w:ascii="Code" w:hAnsi="Code" w:cs="Code"/>
          <w:color w:val="000000"/>
          <w:sz w:val="24"/>
          <w:szCs w:val="24"/>
        </w:rPr>
        <w:t>importance to the academic credentials of any work</w:t>
      </w:r>
      <w:r>
        <w:rPr>
          <w:rFonts w:ascii="Code" w:hAnsi="Code" w:cs="Code"/>
          <w:color w:val="000000"/>
          <w:sz w:val="24"/>
          <w:szCs w:val="24"/>
        </w:rPr>
        <w:t xml:space="preserve">. </w:t>
      </w:r>
      <w:r>
        <w:rPr>
          <w:rStyle w:val="FootnoteReference"/>
          <w:rFonts w:ascii="Code" w:hAnsi="Code" w:cs="Code"/>
          <w:color w:val="000000"/>
          <w:sz w:val="24"/>
          <w:szCs w:val="24"/>
        </w:rPr>
        <w:footnoteReference w:id="10"/>
      </w:r>
      <w:r>
        <w:rPr>
          <w:rFonts w:ascii="Code" w:hAnsi="Code" w:cs="Code"/>
          <w:color w:val="000000"/>
          <w:sz w:val="24"/>
          <w:szCs w:val="24"/>
        </w:rPr>
        <w:t xml:space="preserve"> </w:t>
      </w:r>
      <w:r w:rsidR="00780F24">
        <w:rPr>
          <w:rFonts w:ascii="Code" w:hAnsi="Code" w:cs="Code"/>
          <w:color w:val="000000"/>
          <w:sz w:val="24"/>
          <w:szCs w:val="24"/>
        </w:rPr>
        <w:t xml:space="preserve"> </w:t>
      </w:r>
      <w:r>
        <w:rPr>
          <w:rFonts w:ascii="Code" w:hAnsi="Code" w:cs="Code"/>
          <w:color w:val="000000"/>
          <w:sz w:val="24"/>
          <w:szCs w:val="24"/>
        </w:rPr>
        <w:t xml:space="preserve">This would seem to be a position taken seriously by Bennett, who provided an extensive </w:t>
      </w:r>
      <w:r w:rsidR="00795F8A">
        <w:rPr>
          <w:rFonts w:ascii="Code" w:hAnsi="Code" w:cs="Code"/>
          <w:color w:val="000000"/>
          <w:sz w:val="24"/>
          <w:szCs w:val="24"/>
        </w:rPr>
        <w:t xml:space="preserve">opening </w:t>
      </w:r>
      <w:r>
        <w:rPr>
          <w:rFonts w:ascii="Code" w:hAnsi="Code" w:cs="Code"/>
          <w:color w:val="000000"/>
          <w:sz w:val="24"/>
          <w:szCs w:val="24"/>
        </w:rPr>
        <w:t>section setting out the scholarly and historical context for studies in what she termed ‘the folklore of foreknowledge’.</w:t>
      </w:r>
      <w:r>
        <w:rPr>
          <w:rStyle w:val="FootnoteReference"/>
          <w:rFonts w:ascii="Code" w:hAnsi="Code" w:cs="Code"/>
          <w:color w:val="000000"/>
          <w:sz w:val="24"/>
          <w:szCs w:val="24"/>
        </w:rPr>
        <w:footnoteReference w:id="11"/>
      </w:r>
      <w:r>
        <w:rPr>
          <w:rFonts w:ascii="Code" w:hAnsi="Code" w:cs="Code"/>
          <w:color w:val="000000"/>
          <w:sz w:val="24"/>
          <w:szCs w:val="24"/>
        </w:rPr>
        <w:t xml:space="preserve">  This went some way to explaining the rationale for her study, as she identified an apparent trend in the way her topic has been discussed in the literature and set out to gather further evidence to clarify the trend.  Brink also provided evidence of his familiarity with the literature relevant to his subject</w:t>
      </w:r>
      <w:r w:rsidR="00D84E08">
        <w:rPr>
          <w:rFonts w:ascii="Code" w:hAnsi="Code" w:cs="Code"/>
          <w:color w:val="000000"/>
          <w:sz w:val="24"/>
          <w:szCs w:val="24"/>
        </w:rPr>
        <w:t xml:space="preserve"> in his introduction to his study</w:t>
      </w:r>
      <w:r>
        <w:rPr>
          <w:rFonts w:ascii="Code" w:hAnsi="Code" w:cs="Code"/>
          <w:color w:val="000000"/>
          <w:sz w:val="24"/>
          <w:szCs w:val="24"/>
        </w:rPr>
        <w:t xml:space="preserve">.  He was very much more succinct than Bennet, but this </w:t>
      </w:r>
      <w:r w:rsidR="00703FAA">
        <w:rPr>
          <w:rFonts w:ascii="Code" w:hAnsi="Code" w:cs="Code"/>
          <w:color w:val="000000"/>
          <w:sz w:val="24"/>
          <w:szCs w:val="24"/>
        </w:rPr>
        <w:t>could perhaps have been</w:t>
      </w:r>
      <w:r>
        <w:rPr>
          <w:rFonts w:ascii="Code" w:hAnsi="Code" w:cs="Code"/>
          <w:color w:val="000000"/>
          <w:sz w:val="24"/>
          <w:szCs w:val="24"/>
        </w:rPr>
        <w:t xml:space="preserve"> due to a limitation on word count, since his whole paper is much shorter.  The impression given however is that he was assuming an audience of scholars already familiar with the literature, as the theories he referred to, such as ‘logical-affective consistency’, though appropriately cited, were not explained.</w:t>
      </w:r>
      <w:r>
        <w:rPr>
          <w:rStyle w:val="FootnoteReference"/>
          <w:rFonts w:ascii="Code" w:hAnsi="Code" w:cs="Code"/>
          <w:color w:val="000000"/>
          <w:sz w:val="24"/>
          <w:szCs w:val="24"/>
        </w:rPr>
        <w:footnoteReference w:id="12"/>
      </w:r>
      <w:r>
        <w:rPr>
          <w:rFonts w:ascii="Code" w:hAnsi="Code" w:cs="Code"/>
          <w:color w:val="000000"/>
          <w:sz w:val="24"/>
          <w:szCs w:val="24"/>
        </w:rPr>
        <w:t xml:space="preserve"> To someone not already versed in the literature, their relevance to his hypothesis </w:t>
      </w:r>
      <w:r w:rsidR="00E233EE">
        <w:rPr>
          <w:rFonts w:ascii="Code" w:hAnsi="Code" w:cs="Code"/>
          <w:color w:val="000000"/>
          <w:sz w:val="24"/>
          <w:szCs w:val="24"/>
        </w:rPr>
        <w:t xml:space="preserve">and therefore their ability to provide an academic justification for his research </w:t>
      </w:r>
      <w:r>
        <w:rPr>
          <w:rFonts w:ascii="Code" w:hAnsi="Code" w:cs="Code"/>
          <w:color w:val="000000"/>
          <w:sz w:val="24"/>
          <w:szCs w:val="24"/>
        </w:rPr>
        <w:t xml:space="preserve">can only be guessed at from the likely-sounding names of the theories he cited.  In the same way, the studies he cited must be assumed to ‘justify his research topic, design and methodology’, </w:t>
      </w:r>
      <w:r w:rsidR="00AE24BB">
        <w:rPr>
          <w:rFonts w:ascii="Code" w:hAnsi="Code" w:cs="Code"/>
          <w:color w:val="000000"/>
          <w:sz w:val="24"/>
          <w:szCs w:val="24"/>
        </w:rPr>
        <w:t xml:space="preserve">as </w:t>
      </w:r>
      <w:r w:rsidR="00AE24BB">
        <w:rPr>
          <w:rFonts w:ascii="Code" w:hAnsi="Code" w:cs="Code"/>
          <w:color w:val="000000"/>
          <w:sz w:val="24"/>
          <w:szCs w:val="24"/>
        </w:rPr>
        <w:lastRenderedPageBreak/>
        <w:t xml:space="preserve">recommended by </w:t>
      </w:r>
      <w:r w:rsidR="00492ED9">
        <w:rPr>
          <w:rFonts w:ascii="Code" w:hAnsi="Code" w:cs="Code"/>
          <w:color w:val="000000"/>
          <w:sz w:val="24"/>
          <w:szCs w:val="24"/>
        </w:rPr>
        <w:t xml:space="preserve">Chris </w:t>
      </w:r>
      <w:r w:rsidR="00AE24BB">
        <w:rPr>
          <w:rFonts w:ascii="Code" w:hAnsi="Code" w:cs="Code"/>
          <w:color w:val="000000"/>
          <w:sz w:val="24"/>
          <w:szCs w:val="24"/>
        </w:rPr>
        <w:t xml:space="preserve">Hart, </w:t>
      </w:r>
      <w:r>
        <w:rPr>
          <w:rFonts w:ascii="Code" w:hAnsi="Code" w:cs="Code"/>
          <w:color w:val="000000"/>
          <w:sz w:val="24"/>
          <w:szCs w:val="24"/>
        </w:rPr>
        <w:t>since he did not explicitly set out his rationale.</w:t>
      </w:r>
      <w:r>
        <w:rPr>
          <w:rStyle w:val="FootnoteReference"/>
          <w:rFonts w:ascii="Code" w:hAnsi="Code" w:cs="Code"/>
          <w:color w:val="000000"/>
          <w:sz w:val="24"/>
          <w:szCs w:val="24"/>
        </w:rPr>
        <w:footnoteReference w:id="13"/>
      </w:r>
      <w:r w:rsidR="004534A9">
        <w:rPr>
          <w:rFonts w:ascii="Code" w:hAnsi="Code" w:cs="Code"/>
          <w:color w:val="000000"/>
          <w:sz w:val="24"/>
          <w:szCs w:val="24"/>
        </w:rPr>
        <w:t xml:space="preserve">  The academic background revealed in the relevant literature is also important in the discussion of the findings of any study</w:t>
      </w:r>
      <w:r w:rsidR="00795F8A">
        <w:rPr>
          <w:rFonts w:ascii="Code" w:hAnsi="Code" w:cs="Code"/>
          <w:color w:val="000000"/>
          <w:sz w:val="24"/>
          <w:szCs w:val="24"/>
        </w:rPr>
        <w:t xml:space="preserve">, and </w:t>
      </w:r>
      <w:r w:rsidR="00D425F6">
        <w:rPr>
          <w:rFonts w:ascii="Code" w:hAnsi="Code" w:cs="Code"/>
          <w:color w:val="000000"/>
          <w:sz w:val="24"/>
          <w:szCs w:val="24"/>
        </w:rPr>
        <w:t>Brink does refer</w:t>
      </w:r>
      <w:r w:rsidR="00795F8A">
        <w:rPr>
          <w:rFonts w:ascii="Code" w:hAnsi="Code" w:cs="Code"/>
          <w:color w:val="000000"/>
          <w:sz w:val="24"/>
          <w:szCs w:val="24"/>
        </w:rPr>
        <w:t xml:space="preserve"> to other findings in </w:t>
      </w:r>
      <w:r w:rsidR="00D425F6">
        <w:rPr>
          <w:rFonts w:ascii="Code" w:hAnsi="Code" w:cs="Code"/>
          <w:color w:val="000000"/>
          <w:sz w:val="24"/>
          <w:szCs w:val="24"/>
        </w:rPr>
        <w:t>his</w:t>
      </w:r>
      <w:r w:rsidR="00795F8A">
        <w:rPr>
          <w:rFonts w:ascii="Code" w:hAnsi="Code" w:cs="Code"/>
          <w:color w:val="000000"/>
          <w:sz w:val="24"/>
          <w:szCs w:val="24"/>
        </w:rPr>
        <w:t xml:space="preserve"> discussion to help elucidate </w:t>
      </w:r>
      <w:r w:rsidR="00D425F6">
        <w:rPr>
          <w:rFonts w:ascii="Code" w:hAnsi="Code" w:cs="Code"/>
          <w:color w:val="000000"/>
          <w:sz w:val="24"/>
          <w:szCs w:val="24"/>
        </w:rPr>
        <w:t>his</w:t>
      </w:r>
      <w:r w:rsidR="00795F8A">
        <w:rPr>
          <w:rFonts w:ascii="Code" w:hAnsi="Code" w:cs="Code"/>
          <w:color w:val="000000"/>
          <w:sz w:val="24"/>
          <w:szCs w:val="24"/>
        </w:rPr>
        <w:t xml:space="preserve"> own.  </w:t>
      </w:r>
      <w:r w:rsidR="0021482F">
        <w:rPr>
          <w:rFonts w:ascii="Code" w:hAnsi="Code" w:cs="Code"/>
          <w:color w:val="000000"/>
          <w:sz w:val="24"/>
          <w:szCs w:val="24"/>
        </w:rPr>
        <w:t>This is in line with Hennink and others’ description of the discussion section in a study as containing ‘your interpretation of what the study findings mean in the broader context of the academic literature’.</w:t>
      </w:r>
      <w:r w:rsidR="0021482F">
        <w:rPr>
          <w:rStyle w:val="FootnoteReference"/>
          <w:rFonts w:ascii="Code" w:hAnsi="Code" w:cs="Code"/>
          <w:color w:val="000000"/>
          <w:sz w:val="24"/>
          <w:szCs w:val="24"/>
        </w:rPr>
        <w:footnoteReference w:id="14"/>
      </w:r>
      <w:r w:rsidR="008B5E70">
        <w:rPr>
          <w:rFonts w:ascii="Code" w:hAnsi="Code" w:cs="Code"/>
          <w:color w:val="000000"/>
          <w:sz w:val="24"/>
          <w:szCs w:val="24"/>
        </w:rPr>
        <w:t xml:space="preserve"> </w:t>
      </w:r>
      <w:r w:rsidR="00E865DB">
        <w:rPr>
          <w:rFonts w:ascii="Code" w:hAnsi="Code" w:cs="Code"/>
          <w:color w:val="000000"/>
          <w:sz w:val="24"/>
          <w:szCs w:val="24"/>
        </w:rPr>
        <w:t xml:space="preserve"> </w:t>
      </w:r>
      <w:r w:rsidR="00D425F6">
        <w:rPr>
          <w:rFonts w:ascii="Code" w:hAnsi="Code" w:cs="Code"/>
          <w:color w:val="000000"/>
          <w:sz w:val="24"/>
          <w:szCs w:val="24"/>
        </w:rPr>
        <w:t xml:space="preserve">While Brink’s references in his introductory section were not explained, those in his discussion section are more fully integrated into the discussion, and his own findings used to critically evaluate the hypotheses of others, such as Robert Wuthnow. </w:t>
      </w:r>
      <w:r w:rsidR="00E865DB">
        <w:rPr>
          <w:rFonts w:ascii="Code" w:hAnsi="Code" w:cs="Code"/>
          <w:color w:val="000000"/>
          <w:sz w:val="24"/>
          <w:szCs w:val="24"/>
        </w:rPr>
        <w:t>However,</w:t>
      </w:r>
      <w:r w:rsidR="00D425F6">
        <w:rPr>
          <w:rFonts w:ascii="Code" w:hAnsi="Code" w:cs="Code"/>
          <w:color w:val="000000"/>
          <w:sz w:val="24"/>
          <w:szCs w:val="24"/>
        </w:rPr>
        <w:t xml:space="preserve"> Bennett’s analysis of her data does not refer back to the literature, and instead makes several assumptions that would have benefitted from being given academic backing, such as </w:t>
      </w:r>
      <w:r w:rsidR="00174744">
        <w:rPr>
          <w:rFonts w:ascii="Code" w:hAnsi="Code" w:cs="Code"/>
          <w:color w:val="000000"/>
          <w:sz w:val="24"/>
          <w:szCs w:val="24"/>
        </w:rPr>
        <w:t>her statement that ‘being “a little bit psychic” guarantees approved feminine virtues’.</w:t>
      </w:r>
      <w:r w:rsidR="00174744">
        <w:rPr>
          <w:rStyle w:val="FootnoteReference"/>
          <w:rFonts w:ascii="Code" w:hAnsi="Code" w:cs="Code"/>
          <w:color w:val="000000"/>
          <w:sz w:val="24"/>
          <w:szCs w:val="24"/>
        </w:rPr>
        <w:footnoteReference w:id="15"/>
      </w:r>
      <w:r w:rsidR="00AC5B3B">
        <w:rPr>
          <w:rFonts w:ascii="Code" w:hAnsi="Code" w:cs="Code"/>
          <w:color w:val="000000"/>
          <w:sz w:val="24"/>
          <w:szCs w:val="24"/>
        </w:rPr>
        <w:t xml:space="preserve">  There is a clear recognition in both papers that the existing academic literature is of importance and relevance to their studies, and both display familiarity with the literature of their field, and make appropriate citations.  There are shortcomings in both papers:  Brink, perhaps due to lack of space, fails to do any more than list some theories, without explanation of their relevance, while Bennett failed to provide backing for </w:t>
      </w:r>
      <w:r w:rsidR="00E865DB">
        <w:rPr>
          <w:rFonts w:ascii="Code" w:hAnsi="Code" w:cs="Code"/>
          <w:color w:val="000000"/>
          <w:sz w:val="24"/>
          <w:szCs w:val="24"/>
        </w:rPr>
        <w:t>some unexamined assertions.</w:t>
      </w:r>
    </w:p>
    <w:p w14:paraId="2EF6C180" w14:textId="4B6A1F58" w:rsidR="00862BBF" w:rsidRDefault="00862BBF" w:rsidP="00E051BB">
      <w:pPr>
        <w:autoSpaceDE w:val="0"/>
        <w:autoSpaceDN w:val="0"/>
        <w:adjustRightInd w:val="0"/>
        <w:spacing w:after="0" w:line="240" w:lineRule="auto"/>
        <w:rPr>
          <w:rFonts w:ascii="Code" w:hAnsi="Code" w:cs="Code"/>
          <w:color w:val="000000"/>
          <w:sz w:val="24"/>
          <w:szCs w:val="24"/>
        </w:rPr>
      </w:pPr>
    </w:p>
    <w:p w14:paraId="2B94BBCB" w14:textId="77777777" w:rsidR="008B03D8" w:rsidRDefault="008B03D8" w:rsidP="00D72EF5">
      <w:pPr>
        <w:rPr>
          <w:b/>
          <w:bCs/>
          <w:sz w:val="24"/>
          <w:szCs w:val="24"/>
          <w:u w:val="single"/>
        </w:rPr>
      </w:pPr>
    </w:p>
    <w:p w14:paraId="298CE45E" w14:textId="3645B746" w:rsidR="00E051BB" w:rsidRDefault="00C10B6B" w:rsidP="00D72EF5">
      <w:pPr>
        <w:rPr>
          <w:b/>
          <w:bCs/>
          <w:sz w:val="24"/>
          <w:szCs w:val="24"/>
          <w:u w:val="single"/>
        </w:rPr>
      </w:pPr>
      <w:r>
        <w:rPr>
          <w:b/>
          <w:bCs/>
          <w:sz w:val="24"/>
          <w:szCs w:val="24"/>
          <w:u w:val="single"/>
        </w:rPr>
        <w:t>CONCLUSION</w:t>
      </w:r>
    </w:p>
    <w:p w14:paraId="2F803F97" w14:textId="53AB1D0C" w:rsidR="00E051BB" w:rsidRPr="00D9517F" w:rsidRDefault="00D9517F" w:rsidP="00D72EF5">
      <w:pPr>
        <w:rPr>
          <w:b/>
          <w:bCs/>
          <w:sz w:val="24"/>
          <w:szCs w:val="24"/>
          <w:u w:val="single"/>
        </w:rPr>
      </w:pPr>
      <w:r w:rsidRPr="00D9517F">
        <w:rPr>
          <w:bCs/>
          <w:sz w:val="24"/>
          <w:szCs w:val="24"/>
        </w:rPr>
        <w:t xml:space="preserve">This essay compared and contrasted two academic papers.  The two papers chosen were </w:t>
      </w:r>
      <w:r w:rsidRPr="00D9517F">
        <w:rPr>
          <w:sz w:val="24"/>
          <w:szCs w:val="24"/>
        </w:rPr>
        <w:t xml:space="preserve">T. L. Brink, ‘Inconsistency of Belief Among Roman Catholic Girls: Concerning Religion, Astrology, Reincarnation’ </w:t>
      </w:r>
      <w:r w:rsidRPr="00D9517F">
        <w:rPr>
          <w:sz w:val="23"/>
          <w:szCs w:val="23"/>
        </w:rPr>
        <w:t xml:space="preserve">Review of Religious Research, 20:1 (1978) pp.82-85, and G. Bennett, “If I Knew You Were </w:t>
      </w:r>
      <w:r w:rsidRPr="00D9517F">
        <w:rPr>
          <w:sz w:val="24"/>
          <w:szCs w:val="24"/>
        </w:rPr>
        <w:t xml:space="preserve">Coming I’d Have Baked a Cake”: The Folklore of Foreknowledge in a Neighbourhood Group’, Out of the Ordinary: Folklore and the Supernatural, edited by Barbara Walker, Logan, Utah: Utah University Press, pp. 122-142.  Examination of these papers focused on the themes of </w:t>
      </w:r>
      <w:r w:rsidR="00CA4A14" w:rsidRPr="00D9517F">
        <w:rPr>
          <w:sz w:val="24"/>
          <w:szCs w:val="24"/>
        </w:rPr>
        <w:t>methodology</w:t>
      </w:r>
      <w:r w:rsidR="00CA4A14">
        <w:rPr>
          <w:sz w:val="24"/>
          <w:szCs w:val="24"/>
        </w:rPr>
        <w:t xml:space="preserve">, </w:t>
      </w:r>
      <w:r w:rsidR="00CA4A14" w:rsidRPr="00D9517F">
        <w:rPr>
          <w:sz w:val="24"/>
          <w:szCs w:val="24"/>
        </w:rPr>
        <w:t>the insider/outsider perspective</w:t>
      </w:r>
      <w:r w:rsidR="00CA4A14">
        <w:rPr>
          <w:sz w:val="24"/>
          <w:szCs w:val="24"/>
        </w:rPr>
        <w:t xml:space="preserve"> and</w:t>
      </w:r>
      <w:r w:rsidR="00CA4A14" w:rsidRPr="00D9517F">
        <w:rPr>
          <w:sz w:val="24"/>
          <w:szCs w:val="24"/>
        </w:rPr>
        <w:t xml:space="preserve"> </w:t>
      </w:r>
      <w:r w:rsidRPr="00D9517F">
        <w:rPr>
          <w:sz w:val="24"/>
          <w:szCs w:val="24"/>
        </w:rPr>
        <w:t>literature review</w:t>
      </w:r>
      <w:r w:rsidR="00CA4A14">
        <w:rPr>
          <w:sz w:val="24"/>
          <w:szCs w:val="24"/>
        </w:rPr>
        <w:t>.</w:t>
      </w:r>
      <w:r w:rsidR="00052CFF">
        <w:rPr>
          <w:sz w:val="24"/>
          <w:szCs w:val="24"/>
        </w:rPr>
        <w:t xml:space="preserve">  There were clear differences in the methodology used by the papers, with Brink adopting a quantitative, positivist approach, and Bennett taking a qualitative approach with clear focus on the phenomenological experience of her participants.</w:t>
      </w:r>
      <w:r w:rsidR="006262D3">
        <w:rPr>
          <w:sz w:val="24"/>
          <w:szCs w:val="24"/>
        </w:rPr>
        <w:t xml:space="preserve">  Given the topics investigated by Brink, a more qualitative approach may have been more appropriate.  </w:t>
      </w:r>
      <w:r w:rsidR="00AC01FD">
        <w:rPr>
          <w:sz w:val="24"/>
          <w:szCs w:val="24"/>
        </w:rPr>
        <w:t xml:space="preserve">Neither researcher </w:t>
      </w:r>
      <w:r w:rsidR="004E4062">
        <w:rPr>
          <w:sz w:val="24"/>
          <w:szCs w:val="24"/>
        </w:rPr>
        <w:t>explicitly</w:t>
      </w:r>
      <w:r w:rsidR="00AC01FD">
        <w:rPr>
          <w:sz w:val="24"/>
          <w:szCs w:val="24"/>
        </w:rPr>
        <w:t xml:space="preserve"> considered their position on an insider-outsider perspective, which can be seen as a shortcoming, since more thorough reflection on this issue might have allowed them to avoid some ethical </w:t>
      </w:r>
      <w:r w:rsidR="00A43FE7">
        <w:rPr>
          <w:sz w:val="24"/>
          <w:szCs w:val="24"/>
        </w:rPr>
        <w:t>issues and</w:t>
      </w:r>
      <w:r w:rsidR="00AC01FD">
        <w:rPr>
          <w:sz w:val="24"/>
          <w:szCs w:val="24"/>
        </w:rPr>
        <w:t xml:space="preserve"> strengthened the validity of their data.</w:t>
      </w:r>
      <w:r w:rsidR="003165CB">
        <w:rPr>
          <w:sz w:val="24"/>
          <w:szCs w:val="24"/>
        </w:rPr>
        <w:t xml:space="preserve"> </w:t>
      </w:r>
      <w:r w:rsidR="00F35AD1">
        <w:rPr>
          <w:sz w:val="24"/>
          <w:szCs w:val="24"/>
        </w:rPr>
        <w:t xml:space="preserve">However both Brink and Bennett demonstrated awareness of the need to position their work against the academic background, by citing works of other scholars.  This was much more fully explained by Bennett, </w:t>
      </w:r>
      <w:r w:rsidR="00F35AD1">
        <w:rPr>
          <w:sz w:val="24"/>
          <w:szCs w:val="24"/>
        </w:rPr>
        <w:lastRenderedPageBreak/>
        <w:t>who wrote a lengthy introduction giving a historical outline of the academic background.  Brink merely mentioned other works by name, without explaining their findings.  In all three of the themes examined in this essay, the two papers ……………………….</w:t>
      </w:r>
    </w:p>
    <w:p w14:paraId="24B053C4" w14:textId="1B8A5B19" w:rsidR="00070055" w:rsidRDefault="00070055" w:rsidP="00D72EF5">
      <w:pPr>
        <w:rPr>
          <w:b/>
          <w:bCs/>
          <w:sz w:val="24"/>
          <w:szCs w:val="24"/>
          <w:u w:val="single"/>
        </w:rPr>
      </w:pPr>
    </w:p>
    <w:p w14:paraId="32F30C44" w14:textId="77777777" w:rsidR="001A3E2B" w:rsidRDefault="001A3E2B" w:rsidP="001A3E2B">
      <w:pPr>
        <w:rPr>
          <w:b/>
          <w:sz w:val="24"/>
          <w:szCs w:val="24"/>
          <w:u w:val="single"/>
        </w:rPr>
      </w:pPr>
      <w:r>
        <w:rPr>
          <w:b/>
          <w:sz w:val="24"/>
          <w:szCs w:val="24"/>
          <w:u w:val="single"/>
        </w:rPr>
        <w:t>BIBLIOGRAPHY</w:t>
      </w:r>
    </w:p>
    <w:p w14:paraId="4C497F10" w14:textId="77777777" w:rsidR="0022713E" w:rsidRDefault="0022713E" w:rsidP="001A3E2B">
      <w:pPr>
        <w:rPr>
          <w:b/>
          <w:sz w:val="24"/>
          <w:szCs w:val="24"/>
          <w:u w:val="single"/>
        </w:rPr>
      </w:pPr>
    </w:p>
    <w:p w14:paraId="40EC4858" w14:textId="29F58DB1" w:rsidR="001A3E2B" w:rsidRDefault="001A3E2B" w:rsidP="001A3E2B">
      <w:pPr>
        <w:rPr>
          <w:b/>
          <w:sz w:val="24"/>
          <w:szCs w:val="24"/>
          <w:u w:val="single"/>
        </w:rPr>
      </w:pPr>
      <w:r>
        <w:rPr>
          <w:b/>
          <w:sz w:val="24"/>
          <w:szCs w:val="24"/>
          <w:u w:val="single"/>
        </w:rPr>
        <w:t>SECONDARY SOURCES</w:t>
      </w:r>
    </w:p>
    <w:p w14:paraId="66696726" w14:textId="77777777" w:rsidR="00370FA8" w:rsidRPr="00370FA8" w:rsidRDefault="00E051BB" w:rsidP="00370FA8">
      <w:pPr>
        <w:pStyle w:val="EndNoteBibliography"/>
        <w:spacing w:after="0"/>
        <w:ind w:left="720" w:hanging="720"/>
      </w:pPr>
      <w:r>
        <w:rPr>
          <w:b/>
          <w:bCs/>
          <w:sz w:val="24"/>
          <w:szCs w:val="24"/>
          <w:u w:val="single"/>
        </w:rPr>
        <w:fldChar w:fldCharType="begin"/>
      </w:r>
      <w:r>
        <w:rPr>
          <w:b/>
          <w:bCs/>
          <w:sz w:val="24"/>
          <w:szCs w:val="24"/>
          <w:u w:val="single"/>
        </w:rPr>
        <w:instrText xml:space="preserve"> ADDIN EN.REFLIST </w:instrText>
      </w:r>
      <w:r>
        <w:rPr>
          <w:b/>
          <w:bCs/>
          <w:sz w:val="24"/>
          <w:szCs w:val="24"/>
          <w:u w:val="single"/>
        </w:rPr>
        <w:fldChar w:fldCharType="separate"/>
      </w:r>
      <w:r w:rsidR="00370FA8" w:rsidRPr="00370FA8">
        <w:t xml:space="preserve">Bell, Judith. </w:t>
      </w:r>
      <w:r w:rsidR="00370FA8" w:rsidRPr="00370FA8">
        <w:rPr>
          <w:i/>
        </w:rPr>
        <w:t>Doing Your Research Project : A Guide for First-Time Researchers in Education and Social Science.</w:t>
      </w:r>
      <w:r w:rsidR="00370FA8" w:rsidRPr="00370FA8">
        <w:t xml:space="preserve"> 2nd ed. Buckingham: Open University Press, 1993.</w:t>
      </w:r>
    </w:p>
    <w:p w14:paraId="1FC35110" w14:textId="77777777" w:rsidR="00370FA8" w:rsidRPr="00370FA8" w:rsidRDefault="00370FA8" w:rsidP="00370FA8">
      <w:pPr>
        <w:pStyle w:val="EndNoteBibliography"/>
        <w:spacing w:after="0"/>
        <w:ind w:left="720" w:hanging="720"/>
      </w:pPr>
      <w:r w:rsidRPr="00370FA8">
        <w:t xml:space="preserve">Bennett, Gillian. "“If I Knew You Were Coming, I’d Have Baked a Cake” the Folklore of Foreknowledge in a Neighborhood Group." In </w:t>
      </w:r>
      <w:r w:rsidRPr="00370FA8">
        <w:rPr>
          <w:i/>
        </w:rPr>
        <w:t>Out of the Ordinary</w:t>
      </w:r>
      <w:r w:rsidRPr="00370FA8">
        <w:t>, edited by Barbara Walker. Folklore and the Supernatural, 122-42: University Press of Colorado, 1995.</w:t>
      </w:r>
    </w:p>
    <w:p w14:paraId="1B561B7E" w14:textId="77777777" w:rsidR="00370FA8" w:rsidRPr="00370FA8" w:rsidRDefault="00370FA8" w:rsidP="00370FA8">
      <w:pPr>
        <w:pStyle w:val="EndNoteBibliography"/>
        <w:spacing w:after="0"/>
        <w:ind w:left="720" w:hanging="720"/>
      </w:pPr>
      <w:r w:rsidRPr="00370FA8">
        <w:t xml:space="preserve">Boote, David N., and Penny Beile. "Scholars before Researchers: On the Centrality of the Dissertation Literature Review in Research Preparation." </w:t>
      </w:r>
      <w:r w:rsidRPr="00370FA8">
        <w:rPr>
          <w:i/>
        </w:rPr>
        <w:t xml:space="preserve">Educational Researcher </w:t>
      </w:r>
      <w:r w:rsidRPr="00370FA8">
        <w:t>34, no. 6 (2005): 3-15.</w:t>
      </w:r>
    </w:p>
    <w:p w14:paraId="5AE79CAA" w14:textId="77777777" w:rsidR="00370FA8" w:rsidRPr="00370FA8" w:rsidRDefault="00370FA8" w:rsidP="00370FA8">
      <w:pPr>
        <w:pStyle w:val="EndNoteBibliography"/>
        <w:spacing w:after="0"/>
        <w:ind w:left="720" w:hanging="720"/>
      </w:pPr>
      <w:r w:rsidRPr="00370FA8">
        <w:t xml:space="preserve">Brink, T. L. "Inconsistency of Belief among Roman Catholic Girls: Concerning Religion, Astrology, Reincarnation." </w:t>
      </w:r>
      <w:r w:rsidRPr="00370FA8">
        <w:rPr>
          <w:i/>
        </w:rPr>
        <w:t xml:space="preserve">Review of Religious Research </w:t>
      </w:r>
      <w:r w:rsidRPr="00370FA8">
        <w:t>20, no. 1 (1978): 82-85.</w:t>
      </w:r>
    </w:p>
    <w:p w14:paraId="6AC07E3E" w14:textId="77777777" w:rsidR="00370FA8" w:rsidRPr="00370FA8" w:rsidRDefault="00370FA8" w:rsidP="00370FA8">
      <w:pPr>
        <w:pStyle w:val="EndNoteBibliography"/>
        <w:spacing w:after="0"/>
        <w:ind w:left="720" w:hanging="720"/>
      </w:pPr>
      <w:r w:rsidRPr="00370FA8">
        <w:t xml:space="preserve">Bryman, Alan. </w:t>
      </w:r>
      <w:r w:rsidRPr="00370FA8">
        <w:rPr>
          <w:i/>
        </w:rPr>
        <w:t>Quantity and Quality in Social Research.</w:t>
      </w:r>
      <w:r w:rsidRPr="00370FA8">
        <w:t xml:space="preserve"> Contemporary Social Research Series. London: Routledge, 1992.</w:t>
      </w:r>
    </w:p>
    <w:p w14:paraId="65C9167E" w14:textId="77777777" w:rsidR="00370FA8" w:rsidRPr="00370FA8" w:rsidRDefault="00370FA8" w:rsidP="00370FA8">
      <w:pPr>
        <w:pStyle w:val="EndNoteBibliography"/>
        <w:spacing w:after="0"/>
        <w:ind w:left="720" w:hanging="720"/>
      </w:pPr>
      <w:r w:rsidRPr="00370FA8">
        <w:t xml:space="preserve">Hart, Chris. </w:t>
      </w:r>
      <w:r w:rsidRPr="00370FA8">
        <w:rPr>
          <w:i/>
        </w:rPr>
        <w:t>Doing a Literature Review : Releasing the Research Imagination.</w:t>
      </w:r>
      <w:r w:rsidRPr="00370FA8">
        <w:t xml:space="preserve"> Second edition. ed. Los Angeles, London, New Dehli, Singapore, Washington DC: Sage, 2011.</w:t>
      </w:r>
    </w:p>
    <w:p w14:paraId="77B29501" w14:textId="77777777" w:rsidR="00370FA8" w:rsidRPr="00370FA8" w:rsidRDefault="00370FA8" w:rsidP="00370FA8">
      <w:pPr>
        <w:pStyle w:val="EndNoteBibliography"/>
        <w:spacing w:after="0"/>
        <w:ind w:left="720" w:hanging="720"/>
      </w:pPr>
      <w:r w:rsidRPr="00370FA8">
        <w:t xml:space="preserve">Hennink, Monique M., Hutter, Inge, Bailey, Ajay. </w:t>
      </w:r>
      <w:r w:rsidRPr="00370FA8">
        <w:rPr>
          <w:i/>
        </w:rPr>
        <w:t>Qualitative Research Methods.</w:t>
      </w:r>
      <w:r w:rsidRPr="00370FA8">
        <w:t xml:space="preserve"> Second edition. ed.: Sage, 2020.</w:t>
      </w:r>
    </w:p>
    <w:p w14:paraId="3F73FC1D" w14:textId="77777777" w:rsidR="00370FA8" w:rsidRPr="00370FA8" w:rsidRDefault="00370FA8" w:rsidP="00370FA8">
      <w:pPr>
        <w:pStyle w:val="EndNoteBibliography"/>
        <w:ind w:left="720" w:hanging="720"/>
      </w:pPr>
      <w:r w:rsidRPr="00370FA8">
        <w:t xml:space="preserve">Hufford, David. "The Scholarly Voice and the Personal Voice: Reflexivity in Belief Studies." </w:t>
      </w:r>
      <w:r w:rsidRPr="00370FA8">
        <w:rPr>
          <w:i/>
        </w:rPr>
        <w:t xml:space="preserve">Western Folklore </w:t>
      </w:r>
      <w:r w:rsidRPr="00370FA8">
        <w:t>54, no. 1 (1995): 57-76.</w:t>
      </w:r>
    </w:p>
    <w:p w14:paraId="42A658B9" w14:textId="5DBD3A57" w:rsidR="00C10B6B" w:rsidRPr="00C10B6B" w:rsidRDefault="00E051BB" w:rsidP="00D72EF5">
      <w:pPr>
        <w:rPr>
          <w:b/>
          <w:bCs/>
          <w:sz w:val="24"/>
          <w:szCs w:val="24"/>
          <w:u w:val="single"/>
        </w:rPr>
      </w:pPr>
      <w:r>
        <w:rPr>
          <w:b/>
          <w:bCs/>
          <w:sz w:val="24"/>
          <w:szCs w:val="24"/>
          <w:u w:val="single"/>
        </w:rPr>
        <w:fldChar w:fldCharType="end"/>
      </w:r>
    </w:p>
    <w:sectPr w:rsidR="00C10B6B" w:rsidRPr="00C10B6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985178" w14:textId="77777777" w:rsidR="00DB2E68" w:rsidRDefault="00DB2E68" w:rsidP="005F4F77">
      <w:pPr>
        <w:spacing w:after="0" w:line="240" w:lineRule="auto"/>
      </w:pPr>
      <w:r>
        <w:separator/>
      </w:r>
    </w:p>
  </w:endnote>
  <w:endnote w:type="continuationSeparator" w:id="0">
    <w:p w14:paraId="4D17933E" w14:textId="77777777" w:rsidR="00DB2E68" w:rsidRDefault="00DB2E68" w:rsidP="005F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53F47" w14:textId="77777777" w:rsidR="00DB2E68" w:rsidRDefault="00DB2E68" w:rsidP="005F4F77">
      <w:pPr>
        <w:spacing w:after="0" w:line="240" w:lineRule="auto"/>
      </w:pPr>
      <w:r>
        <w:separator/>
      </w:r>
    </w:p>
  </w:footnote>
  <w:footnote w:type="continuationSeparator" w:id="0">
    <w:p w14:paraId="6817FFF4" w14:textId="77777777" w:rsidR="00DB2E68" w:rsidRDefault="00DB2E68" w:rsidP="005F4F77">
      <w:pPr>
        <w:spacing w:after="0" w:line="240" w:lineRule="auto"/>
      </w:pPr>
      <w:r>
        <w:continuationSeparator/>
      </w:r>
    </w:p>
  </w:footnote>
  <w:footnote w:id="1">
    <w:p w14:paraId="2FB5985D" w14:textId="26412638" w:rsidR="002C73B5" w:rsidRPr="002C73B5" w:rsidRDefault="002C73B5">
      <w:pPr>
        <w:pStyle w:val="FootnoteText"/>
        <w:rPr>
          <w:lang w:val="en-GB"/>
        </w:rPr>
      </w:pPr>
      <w:r>
        <w:rPr>
          <w:rStyle w:val="FootnoteReference"/>
        </w:rPr>
        <w:footnoteRef/>
      </w:r>
      <w:r>
        <w:t xml:space="preserve"> </w:t>
      </w:r>
      <w:r>
        <w:fldChar w:fldCharType="begin"/>
      </w:r>
      <w:r w:rsidR="00EB39B1">
        <w:instrText xml:space="preserve"> ADDIN EN.CITE &lt;EndNote&gt;&lt;Cite&gt;&lt;Author&gt;Brink&lt;/Author&gt;&lt;Year&gt;1978&lt;/Year&gt;&lt;RecNum&gt;133&lt;/RecNum&gt;&lt;DisplayText&gt;T. L. Brink, &amp;quot;Inconsistency of Belief among Roman Catholic Girls: Concerning Religion, Astrology, Reincarnation,&amp;quot; &lt;style face="italic"&gt;Review of Religious Research&lt;/style&gt; 20, no. 1 (1978).&lt;/DisplayText&gt;&lt;record&gt;&lt;rec-number&gt;133&lt;/rec-number&gt;&lt;foreign-keys&gt;&lt;key app="EN" db-id="05f0xvf2wzrttxeraz8vwx210p5pt9wvtv0d" timestamp="1611781733" guid="ef3948f7-9762-4327-a1c3-b302686e4ac0"&gt;133&lt;/key&gt;&lt;/foreign-keys&gt;&lt;ref-type name="Journal Article"&gt;17&lt;/ref-type&gt;&lt;contributors&gt;&lt;authors&gt;&lt;author&gt;Brink, T. L.&lt;/author&gt;&lt;/authors&gt;&lt;/contributors&gt;&lt;titles&gt;&lt;title&gt;Inconsistency of Belief among Roman Catholic Girls: Concerning Religion, Astrology, Reincarnation&lt;/title&gt;&lt;secondary-title&gt;Review of Religious Research&lt;/secondary-title&gt;&lt;/titles&gt;&lt;periodical&gt;&lt;full-title&gt;Review of Religious Research&lt;/full-title&gt;&lt;/periodical&gt;&lt;pages&gt;82-85&lt;/pages&gt;&lt;volume&gt;20&lt;/volume&gt;&lt;number&gt;1&lt;/number&gt;&lt;keywords&gt;&lt;keyword&gt;Religion, Catholic, Astrology, Belief&lt;/keyword&gt;&lt;/keywords&gt;&lt;dates&gt;&lt;year&gt;1978&lt;/year&gt;&lt;/dates&gt;&lt;urls&gt;&lt;/urls&gt;&lt;/record&gt;&lt;/Cite&gt;&lt;/EndNote&gt;</w:instrText>
      </w:r>
      <w:r>
        <w:fldChar w:fldCharType="separate"/>
      </w:r>
      <w:r w:rsidR="00EB39B1">
        <w:rPr>
          <w:noProof/>
        </w:rPr>
        <w:t xml:space="preserve">T. L. Brink, "Inconsistency of Belief among Roman Catholic Girls: Concerning Religion, Astrology, Reincarnation," </w:t>
      </w:r>
      <w:r w:rsidR="00EB39B1" w:rsidRPr="00EB39B1">
        <w:rPr>
          <w:i/>
          <w:noProof/>
        </w:rPr>
        <w:t>Review of Religious Research</w:t>
      </w:r>
      <w:r w:rsidR="00EB39B1">
        <w:rPr>
          <w:noProof/>
        </w:rPr>
        <w:t xml:space="preserve"> 20, no. 1 (1978).</w:t>
      </w:r>
      <w:r>
        <w:fldChar w:fldCharType="end"/>
      </w:r>
      <w:r>
        <w:t xml:space="preserve"> P.82.</w:t>
      </w:r>
    </w:p>
  </w:footnote>
  <w:footnote w:id="2">
    <w:p w14:paraId="2B077F44" w14:textId="50F4423C" w:rsidR="00E073D9" w:rsidRPr="00E073D9" w:rsidRDefault="00E073D9">
      <w:pPr>
        <w:pStyle w:val="FootnoteText"/>
        <w:rPr>
          <w:lang w:val="en-GB"/>
        </w:rPr>
      </w:pPr>
      <w:r>
        <w:rPr>
          <w:rStyle w:val="FootnoteReference"/>
        </w:rPr>
        <w:footnoteRef/>
      </w:r>
      <w:r>
        <w:t xml:space="preserve"> </w:t>
      </w:r>
      <w:r>
        <w:fldChar w:fldCharType="begin"/>
      </w:r>
      <w:r>
        <w:instrText xml:space="preserve"> ADDIN EN.CITE &lt;EndNote&gt;&lt;Cite&gt;&lt;Author&gt;Bennett&lt;/Author&gt;&lt;Year&gt;1995&lt;/Year&gt;&lt;RecNum&gt;157&lt;/RecNum&gt;&lt;DisplayText&gt;Gillian Bennett, &amp;quot;“If I Knew You Were Coming, I’d Have Baked a Cake” The Folklore of Foreknowledge in a Neighborhood Group,&amp;quot; in &lt;style face="italic"&gt;Out Of The Ordinary&lt;/style&gt;, ed. Barbara Walker, Folklore and the Supernatural (University Press of Colorado, 1995).&lt;/DisplayText&gt;&lt;record&gt;&lt;rec-number&gt;157&lt;/rec-number&gt;&lt;foreign-keys&gt;&lt;key app="EN" db-id="05f0xvf2wzrttxeraz8vwx210p5pt9wvtv0d" timestamp="1613573960" guid="18b74148-ce8b-4e41-a1be-5cd9b8490f33"&gt;157&lt;/key&gt;&lt;/foreign-keys&gt;&lt;ref-type name="Book Section"&gt;5&lt;/ref-type&gt;&lt;contributors&gt;&lt;authors&gt;&lt;author&gt;Bennett, Gillian&lt;/author&gt;&lt;/authors&gt;&lt;secondary-authors&gt;&lt;author&gt;Walker, Barbara&lt;/author&gt;&lt;/secondary-authors&gt;&lt;/contributors&gt;&lt;titles&gt;&lt;title&gt;“If I Knew You Were Coming, I’d Have Baked a Cake” The Folklore of Foreknowledge in a Neighborhood Group&lt;/title&gt;&lt;secondary-title&gt;Out Of The Ordinary&lt;/secondary-title&gt;&lt;tertiary-title&gt;Folklore and the Supernatural&lt;/tertiary-title&gt;&lt;/titles&gt;&lt;pages&gt;122-142&lt;/pages&gt;&lt;dates&gt;&lt;year&gt;1995&lt;/year&gt;&lt;/dates&gt;&lt;publisher&gt;University Press of Colorado&lt;/publisher&gt;&lt;isbn&gt;9780874211917&lt;/isbn&gt;&lt;urls&gt;&lt;related-urls&gt;&lt;url&gt;http://www.jstor.org.ezproxy.uwtsd.ac.uk/stable/j.ctt46nwn8.13&lt;/url&gt;&lt;/related-urls&gt;&lt;/urls&gt;&lt;remote-database-name&gt;JSTOR&lt;/remote-database-name&gt;&lt;access-date&gt;2021/02/17/&lt;/access-date&gt;&lt;/record&gt;&lt;/Cite&gt;&lt;/EndNote&gt;</w:instrText>
      </w:r>
      <w:r>
        <w:fldChar w:fldCharType="separate"/>
      </w:r>
      <w:r>
        <w:rPr>
          <w:noProof/>
        </w:rPr>
        <w:t xml:space="preserve">Gillian Bennett, "“If I Knew You Were Coming, I’d Have Baked a Cake” The Folklore of Foreknowledge in a Neighborhood Group," in </w:t>
      </w:r>
      <w:r w:rsidRPr="00E073D9">
        <w:rPr>
          <w:i/>
          <w:noProof/>
        </w:rPr>
        <w:t>Out Of The Ordinary</w:t>
      </w:r>
      <w:r>
        <w:rPr>
          <w:noProof/>
        </w:rPr>
        <w:t>, ed. Barbara Walker, Folklore and the Supernatural (University Press of Colorado, 1995).</w:t>
      </w:r>
      <w:r>
        <w:fldChar w:fldCharType="end"/>
      </w:r>
      <w:r>
        <w:t>p.122.</w:t>
      </w:r>
    </w:p>
  </w:footnote>
  <w:footnote w:id="3">
    <w:p w14:paraId="3106C584" w14:textId="693F478A" w:rsidR="00A816AF" w:rsidRPr="00A816AF" w:rsidRDefault="00A816AF">
      <w:pPr>
        <w:pStyle w:val="FootnoteText"/>
        <w:rPr>
          <w:lang w:val="en-GB"/>
        </w:rPr>
      </w:pPr>
      <w:r>
        <w:rPr>
          <w:rStyle w:val="FootnoteReference"/>
        </w:rPr>
        <w:footnoteRef/>
      </w:r>
      <w:r>
        <w:t xml:space="preserve"> </w:t>
      </w:r>
      <w:r w:rsidR="000C6018">
        <w:fldChar w:fldCharType="begin"/>
      </w:r>
      <w:r w:rsidR="000C6018">
        <w:instrText xml:space="preserve"> ADDIN EN.CITE &lt;EndNote&gt;&lt;Cite&gt;&lt;Author&gt;Bryman&lt;/Author&gt;&lt;Year&gt;1992&lt;/Year&gt;&lt;RecNum&gt;179&lt;/RecNum&gt;&lt;DisplayText&gt;Alan Bryman, &lt;style face="italic"&gt;Quantity and quality in social research&lt;/style&gt;, Contemporary social research series, (London: Routledge, 1992).&lt;/DisplayText&gt;&lt;record&gt;&lt;rec-number&gt;179&lt;/rec-number&gt;&lt;foreign-keys&gt;&lt;key app="EN" db-id="05f0xvf2wzrttxeraz8vwx210p5pt9wvtv0d" timestamp="1616404399" guid="0612fc20-2c6a-4614-a568-7069ba9a72c1"&gt;179&lt;/key&gt;&lt;/foreign-keys&gt;&lt;ref-type name="Book"&gt;6&lt;/ref-type&gt;&lt;contributors&gt;&lt;authors&gt;&lt;author&gt;Bryman, Alan&lt;/author&gt;&lt;/authors&gt;&lt;/contributors&gt;&lt;titles&gt;&lt;title&gt;Quantity and quality in social research&lt;/title&gt;&lt;secondary-title&gt;Contemporary social research series&lt;/secondary-title&gt;&lt;/titles&gt;&lt;pages&gt;viii, 198 p.&lt;/pages&gt;&lt;number&gt;18&lt;/number&gt;&lt;keywords&gt;&lt;keyword&gt;Social sciences Methodology.&lt;/keyword&gt;&lt;keyword&gt;Social sciences Research.&lt;/keyword&gt;&lt;keyword&gt;Research.&lt;/keyword&gt;&lt;keyword&gt;Sociology.&lt;/keyword&gt;&lt;keyword&gt;Research management.&lt;/keyword&gt;&lt;keyword&gt;Data collection.&lt;/keyword&gt;&lt;/keywords&gt;&lt;dates&gt;&lt;year&gt;1992&lt;/year&gt;&lt;/dates&gt;&lt;pub-location&gt;London&lt;/pub-location&gt;&lt;publisher&gt;Routledge&lt;/publisher&gt;&lt;isbn&gt;0415078989&lt;/isbn&gt;&lt;accession-num&gt;012059353&lt;/accession-num&gt;&lt;call-num&gt;SBSBL H62 BRY 1992&amp;#xD;CEDBL 300.72 BRY&amp;#xD;CMSNU 300.72 BRY&amp;#xD;NUFCL H 62.B&amp;#xD;SSLBL H62.BRY&amp;#xD;SSLBL H62.BRY852 Continuing Education Library 300.72 BRY&amp;#xD;Mission Studies Library 300.72 BRY&amp;#xD;Nuffield College Library H 62.B&amp;#xD;Sainsbury Library H62 BRY 1992&amp;#xD;Social Science Library H62.BRY&lt;/call-num&gt;&lt;urls&gt;&lt;/urls&gt;&lt;/record&gt;&lt;/Cite&gt;&lt;/EndNote&gt;</w:instrText>
      </w:r>
      <w:r w:rsidR="000C6018">
        <w:fldChar w:fldCharType="separate"/>
      </w:r>
      <w:r w:rsidR="000C6018">
        <w:rPr>
          <w:noProof/>
        </w:rPr>
        <w:t xml:space="preserve">Alan Bryman, </w:t>
      </w:r>
      <w:r w:rsidR="000C6018" w:rsidRPr="000C6018">
        <w:rPr>
          <w:i/>
          <w:noProof/>
        </w:rPr>
        <w:t>Quantity and quality in social research</w:t>
      </w:r>
      <w:r w:rsidR="000C6018">
        <w:rPr>
          <w:noProof/>
        </w:rPr>
        <w:t>, Contemporary social research series, (London: Routledge, 1992).</w:t>
      </w:r>
      <w:r w:rsidR="000C6018">
        <w:fldChar w:fldCharType="end"/>
      </w:r>
      <w:r w:rsidR="000C6018">
        <w:t xml:space="preserve"> P.12.</w:t>
      </w:r>
    </w:p>
  </w:footnote>
  <w:footnote w:id="4">
    <w:p w14:paraId="5E417686" w14:textId="7AE8ABC9" w:rsidR="00E258E6" w:rsidRPr="007E411D" w:rsidRDefault="00E258E6" w:rsidP="00E258E6">
      <w:pPr>
        <w:pStyle w:val="FootnoteText"/>
        <w:rPr>
          <w:lang w:val="en-GB"/>
        </w:rPr>
      </w:pPr>
      <w:r>
        <w:rPr>
          <w:rStyle w:val="FootnoteReference"/>
        </w:rPr>
        <w:footnoteRef/>
      </w:r>
      <w:r>
        <w:t xml:space="preserve"> </w:t>
      </w:r>
      <w:r>
        <w:rPr>
          <w:lang w:val="en-GB"/>
        </w:rPr>
        <w:t xml:space="preserve"> </w:t>
      </w:r>
      <w:r w:rsidR="00081172">
        <w:rPr>
          <w:lang w:val="en-GB"/>
        </w:rPr>
        <w:fldChar w:fldCharType="begin"/>
      </w:r>
      <w:r w:rsidR="00081172">
        <w:rPr>
          <w:lang w:val="en-GB"/>
        </w:rPr>
        <w:instrText xml:space="preserve"> ADDIN EN.CITE &lt;EndNote&gt;&lt;Cite&gt;&lt;Author&gt;Hennink&lt;/Author&gt;&lt;Year&gt;2020&lt;/Year&gt;&lt;RecNum&gt;156&lt;/RecNum&gt;&lt;DisplayText&gt;Monique M. Hennink, Hutter, Inge, Bailey, Ajay, &lt;style face="italic"&gt;Qualitative research methods&lt;/style&gt;, Second edition. ed. (Sage, 2020).&lt;/DisplayText&gt;&lt;record&gt;&lt;rec-number&gt;156&lt;/rec-number&gt;&lt;foreign-keys&gt;&lt;key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rsidR="00081172">
        <w:rPr>
          <w:lang w:val="en-GB"/>
        </w:rPr>
        <w:fldChar w:fldCharType="separate"/>
      </w:r>
      <w:r w:rsidR="00081172">
        <w:rPr>
          <w:noProof/>
          <w:lang w:val="en-GB"/>
        </w:rPr>
        <w:t xml:space="preserve">Monique M. Hennink, Hutter, Inge, Bailey, Ajay, </w:t>
      </w:r>
      <w:r w:rsidR="00081172" w:rsidRPr="00081172">
        <w:rPr>
          <w:i/>
          <w:noProof/>
          <w:lang w:val="en-GB"/>
        </w:rPr>
        <w:t>Qualitative research methods</w:t>
      </w:r>
      <w:r w:rsidR="00081172">
        <w:rPr>
          <w:noProof/>
          <w:lang w:val="en-GB"/>
        </w:rPr>
        <w:t>, Second edition. ed. (Sage, 2020).</w:t>
      </w:r>
      <w:r w:rsidR="00081172">
        <w:rPr>
          <w:lang w:val="en-GB"/>
        </w:rPr>
        <w:fldChar w:fldCharType="end"/>
      </w:r>
      <w:r>
        <w:t xml:space="preserve"> p.11.</w:t>
      </w:r>
    </w:p>
  </w:footnote>
  <w:footnote w:id="5">
    <w:p w14:paraId="27E036F1" w14:textId="36939BA5" w:rsidR="00081172" w:rsidRPr="00081172" w:rsidRDefault="00081172">
      <w:pPr>
        <w:pStyle w:val="FootnoteText"/>
        <w:rPr>
          <w:lang w:val="en-GB"/>
        </w:rPr>
      </w:pPr>
      <w:r>
        <w:rPr>
          <w:rStyle w:val="FootnoteReference"/>
        </w:rPr>
        <w:footnoteRef/>
      </w:r>
      <w:r>
        <w:t xml:space="preserve"> </w:t>
      </w:r>
      <w:r>
        <w:fldChar w:fldCharType="begin"/>
      </w:r>
      <w:r>
        <w:instrText xml:space="preserve"> ADDIN EN.CITE &lt;EndNote&gt;&lt;Cite&gt;&lt;Author&gt;Hennink&lt;/Author&gt;&lt;Year&gt;2020&lt;/Year&gt;&lt;RecNum&gt;156&lt;/RecNum&gt;&lt;DisplayText&gt;Hennink, &lt;style face="italic"&gt;Qualitative research methods&lt;/style&gt;.&lt;/DisplayText&gt;&lt;record&gt;&lt;rec-number&gt;156&lt;/rec-number&gt;&lt;foreign-keys&gt;&lt;key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Pr>
          <w:noProof/>
        </w:rPr>
        <w:t xml:space="preserve">Hennink, </w:t>
      </w:r>
      <w:r w:rsidRPr="00081172">
        <w:rPr>
          <w:i/>
          <w:noProof/>
        </w:rPr>
        <w:t>Qualitative research methods</w:t>
      </w:r>
      <w:r>
        <w:rPr>
          <w:noProof/>
        </w:rPr>
        <w:t>.</w:t>
      </w:r>
      <w:r>
        <w:fldChar w:fldCharType="end"/>
      </w:r>
      <w:r>
        <w:t xml:space="preserve"> p.17.</w:t>
      </w:r>
    </w:p>
  </w:footnote>
  <w:footnote w:id="6">
    <w:p w14:paraId="39285967" w14:textId="3FE4CA94" w:rsidR="00E258E6" w:rsidRPr="001A0EC3" w:rsidRDefault="00E258E6" w:rsidP="00E258E6">
      <w:pPr>
        <w:pStyle w:val="FootnoteText"/>
        <w:rPr>
          <w:lang w:val="en-GB"/>
        </w:rPr>
      </w:pPr>
      <w:r>
        <w:rPr>
          <w:rStyle w:val="FootnoteReference"/>
        </w:rPr>
        <w:footnoteRef/>
      </w:r>
      <w:r>
        <w:t xml:space="preserve"> </w:t>
      </w:r>
      <w:r>
        <w:fldChar w:fldCharType="begin"/>
      </w:r>
      <w:r w:rsidR="00E073D9">
        <w:instrText xml:space="preserve"> ADDIN EN.CITE &lt;EndNote&gt;&lt;Cite&gt;&lt;Author&gt;Bennett&lt;/Author&gt;&lt;Year&gt;1995&lt;/Year&gt;&lt;RecNum&gt;157&lt;/RecNum&gt;&lt;DisplayText&gt;Bennett, &amp;quot;“If I Knew You Were Coming, I’d Have Baked a Cake” The Folklore of Foreknowledge in a Neighborhood Group.&amp;quot;&lt;/DisplayText&gt;&lt;record&gt;&lt;rec-number&gt;157&lt;/rec-number&gt;&lt;foreign-keys&gt;&lt;key app="EN" db-id="05f0xvf2wzrttxeraz8vwx210p5pt9wvtv0d" timestamp="1613573960" guid="18b74148-ce8b-4e41-a1be-5cd9b8490f33"&gt;157&lt;/key&gt;&lt;/foreign-keys&gt;&lt;ref-type name="Book Section"&gt;5&lt;/ref-type&gt;&lt;contributors&gt;&lt;authors&gt;&lt;author&gt;Bennett, Gillian&lt;/author&gt;&lt;/authors&gt;&lt;secondary-authors&gt;&lt;author&gt;Walker, Barbara&lt;/author&gt;&lt;/secondary-authors&gt;&lt;/contributors&gt;&lt;titles&gt;&lt;title&gt;“If I Knew You Were Coming, I’d Have Baked a Cake” The Folklore of Foreknowledge in a Neighborhood Group&lt;/title&gt;&lt;secondary-title&gt;Out Of The Ordinary&lt;/secondary-title&gt;&lt;tertiary-title&gt;Folklore and the Supernatural&lt;/tertiary-title&gt;&lt;/titles&gt;&lt;pages&gt;122-142&lt;/pages&gt;&lt;dates&gt;&lt;year&gt;1995&lt;/year&gt;&lt;/dates&gt;&lt;publisher&gt;University Press of Colorado&lt;/publisher&gt;&lt;isbn&gt;9780874211917&lt;/isbn&gt;&lt;urls&gt;&lt;related-urls&gt;&lt;url&gt;http://www.jstor.org.ezproxy.uwtsd.ac.uk/stable/j.ctt46nwn8.13&lt;/url&gt;&lt;/related-urls&gt;&lt;/urls&gt;&lt;remote-database-name&gt;JSTOR&lt;/remote-database-name&gt;&lt;access-date&gt;2021/02/17/&lt;/access-date&gt;&lt;/record&gt;&lt;/Cite&gt;&lt;/EndNote&gt;</w:instrText>
      </w:r>
      <w:r>
        <w:fldChar w:fldCharType="separate"/>
      </w:r>
      <w:r w:rsidR="00E073D9">
        <w:rPr>
          <w:noProof/>
        </w:rPr>
        <w:t>Bennett, "“If I Knew You Were Coming, I’d Have Baked a Cake” The Folklore of Foreknowledge in a Neighborhood Group."</w:t>
      </w:r>
      <w:r>
        <w:fldChar w:fldCharType="end"/>
      </w:r>
      <w:r>
        <w:t xml:space="preserve"> p.126.</w:t>
      </w:r>
    </w:p>
  </w:footnote>
  <w:footnote w:id="7">
    <w:p w14:paraId="449F2C18" w14:textId="56CEC710" w:rsidR="00370FA8" w:rsidRPr="00370FA8" w:rsidRDefault="00370FA8">
      <w:pPr>
        <w:pStyle w:val="FootnoteText"/>
        <w:rPr>
          <w:lang w:val="en-GB"/>
        </w:rPr>
      </w:pPr>
      <w:r>
        <w:rPr>
          <w:rStyle w:val="FootnoteReference"/>
        </w:rPr>
        <w:footnoteRef/>
      </w:r>
      <w:r>
        <w:t xml:space="preserve"> </w:t>
      </w:r>
      <w:r>
        <w:fldChar w:fldCharType="begin"/>
      </w:r>
      <w:r>
        <w:instrText xml:space="preserve"> ADDIN EN.CITE &lt;EndNote&gt;&lt;Cite&gt;&lt;Author&gt;Bryman&lt;/Author&gt;&lt;Year&gt;1992&lt;/Year&gt;&lt;RecNum&gt;179&lt;/RecNum&gt;&lt;DisplayText&gt;Bryman, &lt;style face="italic"&gt;Quantity and quality in social research&lt;/style&gt;.&lt;/DisplayText&gt;&lt;record&gt;&lt;rec-number&gt;179&lt;/rec-number&gt;&lt;foreign-keys&gt;&lt;key app="EN" db-id="05f0xvf2wzrttxeraz8vwx210p5pt9wvtv0d" timestamp="1616404399" guid="0612fc20-2c6a-4614-a568-7069ba9a72c1"&gt;179&lt;/key&gt;&lt;/foreign-keys&gt;&lt;ref-type name="Book"&gt;6&lt;/ref-type&gt;&lt;contributors&gt;&lt;authors&gt;&lt;author&gt;Bryman, Alan&lt;/author&gt;&lt;/authors&gt;&lt;/contributors&gt;&lt;titles&gt;&lt;title&gt;Quantity and quality in social research&lt;/title&gt;&lt;secondary-title&gt;Contemporary social research series&lt;/secondary-title&gt;&lt;/titles&gt;&lt;pages&gt;viii, 198 p.&lt;/pages&gt;&lt;number&gt;18&lt;/number&gt;&lt;keywords&gt;&lt;keyword&gt;Social sciences Methodology.&lt;/keyword&gt;&lt;keyword&gt;Social sciences Research.&lt;/keyword&gt;&lt;keyword&gt;Research.&lt;/keyword&gt;&lt;keyword&gt;Sociology.&lt;/keyword&gt;&lt;keyword&gt;Research management.&lt;/keyword&gt;&lt;keyword&gt;Data collection.&lt;/keyword&gt;&lt;/keywords&gt;&lt;dates&gt;&lt;year&gt;1992&lt;/year&gt;&lt;/dates&gt;&lt;pub-location&gt;London&lt;/pub-location&gt;&lt;publisher&gt;Routledge&lt;/publisher&gt;&lt;isbn&gt;0415078989&lt;/isbn&gt;&lt;accession-num&gt;012059353&lt;/accession-num&gt;&lt;call-num&gt;SBSBL H62 BRY 1992&amp;#xD;CEDBL 300.72 BRY&amp;#xD;CMSNU 300.72 BRY&amp;#xD;NUFCL H 62.B&amp;#xD;SSLBL H62.BRY&amp;#xD;SSLBL H62.BRY852 Continuing Education Library 300.72 BRY&amp;#xD;Mission Studies Library 300.72 BRY&amp;#xD;Nuffield College Library H 62.B&amp;#xD;Sainsbury Library H62 BRY 1992&amp;#xD;Social Science Library H62.BRY&lt;/call-num&gt;&lt;urls&gt;&lt;/urls&gt;&lt;/record&gt;&lt;/Cite&gt;&lt;/EndNote&gt;</w:instrText>
      </w:r>
      <w:r>
        <w:fldChar w:fldCharType="separate"/>
      </w:r>
      <w:r>
        <w:rPr>
          <w:noProof/>
        </w:rPr>
        <w:t xml:space="preserve">Bryman, </w:t>
      </w:r>
      <w:r w:rsidRPr="00370FA8">
        <w:rPr>
          <w:i/>
          <w:noProof/>
        </w:rPr>
        <w:t>Quantity and quality in social research</w:t>
      </w:r>
      <w:r>
        <w:rPr>
          <w:noProof/>
        </w:rPr>
        <w:t>.</w:t>
      </w:r>
      <w:r>
        <w:fldChar w:fldCharType="end"/>
      </w:r>
      <w:r>
        <w:t xml:space="preserve"> P.126.</w:t>
      </w:r>
    </w:p>
  </w:footnote>
  <w:footnote w:id="8">
    <w:p w14:paraId="6729C5C3" w14:textId="77777777" w:rsidR="00ED7DDA" w:rsidRPr="005F4D31" w:rsidRDefault="00ED7DDA" w:rsidP="00ED7DDA">
      <w:pPr>
        <w:pStyle w:val="FootnoteText"/>
        <w:rPr>
          <w:lang w:val="en-GB"/>
        </w:rPr>
      </w:pPr>
      <w:r>
        <w:rPr>
          <w:rStyle w:val="FootnoteReference"/>
        </w:rPr>
        <w:footnoteRef/>
      </w:r>
      <w:r>
        <w:t xml:space="preserve"> </w:t>
      </w:r>
      <w:r>
        <w:fldChar w:fldCharType="begin"/>
      </w:r>
      <w:r>
        <w:instrText xml:space="preserve"> ADDIN EN.CITE &lt;EndNote&gt;&lt;Cite&gt;&lt;Author&gt;Hufford&lt;/Author&gt;&lt;Year&gt;1995&lt;/Year&gt;&lt;RecNum&gt;135&lt;/RecNum&gt;&lt;DisplayText&gt;David Hufford, &amp;quot;The Scholarly Voice and the Personal Voice: Reflexivity in Belief Studies,&amp;quot; &lt;style face="italic"&gt;Western Folklore&lt;/style&gt; 54, no. 1 (1995).&lt;/DisplayText&gt;&lt;record&gt;&lt;rec-number&gt;135&lt;/rec-number&gt;&lt;foreign-keys&gt;&lt;key app="EN" db-id="05f0xvf2wzrttxeraz8vwx210p5pt9wvtv0d" timestamp="1611783314" guid="fb3e7c2f-d131-4bfd-a849-5a7e307677cd"&gt;135&lt;/key&gt;&lt;/foreign-keys&gt;&lt;ref-type name="Journal Article"&gt;17&lt;/ref-type&gt;&lt;contributors&gt;&lt;authors&gt;&lt;author&gt;Hufford, David&lt;/author&gt;&lt;/authors&gt;&lt;/contributors&gt;&lt;titles&gt;&lt;title&gt;The Scholarly Voice and the Personal Voice: Reflexivity in Belief Studies&lt;/title&gt;&lt;secondary-title&gt;Western Folklore&lt;/secondary-title&gt;&lt;/titles&gt;&lt;periodical&gt;&lt;full-title&gt;Western Folklore&lt;/full-title&gt;&lt;/periodical&gt;&lt;pages&gt;57-76&lt;/pages&gt;&lt;volume&gt;54&lt;/volume&gt;&lt;number&gt;1&lt;/number&gt;&lt;keywords&gt;&lt;keyword&gt;Reflexivity, Scholarship&lt;/keyword&gt;&lt;/keywords&gt;&lt;dates&gt;&lt;year&gt;1995&lt;/year&gt;&lt;/dates&gt;&lt;urls&gt;&lt;/urls&gt;&lt;/record&gt;&lt;/Cite&gt;&lt;/EndNote&gt;</w:instrText>
      </w:r>
      <w:r>
        <w:fldChar w:fldCharType="separate"/>
      </w:r>
      <w:r>
        <w:rPr>
          <w:noProof/>
        </w:rPr>
        <w:t xml:space="preserve">David Hufford, "The Scholarly Voice and the Personal Voice: Reflexivity in Belief Studies," </w:t>
      </w:r>
      <w:r w:rsidRPr="005F4D31">
        <w:rPr>
          <w:i/>
          <w:noProof/>
        </w:rPr>
        <w:t>Western Folklore</w:t>
      </w:r>
      <w:r>
        <w:rPr>
          <w:noProof/>
        </w:rPr>
        <w:t xml:space="preserve"> 54, no. 1 (1995).</w:t>
      </w:r>
      <w:r>
        <w:fldChar w:fldCharType="end"/>
      </w:r>
      <w:r>
        <w:t xml:space="preserve"> P.58.</w:t>
      </w:r>
    </w:p>
  </w:footnote>
  <w:footnote w:id="9">
    <w:p w14:paraId="67C09272" w14:textId="2F7BFCA6" w:rsidR="00492ED9" w:rsidRPr="00492ED9" w:rsidRDefault="00492ED9">
      <w:pPr>
        <w:pStyle w:val="FootnoteText"/>
        <w:rPr>
          <w:lang w:val="en-GB"/>
        </w:rPr>
      </w:pPr>
      <w:r>
        <w:rPr>
          <w:rStyle w:val="FootnoteReference"/>
        </w:rPr>
        <w:footnoteRef/>
      </w:r>
      <w:r>
        <w:t xml:space="preserve"> </w:t>
      </w:r>
      <w:r>
        <w:fldChar w:fldCharType="begin"/>
      </w:r>
      <w:r>
        <w:instrText xml:space="preserve"> ADDIN EN.CITE &lt;EndNote&gt;&lt;Cite&gt;&lt;Author&gt;Bell&lt;/Author&gt;&lt;Year&gt;1993&lt;/Year&gt;&lt;RecNum&gt;176&lt;/RecNum&gt;&lt;DisplayText&gt;Judith Bell, &lt;style face="italic"&gt;Doing your research project : a guide for first-time researchers in education and social science&lt;/style&gt;, 2nd ed. (Buckingham: Open University Press, 1993).&lt;/DisplayText&gt;&lt;record&gt;&lt;rec-number&gt;176&lt;/rec-number&gt;&lt;foreign-keys&gt;&lt;key app="EN" db-id="05f0xvf2wzrttxeraz8vwx210p5pt9wvtv0d" timestamp="1616102091" guid="c67930f0-819a-4c03-a23e-2db5a8bd8638"&gt;176&lt;/key&gt;&lt;/foreign-keys&gt;&lt;ref-type name="Book"&gt;6&lt;/ref-type&gt;&lt;contributors&gt;&lt;authors&gt;&lt;author&gt;Bell, Judith&lt;/author&gt;&lt;/authors&gt;&lt;/contributors&gt;&lt;titles&gt;&lt;title&gt;Doing your research project : a guide for first-time researchers in education and social science&lt;/title&gt;&lt;/titles&gt;&lt;edition&gt;2nd&lt;/edition&gt;&lt;keywords&gt;&lt;keyword&gt;Education Research.&lt;/keyword&gt;&lt;keyword&gt;Education Research Methodology.&lt;/keyword&gt;&lt;keyword&gt;Social sciences Research.&lt;/keyword&gt;&lt;keyword&gt;Social sciences Research Methodology.&lt;/keyword&gt;&lt;keyword&gt;Independent study.&lt;/keyword&gt;&lt;/keywords&gt;&lt;dates&gt;&lt;year&gt;1993&lt;/year&gt;&lt;/dates&gt;&lt;pub-location&gt;Buckingham&lt;/pub-location&gt;&lt;publisher&gt;Open University Press&lt;/publisher&gt;&lt;isbn&gt;0335190944 (pbk) : ¹8.99&lt;/isbn&gt;&lt;accession-num&gt;b9347836&lt;/accession-num&gt;&lt;call-num&gt;370.78 20&amp;#xD;British Library HMNTS YK.1993.a.12736&lt;/call-num&gt;&lt;urls&gt;&lt;/urls&gt;&lt;/record&gt;&lt;/Cite&gt;&lt;/EndNote&gt;</w:instrText>
      </w:r>
      <w:r>
        <w:fldChar w:fldCharType="separate"/>
      </w:r>
      <w:r>
        <w:rPr>
          <w:noProof/>
        </w:rPr>
        <w:t xml:space="preserve">Judith Bell, </w:t>
      </w:r>
      <w:r w:rsidRPr="00492ED9">
        <w:rPr>
          <w:i/>
          <w:noProof/>
        </w:rPr>
        <w:t>Doing your research project : a guide for first-time researchers in education and social science</w:t>
      </w:r>
      <w:r>
        <w:rPr>
          <w:noProof/>
        </w:rPr>
        <w:t>, 2nd ed. (Buckingham: Open University Press, 1993).</w:t>
      </w:r>
      <w:r>
        <w:fldChar w:fldCharType="end"/>
      </w:r>
      <w:r>
        <w:t xml:space="preserve"> p.35.</w:t>
      </w:r>
    </w:p>
  </w:footnote>
  <w:footnote w:id="10">
    <w:p w14:paraId="7FB35BF5" w14:textId="68213CCC" w:rsidR="00E051BB" w:rsidRPr="00DB5EA1" w:rsidRDefault="00E051BB" w:rsidP="00E051BB">
      <w:pPr>
        <w:pStyle w:val="FootnoteText"/>
        <w:rPr>
          <w:lang w:val="en-GB"/>
        </w:rPr>
      </w:pPr>
      <w:r>
        <w:rPr>
          <w:rStyle w:val="FootnoteReference"/>
        </w:rPr>
        <w:footnoteRef/>
      </w:r>
      <w:r>
        <w:t xml:space="preserve"> </w:t>
      </w:r>
      <w:r>
        <w:fldChar w:fldCharType="begin"/>
      </w:r>
      <w:r w:rsidR="008B03D8">
        <w:instrText xml:space="preserve"> ADDIN EN.CITE &lt;EndNote&gt;&lt;Cite&gt;&lt;Author&gt;Boote&lt;/Author&gt;&lt;Year&gt;2005&lt;/Year&gt;&lt;RecNum&gt;173&lt;/RecNum&gt;&lt;DisplayText&gt;David N. Boote and Penny Beile, &amp;quot;Scholars before Researchers: On the Centrality of the Dissertation Literature Review in Research Preparation,&amp;quot; &lt;style face="italic"&gt;Educational Researcher&lt;/style&gt; 34, no. 6 (2005).&lt;/DisplayText&gt;&lt;record&gt;&lt;rec-number&gt;173&lt;/rec-number&gt;&lt;foreign-keys&gt;&lt;key app="EN" db-id="05f0xvf2wzrttxeraz8vwx210p5pt9wvtv0d" timestamp="1615828586" guid="3fa4128b-1566-4d8c-bcf1-483d1c66ddac"&gt;173&lt;/key&gt;&lt;/foreign-keys&gt;&lt;ref-type name="Journal Article"&gt;17&lt;/ref-type&gt;&lt;contributors&gt;&lt;authors&gt;&lt;author&gt;Boote, David N.&lt;/author&gt;&lt;author&gt;Beile, Penny&lt;/author&gt;&lt;/authors&gt;&lt;/contributors&gt;&lt;titles&gt;&lt;title&gt;Scholars before Researchers: On the Centrality of the Dissertation Literature Review in Research Preparation&lt;/title&gt;&lt;secondary-title&gt;Educational Researcher&lt;/secondary-title&gt;&lt;/titles&gt;&lt;periodical&gt;&lt;full-title&gt;Educational Researcher&lt;/full-title&gt;&lt;/periodical&gt;&lt;pages&gt;3-15&lt;/pages&gt;&lt;volume&gt;34&lt;/volume&gt;&lt;number&gt;6&lt;/number&gt;&lt;keywords&gt;&lt;keyword&gt;literature, review&lt;/keyword&gt;&lt;/keywords&gt;&lt;dates&gt;&lt;year&gt;2005&lt;/year&gt;&lt;/dates&gt;&lt;publisher&gt;[American Educational Research Association, Sage Publications, Inc.]&lt;/publisher&gt;&lt;isbn&gt;0013189X, 1935102X&lt;/isbn&gt;&lt;urls&gt;&lt;/urls&gt;&lt;custom1&gt;Full publication date: Aug. - Sep., 2005&lt;/custom1&gt;&lt;remote-database-name&gt;JSTOR&lt;/remote-database-name&gt;&lt;access-date&gt;2021/03/15/&lt;/access-date&gt;&lt;/record&gt;&lt;/Cite&gt;&lt;/EndNote&gt;</w:instrText>
      </w:r>
      <w:r>
        <w:fldChar w:fldCharType="separate"/>
      </w:r>
      <w:r w:rsidR="008B03D8">
        <w:rPr>
          <w:noProof/>
        </w:rPr>
        <w:t xml:space="preserve">David N. Boote and Penny Beile, "Scholars before Researchers: On the Centrality of the Dissertation Literature Review in Research Preparation," </w:t>
      </w:r>
      <w:r w:rsidR="008B03D8" w:rsidRPr="008B03D8">
        <w:rPr>
          <w:i/>
          <w:noProof/>
        </w:rPr>
        <w:t>Educational Researcher</w:t>
      </w:r>
      <w:r w:rsidR="008B03D8">
        <w:rPr>
          <w:noProof/>
        </w:rPr>
        <w:t xml:space="preserve"> 34, no. 6 (2005).</w:t>
      </w:r>
      <w:r>
        <w:fldChar w:fldCharType="end"/>
      </w:r>
      <w:r>
        <w:t xml:space="preserve"> p.3.</w:t>
      </w:r>
    </w:p>
  </w:footnote>
  <w:footnote w:id="11">
    <w:p w14:paraId="36E50643" w14:textId="573CADB8" w:rsidR="00E051BB" w:rsidRPr="00E051BB" w:rsidRDefault="00E051BB">
      <w:pPr>
        <w:pStyle w:val="FootnoteText"/>
        <w:rPr>
          <w:lang w:val="en-GB"/>
        </w:rPr>
      </w:pPr>
      <w:r>
        <w:rPr>
          <w:rStyle w:val="FootnoteReference"/>
        </w:rPr>
        <w:footnoteRef/>
      </w:r>
      <w:r>
        <w:t xml:space="preserve"> </w:t>
      </w:r>
      <w:r>
        <w:fldChar w:fldCharType="begin"/>
      </w:r>
      <w:r w:rsidR="00EB39B1">
        <w:instrText xml:space="preserve"> ADDIN EN.CITE &lt;EndNote&gt;&lt;Cite&gt;&lt;Author&gt;Bennett&lt;/Author&gt;&lt;Year&gt;1995&lt;/Year&gt;&lt;RecNum&gt;157&lt;/RecNum&gt;&lt;DisplayText&gt;Bennett, &amp;quot;“If I Knew You Were Coming, I’d Have Baked a Cake” The Folklore of Foreknowledge in a Neighborhood Group.&amp;quot;&lt;/DisplayText&gt;&lt;record&gt;&lt;rec-number&gt;157&lt;/rec-number&gt;&lt;foreign-keys&gt;&lt;key app="EN" db-id="05f0xvf2wzrttxeraz8vwx210p5pt9wvtv0d" timestamp="1613573960" guid="18b74148-ce8b-4e41-a1be-5cd9b8490f33"&gt;157&lt;/key&gt;&lt;/foreign-keys&gt;&lt;ref-type name="Book Section"&gt;5&lt;/ref-type&gt;&lt;contributors&gt;&lt;authors&gt;&lt;author&gt;Bennett, Gillian&lt;/author&gt;&lt;/authors&gt;&lt;secondary-authors&gt;&lt;author&gt;Walker, Barbara&lt;/author&gt;&lt;/secondary-authors&gt;&lt;/contributors&gt;&lt;titles&gt;&lt;title&gt;“If I Knew You Were Coming, I’d Have Baked a Cake” The Folklore of Foreknowledge in a Neighborhood Group&lt;/title&gt;&lt;secondary-title&gt;Out Of The Ordinary&lt;/secondary-title&gt;&lt;tertiary-title&gt;Folklore and the Supernatural&lt;/tertiary-title&gt;&lt;/titles&gt;&lt;pages&gt;122-142&lt;/pages&gt;&lt;dates&gt;&lt;year&gt;1995&lt;/year&gt;&lt;/dates&gt;&lt;publisher&gt;University Press of Colorado&lt;/publisher&gt;&lt;isbn&gt;9780874211917&lt;/isbn&gt;&lt;urls&gt;&lt;related-urls&gt;&lt;url&gt;http://www.jstor.org.ezproxy.uwtsd.ac.uk/stable/j.ctt46nwn8.13&lt;/url&gt;&lt;/related-urls&gt;&lt;/urls&gt;&lt;remote-database-name&gt;JSTOR&lt;/remote-database-name&gt;&lt;access-date&gt;2021/02/17/&lt;/access-date&gt;&lt;/record&gt;&lt;/Cite&gt;&lt;/EndNote&gt;</w:instrText>
      </w:r>
      <w:r>
        <w:fldChar w:fldCharType="separate"/>
      </w:r>
      <w:r w:rsidR="00EB39B1">
        <w:rPr>
          <w:noProof/>
        </w:rPr>
        <w:t>Bennett, "“If I Knew You Were Coming, I’d Have Baked a Cake” The Folklore of Foreknowledge in a Neighborhood Group."</w:t>
      </w:r>
      <w:r>
        <w:fldChar w:fldCharType="end"/>
      </w:r>
      <w:r>
        <w:t xml:space="preserve"> P.122.</w:t>
      </w:r>
    </w:p>
  </w:footnote>
  <w:footnote w:id="12">
    <w:p w14:paraId="726EF87B" w14:textId="75DCDD3E" w:rsidR="00E051BB" w:rsidRPr="00DB6B6B" w:rsidRDefault="00E051BB" w:rsidP="00E051BB">
      <w:pPr>
        <w:pStyle w:val="FootnoteText"/>
        <w:rPr>
          <w:lang w:val="en-GB"/>
        </w:rPr>
      </w:pPr>
      <w:r>
        <w:rPr>
          <w:rStyle w:val="FootnoteReference"/>
        </w:rPr>
        <w:footnoteRef/>
      </w:r>
      <w:r>
        <w:t xml:space="preserve"> </w:t>
      </w:r>
      <w:r>
        <w:fldChar w:fldCharType="begin"/>
      </w:r>
      <w:r w:rsidR="00EB39B1">
        <w:instrText xml:space="preserve"> ADDIN EN.CITE &lt;EndNote&gt;&lt;Cite&gt;&lt;Author&gt;Brink&lt;/Author&gt;&lt;Year&gt;1978&lt;/Year&gt;&lt;RecNum&gt;133&lt;/RecNum&gt;&lt;DisplayText&gt;Brink, &amp;quot;Inconsistency of Belief among Roman Catholic Girls: Concerning Religion, Astrology, Reincarnation.&amp;quot;&lt;/DisplayText&gt;&lt;record&gt;&lt;rec-number&gt;133&lt;/rec-number&gt;&lt;foreign-keys&gt;&lt;key app="EN" db-id="05f0xvf2wzrttxeraz8vwx210p5pt9wvtv0d" timestamp="1611781733" guid="ef3948f7-9762-4327-a1c3-b302686e4ac0"&gt;133&lt;/key&gt;&lt;/foreign-keys&gt;&lt;ref-type name="Journal Article"&gt;17&lt;/ref-type&gt;&lt;contributors&gt;&lt;authors&gt;&lt;author&gt;Brink, T. L.&lt;/author&gt;&lt;/authors&gt;&lt;/contributors&gt;&lt;titles&gt;&lt;title&gt;Inconsistency of Belief among Roman Catholic Girls: Concerning Religion, Astrology, Reincarnation&lt;/title&gt;&lt;secondary-title&gt;Review of Religious Research&lt;/secondary-title&gt;&lt;/titles&gt;&lt;periodical&gt;&lt;full-title&gt;Review of Religious Research&lt;/full-title&gt;&lt;/periodical&gt;&lt;pages&gt;82-85&lt;/pages&gt;&lt;volume&gt;20&lt;/volume&gt;&lt;number&gt;1&lt;/number&gt;&lt;keywords&gt;&lt;keyword&gt;Religion, Catholic, Astrology, Belief&lt;/keyword&gt;&lt;/keywords&gt;&lt;dates&gt;&lt;year&gt;1978&lt;/year&gt;&lt;/dates&gt;&lt;urls&gt;&lt;/urls&gt;&lt;/record&gt;&lt;/Cite&gt;&lt;/EndNote&gt;</w:instrText>
      </w:r>
      <w:r>
        <w:fldChar w:fldCharType="separate"/>
      </w:r>
      <w:r w:rsidR="00EB39B1">
        <w:rPr>
          <w:noProof/>
        </w:rPr>
        <w:t>Brink, "Inconsistency of Belief among Roman Catholic Girls: Concerning Religion, Astrology, Reincarnation."</w:t>
      </w:r>
      <w:r>
        <w:fldChar w:fldCharType="end"/>
      </w:r>
      <w:r>
        <w:t xml:space="preserve"> P.82.</w:t>
      </w:r>
    </w:p>
  </w:footnote>
  <w:footnote w:id="13">
    <w:p w14:paraId="263F7AD3" w14:textId="6DFF9B63" w:rsidR="00E051BB" w:rsidRPr="006A5BBD" w:rsidRDefault="00E051BB" w:rsidP="00E051BB">
      <w:pPr>
        <w:pStyle w:val="FootnoteText"/>
        <w:rPr>
          <w:lang w:val="en-GB"/>
        </w:rPr>
      </w:pPr>
      <w:r>
        <w:rPr>
          <w:rStyle w:val="FootnoteReference"/>
        </w:rPr>
        <w:footnoteRef/>
      </w:r>
      <w:r>
        <w:t xml:space="preserve"> </w:t>
      </w:r>
      <w:r>
        <w:fldChar w:fldCharType="begin"/>
      </w:r>
      <w:r w:rsidR="00492ED9">
        <w:instrText xml:space="preserve"> ADDIN EN.CITE &lt;EndNote&gt;&lt;Cite&gt;&lt;Author&gt;Hart&lt;/Author&gt;&lt;Year&gt;2011&lt;/Year&gt;&lt;RecNum&gt;174&lt;/RecNum&gt;&lt;DisplayText&gt;Chris Hart, &lt;style face="italic"&gt;Doing a literature review : releasing the research imagination&lt;/style&gt;, Second edition. ed. (Los Angeles, London, New Dehli, Singapore, Washington DC: Sage, 2011).&lt;/DisplayText&gt;&lt;record&gt;&lt;rec-number&gt;174&lt;/rec-number&gt;&lt;foreign-keys&gt;&lt;key app="EN" db-id="05f0xvf2wzrttxeraz8vwx210p5pt9wvtv0d" timestamp="1615841495" guid="f5959e16-82c4-48d4-b6f2-0ec9b129e7c9"&gt;174&lt;/key&gt;&lt;/foreign-keys&gt;&lt;ref-type name="Book"&gt;6&lt;/ref-type&gt;&lt;contributors&gt;&lt;authors&gt;&lt;author&gt;Hart, Chris&lt;/author&gt;&lt;/authors&gt;&lt;/contributors&gt;&lt;titles&gt;&lt;title&gt;Doing a literature review : releasing the research imagination&lt;/title&gt;&lt;/titles&gt;&lt;edition&gt;Second edition.&lt;/edition&gt;&lt;keywords&gt;&lt;keyword&gt;Dissertations, Academic.&lt;/keyword&gt;&lt;keyword&gt;Literature History and criticism.&lt;/keyword&gt;&lt;/keywords&gt;&lt;dates&gt;&lt;year&gt;2011&lt;/year&gt;&lt;/dates&gt;&lt;pub-location&gt;Los Angeles, London, New Dehli, Singapore, Washington DC&lt;/pub-location&gt;&lt;publisher&gt;Sage&lt;/publisher&gt;&lt;isbn&gt;9781526423122 (ePub ebook) : ¹21.99&lt;/isbn&gt;&lt;call-num&gt;808.066378 23&amp;#xD;British Library HMNTS DRT ELD.DS.238898&lt;/call-num&gt;&lt;urls&gt;&lt;/urls&gt;&lt;/record&gt;&lt;/Cite&gt;&lt;/EndNote&gt;</w:instrText>
      </w:r>
      <w:r>
        <w:fldChar w:fldCharType="separate"/>
      </w:r>
      <w:r w:rsidR="00492ED9">
        <w:rPr>
          <w:noProof/>
        </w:rPr>
        <w:t xml:space="preserve">Chris Hart, </w:t>
      </w:r>
      <w:r w:rsidR="00492ED9" w:rsidRPr="00492ED9">
        <w:rPr>
          <w:i/>
          <w:noProof/>
        </w:rPr>
        <w:t>Doing a literature review : releasing the research imagination</w:t>
      </w:r>
      <w:r w:rsidR="00492ED9">
        <w:rPr>
          <w:noProof/>
        </w:rPr>
        <w:t>, Second edition. ed. (Los Angeles, London, New Dehli, Singapore, Washington DC: Sage, 2011).</w:t>
      </w:r>
      <w:r>
        <w:fldChar w:fldCharType="end"/>
      </w:r>
      <w:r>
        <w:t xml:space="preserve"> p.13.</w:t>
      </w:r>
    </w:p>
  </w:footnote>
  <w:footnote w:id="14">
    <w:p w14:paraId="4244A1F6" w14:textId="5518DD94" w:rsidR="0021482F" w:rsidRPr="0021482F" w:rsidRDefault="0021482F">
      <w:pPr>
        <w:pStyle w:val="FootnoteText"/>
        <w:rPr>
          <w:lang w:val="en-GB"/>
        </w:rPr>
      </w:pPr>
      <w:r>
        <w:rPr>
          <w:rStyle w:val="FootnoteReference"/>
        </w:rPr>
        <w:footnoteRef/>
      </w:r>
      <w:r>
        <w:t xml:space="preserve"> </w:t>
      </w:r>
      <w:r>
        <w:fldChar w:fldCharType="begin"/>
      </w:r>
      <w:r w:rsidR="00FF48C2">
        <w:instrText xml:space="preserve"> ADDIN EN.CITE &lt;EndNote&gt;&lt;Cite&gt;&lt;Author&gt;Hennink&lt;/Author&gt;&lt;Year&gt;2020&lt;/Year&gt;&lt;RecNum&gt;156&lt;/RecNum&gt;&lt;DisplayText&gt;Hennink, &lt;style face="italic"&gt;Qualitative research methods&lt;/style&gt;.&lt;/DisplayText&gt;&lt;record&gt;&lt;rec-number&gt;156&lt;/rec-number&gt;&lt;foreign-keys&gt;&lt;key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FF48C2">
        <w:rPr>
          <w:noProof/>
        </w:rPr>
        <w:t xml:space="preserve">Hennink, </w:t>
      </w:r>
      <w:r w:rsidR="00FF48C2" w:rsidRPr="00FF48C2">
        <w:rPr>
          <w:i/>
          <w:noProof/>
        </w:rPr>
        <w:t>Qualitative research methods</w:t>
      </w:r>
      <w:r w:rsidR="00FF48C2">
        <w:rPr>
          <w:noProof/>
        </w:rPr>
        <w:t>.</w:t>
      </w:r>
      <w:r>
        <w:fldChar w:fldCharType="end"/>
      </w:r>
      <w:r>
        <w:t xml:space="preserve"> P.314.</w:t>
      </w:r>
    </w:p>
  </w:footnote>
  <w:footnote w:id="15">
    <w:p w14:paraId="6416A38E" w14:textId="15F61667" w:rsidR="00174744" w:rsidRPr="00174744" w:rsidRDefault="00174744">
      <w:pPr>
        <w:pStyle w:val="FootnoteText"/>
        <w:rPr>
          <w:lang w:val="en-GB"/>
        </w:rPr>
      </w:pPr>
      <w:r>
        <w:rPr>
          <w:rStyle w:val="FootnoteReference"/>
        </w:rPr>
        <w:footnoteRef/>
      </w:r>
      <w:r>
        <w:t xml:space="preserve"> </w:t>
      </w:r>
      <w:r>
        <w:fldChar w:fldCharType="begin"/>
      </w:r>
      <w:r w:rsidR="00EB39B1">
        <w:instrText xml:space="preserve"> ADDIN EN.CITE &lt;EndNote&gt;&lt;Cite&gt;&lt;Author&gt;Bennett&lt;/Author&gt;&lt;Year&gt;1995&lt;/Year&gt;&lt;RecNum&gt;157&lt;/RecNum&gt;&lt;DisplayText&gt;Bennett, &amp;quot;“If I Knew You Were Coming, I’d Have Baked a Cake” The Folklore of Foreknowledge in a Neighborhood Group.&amp;quot;&lt;/DisplayText&gt;&lt;record&gt;&lt;rec-number&gt;157&lt;/rec-number&gt;&lt;foreign-keys&gt;&lt;key app="EN" db-id="05f0xvf2wzrttxeraz8vwx210p5pt9wvtv0d" timestamp="1613573960" guid="18b74148-ce8b-4e41-a1be-5cd9b8490f33"&gt;157&lt;/key&gt;&lt;/foreign-keys&gt;&lt;ref-type name="Book Section"&gt;5&lt;/ref-type&gt;&lt;contributors&gt;&lt;authors&gt;&lt;author&gt;Bennett, Gillian&lt;/author&gt;&lt;/authors&gt;&lt;secondary-authors&gt;&lt;author&gt;Walker, Barbara&lt;/author&gt;&lt;/secondary-authors&gt;&lt;/contributors&gt;&lt;titles&gt;&lt;title&gt;“If I Knew You Were Coming, I’d Have Baked a Cake” The Folklore of Foreknowledge in a Neighborhood Group&lt;/title&gt;&lt;secondary-title&gt;Out Of The Ordinary&lt;/secondary-title&gt;&lt;tertiary-title&gt;Folklore and the Supernatural&lt;/tertiary-title&gt;&lt;/titles&gt;&lt;pages&gt;122-142&lt;/pages&gt;&lt;dates&gt;&lt;year&gt;1995&lt;/year&gt;&lt;/dates&gt;&lt;publisher&gt;University Press of Colorado&lt;/publisher&gt;&lt;isbn&gt;9780874211917&lt;/isbn&gt;&lt;urls&gt;&lt;related-urls&gt;&lt;url&gt;http://www.jstor.org.ezproxy.uwtsd.ac.uk/stable/j.ctt46nwn8.13&lt;/url&gt;&lt;/related-urls&gt;&lt;/urls&gt;&lt;remote-database-name&gt;JSTOR&lt;/remote-database-name&gt;&lt;access-date&gt;2021/02/17/&lt;/access-date&gt;&lt;/record&gt;&lt;/Cite&gt;&lt;/EndNote&gt;</w:instrText>
      </w:r>
      <w:r>
        <w:fldChar w:fldCharType="separate"/>
      </w:r>
      <w:r w:rsidR="00EB39B1">
        <w:rPr>
          <w:noProof/>
        </w:rPr>
        <w:t>Bennett, "“If I Knew You Were Coming, I’d Have Baked a Cake” The Folklore of Foreknowledge in a Neighborhood Group."</w:t>
      </w:r>
      <w:r>
        <w:fldChar w:fldCharType="end"/>
      </w:r>
      <w:r>
        <w:t xml:space="preserve"> P.135.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C85F92" w14:textId="56BBB9B1" w:rsidR="00B440A0" w:rsidRPr="00B440A0" w:rsidRDefault="00B440A0" w:rsidP="00B440A0">
    <w:pPr>
      <w:pStyle w:val="Header"/>
    </w:pPr>
    <w:r w:rsidRPr="00D72EF5">
      <w:rPr>
        <w:sz w:val="24"/>
        <w:szCs w:val="24"/>
        <w:lang w:val="en-GB"/>
      </w:rPr>
      <w:t>WENDY FEY</w:t>
    </w:r>
    <w:r>
      <w:rPr>
        <w:sz w:val="24"/>
        <w:szCs w:val="24"/>
        <w:lang w:val="en-GB"/>
      </w:rPr>
      <w:t xml:space="preserve">  </w:t>
    </w:r>
    <w:r w:rsidRPr="00D72EF5">
      <w:rPr>
        <w:sz w:val="24"/>
        <w:szCs w:val="24"/>
        <w:lang w:val="en-GB"/>
      </w:rPr>
      <w:t>HPCA701</w:t>
    </w:r>
    <w:r w:rsidR="00213807">
      <w:rPr>
        <w:sz w:val="24"/>
        <w:szCs w:val="24"/>
        <w:lang w:val="en-GB"/>
      </w:rPr>
      <w:t>6</w:t>
    </w:r>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rsidR="00412649">
          <w:t>1</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E837CA">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837CA">
          <w:rPr>
            <w:b/>
            <w:bCs/>
            <w:noProof/>
          </w:rPr>
          <w:t>4</w:t>
        </w:r>
        <w:r>
          <w:rPr>
            <w:b/>
            <w:bCs/>
            <w:sz w:val="24"/>
            <w:szCs w:val="24"/>
          </w:rPr>
          <w:fldChar w:fldCharType="end"/>
        </w:r>
      </w:sdtContent>
    </w:sdt>
  </w:p>
  <w:p w14:paraId="5390E3EA" w14:textId="77777777" w:rsidR="00D320DD" w:rsidRDefault="00D3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hicago 17th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5f0xvf2wzrttxeraz8vwx210p5pt9wvtv0d&quot;&gt;My EndNote Library&lt;record-ids&gt;&lt;item&gt;133&lt;/item&gt;&lt;item&gt;135&lt;/item&gt;&lt;item&gt;156&lt;/item&gt;&lt;item&gt;157&lt;/item&gt;&lt;item&gt;173&lt;/item&gt;&lt;item&gt;174&lt;/item&gt;&lt;item&gt;176&lt;/item&gt;&lt;item&gt;179&lt;/item&gt;&lt;/record-ids&gt;&lt;/item&gt;&lt;/Libraries&gt;"/>
  </w:docVars>
  <w:rsids>
    <w:rsidRoot w:val="00840C5C"/>
    <w:rsid w:val="0000569D"/>
    <w:rsid w:val="00007BB6"/>
    <w:rsid w:val="00011F7A"/>
    <w:rsid w:val="0001298A"/>
    <w:rsid w:val="000131C1"/>
    <w:rsid w:val="0001582E"/>
    <w:rsid w:val="000232A8"/>
    <w:rsid w:val="00024435"/>
    <w:rsid w:val="00035AD1"/>
    <w:rsid w:val="000455D7"/>
    <w:rsid w:val="00047593"/>
    <w:rsid w:val="00052CFF"/>
    <w:rsid w:val="000600EF"/>
    <w:rsid w:val="0006169B"/>
    <w:rsid w:val="00062C0C"/>
    <w:rsid w:val="00062D1F"/>
    <w:rsid w:val="00063663"/>
    <w:rsid w:val="00070055"/>
    <w:rsid w:val="00071CE5"/>
    <w:rsid w:val="000751EF"/>
    <w:rsid w:val="0007746F"/>
    <w:rsid w:val="00080175"/>
    <w:rsid w:val="00081172"/>
    <w:rsid w:val="0008186E"/>
    <w:rsid w:val="000843CD"/>
    <w:rsid w:val="00093A44"/>
    <w:rsid w:val="000A4CDA"/>
    <w:rsid w:val="000B2684"/>
    <w:rsid w:val="000B271B"/>
    <w:rsid w:val="000B784D"/>
    <w:rsid w:val="000C2331"/>
    <w:rsid w:val="000C6018"/>
    <w:rsid w:val="000C671C"/>
    <w:rsid w:val="000C79F4"/>
    <w:rsid w:val="000D0240"/>
    <w:rsid w:val="000D43DA"/>
    <w:rsid w:val="000D7F6C"/>
    <w:rsid w:val="000E5C94"/>
    <w:rsid w:val="000E700E"/>
    <w:rsid w:val="000F2347"/>
    <w:rsid w:val="000F2A1A"/>
    <w:rsid w:val="000F3151"/>
    <w:rsid w:val="001043FC"/>
    <w:rsid w:val="00107422"/>
    <w:rsid w:val="00121C81"/>
    <w:rsid w:val="0012512B"/>
    <w:rsid w:val="00130D47"/>
    <w:rsid w:val="00130DA0"/>
    <w:rsid w:val="00131D0C"/>
    <w:rsid w:val="001324C7"/>
    <w:rsid w:val="001370CE"/>
    <w:rsid w:val="00140448"/>
    <w:rsid w:val="00142DA1"/>
    <w:rsid w:val="001439D0"/>
    <w:rsid w:val="0015295F"/>
    <w:rsid w:val="00155D25"/>
    <w:rsid w:val="00157B5E"/>
    <w:rsid w:val="001654BC"/>
    <w:rsid w:val="00165A6D"/>
    <w:rsid w:val="00171E2D"/>
    <w:rsid w:val="001735DA"/>
    <w:rsid w:val="00174744"/>
    <w:rsid w:val="00175A74"/>
    <w:rsid w:val="00183005"/>
    <w:rsid w:val="00184641"/>
    <w:rsid w:val="0018606B"/>
    <w:rsid w:val="00191167"/>
    <w:rsid w:val="00194CB6"/>
    <w:rsid w:val="0019533A"/>
    <w:rsid w:val="001A0EC3"/>
    <w:rsid w:val="001A1EBD"/>
    <w:rsid w:val="001A3454"/>
    <w:rsid w:val="001A3949"/>
    <w:rsid w:val="001A3E2B"/>
    <w:rsid w:val="001B1F50"/>
    <w:rsid w:val="001B2955"/>
    <w:rsid w:val="001B7A95"/>
    <w:rsid w:val="001C067E"/>
    <w:rsid w:val="001C0E6A"/>
    <w:rsid w:val="001C1C88"/>
    <w:rsid w:val="001C6A6E"/>
    <w:rsid w:val="001C731D"/>
    <w:rsid w:val="001C7958"/>
    <w:rsid w:val="001D0C76"/>
    <w:rsid w:val="001D111E"/>
    <w:rsid w:val="001E4EEE"/>
    <w:rsid w:val="001E5C3D"/>
    <w:rsid w:val="001F3311"/>
    <w:rsid w:val="001F3380"/>
    <w:rsid w:val="001F3616"/>
    <w:rsid w:val="001F3C6F"/>
    <w:rsid w:val="001F74B6"/>
    <w:rsid w:val="00200EC4"/>
    <w:rsid w:val="00203519"/>
    <w:rsid w:val="00213807"/>
    <w:rsid w:val="002138E4"/>
    <w:rsid w:val="00213A07"/>
    <w:rsid w:val="0021482F"/>
    <w:rsid w:val="002161AE"/>
    <w:rsid w:val="002163FE"/>
    <w:rsid w:val="00221FC4"/>
    <w:rsid w:val="00226A5B"/>
    <w:rsid w:val="0022713E"/>
    <w:rsid w:val="002326BE"/>
    <w:rsid w:val="00234345"/>
    <w:rsid w:val="00235BE4"/>
    <w:rsid w:val="00235DE5"/>
    <w:rsid w:val="0024070D"/>
    <w:rsid w:val="00242425"/>
    <w:rsid w:val="0024518E"/>
    <w:rsid w:val="00250E59"/>
    <w:rsid w:val="00251204"/>
    <w:rsid w:val="002513DF"/>
    <w:rsid w:val="002519F8"/>
    <w:rsid w:val="00251FC2"/>
    <w:rsid w:val="002525BD"/>
    <w:rsid w:val="00256D7D"/>
    <w:rsid w:val="002604BA"/>
    <w:rsid w:val="00260626"/>
    <w:rsid w:val="00264C1E"/>
    <w:rsid w:val="002729E4"/>
    <w:rsid w:val="00273B71"/>
    <w:rsid w:val="002801FF"/>
    <w:rsid w:val="0028037B"/>
    <w:rsid w:val="002808BD"/>
    <w:rsid w:val="00281CFE"/>
    <w:rsid w:val="00291075"/>
    <w:rsid w:val="00292C4E"/>
    <w:rsid w:val="002957E5"/>
    <w:rsid w:val="002957EC"/>
    <w:rsid w:val="002A1BD9"/>
    <w:rsid w:val="002A1E6E"/>
    <w:rsid w:val="002A489F"/>
    <w:rsid w:val="002B0C8E"/>
    <w:rsid w:val="002B1E7F"/>
    <w:rsid w:val="002B7316"/>
    <w:rsid w:val="002C0B96"/>
    <w:rsid w:val="002C73B5"/>
    <w:rsid w:val="002D2A3F"/>
    <w:rsid w:val="002D3563"/>
    <w:rsid w:val="002D37C5"/>
    <w:rsid w:val="002D4A32"/>
    <w:rsid w:val="002D6D51"/>
    <w:rsid w:val="002E7521"/>
    <w:rsid w:val="002F38AF"/>
    <w:rsid w:val="002F3A1E"/>
    <w:rsid w:val="002F4509"/>
    <w:rsid w:val="00301D58"/>
    <w:rsid w:val="003040CF"/>
    <w:rsid w:val="0030461C"/>
    <w:rsid w:val="00305715"/>
    <w:rsid w:val="00307EA7"/>
    <w:rsid w:val="003165CB"/>
    <w:rsid w:val="00317311"/>
    <w:rsid w:val="00323158"/>
    <w:rsid w:val="00323E2B"/>
    <w:rsid w:val="00326977"/>
    <w:rsid w:val="00332CFF"/>
    <w:rsid w:val="00333DB1"/>
    <w:rsid w:val="00334C3B"/>
    <w:rsid w:val="00334D41"/>
    <w:rsid w:val="0034252F"/>
    <w:rsid w:val="00351B34"/>
    <w:rsid w:val="0035430C"/>
    <w:rsid w:val="003558F7"/>
    <w:rsid w:val="00360C43"/>
    <w:rsid w:val="00361C42"/>
    <w:rsid w:val="0036434E"/>
    <w:rsid w:val="00366DC4"/>
    <w:rsid w:val="00370FA8"/>
    <w:rsid w:val="00372395"/>
    <w:rsid w:val="00373F21"/>
    <w:rsid w:val="003821BB"/>
    <w:rsid w:val="00385934"/>
    <w:rsid w:val="00385F06"/>
    <w:rsid w:val="00387152"/>
    <w:rsid w:val="003975DD"/>
    <w:rsid w:val="003A3073"/>
    <w:rsid w:val="003A33CD"/>
    <w:rsid w:val="003A4C84"/>
    <w:rsid w:val="003A7297"/>
    <w:rsid w:val="003B275C"/>
    <w:rsid w:val="003B3C27"/>
    <w:rsid w:val="003B4A77"/>
    <w:rsid w:val="003B5692"/>
    <w:rsid w:val="003C2F17"/>
    <w:rsid w:val="003C35F2"/>
    <w:rsid w:val="003C4281"/>
    <w:rsid w:val="003C69DF"/>
    <w:rsid w:val="003D06E9"/>
    <w:rsid w:val="003D10E4"/>
    <w:rsid w:val="003D34AE"/>
    <w:rsid w:val="003D417B"/>
    <w:rsid w:val="003E42CF"/>
    <w:rsid w:val="003E5E57"/>
    <w:rsid w:val="003E7A7B"/>
    <w:rsid w:val="003F2CCA"/>
    <w:rsid w:val="003F43C8"/>
    <w:rsid w:val="003F57B7"/>
    <w:rsid w:val="003F646B"/>
    <w:rsid w:val="00403E38"/>
    <w:rsid w:val="00404617"/>
    <w:rsid w:val="00411965"/>
    <w:rsid w:val="0041225D"/>
    <w:rsid w:val="00412649"/>
    <w:rsid w:val="004143C5"/>
    <w:rsid w:val="00417565"/>
    <w:rsid w:val="004248EB"/>
    <w:rsid w:val="00426AA7"/>
    <w:rsid w:val="0043100F"/>
    <w:rsid w:val="0043341F"/>
    <w:rsid w:val="00433503"/>
    <w:rsid w:val="004411AE"/>
    <w:rsid w:val="004436EE"/>
    <w:rsid w:val="00444A80"/>
    <w:rsid w:val="0044577E"/>
    <w:rsid w:val="004534A9"/>
    <w:rsid w:val="00454972"/>
    <w:rsid w:val="00457AF9"/>
    <w:rsid w:val="004616A1"/>
    <w:rsid w:val="00467784"/>
    <w:rsid w:val="004705D3"/>
    <w:rsid w:val="00472961"/>
    <w:rsid w:val="00477DE6"/>
    <w:rsid w:val="00482B05"/>
    <w:rsid w:val="00484950"/>
    <w:rsid w:val="00492ED9"/>
    <w:rsid w:val="004934DA"/>
    <w:rsid w:val="004A1D0F"/>
    <w:rsid w:val="004A53EB"/>
    <w:rsid w:val="004A62D5"/>
    <w:rsid w:val="004B6E95"/>
    <w:rsid w:val="004C3270"/>
    <w:rsid w:val="004C658D"/>
    <w:rsid w:val="004C6C00"/>
    <w:rsid w:val="004C729A"/>
    <w:rsid w:val="004D31A5"/>
    <w:rsid w:val="004E0983"/>
    <w:rsid w:val="004E2206"/>
    <w:rsid w:val="004E4062"/>
    <w:rsid w:val="004F3982"/>
    <w:rsid w:val="004F3BEF"/>
    <w:rsid w:val="004F3C33"/>
    <w:rsid w:val="004F3FD6"/>
    <w:rsid w:val="004F445E"/>
    <w:rsid w:val="00511E98"/>
    <w:rsid w:val="00512C31"/>
    <w:rsid w:val="00514285"/>
    <w:rsid w:val="005143DE"/>
    <w:rsid w:val="00515EE2"/>
    <w:rsid w:val="00516C5D"/>
    <w:rsid w:val="00524206"/>
    <w:rsid w:val="00524EE6"/>
    <w:rsid w:val="005253B9"/>
    <w:rsid w:val="00536AB7"/>
    <w:rsid w:val="00536D1E"/>
    <w:rsid w:val="00541302"/>
    <w:rsid w:val="00546592"/>
    <w:rsid w:val="005524B6"/>
    <w:rsid w:val="00556C7A"/>
    <w:rsid w:val="00556D95"/>
    <w:rsid w:val="00562BC1"/>
    <w:rsid w:val="00563539"/>
    <w:rsid w:val="005635B2"/>
    <w:rsid w:val="00565214"/>
    <w:rsid w:val="00570A58"/>
    <w:rsid w:val="0057228F"/>
    <w:rsid w:val="005737F0"/>
    <w:rsid w:val="00573FBA"/>
    <w:rsid w:val="005971E8"/>
    <w:rsid w:val="005A2103"/>
    <w:rsid w:val="005A519F"/>
    <w:rsid w:val="005A76BE"/>
    <w:rsid w:val="005A7F91"/>
    <w:rsid w:val="005B04C2"/>
    <w:rsid w:val="005B633E"/>
    <w:rsid w:val="005C095B"/>
    <w:rsid w:val="005C527D"/>
    <w:rsid w:val="005C5CFB"/>
    <w:rsid w:val="005D0FAB"/>
    <w:rsid w:val="005D239E"/>
    <w:rsid w:val="005D3440"/>
    <w:rsid w:val="005E0F78"/>
    <w:rsid w:val="005E5FD9"/>
    <w:rsid w:val="005E73D7"/>
    <w:rsid w:val="005F134C"/>
    <w:rsid w:val="005F4D31"/>
    <w:rsid w:val="005F4F77"/>
    <w:rsid w:val="005F595A"/>
    <w:rsid w:val="006051BA"/>
    <w:rsid w:val="006079E8"/>
    <w:rsid w:val="00611E32"/>
    <w:rsid w:val="00611F24"/>
    <w:rsid w:val="006127E2"/>
    <w:rsid w:val="006161EF"/>
    <w:rsid w:val="00623ED8"/>
    <w:rsid w:val="00625920"/>
    <w:rsid w:val="006262D3"/>
    <w:rsid w:val="006304BD"/>
    <w:rsid w:val="00643E8F"/>
    <w:rsid w:val="00645564"/>
    <w:rsid w:val="00647EDC"/>
    <w:rsid w:val="00651C40"/>
    <w:rsid w:val="0065212A"/>
    <w:rsid w:val="0065263E"/>
    <w:rsid w:val="006546E0"/>
    <w:rsid w:val="0065566B"/>
    <w:rsid w:val="006571CF"/>
    <w:rsid w:val="006633F3"/>
    <w:rsid w:val="0066658C"/>
    <w:rsid w:val="006750E1"/>
    <w:rsid w:val="00684906"/>
    <w:rsid w:val="00684B6E"/>
    <w:rsid w:val="006910F8"/>
    <w:rsid w:val="00691E2D"/>
    <w:rsid w:val="00692B32"/>
    <w:rsid w:val="00693BC0"/>
    <w:rsid w:val="00695AEE"/>
    <w:rsid w:val="00695E65"/>
    <w:rsid w:val="00696B63"/>
    <w:rsid w:val="006A0380"/>
    <w:rsid w:val="006A1675"/>
    <w:rsid w:val="006A5BBD"/>
    <w:rsid w:val="006A6CE3"/>
    <w:rsid w:val="006A6E90"/>
    <w:rsid w:val="006C03AE"/>
    <w:rsid w:val="006C337F"/>
    <w:rsid w:val="006C3434"/>
    <w:rsid w:val="006C7655"/>
    <w:rsid w:val="006C794E"/>
    <w:rsid w:val="006D3455"/>
    <w:rsid w:val="006D6A72"/>
    <w:rsid w:val="006E7FCE"/>
    <w:rsid w:val="006F0733"/>
    <w:rsid w:val="006F407E"/>
    <w:rsid w:val="006F614F"/>
    <w:rsid w:val="006F6D59"/>
    <w:rsid w:val="007009EC"/>
    <w:rsid w:val="00703FAA"/>
    <w:rsid w:val="0070475F"/>
    <w:rsid w:val="00713285"/>
    <w:rsid w:val="00715A6A"/>
    <w:rsid w:val="00720B07"/>
    <w:rsid w:val="007212B6"/>
    <w:rsid w:val="0072221E"/>
    <w:rsid w:val="00723FCF"/>
    <w:rsid w:val="00731783"/>
    <w:rsid w:val="00731EC7"/>
    <w:rsid w:val="007323D5"/>
    <w:rsid w:val="0073525F"/>
    <w:rsid w:val="00740B57"/>
    <w:rsid w:val="00741C37"/>
    <w:rsid w:val="00746D9D"/>
    <w:rsid w:val="00747F98"/>
    <w:rsid w:val="007506EE"/>
    <w:rsid w:val="0075341E"/>
    <w:rsid w:val="00755994"/>
    <w:rsid w:val="00757CB3"/>
    <w:rsid w:val="0076051D"/>
    <w:rsid w:val="0076349A"/>
    <w:rsid w:val="007658C9"/>
    <w:rsid w:val="00770930"/>
    <w:rsid w:val="00772BE6"/>
    <w:rsid w:val="007758EC"/>
    <w:rsid w:val="00777866"/>
    <w:rsid w:val="00780F24"/>
    <w:rsid w:val="00782F1E"/>
    <w:rsid w:val="0079101B"/>
    <w:rsid w:val="00792104"/>
    <w:rsid w:val="00792567"/>
    <w:rsid w:val="00793FD0"/>
    <w:rsid w:val="00795F8A"/>
    <w:rsid w:val="007A3E10"/>
    <w:rsid w:val="007A5E2D"/>
    <w:rsid w:val="007A7138"/>
    <w:rsid w:val="007C1775"/>
    <w:rsid w:val="007C39F8"/>
    <w:rsid w:val="007C60EC"/>
    <w:rsid w:val="007C69AE"/>
    <w:rsid w:val="007D1E9C"/>
    <w:rsid w:val="007D2CF9"/>
    <w:rsid w:val="007D4340"/>
    <w:rsid w:val="007D466E"/>
    <w:rsid w:val="007D70CC"/>
    <w:rsid w:val="007E1D3B"/>
    <w:rsid w:val="007E1E13"/>
    <w:rsid w:val="007E3066"/>
    <w:rsid w:val="007E397F"/>
    <w:rsid w:val="007E411D"/>
    <w:rsid w:val="007E5794"/>
    <w:rsid w:val="007E59A8"/>
    <w:rsid w:val="007F0684"/>
    <w:rsid w:val="007F2E22"/>
    <w:rsid w:val="007F6DAF"/>
    <w:rsid w:val="00804B1E"/>
    <w:rsid w:val="00807135"/>
    <w:rsid w:val="0080749D"/>
    <w:rsid w:val="00810C38"/>
    <w:rsid w:val="008153AD"/>
    <w:rsid w:val="00816D9C"/>
    <w:rsid w:val="0081789A"/>
    <w:rsid w:val="0082296D"/>
    <w:rsid w:val="00822C49"/>
    <w:rsid w:val="00822D17"/>
    <w:rsid w:val="00822E41"/>
    <w:rsid w:val="00824BFC"/>
    <w:rsid w:val="00835705"/>
    <w:rsid w:val="00837493"/>
    <w:rsid w:val="00837692"/>
    <w:rsid w:val="00837993"/>
    <w:rsid w:val="00840C5C"/>
    <w:rsid w:val="00840E78"/>
    <w:rsid w:val="00841B2A"/>
    <w:rsid w:val="0084248D"/>
    <w:rsid w:val="00845EEE"/>
    <w:rsid w:val="0084622B"/>
    <w:rsid w:val="00846E0A"/>
    <w:rsid w:val="00852A0C"/>
    <w:rsid w:val="00856270"/>
    <w:rsid w:val="00856578"/>
    <w:rsid w:val="00860705"/>
    <w:rsid w:val="008617B2"/>
    <w:rsid w:val="00862419"/>
    <w:rsid w:val="00862BBF"/>
    <w:rsid w:val="00862BCA"/>
    <w:rsid w:val="00862DC5"/>
    <w:rsid w:val="008632F9"/>
    <w:rsid w:val="008641B3"/>
    <w:rsid w:val="00867370"/>
    <w:rsid w:val="00872999"/>
    <w:rsid w:val="008746CE"/>
    <w:rsid w:val="008762DF"/>
    <w:rsid w:val="0088173F"/>
    <w:rsid w:val="00881A56"/>
    <w:rsid w:val="0088493D"/>
    <w:rsid w:val="00890D3D"/>
    <w:rsid w:val="008A018F"/>
    <w:rsid w:val="008A4C67"/>
    <w:rsid w:val="008A64FE"/>
    <w:rsid w:val="008B03D8"/>
    <w:rsid w:val="008B205D"/>
    <w:rsid w:val="008B38AA"/>
    <w:rsid w:val="008B3AB8"/>
    <w:rsid w:val="008B5E70"/>
    <w:rsid w:val="008B7A4A"/>
    <w:rsid w:val="008B7EA0"/>
    <w:rsid w:val="008C1144"/>
    <w:rsid w:val="008C56F8"/>
    <w:rsid w:val="008C608C"/>
    <w:rsid w:val="008C63F1"/>
    <w:rsid w:val="008C6770"/>
    <w:rsid w:val="008D26B1"/>
    <w:rsid w:val="008D6B4A"/>
    <w:rsid w:val="008E2885"/>
    <w:rsid w:val="008E4D80"/>
    <w:rsid w:val="008F2D58"/>
    <w:rsid w:val="008F38AD"/>
    <w:rsid w:val="008F4733"/>
    <w:rsid w:val="009014C1"/>
    <w:rsid w:val="00905B0F"/>
    <w:rsid w:val="00906A64"/>
    <w:rsid w:val="00910736"/>
    <w:rsid w:val="0091421C"/>
    <w:rsid w:val="00916AF5"/>
    <w:rsid w:val="009208EF"/>
    <w:rsid w:val="00925055"/>
    <w:rsid w:val="009270A2"/>
    <w:rsid w:val="00927289"/>
    <w:rsid w:val="009365AE"/>
    <w:rsid w:val="009373BF"/>
    <w:rsid w:val="0094154D"/>
    <w:rsid w:val="00941F21"/>
    <w:rsid w:val="0095262B"/>
    <w:rsid w:val="00964E79"/>
    <w:rsid w:val="009678F7"/>
    <w:rsid w:val="00967CCA"/>
    <w:rsid w:val="0097150B"/>
    <w:rsid w:val="00971A10"/>
    <w:rsid w:val="00971AC6"/>
    <w:rsid w:val="009729BA"/>
    <w:rsid w:val="00973DAC"/>
    <w:rsid w:val="00975EDC"/>
    <w:rsid w:val="00982378"/>
    <w:rsid w:val="00982AA1"/>
    <w:rsid w:val="00982F50"/>
    <w:rsid w:val="00985E49"/>
    <w:rsid w:val="0098735A"/>
    <w:rsid w:val="00992D48"/>
    <w:rsid w:val="0099766B"/>
    <w:rsid w:val="009A02A2"/>
    <w:rsid w:val="009A3451"/>
    <w:rsid w:val="009A4D1E"/>
    <w:rsid w:val="009A723A"/>
    <w:rsid w:val="009A7A7A"/>
    <w:rsid w:val="009B07DD"/>
    <w:rsid w:val="009B3C80"/>
    <w:rsid w:val="009B3F06"/>
    <w:rsid w:val="009B7D12"/>
    <w:rsid w:val="009B7E89"/>
    <w:rsid w:val="009C49C0"/>
    <w:rsid w:val="009C698D"/>
    <w:rsid w:val="009E4F60"/>
    <w:rsid w:val="009E51D5"/>
    <w:rsid w:val="009F177E"/>
    <w:rsid w:val="009F661A"/>
    <w:rsid w:val="00A11B61"/>
    <w:rsid w:val="00A11C32"/>
    <w:rsid w:val="00A12881"/>
    <w:rsid w:val="00A1326A"/>
    <w:rsid w:val="00A14CF8"/>
    <w:rsid w:val="00A1629A"/>
    <w:rsid w:val="00A17582"/>
    <w:rsid w:val="00A20300"/>
    <w:rsid w:val="00A20B8A"/>
    <w:rsid w:val="00A21469"/>
    <w:rsid w:val="00A2173C"/>
    <w:rsid w:val="00A22CA0"/>
    <w:rsid w:val="00A27372"/>
    <w:rsid w:val="00A30BC9"/>
    <w:rsid w:val="00A41C6C"/>
    <w:rsid w:val="00A431E6"/>
    <w:rsid w:val="00A432D7"/>
    <w:rsid w:val="00A4341E"/>
    <w:rsid w:val="00A43959"/>
    <w:rsid w:val="00A43FE7"/>
    <w:rsid w:val="00A447AE"/>
    <w:rsid w:val="00A4630A"/>
    <w:rsid w:val="00A46E9F"/>
    <w:rsid w:val="00A516F8"/>
    <w:rsid w:val="00A51AE4"/>
    <w:rsid w:val="00A52BF4"/>
    <w:rsid w:val="00A5554B"/>
    <w:rsid w:val="00A5596F"/>
    <w:rsid w:val="00A56E54"/>
    <w:rsid w:val="00A572B4"/>
    <w:rsid w:val="00A61328"/>
    <w:rsid w:val="00A66D9D"/>
    <w:rsid w:val="00A77560"/>
    <w:rsid w:val="00A816AF"/>
    <w:rsid w:val="00A82732"/>
    <w:rsid w:val="00A8410D"/>
    <w:rsid w:val="00A85744"/>
    <w:rsid w:val="00A865B7"/>
    <w:rsid w:val="00A86C0A"/>
    <w:rsid w:val="00A95667"/>
    <w:rsid w:val="00A95FBB"/>
    <w:rsid w:val="00AA02C0"/>
    <w:rsid w:val="00AA2759"/>
    <w:rsid w:val="00AA2C2C"/>
    <w:rsid w:val="00AB106D"/>
    <w:rsid w:val="00AB2531"/>
    <w:rsid w:val="00AB2DAB"/>
    <w:rsid w:val="00AB5FA2"/>
    <w:rsid w:val="00AC01FD"/>
    <w:rsid w:val="00AC0668"/>
    <w:rsid w:val="00AC1913"/>
    <w:rsid w:val="00AC39F3"/>
    <w:rsid w:val="00AC3F8A"/>
    <w:rsid w:val="00AC5B3B"/>
    <w:rsid w:val="00AC739F"/>
    <w:rsid w:val="00AD2C67"/>
    <w:rsid w:val="00AD7595"/>
    <w:rsid w:val="00AE24BB"/>
    <w:rsid w:val="00AE3974"/>
    <w:rsid w:val="00AE5CD2"/>
    <w:rsid w:val="00AE6E4A"/>
    <w:rsid w:val="00AF1799"/>
    <w:rsid w:val="00AF6F18"/>
    <w:rsid w:val="00B0101A"/>
    <w:rsid w:val="00B02C9A"/>
    <w:rsid w:val="00B048F9"/>
    <w:rsid w:val="00B058EA"/>
    <w:rsid w:val="00B07EB8"/>
    <w:rsid w:val="00B1215C"/>
    <w:rsid w:val="00B12626"/>
    <w:rsid w:val="00B13D8A"/>
    <w:rsid w:val="00B13DCD"/>
    <w:rsid w:val="00B166DD"/>
    <w:rsid w:val="00B23410"/>
    <w:rsid w:val="00B3269A"/>
    <w:rsid w:val="00B3463B"/>
    <w:rsid w:val="00B35393"/>
    <w:rsid w:val="00B440A0"/>
    <w:rsid w:val="00B5149B"/>
    <w:rsid w:val="00B51A40"/>
    <w:rsid w:val="00B52709"/>
    <w:rsid w:val="00B55A59"/>
    <w:rsid w:val="00B60CBC"/>
    <w:rsid w:val="00B628A8"/>
    <w:rsid w:val="00B712D3"/>
    <w:rsid w:val="00B75961"/>
    <w:rsid w:val="00B759F8"/>
    <w:rsid w:val="00B76BAF"/>
    <w:rsid w:val="00B77242"/>
    <w:rsid w:val="00B80F71"/>
    <w:rsid w:val="00B82EC3"/>
    <w:rsid w:val="00B90420"/>
    <w:rsid w:val="00B93AC9"/>
    <w:rsid w:val="00B93F12"/>
    <w:rsid w:val="00B9698A"/>
    <w:rsid w:val="00B97520"/>
    <w:rsid w:val="00BA0B29"/>
    <w:rsid w:val="00BA1640"/>
    <w:rsid w:val="00BA433A"/>
    <w:rsid w:val="00BB0206"/>
    <w:rsid w:val="00BB1276"/>
    <w:rsid w:val="00BC137E"/>
    <w:rsid w:val="00BC1D16"/>
    <w:rsid w:val="00BC3603"/>
    <w:rsid w:val="00BC6BEA"/>
    <w:rsid w:val="00BD45A2"/>
    <w:rsid w:val="00BE08A9"/>
    <w:rsid w:val="00BE35FC"/>
    <w:rsid w:val="00BE5D0D"/>
    <w:rsid w:val="00BE700D"/>
    <w:rsid w:val="00BE7022"/>
    <w:rsid w:val="00BF0AA8"/>
    <w:rsid w:val="00BF4244"/>
    <w:rsid w:val="00BF7E12"/>
    <w:rsid w:val="00BF7F75"/>
    <w:rsid w:val="00C0064C"/>
    <w:rsid w:val="00C03C3D"/>
    <w:rsid w:val="00C0459F"/>
    <w:rsid w:val="00C0685F"/>
    <w:rsid w:val="00C10B6B"/>
    <w:rsid w:val="00C14EC8"/>
    <w:rsid w:val="00C20B9C"/>
    <w:rsid w:val="00C24799"/>
    <w:rsid w:val="00C252C7"/>
    <w:rsid w:val="00C26965"/>
    <w:rsid w:val="00C26D9A"/>
    <w:rsid w:val="00C3054C"/>
    <w:rsid w:val="00C306B0"/>
    <w:rsid w:val="00C34255"/>
    <w:rsid w:val="00C35FAF"/>
    <w:rsid w:val="00C40B90"/>
    <w:rsid w:val="00C4232E"/>
    <w:rsid w:val="00C43BFC"/>
    <w:rsid w:val="00C448F6"/>
    <w:rsid w:val="00C451DA"/>
    <w:rsid w:val="00C53EA2"/>
    <w:rsid w:val="00C577C1"/>
    <w:rsid w:val="00C61523"/>
    <w:rsid w:val="00C63571"/>
    <w:rsid w:val="00C64FF2"/>
    <w:rsid w:val="00C65590"/>
    <w:rsid w:val="00C70CB2"/>
    <w:rsid w:val="00C72933"/>
    <w:rsid w:val="00C809B6"/>
    <w:rsid w:val="00C80FA7"/>
    <w:rsid w:val="00C81343"/>
    <w:rsid w:val="00C82D5A"/>
    <w:rsid w:val="00C846CA"/>
    <w:rsid w:val="00C85C7F"/>
    <w:rsid w:val="00C87474"/>
    <w:rsid w:val="00C91A03"/>
    <w:rsid w:val="00C9362B"/>
    <w:rsid w:val="00C93B4A"/>
    <w:rsid w:val="00C95749"/>
    <w:rsid w:val="00C95F5B"/>
    <w:rsid w:val="00CA1DE7"/>
    <w:rsid w:val="00CA47E1"/>
    <w:rsid w:val="00CA4A14"/>
    <w:rsid w:val="00CA790F"/>
    <w:rsid w:val="00CB3973"/>
    <w:rsid w:val="00CB4C24"/>
    <w:rsid w:val="00CC01CC"/>
    <w:rsid w:val="00CC0C3B"/>
    <w:rsid w:val="00CC2D89"/>
    <w:rsid w:val="00CC5EF9"/>
    <w:rsid w:val="00CC6FFC"/>
    <w:rsid w:val="00CD28CC"/>
    <w:rsid w:val="00CD53AD"/>
    <w:rsid w:val="00CD642D"/>
    <w:rsid w:val="00CE0B96"/>
    <w:rsid w:val="00CE25FA"/>
    <w:rsid w:val="00CE49FA"/>
    <w:rsid w:val="00CF1579"/>
    <w:rsid w:val="00CF58C1"/>
    <w:rsid w:val="00D009F4"/>
    <w:rsid w:val="00D00E79"/>
    <w:rsid w:val="00D016A3"/>
    <w:rsid w:val="00D017F3"/>
    <w:rsid w:val="00D01F9A"/>
    <w:rsid w:val="00D0202E"/>
    <w:rsid w:val="00D05110"/>
    <w:rsid w:val="00D065EA"/>
    <w:rsid w:val="00D1252A"/>
    <w:rsid w:val="00D14ADF"/>
    <w:rsid w:val="00D14D9A"/>
    <w:rsid w:val="00D319AA"/>
    <w:rsid w:val="00D31FD8"/>
    <w:rsid w:val="00D320DD"/>
    <w:rsid w:val="00D32174"/>
    <w:rsid w:val="00D33A73"/>
    <w:rsid w:val="00D35472"/>
    <w:rsid w:val="00D36175"/>
    <w:rsid w:val="00D37AA5"/>
    <w:rsid w:val="00D37C22"/>
    <w:rsid w:val="00D425F6"/>
    <w:rsid w:val="00D4538E"/>
    <w:rsid w:val="00D5634A"/>
    <w:rsid w:val="00D57461"/>
    <w:rsid w:val="00D6045A"/>
    <w:rsid w:val="00D60EDE"/>
    <w:rsid w:val="00D64D54"/>
    <w:rsid w:val="00D66C5A"/>
    <w:rsid w:val="00D67223"/>
    <w:rsid w:val="00D6749D"/>
    <w:rsid w:val="00D67EDD"/>
    <w:rsid w:val="00D72EF5"/>
    <w:rsid w:val="00D737B6"/>
    <w:rsid w:val="00D80BCE"/>
    <w:rsid w:val="00D83D71"/>
    <w:rsid w:val="00D83DA4"/>
    <w:rsid w:val="00D84091"/>
    <w:rsid w:val="00D84E08"/>
    <w:rsid w:val="00D85325"/>
    <w:rsid w:val="00D911BA"/>
    <w:rsid w:val="00D91C85"/>
    <w:rsid w:val="00D92233"/>
    <w:rsid w:val="00D9517F"/>
    <w:rsid w:val="00D9739A"/>
    <w:rsid w:val="00DA002F"/>
    <w:rsid w:val="00DA4924"/>
    <w:rsid w:val="00DA7CBE"/>
    <w:rsid w:val="00DB163E"/>
    <w:rsid w:val="00DB2E68"/>
    <w:rsid w:val="00DB3562"/>
    <w:rsid w:val="00DB5EA1"/>
    <w:rsid w:val="00DB665D"/>
    <w:rsid w:val="00DB6B6B"/>
    <w:rsid w:val="00DB775F"/>
    <w:rsid w:val="00DC0EEF"/>
    <w:rsid w:val="00DC45B7"/>
    <w:rsid w:val="00DC5BF9"/>
    <w:rsid w:val="00DD07BD"/>
    <w:rsid w:val="00DD56A5"/>
    <w:rsid w:val="00DD6796"/>
    <w:rsid w:val="00DD7C95"/>
    <w:rsid w:val="00DE1022"/>
    <w:rsid w:val="00DE3C3B"/>
    <w:rsid w:val="00DE46E8"/>
    <w:rsid w:val="00DE63A5"/>
    <w:rsid w:val="00DF655F"/>
    <w:rsid w:val="00DF6AF7"/>
    <w:rsid w:val="00E01C6D"/>
    <w:rsid w:val="00E023A2"/>
    <w:rsid w:val="00E051BB"/>
    <w:rsid w:val="00E073D9"/>
    <w:rsid w:val="00E16429"/>
    <w:rsid w:val="00E17F38"/>
    <w:rsid w:val="00E20BDE"/>
    <w:rsid w:val="00E233EE"/>
    <w:rsid w:val="00E23992"/>
    <w:rsid w:val="00E23A67"/>
    <w:rsid w:val="00E25210"/>
    <w:rsid w:val="00E258E6"/>
    <w:rsid w:val="00E26568"/>
    <w:rsid w:val="00E30974"/>
    <w:rsid w:val="00E419C6"/>
    <w:rsid w:val="00E44570"/>
    <w:rsid w:val="00E50D32"/>
    <w:rsid w:val="00E6292E"/>
    <w:rsid w:val="00E649DD"/>
    <w:rsid w:val="00E6586D"/>
    <w:rsid w:val="00E70B76"/>
    <w:rsid w:val="00E77DA0"/>
    <w:rsid w:val="00E817DA"/>
    <w:rsid w:val="00E837CA"/>
    <w:rsid w:val="00E84FA7"/>
    <w:rsid w:val="00E85F21"/>
    <w:rsid w:val="00E865DB"/>
    <w:rsid w:val="00E9104B"/>
    <w:rsid w:val="00E92D95"/>
    <w:rsid w:val="00E930F6"/>
    <w:rsid w:val="00E97B1B"/>
    <w:rsid w:val="00EA2949"/>
    <w:rsid w:val="00EA4653"/>
    <w:rsid w:val="00EA68EC"/>
    <w:rsid w:val="00EA7C89"/>
    <w:rsid w:val="00EB064A"/>
    <w:rsid w:val="00EB3370"/>
    <w:rsid w:val="00EB39B1"/>
    <w:rsid w:val="00EC4138"/>
    <w:rsid w:val="00EC4B17"/>
    <w:rsid w:val="00EC61BB"/>
    <w:rsid w:val="00EC7262"/>
    <w:rsid w:val="00ED0FF3"/>
    <w:rsid w:val="00ED1436"/>
    <w:rsid w:val="00ED2153"/>
    <w:rsid w:val="00ED218F"/>
    <w:rsid w:val="00ED21F1"/>
    <w:rsid w:val="00ED7DDA"/>
    <w:rsid w:val="00EE55E8"/>
    <w:rsid w:val="00EE6DD8"/>
    <w:rsid w:val="00EF5624"/>
    <w:rsid w:val="00F03AEC"/>
    <w:rsid w:val="00F0716F"/>
    <w:rsid w:val="00F130B8"/>
    <w:rsid w:val="00F157CF"/>
    <w:rsid w:val="00F2540C"/>
    <w:rsid w:val="00F300E1"/>
    <w:rsid w:val="00F35AD1"/>
    <w:rsid w:val="00F4271D"/>
    <w:rsid w:val="00F427A9"/>
    <w:rsid w:val="00F45478"/>
    <w:rsid w:val="00F46C59"/>
    <w:rsid w:val="00F52F41"/>
    <w:rsid w:val="00F55172"/>
    <w:rsid w:val="00F55BBB"/>
    <w:rsid w:val="00F602B4"/>
    <w:rsid w:val="00F61ABA"/>
    <w:rsid w:val="00F637A6"/>
    <w:rsid w:val="00F66AC9"/>
    <w:rsid w:val="00F674F2"/>
    <w:rsid w:val="00F71D13"/>
    <w:rsid w:val="00F722FF"/>
    <w:rsid w:val="00F77FFC"/>
    <w:rsid w:val="00F80A98"/>
    <w:rsid w:val="00F82D5D"/>
    <w:rsid w:val="00F92F37"/>
    <w:rsid w:val="00F94A02"/>
    <w:rsid w:val="00FA2A7A"/>
    <w:rsid w:val="00FA31A4"/>
    <w:rsid w:val="00FA74E0"/>
    <w:rsid w:val="00FB1706"/>
    <w:rsid w:val="00FB1CE2"/>
    <w:rsid w:val="00FB37D5"/>
    <w:rsid w:val="00FB4120"/>
    <w:rsid w:val="00FB62ED"/>
    <w:rsid w:val="00FB7F32"/>
    <w:rsid w:val="00FC188A"/>
    <w:rsid w:val="00FC32E0"/>
    <w:rsid w:val="00FC45E8"/>
    <w:rsid w:val="00FC7A64"/>
    <w:rsid w:val="00FD17E9"/>
    <w:rsid w:val="00FD3070"/>
    <w:rsid w:val="00FD5288"/>
    <w:rsid w:val="00FD76D7"/>
    <w:rsid w:val="00FE0811"/>
    <w:rsid w:val="00FF0613"/>
    <w:rsid w:val="00FF127F"/>
    <w:rsid w:val="00FF1EE1"/>
    <w:rsid w:val="00FF48C2"/>
    <w:rsid w:val="00FF4CE2"/>
    <w:rsid w:val="00FF7507"/>
    <w:rsid w:val="00FF7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173F55E"/>
  <w15:docId w15:val="{010D9B09-C3B6-4B2D-99DE-A1178277B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paragraph" w:customStyle="1" w:styleId="EndNoteBibliographyTitle">
    <w:name w:val="EndNote Bibliography Title"/>
    <w:basedOn w:val="Normal"/>
    <w:link w:val="EndNoteBibliographyTitleChar"/>
    <w:rsid w:val="009E4F6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9E4F60"/>
    <w:rPr>
      <w:rFonts w:ascii="Calibri" w:hAnsi="Calibri" w:cs="Calibri"/>
      <w:noProof/>
    </w:rPr>
  </w:style>
  <w:style w:type="paragraph" w:customStyle="1" w:styleId="EndNoteBibliography">
    <w:name w:val="EndNote Bibliography"/>
    <w:basedOn w:val="Normal"/>
    <w:link w:val="EndNoteBibliographyChar"/>
    <w:rsid w:val="009E4F6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9E4F60"/>
    <w:rPr>
      <w:rFonts w:ascii="Calibri" w:hAnsi="Calibri" w:cs="Calibri"/>
      <w:noProof/>
    </w:rPr>
  </w:style>
  <w:style w:type="character" w:styleId="Hyperlink">
    <w:name w:val="Hyperlink"/>
    <w:basedOn w:val="DefaultParagraphFont"/>
    <w:uiPriority w:val="99"/>
    <w:unhideWhenUsed/>
    <w:rsid w:val="00C95749"/>
    <w:rPr>
      <w:color w:val="0000FF" w:themeColor="hyperlink"/>
      <w:u w:val="single"/>
    </w:rPr>
  </w:style>
  <w:style w:type="character" w:styleId="UnresolvedMention">
    <w:name w:val="Unresolved Mention"/>
    <w:basedOn w:val="DefaultParagraphFont"/>
    <w:uiPriority w:val="99"/>
    <w:semiHidden/>
    <w:unhideWhenUsed/>
    <w:rsid w:val="00C957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26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AF3D1A-9A3E-46A8-AC96-A6C8DD1DD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Pages>
  <Words>2620</Words>
  <Characters>14413</Characters>
  <Application>Microsoft Office Word</Application>
  <DocSecurity>0</DocSecurity>
  <Lines>320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Wendy Kay Fey (2011982)</cp:lastModifiedBy>
  <cp:revision>11</cp:revision>
  <dcterms:created xsi:type="dcterms:W3CDTF">2021-03-22T09:05:00Z</dcterms:created>
  <dcterms:modified xsi:type="dcterms:W3CDTF">2021-03-22T09:56:00Z</dcterms:modified>
</cp:coreProperties>
</file>