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8C7CB" w14:textId="02865ED7" w:rsidR="00360BE6" w:rsidRDefault="00360BE6" w:rsidP="00360BE6">
      <w:pPr>
        <w:spacing w:line="360" w:lineRule="auto"/>
        <w:jc w:val="center"/>
        <w:rPr>
          <w:rFonts w:ascii="Arial" w:hAnsi="Arial" w:cs="Arial"/>
          <w:sz w:val="36"/>
          <w:szCs w:val="36"/>
        </w:rPr>
      </w:pPr>
      <w:r w:rsidRPr="00360BE6">
        <w:rPr>
          <w:rFonts w:ascii="Arial" w:eastAsiaTheme="minorEastAsia" w:hAnsi="Arial"/>
          <w:noProof/>
          <w:kern w:val="0"/>
          <w:sz w:val="36"/>
          <w:szCs w:val="36"/>
          <w:lang w:eastAsia="zh-CN"/>
          <w14:ligatures w14:val="none"/>
        </w:rPr>
        <w:drawing>
          <wp:inline distT="0" distB="0" distL="0" distR="0" wp14:anchorId="77F106CA" wp14:editId="749E656C">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44CCE36" w14:textId="77777777" w:rsidR="00360BE6" w:rsidRDefault="00360BE6" w:rsidP="00360BE6">
      <w:pPr>
        <w:spacing w:line="360" w:lineRule="auto"/>
        <w:jc w:val="center"/>
        <w:rPr>
          <w:rFonts w:ascii="Arial" w:hAnsi="Arial" w:cs="Arial"/>
          <w:sz w:val="36"/>
          <w:szCs w:val="36"/>
        </w:rPr>
      </w:pPr>
    </w:p>
    <w:p w14:paraId="4A80B901" w14:textId="77777777" w:rsidR="00360BE6" w:rsidRPr="00360BE6" w:rsidRDefault="00360BE6" w:rsidP="00360BE6">
      <w:pPr>
        <w:spacing w:line="360" w:lineRule="auto"/>
        <w:jc w:val="center"/>
        <w:rPr>
          <w:rFonts w:ascii="Arial" w:hAnsi="Arial" w:cs="Arial"/>
          <w:sz w:val="36"/>
          <w:szCs w:val="36"/>
        </w:rPr>
      </w:pPr>
    </w:p>
    <w:p w14:paraId="09585950" w14:textId="77777777" w:rsidR="00360BE6" w:rsidRDefault="00360BE6" w:rsidP="00360BE6">
      <w:pPr>
        <w:shd w:val="clear" w:color="auto" w:fill="FFFFFF"/>
        <w:spacing w:after="100" w:afterAutospacing="1" w:line="240" w:lineRule="auto"/>
        <w:jc w:val="center"/>
        <w:outlineLvl w:val="0"/>
        <w:rPr>
          <w:rFonts w:ascii="Arial" w:eastAsia="Times New Roman" w:hAnsi="Arial" w:cs="Arial"/>
          <w:b/>
          <w:bCs/>
          <w:color w:val="1D2125"/>
          <w:kern w:val="36"/>
          <w:sz w:val="96"/>
          <w:szCs w:val="96"/>
          <w:lang w:eastAsia="en-GB"/>
          <w14:ligatures w14:val="none"/>
        </w:rPr>
      </w:pPr>
      <w:r w:rsidRPr="00360BE6">
        <w:rPr>
          <w:rFonts w:ascii="Arial" w:eastAsia="Times New Roman" w:hAnsi="Arial" w:cs="Arial"/>
          <w:b/>
          <w:bCs/>
          <w:color w:val="1D2125"/>
          <w:kern w:val="36"/>
          <w:sz w:val="96"/>
          <w:szCs w:val="96"/>
          <w:lang w:eastAsia="en-GB"/>
          <w14:ligatures w14:val="none"/>
        </w:rPr>
        <w:t>Introduction to Business (LCBB4007_LON)</w:t>
      </w:r>
    </w:p>
    <w:p w14:paraId="69D31050" w14:textId="77777777" w:rsidR="00360BE6" w:rsidRDefault="00360BE6" w:rsidP="00360BE6">
      <w:pPr>
        <w:shd w:val="clear" w:color="auto" w:fill="FFFFFF"/>
        <w:spacing w:after="100" w:afterAutospacing="1" w:line="240" w:lineRule="auto"/>
        <w:jc w:val="center"/>
        <w:outlineLvl w:val="0"/>
        <w:rPr>
          <w:rFonts w:ascii="Arial" w:eastAsia="Times New Roman" w:hAnsi="Arial" w:cs="Arial"/>
          <w:b/>
          <w:bCs/>
          <w:color w:val="1D2125"/>
          <w:kern w:val="36"/>
          <w:sz w:val="96"/>
          <w:szCs w:val="96"/>
          <w:lang w:eastAsia="en-GB"/>
          <w14:ligatures w14:val="none"/>
        </w:rPr>
      </w:pPr>
    </w:p>
    <w:p w14:paraId="7FBF7836" w14:textId="77777777" w:rsidR="00360BE6" w:rsidRPr="00360BE6" w:rsidRDefault="00360BE6" w:rsidP="00360BE6">
      <w:pPr>
        <w:shd w:val="clear" w:color="auto" w:fill="FFFFFF"/>
        <w:spacing w:after="100" w:afterAutospacing="1" w:line="240" w:lineRule="auto"/>
        <w:jc w:val="center"/>
        <w:outlineLvl w:val="0"/>
        <w:rPr>
          <w:rFonts w:ascii="Arial" w:eastAsia="Times New Roman" w:hAnsi="Arial" w:cs="Arial"/>
          <w:b/>
          <w:bCs/>
          <w:color w:val="1D2125"/>
          <w:kern w:val="36"/>
          <w:sz w:val="96"/>
          <w:szCs w:val="96"/>
          <w:lang w:eastAsia="en-GB"/>
          <w14:ligatures w14:val="none"/>
        </w:rPr>
      </w:pPr>
    </w:p>
    <w:p w14:paraId="23CC587A" w14:textId="77777777" w:rsidR="00360BE6" w:rsidRPr="002240B6" w:rsidRDefault="00360BE6" w:rsidP="00360BE6">
      <w:pPr>
        <w:rPr>
          <w:rFonts w:ascii="Arial" w:eastAsiaTheme="minorEastAsia" w:hAnsi="Arial" w:cs="Arial"/>
          <w:kern w:val="0"/>
          <w:sz w:val="44"/>
          <w:szCs w:val="44"/>
          <w:lang w:eastAsia="zh-CN"/>
          <w14:ligatures w14:val="none"/>
        </w:rPr>
      </w:pPr>
      <w:r w:rsidRPr="002240B6">
        <w:rPr>
          <w:rFonts w:ascii="Arial" w:eastAsiaTheme="minorEastAsia" w:hAnsi="Arial" w:cs="Arial"/>
          <w:kern w:val="0"/>
          <w:sz w:val="44"/>
          <w:szCs w:val="44"/>
          <w:lang w:eastAsia="zh-CN"/>
          <w14:ligatures w14:val="none"/>
        </w:rPr>
        <w:t>Student name: Natalia Jitari</w:t>
      </w:r>
    </w:p>
    <w:p w14:paraId="716AFBBC" w14:textId="77777777" w:rsidR="00360BE6" w:rsidRPr="002240B6" w:rsidRDefault="00360BE6" w:rsidP="00360BE6">
      <w:pPr>
        <w:rPr>
          <w:rFonts w:ascii="Arial" w:eastAsiaTheme="minorEastAsia" w:hAnsi="Arial" w:cs="Arial"/>
          <w:kern w:val="0"/>
          <w:sz w:val="44"/>
          <w:szCs w:val="44"/>
          <w:lang w:eastAsia="zh-CN"/>
          <w14:ligatures w14:val="none"/>
        </w:rPr>
      </w:pPr>
      <w:r w:rsidRPr="002240B6">
        <w:rPr>
          <w:rFonts w:ascii="Arial" w:eastAsiaTheme="minorEastAsia" w:hAnsi="Arial" w:cs="Arial"/>
          <w:kern w:val="0"/>
          <w:sz w:val="44"/>
          <w:szCs w:val="44"/>
          <w:lang w:eastAsia="zh-CN"/>
          <w14:ligatures w14:val="none"/>
        </w:rPr>
        <w:t>Student number: 2239910</w:t>
      </w:r>
    </w:p>
    <w:p w14:paraId="158004F7" w14:textId="77777777" w:rsidR="00360BE6" w:rsidRDefault="00360BE6" w:rsidP="00360BE6">
      <w:pPr>
        <w:rPr>
          <w:rFonts w:ascii="Arial" w:hAnsi="Arial" w:cs="Arial"/>
          <w:sz w:val="32"/>
          <w:szCs w:val="32"/>
        </w:rPr>
      </w:pPr>
      <w:r w:rsidRPr="002240B6">
        <w:rPr>
          <w:rFonts w:ascii="Arial" w:eastAsiaTheme="minorEastAsia" w:hAnsi="Arial"/>
          <w:kern w:val="0"/>
          <w:sz w:val="44"/>
          <w:szCs w:val="44"/>
          <w:lang w:eastAsia="zh-CN"/>
          <w14:ligatures w14:val="none"/>
        </w:rPr>
        <w:t xml:space="preserve">Lecturer: </w:t>
      </w:r>
      <w:r>
        <w:rPr>
          <w:rFonts w:ascii="Arial" w:eastAsiaTheme="minorEastAsia" w:hAnsi="Arial"/>
          <w:kern w:val="0"/>
          <w:sz w:val="44"/>
          <w:szCs w:val="44"/>
          <w:lang w:eastAsia="zh-CN"/>
          <w14:ligatures w14:val="none"/>
        </w:rPr>
        <w:t>Toyin Adisa</w:t>
      </w:r>
      <w:r w:rsidRPr="00360BE6">
        <w:rPr>
          <w:rFonts w:ascii="Arial" w:hAnsi="Arial" w:cs="Arial"/>
          <w:sz w:val="32"/>
          <w:szCs w:val="32"/>
        </w:rPr>
        <w:t xml:space="preserve"> </w:t>
      </w:r>
    </w:p>
    <w:p w14:paraId="3EC2568C" w14:textId="77777777" w:rsidR="00360BE6" w:rsidRDefault="00360BE6" w:rsidP="00360BE6">
      <w:pPr>
        <w:rPr>
          <w:rFonts w:ascii="Arial" w:hAnsi="Arial" w:cs="Arial"/>
          <w:sz w:val="32"/>
          <w:szCs w:val="32"/>
        </w:rPr>
      </w:pPr>
    </w:p>
    <w:p w14:paraId="6356CD38" w14:textId="77777777" w:rsidR="00360BE6" w:rsidRDefault="00360BE6" w:rsidP="00360BE6">
      <w:pPr>
        <w:rPr>
          <w:rFonts w:ascii="Arial" w:hAnsi="Arial" w:cs="Arial"/>
          <w:sz w:val="32"/>
          <w:szCs w:val="32"/>
        </w:rPr>
      </w:pPr>
    </w:p>
    <w:p w14:paraId="2273813F" w14:textId="77777777" w:rsidR="00360BE6" w:rsidRDefault="00360BE6" w:rsidP="00360BE6">
      <w:pPr>
        <w:rPr>
          <w:rFonts w:ascii="Arial" w:hAnsi="Arial" w:cs="Arial"/>
          <w:sz w:val="32"/>
          <w:szCs w:val="32"/>
        </w:rPr>
      </w:pPr>
    </w:p>
    <w:p w14:paraId="3636281F" w14:textId="5978E11C" w:rsidR="00360BE6" w:rsidRDefault="00360BE6" w:rsidP="00360BE6">
      <w:pPr>
        <w:rPr>
          <w:rFonts w:ascii="Arial" w:hAnsi="Arial" w:cs="Arial"/>
          <w:sz w:val="32"/>
          <w:szCs w:val="32"/>
        </w:rPr>
      </w:pPr>
      <w:r w:rsidRPr="00360BE6">
        <w:rPr>
          <w:rFonts w:ascii="Arial" w:hAnsi="Arial" w:cs="Arial"/>
          <w:sz w:val="32"/>
          <w:szCs w:val="32"/>
        </w:rPr>
        <w:br w:type="page"/>
      </w:r>
      <w:r>
        <w:rPr>
          <w:rFonts w:ascii="Arial" w:hAnsi="Arial" w:cs="Arial"/>
          <w:sz w:val="32"/>
          <w:szCs w:val="32"/>
        </w:rPr>
        <w:lastRenderedPageBreak/>
        <w:t>Table of contents:</w:t>
      </w:r>
    </w:p>
    <w:p w14:paraId="4409DFBD" w14:textId="77777777" w:rsidR="00360BE6" w:rsidRDefault="00360BE6" w:rsidP="00360BE6">
      <w:pPr>
        <w:rPr>
          <w:rFonts w:ascii="Arial" w:hAnsi="Arial" w:cs="Arial"/>
          <w:sz w:val="32"/>
          <w:szCs w:val="32"/>
        </w:rPr>
      </w:pPr>
    </w:p>
    <w:p w14:paraId="58B27FBB" w14:textId="75B23212" w:rsidR="00360BE6" w:rsidRDefault="00360BE6" w:rsidP="00360BE6">
      <w:pPr>
        <w:jc w:val="both"/>
        <w:rPr>
          <w:rFonts w:ascii="Arial" w:hAnsi="Arial" w:cs="Arial"/>
          <w:sz w:val="32"/>
          <w:szCs w:val="32"/>
        </w:rPr>
      </w:pPr>
      <w:r>
        <w:rPr>
          <w:rFonts w:ascii="Arial" w:hAnsi="Arial" w:cs="Arial"/>
          <w:sz w:val="32"/>
          <w:szCs w:val="32"/>
        </w:rPr>
        <w:t>Introduction………………………………………………………….3</w:t>
      </w:r>
    </w:p>
    <w:p w14:paraId="755F9222" w14:textId="4683D857" w:rsidR="00360BE6" w:rsidRDefault="00360BE6" w:rsidP="00360BE6">
      <w:pPr>
        <w:jc w:val="both"/>
        <w:rPr>
          <w:rFonts w:ascii="Arial" w:hAnsi="Arial" w:cs="Arial"/>
          <w:sz w:val="32"/>
          <w:szCs w:val="32"/>
        </w:rPr>
      </w:pPr>
      <w:r>
        <w:rPr>
          <w:rFonts w:ascii="Arial" w:hAnsi="Arial" w:cs="Arial"/>
          <w:sz w:val="32"/>
          <w:szCs w:val="32"/>
        </w:rPr>
        <w:t>Accounting</w:t>
      </w:r>
      <w:r w:rsidR="00B56D41">
        <w:rPr>
          <w:rFonts w:ascii="Arial" w:hAnsi="Arial" w:cs="Arial"/>
          <w:sz w:val="32"/>
          <w:szCs w:val="32"/>
        </w:rPr>
        <w:t xml:space="preserve"> </w:t>
      </w:r>
      <w:r>
        <w:rPr>
          <w:rFonts w:ascii="Arial" w:hAnsi="Arial" w:cs="Arial"/>
          <w:sz w:val="32"/>
          <w:szCs w:val="32"/>
        </w:rPr>
        <w:t>and finance………………………………………….3</w:t>
      </w:r>
      <w:r w:rsidR="00B56D41">
        <w:rPr>
          <w:rFonts w:ascii="Arial" w:hAnsi="Arial" w:cs="Arial"/>
          <w:sz w:val="32"/>
          <w:szCs w:val="32"/>
        </w:rPr>
        <w:t>-4</w:t>
      </w:r>
    </w:p>
    <w:p w14:paraId="279D0CA7" w14:textId="6C839B76" w:rsidR="00360BE6" w:rsidRDefault="00360BE6" w:rsidP="00360BE6">
      <w:pPr>
        <w:jc w:val="both"/>
        <w:rPr>
          <w:rFonts w:ascii="Arial" w:hAnsi="Arial" w:cs="Arial"/>
          <w:sz w:val="32"/>
          <w:szCs w:val="32"/>
        </w:rPr>
      </w:pPr>
      <w:r>
        <w:rPr>
          <w:rFonts w:ascii="Arial" w:hAnsi="Arial" w:cs="Arial"/>
          <w:sz w:val="32"/>
          <w:szCs w:val="32"/>
        </w:rPr>
        <w:t>Marketing…………………………………………………………</w:t>
      </w:r>
      <w:r w:rsidR="00B56D41">
        <w:rPr>
          <w:rFonts w:ascii="Arial" w:hAnsi="Arial" w:cs="Arial"/>
          <w:sz w:val="32"/>
          <w:szCs w:val="32"/>
        </w:rPr>
        <w:t>…4</w:t>
      </w:r>
    </w:p>
    <w:p w14:paraId="1D222FA6" w14:textId="332DA509" w:rsidR="00360BE6" w:rsidRDefault="00360BE6" w:rsidP="00360BE6">
      <w:pPr>
        <w:jc w:val="both"/>
        <w:rPr>
          <w:rFonts w:ascii="Arial" w:hAnsi="Arial" w:cs="Arial"/>
          <w:sz w:val="32"/>
          <w:szCs w:val="32"/>
        </w:rPr>
      </w:pPr>
      <w:r>
        <w:rPr>
          <w:rFonts w:ascii="Arial" w:hAnsi="Arial" w:cs="Arial"/>
          <w:sz w:val="32"/>
          <w:szCs w:val="32"/>
        </w:rPr>
        <w:t>Human resource management</w:t>
      </w:r>
      <w:r w:rsidR="00B56D41">
        <w:rPr>
          <w:rFonts w:ascii="Arial" w:hAnsi="Arial" w:cs="Arial"/>
          <w:sz w:val="32"/>
          <w:szCs w:val="32"/>
        </w:rPr>
        <w:t>………………………………….4-5</w:t>
      </w:r>
    </w:p>
    <w:p w14:paraId="7778B2B2" w14:textId="755F679F" w:rsidR="00360BE6" w:rsidRDefault="00360BE6" w:rsidP="00360BE6">
      <w:pPr>
        <w:jc w:val="both"/>
        <w:rPr>
          <w:rFonts w:ascii="Arial" w:hAnsi="Arial" w:cs="Arial"/>
          <w:sz w:val="32"/>
          <w:szCs w:val="32"/>
        </w:rPr>
      </w:pPr>
      <w:r>
        <w:rPr>
          <w:rFonts w:ascii="Arial" w:hAnsi="Arial" w:cs="Arial"/>
          <w:sz w:val="32"/>
          <w:szCs w:val="32"/>
        </w:rPr>
        <w:t>Organisational culture</w:t>
      </w:r>
      <w:r w:rsidR="00B56D41">
        <w:rPr>
          <w:rFonts w:ascii="Arial" w:hAnsi="Arial" w:cs="Arial"/>
          <w:sz w:val="32"/>
          <w:szCs w:val="32"/>
        </w:rPr>
        <w:t>……………………………………………...5</w:t>
      </w:r>
    </w:p>
    <w:p w14:paraId="2EBA93BF" w14:textId="7BC9CEBF" w:rsidR="00360BE6" w:rsidRDefault="00360BE6" w:rsidP="00360BE6">
      <w:pPr>
        <w:jc w:val="both"/>
        <w:rPr>
          <w:rFonts w:ascii="Arial" w:hAnsi="Arial" w:cs="Arial"/>
          <w:sz w:val="32"/>
          <w:szCs w:val="32"/>
        </w:rPr>
      </w:pPr>
      <w:r>
        <w:rPr>
          <w:rFonts w:ascii="Arial" w:hAnsi="Arial" w:cs="Arial"/>
          <w:sz w:val="32"/>
          <w:szCs w:val="32"/>
        </w:rPr>
        <w:t>Conclusion</w:t>
      </w:r>
      <w:r w:rsidR="00B56D41">
        <w:rPr>
          <w:rFonts w:ascii="Arial" w:hAnsi="Arial" w:cs="Arial"/>
          <w:sz w:val="32"/>
          <w:szCs w:val="32"/>
        </w:rPr>
        <w:t>………………………………………………………</w:t>
      </w:r>
      <w:proofErr w:type="gramStart"/>
      <w:r w:rsidR="00B56D41">
        <w:rPr>
          <w:rFonts w:ascii="Arial" w:hAnsi="Arial" w:cs="Arial"/>
          <w:sz w:val="32"/>
          <w:szCs w:val="32"/>
        </w:rPr>
        <w:t>…..</w:t>
      </w:r>
      <w:proofErr w:type="gramEnd"/>
      <w:r w:rsidR="00B56D41">
        <w:rPr>
          <w:rFonts w:ascii="Arial" w:hAnsi="Arial" w:cs="Arial"/>
          <w:sz w:val="32"/>
          <w:szCs w:val="32"/>
        </w:rPr>
        <w:t>5</w:t>
      </w:r>
    </w:p>
    <w:p w14:paraId="2CCB1AC1" w14:textId="5C7A2296" w:rsidR="00360BE6" w:rsidRDefault="00360BE6" w:rsidP="00360BE6">
      <w:pPr>
        <w:jc w:val="both"/>
        <w:rPr>
          <w:rFonts w:ascii="Arial" w:hAnsi="Arial" w:cs="Arial"/>
          <w:sz w:val="32"/>
          <w:szCs w:val="32"/>
        </w:rPr>
      </w:pPr>
      <w:r>
        <w:rPr>
          <w:rFonts w:ascii="Arial" w:hAnsi="Arial" w:cs="Arial"/>
          <w:sz w:val="32"/>
          <w:szCs w:val="32"/>
        </w:rPr>
        <w:t>References list</w:t>
      </w:r>
      <w:r w:rsidR="00B56D41">
        <w:rPr>
          <w:rFonts w:ascii="Arial" w:hAnsi="Arial" w:cs="Arial"/>
          <w:sz w:val="32"/>
          <w:szCs w:val="32"/>
        </w:rPr>
        <w:t>………………………………………………………6</w:t>
      </w:r>
    </w:p>
    <w:p w14:paraId="661F6D58" w14:textId="77777777" w:rsidR="00360BE6" w:rsidRDefault="00360BE6" w:rsidP="00360BE6">
      <w:pPr>
        <w:jc w:val="both"/>
        <w:rPr>
          <w:rFonts w:ascii="Arial" w:hAnsi="Arial" w:cs="Arial"/>
          <w:sz w:val="32"/>
          <w:szCs w:val="32"/>
        </w:rPr>
      </w:pPr>
    </w:p>
    <w:p w14:paraId="28C7FB75" w14:textId="77777777" w:rsidR="00360BE6" w:rsidRDefault="00360BE6">
      <w:pPr>
        <w:rPr>
          <w:rFonts w:ascii="Arial" w:hAnsi="Arial" w:cs="Arial"/>
          <w:sz w:val="32"/>
          <w:szCs w:val="32"/>
        </w:rPr>
      </w:pPr>
    </w:p>
    <w:p w14:paraId="6984CDF5" w14:textId="77777777" w:rsidR="00360BE6" w:rsidRDefault="00360BE6" w:rsidP="00AB3419">
      <w:pPr>
        <w:spacing w:line="360" w:lineRule="auto"/>
        <w:rPr>
          <w:rFonts w:ascii="Arial" w:hAnsi="Arial" w:cs="Arial"/>
          <w:sz w:val="32"/>
          <w:szCs w:val="32"/>
        </w:rPr>
      </w:pPr>
    </w:p>
    <w:p w14:paraId="317F7A5F" w14:textId="77777777" w:rsidR="00360BE6" w:rsidRDefault="00360BE6">
      <w:pPr>
        <w:rPr>
          <w:rFonts w:ascii="Arial" w:hAnsi="Arial" w:cs="Arial"/>
          <w:sz w:val="32"/>
          <w:szCs w:val="32"/>
        </w:rPr>
      </w:pPr>
      <w:r>
        <w:rPr>
          <w:rFonts w:ascii="Arial" w:hAnsi="Arial" w:cs="Arial"/>
          <w:sz w:val="32"/>
          <w:szCs w:val="32"/>
        </w:rPr>
        <w:br w:type="page"/>
      </w:r>
    </w:p>
    <w:p w14:paraId="3B51F007" w14:textId="26DE195B" w:rsidR="00AB3419" w:rsidRPr="00C41801" w:rsidRDefault="00AB3419" w:rsidP="00AB3419">
      <w:pPr>
        <w:spacing w:line="360" w:lineRule="auto"/>
        <w:rPr>
          <w:rFonts w:ascii="Arial" w:hAnsi="Arial" w:cs="Arial"/>
          <w:sz w:val="32"/>
          <w:szCs w:val="32"/>
        </w:rPr>
      </w:pPr>
      <w:r w:rsidRPr="00C41801">
        <w:rPr>
          <w:rFonts w:ascii="Arial" w:hAnsi="Arial" w:cs="Arial"/>
          <w:sz w:val="32"/>
          <w:szCs w:val="32"/>
        </w:rPr>
        <w:lastRenderedPageBreak/>
        <w:t xml:space="preserve">Introduction </w:t>
      </w:r>
    </w:p>
    <w:p w14:paraId="35F74D63" w14:textId="76191545" w:rsidR="0024799F" w:rsidRDefault="00AB3419" w:rsidP="00AB3419">
      <w:pPr>
        <w:spacing w:line="360" w:lineRule="auto"/>
        <w:rPr>
          <w:rFonts w:ascii="Arial" w:hAnsi="Arial" w:cs="Arial"/>
          <w:sz w:val="24"/>
          <w:szCs w:val="24"/>
        </w:rPr>
      </w:pPr>
      <w:r w:rsidRPr="00AB3419">
        <w:rPr>
          <w:rFonts w:ascii="Arial" w:hAnsi="Arial" w:cs="Arial"/>
          <w:sz w:val="24"/>
          <w:szCs w:val="24"/>
        </w:rPr>
        <w:t xml:space="preserve">In the following essay, the core focus will be imposed on an organisation known as Morgan Stanley and its organisational culture, along with critical functions associated with the business practices of the following organisation. Morgan Stanley operates in the capital market and investment banking sector, and in 1986, the following organisation became a public organisation. The following organisation is known for delivering active investment strategies across private and public markets. Morgan Stanley also provides customised solutions to individual and institutional investors. Morgan Stanley considers its employees its most vital asset, and its operations take place globally, with multiple international offices that monitor the public and private markets across the nations. Since its founding in 1935, the following organisation's goal has been delivering tangible outcomes for the present and a visionary thinking process for the future with its high-quality services. The mission of Morgan Stanley is to connect ideas and people with capital while being the first option for clients for </w:t>
      </w:r>
      <w:r w:rsidRPr="00C41801">
        <w:rPr>
          <w:rFonts w:ascii="Arial" w:hAnsi="Arial" w:cs="Arial"/>
          <w:sz w:val="24"/>
          <w:szCs w:val="24"/>
        </w:rPr>
        <w:t>financial achievements (Morgan Stanley, 2024).</w:t>
      </w:r>
    </w:p>
    <w:p w14:paraId="4A5FC484" w14:textId="77777777" w:rsidR="00C41801" w:rsidRPr="00C41801" w:rsidRDefault="00C41801" w:rsidP="00AB3419">
      <w:pPr>
        <w:spacing w:line="360" w:lineRule="auto"/>
        <w:rPr>
          <w:rFonts w:ascii="Arial" w:hAnsi="Arial" w:cs="Arial"/>
          <w:sz w:val="32"/>
          <w:szCs w:val="32"/>
        </w:rPr>
      </w:pPr>
    </w:p>
    <w:p w14:paraId="2537C2BF" w14:textId="6736CCDC" w:rsidR="00C41801" w:rsidRPr="00C41801" w:rsidRDefault="003175F7" w:rsidP="00AB3419">
      <w:pPr>
        <w:spacing w:line="360" w:lineRule="auto"/>
        <w:rPr>
          <w:rFonts w:ascii="Arial" w:hAnsi="Arial" w:cs="Arial"/>
          <w:sz w:val="32"/>
          <w:szCs w:val="32"/>
        </w:rPr>
      </w:pPr>
      <w:r w:rsidRPr="00C41801">
        <w:rPr>
          <w:rFonts w:ascii="Arial" w:hAnsi="Arial" w:cs="Arial"/>
          <w:sz w:val="32"/>
          <w:szCs w:val="32"/>
        </w:rPr>
        <w:t>Accounting and finance</w:t>
      </w:r>
    </w:p>
    <w:p w14:paraId="7F528FF4" w14:textId="77777777" w:rsidR="003175F7" w:rsidRDefault="003175F7" w:rsidP="003175F7">
      <w:pPr>
        <w:spacing w:line="360" w:lineRule="auto"/>
        <w:rPr>
          <w:rFonts w:ascii="Arial" w:hAnsi="Arial" w:cs="Arial"/>
          <w:sz w:val="24"/>
          <w:szCs w:val="24"/>
        </w:rPr>
      </w:pPr>
      <w:r w:rsidRPr="003175F7">
        <w:rPr>
          <w:rFonts w:ascii="Arial" w:hAnsi="Arial" w:cs="Arial"/>
          <w:sz w:val="24"/>
          <w:szCs w:val="24"/>
        </w:rPr>
        <w:t xml:space="preserve">Morgan Stanley, a global financial services organization, performs extensive financial and accounting functions. Financial reporting is a crucial aspect of the accounting functions at Morgan Stanley. It involves preparing and disclosing various financial statements such as the statement of financial position, cash flow statements, and profit and loss or income statements. These reports are prepared in compliance with both GAAP and IFRS standards. Morgan Stanley releases these statements quarterly and annually to provide its significant stakeholders with a clear understanding of the organization's financial health. The company operates globally and adheres to global regulations during financial reporting and internal audits. Internal audits are also a significant part of Morgan Stanley's accounting functions. They help the organization assess social and governmental governance risks and financial misconduct in internal control associated with accurate and transparent financial reporting. Other financial functions, such as capital management and treasury management, assist the organization in managing its capital structure and </w:t>
      </w:r>
      <w:r w:rsidRPr="003175F7">
        <w:rPr>
          <w:rFonts w:ascii="Arial" w:hAnsi="Arial" w:cs="Arial"/>
          <w:sz w:val="24"/>
          <w:szCs w:val="24"/>
        </w:rPr>
        <w:lastRenderedPageBreak/>
        <w:t>liquidity and monitoring cash flows within the company. In addition, services like wealth management and planning at Morgan Stanley involve the analysis of financial data. These financial and accounting functions are essential for the operations of Morgan Stanley, as they support strategic growth, regulatory compliance, and financial health assessment while also addressing financial uncertainties and risks (Morgan Stanley, 2024).</w:t>
      </w:r>
    </w:p>
    <w:p w14:paraId="1031136A" w14:textId="77777777" w:rsidR="00C41801" w:rsidRDefault="00C41801" w:rsidP="003175F7">
      <w:pPr>
        <w:spacing w:line="360" w:lineRule="auto"/>
        <w:rPr>
          <w:rFonts w:ascii="Arial" w:hAnsi="Arial" w:cs="Arial"/>
          <w:sz w:val="24"/>
          <w:szCs w:val="24"/>
        </w:rPr>
      </w:pPr>
    </w:p>
    <w:p w14:paraId="2F661CEB" w14:textId="474B37F7" w:rsidR="00CA4F03" w:rsidRPr="00C41801" w:rsidRDefault="00CA4F03" w:rsidP="003175F7">
      <w:pPr>
        <w:spacing w:line="360" w:lineRule="auto"/>
        <w:rPr>
          <w:rFonts w:ascii="Arial" w:hAnsi="Arial" w:cs="Arial"/>
          <w:sz w:val="32"/>
          <w:szCs w:val="32"/>
        </w:rPr>
      </w:pPr>
      <w:r w:rsidRPr="00C41801">
        <w:rPr>
          <w:rFonts w:ascii="Arial" w:hAnsi="Arial" w:cs="Arial"/>
          <w:sz w:val="32"/>
          <w:szCs w:val="32"/>
        </w:rPr>
        <w:t>Marketing</w:t>
      </w:r>
    </w:p>
    <w:p w14:paraId="4FA4D56A" w14:textId="77777777" w:rsidR="00CA4F03" w:rsidRDefault="00CA4F03" w:rsidP="00CA4F03">
      <w:pPr>
        <w:spacing w:after="0" w:line="360" w:lineRule="auto"/>
        <w:rPr>
          <w:rFonts w:ascii="Arial" w:eastAsia="Times New Roman" w:hAnsi="Arial" w:cs="Arial"/>
          <w:kern w:val="0"/>
          <w:sz w:val="24"/>
          <w:szCs w:val="24"/>
          <w:lang w:eastAsia="en-GB"/>
          <w14:ligatures w14:val="none"/>
        </w:rPr>
      </w:pPr>
      <w:r w:rsidRPr="00CA4F03">
        <w:rPr>
          <w:rFonts w:ascii="Arial" w:eastAsia="Times New Roman" w:hAnsi="Arial" w:cs="Arial"/>
          <w:kern w:val="0"/>
          <w:sz w:val="24"/>
          <w:szCs w:val="24"/>
          <w:lang w:eastAsia="en-GB"/>
          <w14:ligatures w14:val="none"/>
        </w:rPr>
        <w:t>The marketing efforts of Morgan Stanley play a vital role in the company's business growth, enabling it to effectively cultivate a strong and positive brand image in the market. Five crucial areas form the core of Morgan Stanley's marketing functions. These areas encompass maintaining consistency in brand messaging to uphold a cohesive and robust brand identity, leveraging digital marketing tools to enhance client engagement, implementing high-quality content marketing to establish authority, fostering strategic sponsorships and partnerships to amplify brand visibility, and integrating the company's CSR commitment into the marketing strategy. Furthermore, within the ambit of these areas, Morgan Stanley's marketing functions encompass the creation of diverse marketing campaigns aimed at engaging with a broader clientele while fostering increased visibility, all while maintaining a strong and positive brand image (Marketing explainers, 2024).</w:t>
      </w:r>
    </w:p>
    <w:p w14:paraId="1554877A" w14:textId="77777777" w:rsidR="00445137" w:rsidRDefault="00445137" w:rsidP="00CA4F03">
      <w:pPr>
        <w:spacing w:after="0" w:line="360" w:lineRule="auto"/>
        <w:rPr>
          <w:rFonts w:ascii="Arial" w:eastAsia="Times New Roman" w:hAnsi="Arial" w:cs="Arial"/>
          <w:kern w:val="0"/>
          <w:sz w:val="24"/>
          <w:szCs w:val="24"/>
          <w:lang w:eastAsia="en-GB"/>
          <w14:ligatures w14:val="none"/>
        </w:rPr>
      </w:pPr>
    </w:p>
    <w:p w14:paraId="79440B8E" w14:textId="66DE0AEA" w:rsidR="00CA4F03" w:rsidRPr="00C41801" w:rsidRDefault="00CA4F03" w:rsidP="00CA4F03">
      <w:pPr>
        <w:spacing w:after="0" w:line="360" w:lineRule="auto"/>
        <w:rPr>
          <w:rFonts w:ascii="Arial" w:eastAsia="Times New Roman" w:hAnsi="Arial" w:cs="Arial"/>
          <w:kern w:val="0"/>
          <w:sz w:val="32"/>
          <w:szCs w:val="32"/>
          <w:lang w:eastAsia="en-GB"/>
          <w14:ligatures w14:val="none"/>
        </w:rPr>
      </w:pPr>
      <w:r w:rsidRPr="00C41801">
        <w:rPr>
          <w:rFonts w:ascii="Arial" w:eastAsia="Times New Roman" w:hAnsi="Arial" w:cs="Arial"/>
          <w:kern w:val="0"/>
          <w:sz w:val="32"/>
          <w:szCs w:val="32"/>
          <w:lang w:eastAsia="en-GB"/>
          <w14:ligatures w14:val="none"/>
        </w:rPr>
        <w:t xml:space="preserve">Human </w:t>
      </w:r>
      <w:r w:rsidR="00445137" w:rsidRPr="00C41801">
        <w:rPr>
          <w:rFonts w:ascii="Arial" w:eastAsia="Times New Roman" w:hAnsi="Arial" w:cs="Arial"/>
          <w:kern w:val="0"/>
          <w:sz w:val="32"/>
          <w:szCs w:val="32"/>
          <w:lang w:eastAsia="en-GB"/>
          <w14:ligatures w14:val="none"/>
        </w:rPr>
        <w:t>resource management</w:t>
      </w:r>
    </w:p>
    <w:p w14:paraId="278412EB" w14:textId="77777777" w:rsidR="00445137" w:rsidRDefault="00445137" w:rsidP="00CA4F03">
      <w:pPr>
        <w:spacing w:after="0" w:line="360" w:lineRule="auto"/>
        <w:rPr>
          <w:rFonts w:ascii="Arial" w:eastAsia="Times New Roman" w:hAnsi="Arial" w:cs="Arial"/>
          <w:kern w:val="0"/>
          <w:sz w:val="24"/>
          <w:szCs w:val="24"/>
          <w:lang w:eastAsia="en-GB"/>
          <w14:ligatures w14:val="none"/>
        </w:rPr>
      </w:pPr>
    </w:p>
    <w:p w14:paraId="44813F08" w14:textId="408DB46F" w:rsidR="00445137" w:rsidRDefault="00445137" w:rsidP="00445137">
      <w:pPr>
        <w:spacing w:after="0" w:line="360" w:lineRule="auto"/>
        <w:rPr>
          <w:rFonts w:ascii="Arial" w:hAnsi="Arial" w:cs="Arial"/>
          <w:color w:val="1C1C1C"/>
          <w:sz w:val="24"/>
          <w:szCs w:val="24"/>
          <w:shd w:val="clear" w:color="auto" w:fill="FFFFFF"/>
        </w:rPr>
      </w:pPr>
      <w:r w:rsidRPr="00445137">
        <w:rPr>
          <w:rFonts w:ascii="Arial" w:hAnsi="Arial" w:cs="Arial"/>
          <w:color w:val="1C1C1C"/>
          <w:sz w:val="24"/>
          <w:szCs w:val="24"/>
          <w:shd w:val="clear" w:color="auto" w:fill="FFFFFF"/>
        </w:rPr>
        <w:t xml:space="preserve">Morgan Stanley places great value on its human capital and has a strong focus on human resource management. The company's human resource practices include providing comprehensive support to foster the growth and development of its talented employees through the employee experience program. It also actively devises retention strategies to engage and retain valuable employees and offers a wide range of training programs to enhance employees' skill sets and promote integrity within the organization. Additionally, the organization is dedicated to a comprehensive human resource modernization initiative aimed at creating an inclusive and diverse work environment. Effective human resource management </w:t>
      </w:r>
      <w:r w:rsidRPr="00445137">
        <w:rPr>
          <w:rFonts w:ascii="Arial" w:hAnsi="Arial" w:cs="Arial"/>
          <w:color w:val="1C1C1C"/>
          <w:sz w:val="24"/>
          <w:szCs w:val="24"/>
          <w:shd w:val="clear" w:color="auto" w:fill="FFFFFF"/>
        </w:rPr>
        <w:lastRenderedPageBreak/>
        <w:t>plays a pivotal role in ensuring the success of Morgan Stanley's business operations, as the company recognizes the crucial importance of its human resources.</w:t>
      </w:r>
    </w:p>
    <w:p w14:paraId="13F07996" w14:textId="77777777" w:rsidR="00445137" w:rsidRDefault="00445137" w:rsidP="00445137">
      <w:pPr>
        <w:spacing w:after="0" w:line="360" w:lineRule="auto"/>
        <w:rPr>
          <w:rFonts w:ascii="Arial" w:hAnsi="Arial" w:cs="Arial"/>
          <w:color w:val="1C1C1C"/>
          <w:sz w:val="24"/>
          <w:szCs w:val="24"/>
          <w:shd w:val="clear" w:color="auto" w:fill="FFFFFF"/>
        </w:rPr>
      </w:pPr>
    </w:p>
    <w:p w14:paraId="282751A1" w14:textId="4AB82F7A" w:rsidR="00445137" w:rsidRPr="00C41801" w:rsidRDefault="00445137" w:rsidP="00445137">
      <w:pPr>
        <w:spacing w:after="0" w:line="360" w:lineRule="auto"/>
        <w:rPr>
          <w:rFonts w:ascii="Arial" w:hAnsi="Arial" w:cs="Arial"/>
          <w:color w:val="1C1C1C"/>
          <w:sz w:val="32"/>
          <w:szCs w:val="32"/>
          <w:shd w:val="clear" w:color="auto" w:fill="FFFFFF"/>
        </w:rPr>
      </w:pPr>
      <w:r w:rsidRPr="00C41801">
        <w:rPr>
          <w:rFonts w:ascii="Arial" w:hAnsi="Arial" w:cs="Arial"/>
          <w:color w:val="1C1C1C"/>
          <w:sz w:val="32"/>
          <w:szCs w:val="32"/>
          <w:shd w:val="clear" w:color="auto" w:fill="FFFFFF"/>
        </w:rPr>
        <w:t>Organizational culture</w:t>
      </w:r>
    </w:p>
    <w:p w14:paraId="5B5A73CD" w14:textId="77777777" w:rsidR="00445137" w:rsidRPr="00CA4F03" w:rsidRDefault="00445137" w:rsidP="00445137">
      <w:pPr>
        <w:spacing w:after="0" w:line="360" w:lineRule="auto"/>
        <w:rPr>
          <w:rFonts w:ascii="Arial" w:eastAsia="Times New Roman" w:hAnsi="Arial" w:cs="Arial"/>
          <w:kern w:val="0"/>
          <w:sz w:val="24"/>
          <w:szCs w:val="24"/>
          <w:lang w:eastAsia="en-GB"/>
          <w14:ligatures w14:val="none"/>
        </w:rPr>
      </w:pPr>
    </w:p>
    <w:p w14:paraId="6B64257B" w14:textId="24041B77" w:rsidR="00CA4F03" w:rsidRDefault="00445137" w:rsidP="00445137">
      <w:pPr>
        <w:spacing w:line="360" w:lineRule="auto"/>
        <w:rPr>
          <w:rFonts w:ascii="Arial" w:hAnsi="Arial" w:cs="Arial"/>
          <w:color w:val="1C1C1C"/>
          <w:sz w:val="24"/>
          <w:szCs w:val="24"/>
          <w:shd w:val="clear" w:color="auto" w:fill="FFFFFF"/>
        </w:rPr>
      </w:pPr>
      <w:r w:rsidRPr="00445137">
        <w:rPr>
          <w:rFonts w:ascii="Arial" w:hAnsi="Arial" w:cs="Arial"/>
          <w:color w:val="1C1C1C"/>
          <w:sz w:val="24"/>
          <w:szCs w:val="24"/>
          <w:shd w:val="clear" w:color="auto" w:fill="FFFFFF"/>
        </w:rPr>
        <w:t>The organizational culture of a company plays a crucial role in driving the entire organization towards sustainability and enhancing its competitiveness (Muriithi, 2021). Morgan Stanley's organizational culture places a strong emphasis on diversity and inclusion. The core values, which include doing the right things, prioritizing clients, leading with exceptional ideas, committing to diversity, and embracing inclusion and giving back, serve as the bedrock of its culture. This people-centric culture significantly influences the work environment, fostering a sense of integrity among employees and promoting the delivery of exceptional services, thereby creating an inclusive environment (Morgan Stanley, 2024).</w:t>
      </w:r>
    </w:p>
    <w:p w14:paraId="2854EBC9" w14:textId="77777777" w:rsidR="00C41801" w:rsidRDefault="00C41801" w:rsidP="00445137">
      <w:pPr>
        <w:spacing w:line="360" w:lineRule="auto"/>
        <w:rPr>
          <w:rFonts w:ascii="Arial" w:hAnsi="Arial" w:cs="Arial"/>
          <w:color w:val="1C1C1C"/>
          <w:sz w:val="24"/>
          <w:szCs w:val="24"/>
          <w:shd w:val="clear" w:color="auto" w:fill="FFFFFF"/>
        </w:rPr>
      </w:pPr>
    </w:p>
    <w:p w14:paraId="1535F8FF" w14:textId="78E42B2F" w:rsidR="00445137" w:rsidRPr="00C41801" w:rsidRDefault="00445137" w:rsidP="00445137">
      <w:pPr>
        <w:spacing w:line="360" w:lineRule="auto"/>
        <w:rPr>
          <w:rFonts w:ascii="Arial" w:hAnsi="Arial" w:cs="Arial"/>
          <w:color w:val="1C1C1C"/>
          <w:sz w:val="32"/>
          <w:szCs w:val="32"/>
          <w:shd w:val="clear" w:color="auto" w:fill="FFFFFF"/>
        </w:rPr>
      </w:pPr>
      <w:r w:rsidRPr="00C41801">
        <w:rPr>
          <w:rFonts w:ascii="Arial" w:hAnsi="Arial" w:cs="Arial"/>
          <w:color w:val="1C1C1C"/>
          <w:sz w:val="32"/>
          <w:szCs w:val="32"/>
          <w:shd w:val="clear" w:color="auto" w:fill="FFFFFF"/>
        </w:rPr>
        <w:t>Conclusion</w:t>
      </w:r>
    </w:p>
    <w:p w14:paraId="6DC96799" w14:textId="2E611F73" w:rsidR="00B56D41" w:rsidRDefault="00C41801" w:rsidP="00C41801">
      <w:pPr>
        <w:spacing w:after="0" w:line="360" w:lineRule="auto"/>
        <w:rPr>
          <w:rFonts w:ascii="Arial" w:eastAsia="Times New Roman" w:hAnsi="Arial" w:cs="Arial"/>
          <w:kern w:val="0"/>
          <w:sz w:val="24"/>
          <w:szCs w:val="24"/>
          <w:lang w:eastAsia="en-GB"/>
          <w14:ligatures w14:val="none"/>
        </w:rPr>
      </w:pPr>
      <w:r w:rsidRPr="00C41801">
        <w:rPr>
          <w:rFonts w:ascii="Arial" w:eastAsia="Times New Roman" w:hAnsi="Arial" w:cs="Arial"/>
          <w:kern w:val="0"/>
          <w:sz w:val="24"/>
          <w:szCs w:val="24"/>
          <w:lang w:eastAsia="en-GB"/>
          <w14:ligatures w14:val="none"/>
        </w:rPr>
        <w:t>The essay provides an in-depth analysis of the pivotal functions within Morgan Stanley's business operations, encompassing accounting, finance, marketing, and HRM. Each of these functions is meticulously explored, highlighting their crucial roles within the company. For instance, the accounting and finance functions serve as the cornerstone for managing and mitigating potential financial risks, while also providing stakeholders with comprehensive insights into the company's financial standing. Additionally, the marketing function aims to broaden the company's customer base by cultivating a positive brand image, whereas the HRM function is instrumental in honing employees' skills and retaining top talent. Furthermore, underpinning these functions is Morgan Stanley's inclusive and people-centric organizational culture, which significantly contributes to the company's overall performance and growth.</w:t>
      </w:r>
    </w:p>
    <w:p w14:paraId="5F003B18" w14:textId="77777777" w:rsidR="00B56D41" w:rsidRDefault="00B56D41">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br w:type="page"/>
      </w:r>
    </w:p>
    <w:p w14:paraId="5C29103F" w14:textId="2A73BCA1" w:rsidR="00C41801" w:rsidRDefault="00B56D41" w:rsidP="00C41801">
      <w:pPr>
        <w:spacing w:after="0" w:line="360" w:lineRule="auto"/>
        <w:rPr>
          <w:rFonts w:ascii="Arial" w:eastAsia="Times New Roman" w:hAnsi="Arial" w:cs="Arial"/>
          <w:kern w:val="0"/>
          <w:sz w:val="32"/>
          <w:szCs w:val="32"/>
          <w:lang w:eastAsia="en-GB"/>
          <w14:ligatures w14:val="none"/>
        </w:rPr>
      </w:pPr>
      <w:r w:rsidRPr="00B56D41">
        <w:rPr>
          <w:rFonts w:ascii="Arial" w:eastAsia="Times New Roman" w:hAnsi="Arial" w:cs="Arial"/>
          <w:kern w:val="0"/>
          <w:sz w:val="32"/>
          <w:szCs w:val="32"/>
          <w:lang w:eastAsia="en-GB"/>
          <w14:ligatures w14:val="none"/>
        </w:rPr>
        <w:lastRenderedPageBreak/>
        <w:t>References list</w:t>
      </w:r>
    </w:p>
    <w:p w14:paraId="4452495B" w14:textId="77777777" w:rsidR="00B56D41" w:rsidRPr="00B56D41" w:rsidRDefault="00B56D41" w:rsidP="00C41801">
      <w:pPr>
        <w:spacing w:after="0" w:line="360" w:lineRule="auto"/>
        <w:rPr>
          <w:rFonts w:ascii="Arial" w:eastAsia="Times New Roman" w:hAnsi="Arial" w:cs="Arial"/>
          <w:kern w:val="0"/>
          <w:sz w:val="32"/>
          <w:szCs w:val="32"/>
          <w:lang w:eastAsia="en-GB"/>
          <w14:ligatures w14:val="none"/>
        </w:rPr>
      </w:pPr>
    </w:p>
    <w:p w14:paraId="6159A094"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Marketing explainers (2024) </w:t>
      </w:r>
      <w:r w:rsidRPr="00B46889">
        <w:rPr>
          <w:rFonts w:ascii="Times New Roman" w:hAnsi="Times New Roman" w:cs="Times New Roman"/>
          <w:i/>
          <w:color w:val="222222"/>
          <w:sz w:val="24"/>
          <w:szCs w:val="24"/>
          <w:highlight w:val="white"/>
        </w:rPr>
        <w:t>Morgan Stanley’s marketing strategy explained</w:t>
      </w:r>
      <w:r w:rsidRPr="00B46889">
        <w:rPr>
          <w:rFonts w:ascii="Times New Roman" w:hAnsi="Times New Roman" w:cs="Times New Roman"/>
          <w:color w:val="222222"/>
          <w:sz w:val="24"/>
          <w:szCs w:val="24"/>
          <w:highlight w:val="white"/>
        </w:rPr>
        <w:t xml:space="preserve">, </w:t>
      </w:r>
      <w:r w:rsidRPr="00B46889">
        <w:rPr>
          <w:rFonts w:ascii="Times New Roman" w:hAnsi="Times New Roman" w:cs="Times New Roman"/>
          <w:i/>
          <w:color w:val="222222"/>
          <w:sz w:val="24"/>
          <w:szCs w:val="24"/>
          <w:highlight w:val="white"/>
        </w:rPr>
        <w:t>Marketing Explainers</w:t>
      </w:r>
      <w:r w:rsidRPr="00B46889">
        <w:rPr>
          <w:rFonts w:ascii="Times New Roman" w:hAnsi="Times New Roman" w:cs="Times New Roman"/>
          <w:color w:val="222222"/>
          <w:sz w:val="24"/>
          <w:szCs w:val="24"/>
          <w:highlight w:val="white"/>
        </w:rPr>
        <w:t xml:space="preserve">. Available at: https://www.marketingexplainers.com/morgan-stanleys-marketing-strategy-explained/ (Accessed: 05 August 2024). </w:t>
      </w:r>
    </w:p>
    <w:p w14:paraId="46723697"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Morgan Stanley (2022) </w:t>
      </w:r>
      <w:r w:rsidRPr="00B46889">
        <w:rPr>
          <w:rFonts w:ascii="Times New Roman" w:hAnsi="Times New Roman" w:cs="Times New Roman"/>
          <w:i/>
          <w:color w:val="222222"/>
          <w:sz w:val="24"/>
          <w:szCs w:val="24"/>
          <w:highlight w:val="white"/>
        </w:rPr>
        <w:t>Diversity and inclusion annual report</w:t>
      </w:r>
      <w:r w:rsidRPr="00B46889">
        <w:rPr>
          <w:rFonts w:ascii="Times New Roman" w:hAnsi="Times New Roman" w:cs="Times New Roman"/>
          <w:color w:val="222222"/>
          <w:sz w:val="24"/>
          <w:szCs w:val="24"/>
          <w:highlight w:val="white"/>
        </w:rPr>
        <w:t xml:space="preserve">. Available at: https://www.morganstanley.com/content/dam/msdotcom/en/assets/pdfs/Morgan_Stanley_Diversity_and_Inclusion_Annual_Report.pdf (Accessed: 05 August 2024). </w:t>
      </w:r>
    </w:p>
    <w:p w14:paraId="26A51D1E"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Morgan Stanley (2024) </w:t>
      </w:r>
      <w:r w:rsidRPr="00B46889">
        <w:rPr>
          <w:rFonts w:ascii="Times New Roman" w:hAnsi="Times New Roman" w:cs="Times New Roman"/>
          <w:i/>
          <w:color w:val="222222"/>
          <w:sz w:val="24"/>
          <w:szCs w:val="24"/>
          <w:highlight w:val="white"/>
        </w:rPr>
        <w:t>About Us</w:t>
      </w:r>
      <w:r w:rsidRPr="00B46889">
        <w:rPr>
          <w:rFonts w:ascii="Times New Roman" w:hAnsi="Times New Roman" w:cs="Times New Roman"/>
          <w:color w:val="222222"/>
          <w:sz w:val="24"/>
          <w:szCs w:val="24"/>
          <w:highlight w:val="white"/>
        </w:rPr>
        <w:t xml:space="preserve">, </w:t>
      </w:r>
      <w:r w:rsidRPr="00B46889">
        <w:rPr>
          <w:rFonts w:ascii="Times New Roman" w:hAnsi="Times New Roman" w:cs="Times New Roman"/>
          <w:i/>
          <w:color w:val="222222"/>
          <w:sz w:val="24"/>
          <w:szCs w:val="24"/>
          <w:highlight w:val="white"/>
        </w:rPr>
        <w:t>Morgan Stanley</w:t>
      </w:r>
      <w:r w:rsidRPr="00B46889">
        <w:rPr>
          <w:rFonts w:ascii="Times New Roman" w:hAnsi="Times New Roman" w:cs="Times New Roman"/>
          <w:color w:val="222222"/>
          <w:sz w:val="24"/>
          <w:szCs w:val="24"/>
          <w:highlight w:val="white"/>
        </w:rPr>
        <w:t xml:space="preserve">. Available at: https://www.morganstanley.com/about-us (Accessed: 05 August 2024). </w:t>
      </w:r>
    </w:p>
    <w:p w14:paraId="275ACEB5"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Morgan Stanley (2024) </w:t>
      </w:r>
      <w:r w:rsidRPr="00B46889">
        <w:rPr>
          <w:rFonts w:ascii="Times New Roman" w:hAnsi="Times New Roman" w:cs="Times New Roman"/>
          <w:i/>
          <w:color w:val="222222"/>
          <w:sz w:val="24"/>
          <w:szCs w:val="24"/>
          <w:highlight w:val="white"/>
        </w:rPr>
        <w:t>Business segments</w:t>
      </w:r>
      <w:r w:rsidRPr="00B46889">
        <w:rPr>
          <w:rFonts w:ascii="Times New Roman" w:hAnsi="Times New Roman" w:cs="Times New Roman"/>
          <w:color w:val="222222"/>
          <w:sz w:val="24"/>
          <w:szCs w:val="24"/>
          <w:highlight w:val="white"/>
        </w:rPr>
        <w:t xml:space="preserve">, </w:t>
      </w:r>
      <w:r w:rsidRPr="00B46889">
        <w:rPr>
          <w:rFonts w:ascii="Times New Roman" w:hAnsi="Times New Roman" w:cs="Times New Roman"/>
          <w:i/>
          <w:color w:val="222222"/>
          <w:sz w:val="24"/>
          <w:szCs w:val="24"/>
          <w:highlight w:val="white"/>
        </w:rPr>
        <w:t>Morgan Stanley</w:t>
      </w:r>
      <w:r w:rsidRPr="00B46889">
        <w:rPr>
          <w:rFonts w:ascii="Times New Roman" w:hAnsi="Times New Roman" w:cs="Times New Roman"/>
          <w:color w:val="222222"/>
          <w:sz w:val="24"/>
          <w:szCs w:val="24"/>
          <w:highlight w:val="white"/>
        </w:rPr>
        <w:t xml:space="preserve">. Available at: https://www.morganstanley.com/about-us-governance/businesssegments (Accessed: 05 August 2024). </w:t>
      </w:r>
    </w:p>
    <w:p w14:paraId="61B8C22E"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Morgan Stanley (2024) </w:t>
      </w:r>
      <w:r w:rsidRPr="00B46889">
        <w:rPr>
          <w:rFonts w:ascii="Times New Roman" w:hAnsi="Times New Roman" w:cs="Times New Roman"/>
          <w:i/>
          <w:color w:val="222222"/>
          <w:sz w:val="24"/>
          <w:szCs w:val="24"/>
          <w:highlight w:val="white"/>
        </w:rPr>
        <w:t>Code of conduct</w:t>
      </w:r>
      <w:r w:rsidRPr="00B46889">
        <w:rPr>
          <w:rFonts w:ascii="Times New Roman" w:hAnsi="Times New Roman" w:cs="Times New Roman"/>
          <w:color w:val="222222"/>
          <w:sz w:val="24"/>
          <w:szCs w:val="24"/>
          <w:highlight w:val="white"/>
        </w:rPr>
        <w:t xml:space="preserve">, </w:t>
      </w:r>
      <w:r w:rsidRPr="00B46889">
        <w:rPr>
          <w:rFonts w:ascii="Times New Roman" w:hAnsi="Times New Roman" w:cs="Times New Roman"/>
          <w:i/>
          <w:color w:val="222222"/>
          <w:sz w:val="24"/>
          <w:szCs w:val="24"/>
          <w:highlight w:val="white"/>
        </w:rPr>
        <w:t>Morgan Stanley</w:t>
      </w:r>
      <w:r w:rsidRPr="00B46889">
        <w:rPr>
          <w:rFonts w:ascii="Times New Roman" w:hAnsi="Times New Roman" w:cs="Times New Roman"/>
          <w:color w:val="222222"/>
          <w:sz w:val="24"/>
          <w:szCs w:val="24"/>
          <w:highlight w:val="white"/>
        </w:rPr>
        <w:t xml:space="preserve">. Available at: https://www.morganstanley.com/about-us-governance/code-of-conduct#:~:text=At%20Morgan%20Stanley%2C%20we%20are,and%20Inclusion%20and%20Give%20Back. (Accessed: 05 August 2024). </w:t>
      </w:r>
    </w:p>
    <w:p w14:paraId="07FE430B"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Morgan Stanley (2024) </w:t>
      </w:r>
      <w:r w:rsidRPr="00B46889">
        <w:rPr>
          <w:rFonts w:ascii="Times New Roman" w:hAnsi="Times New Roman" w:cs="Times New Roman"/>
          <w:i/>
          <w:color w:val="222222"/>
          <w:sz w:val="24"/>
          <w:szCs w:val="24"/>
          <w:highlight w:val="white"/>
        </w:rPr>
        <w:t>Morgan Stanley reports second quarter 2024</w:t>
      </w:r>
      <w:r w:rsidRPr="00B46889">
        <w:rPr>
          <w:rFonts w:ascii="Times New Roman" w:hAnsi="Times New Roman" w:cs="Times New Roman"/>
          <w:color w:val="222222"/>
          <w:sz w:val="24"/>
          <w:szCs w:val="24"/>
          <w:highlight w:val="white"/>
        </w:rPr>
        <w:t xml:space="preserve">, </w:t>
      </w:r>
      <w:r w:rsidRPr="00B46889">
        <w:rPr>
          <w:rFonts w:ascii="Times New Roman" w:hAnsi="Times New Roman" w:cs="Times New Roman"/>
          <w:i/>
          <w:color w:val="222222"/>
          <w:sz w:val="24"/>
          <w:szCs w:val="24"/>
          <w:highlight w:val="white"/>
        </w:rPr>
        <w:t>Morgan Stanley</w:t>
      </w:r>
      <w:r w:rsidRPr="00B46889">
        <w:rPr>
          <w:rFonts w:ascii="Times New Roman" w:hAnsi="Times New Roman" w:cs="Times New Roman"/>
          <w:color w:val="222222"/>
          <w:sz w:val="24"/>
          <w:szCs w:val="24"/>
          <w:highlight w:val="white"/>
        </w:rPr>
        <w:t xml:space="preserve">. Available at: https://www.morganstanley.com/press-releases/morgan-stanley-reports-second-quarter-2024 (Accessed: 05 August 2024). </w:t>
      </w:r>
    </w:p>
    <w:p w14:paraId="405EB8CA" w14:textId="77777777" w:rsidR="00B56D41" w:rsidRPr="00B46889" w:rsidRDefault="00B56D41" w:rsidP="00B56D41">
      <w:pPr>
        <w:spacing w:before="240" w:after="240"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Morgan Stanley at Work (2024) </w:t>
      </w:r>
      <w:r w:rsidRPr="00B46889">
        <w:rPr>
          <w:rFonts w:ascii="Times New Roman" w:hAnsi="Times New Roman" w:cs="Times New Roman"/>
          <w:i/>
          <w:color w:val="222222"/>
          <w:sz w:val="24"/>
          <w:szCs w:val="24"/>
          <w:highlight w:val="white"/>
        </w:rPr>
        <w:t>Maximizing Workplace Benefits in a Changing World</w:t>
      </w:r>
      <w:r w:rsidRPr="00B46889">
        <w:rPr>
          <w:rFonts w:ascii="Times New Roman" w:hAnsi="Times New Roman" w:cs="Times New Roman"/>
          <w:color w:val="222222"/>
          <w:sz w:val="24"/>
          <w:szCs w:val="24"/>
          <w:highlight w:val="white"/>
        </w:rPr>
        <w:t xml:space="preserve">, </w:t>
      </w:r>
      <w:r w:rsidRPr="00B46889">
        <w:rPr>
          <w:rFonts w:ascii="Times New Roman" w:hAnsi="Times New Roman" w:cs="Times New Roman"/>
          <w:i/>
          <w:color w:val="222222"/>
          <w:sz w:val="24"/>
          <w:szCs w:val="24"/>
          <w:highlight w:val="white"/>
        </w:rPr>
        <w:t>Morgan Stanley at Work</w:t>
      </w:r>
      <w:r w:rsidRPr="00B46889">
        <w:rPr>
          <w:rFonts w:ascii="Times New Roman" w:hAnsi="Times New Roman" w:cs="Times New Roman"/>
          <w:color w:val="222222"/>
          <w:sz w:val="24"/>
          <w:szCs w:val="24"/>
          <w:highlight w:val="white"/>
        </w:rPr>
        <w:t xml:space="preserve">. Available at: https://www.morganstanley.com/atwork/videos/workplace-benefits-employee-financial-security#:~:text=Helping%20your%20employees%20take%20charge,actively%20helps%20bring%20it%20home. (Accessed: 05 August 2024). </w:t>
      </w:r>
    </w:p>
    <w:p w14:paraId="0CE3F547" w14:textId="77777777" w:rsidR="00B56D41" w:rsidRPr="00B46889" w:rsidRDefault="00B56D41" w:rsidP="00B56D41">
      <w:pPr>
        <w:spacing w:line="360" w:lineRule="auto"/>
        <w:jc w:val="both"/>
        <w:rPr>
          <w:rFonts w:ascii="Times New Roman" w:hAnsi="Times New Roman" w:cs="Times New Roman"/>
          <w:color w:val="222222"/>
          <w:sz w:val="24"/>
          <w:szCs w:val="24"/>
          <w:highlight w:val="white"/>
        </w:rPr>
      </w:pPr>
      <w:r w:rsidRPr="00B46889">
        <w:rPr>
          <w:rFonts w:ascii="Times New Roman" w:hAnsi="Times New Roman" w:cs="Times New Roman"/>
          <w:color w:val="222222"/>
          <w:sz w:val="24"/>
          <w:szCs w:val="24"/>
          <w:highlight w:val="white"/>
        </w:rPr>
        <w:t xml:space="preserve">Muriithi, S.M., (2021). Organisational Culture: The Root of Sustainable Competitive Advantage. </w:t>
      </w:r>
      <w:hyperlink r:id="rId8">
        <w:r w:rsidRPr="00B46889">
          <w:rPr>
            <w:rFonts w:ascii="Times New Roman" w:hAnsi="Times New Roman" w:cs="Times New Roman"/>
            <w:color w:val="1155CC"/>
            <w:sz w:val="24"/>
            <w:szCs w:val="24"/>
            <w:highlight w:val="white"/>
            <w:u w:val="single"/>
          </w:rPr>
          <w:t>https://repository.daystar.ac.ke/server/api/core/bitstreams/922e0db6-ce82-4abd-ae31-ea015bcf8c36/content</w:t>
        </w:r>
      </w:hyperlink>
    </w:p>
    <w:p w14:paraId="77B463F6" w14:textId="77777777" w:rsidR="003175F7" w:rsidRPr="00C41801" w:rsidRDefault="003175F7" w:rsidP="00C41801">
      <w:pPr>
        <w:spacing w:line="360" w:lineRule="auto"/>
        <w:rPr>
          <w:rFonts w:ascii="Arial" w:hAnsi="Arial" w:cs="Arial"/>
          <w:sz w:val="24"/>
          <w:szCs w:val="24"/>
        </w:rPr>
      </w:pPr>
    </w:p>
    <w:p w14:paraId="7539ED7E" w14:textId="77777777" w:rsidR="00AB3419" w:rsidRPr="00445137" w:rsidRDefault="00AB3419" w:rsidP="00445137">
      <w:pPr>
        <w:spacing w:line="360" w:lineRule="auto"/>
        <w:rPr>
          <w:rFonts w:ascii="Arial" w:hAnsi="Arial" w:cs="Arial"/>
          <w:sz w:val="24"/>
          <w:szCs w:val="24"/>
        </w:rPr>
      </w:pPr>
    </w:p>
    <w:p w14:paraId="2967AB28" w14:textId="77777777" w:rsidR="00CA4F03" w:rsidRPr="00445137" w:rsidRDefault="00CA4F03" w:rsidP="00445137">
      <w:pPr>
        <w:spacing w:line="360" w:lineRule="auto"/>
        <w:rPr>
          <w:rFonts w:ascii="Arial" w:hAnsi="Arial" w:cs="Arial"/>
          <w:sz w:val="24"/>
          <w:szCs w:val="24"/>
        </w:rPr>
      </w:pPr>
    </w:p>
    <w:sectPr w:rsidR="00CA4F03" w:rsidRPr="0044513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4776A" w14:textId="77777777" w:rsidR="00500375" w:rsidRDefault="00500375" w:rsidP="00B56D41">
      <w:pPr>
        <w:spacing w:after="0" w:line="240" w:lineRule="auto"/>
      </w:pPr>
      <w:r>
        <w:separator/>
      </w:r>
    </w:p>
  </w:endnote>
  <w:endnote w:type="continuationSeparator" w:id="0">
    <w:p w14:paraId="76FDF4A5" w14:textId="77777777" w:rsidR="00500375" w:rsidRDefault="00500375" w:rsidP="00B56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7319691"/>
      <w:docPartObj>
        <w:docPartGallery w:val="Page Numbers (Bottom of Page)"/>
        <w:docPartUnique/>
      </w:docPartObj>
    </w:sdtPr>
    <w:sdtEndPr>
      <w:rPr>
        <w:noProof/>
      </w:rPr>
    </w:sdtEndPr>
    <w:sdtContent>
      <w:p w14:paraId="6E9ECC6D" w14:textId="185472E6" w:rsidR="00B56D41" w:rsidRDefault="00B56D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E45031" w14:textId="77777777" w:rsidR="00B56D41" w:rsidRDefault="00B56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67C14" w14:textId="77777777" w:rsidR="00500375" w:rsidRDefault="00500375" w:rsidP="00B56D41">
      <w:pPr>
        <w:spacing w:after="0" w:line="240" w:lineRule="auto"/>
      </w:pPr>
      <w:r>
        <w:separator/>
      </w:r>
    </w:p>
  </w:footnote>
  <w:footnote w:type="continuationSeparator" w:id="0">
    <w:p w14:paraId="6B181F25" w14:textId="77777777" w:rsidR="00500375" w:rsidRDefault="00500375" w:rsidP="00B56D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0F"/>
    <w:rsid w:val="000E4AF6"/>
    <w:rsid w:val="0024799F"/>
    <w:rsid w:val="003175F7"/>
    <w:rsid w:val="00360BE6"/>
    <w:rsid w:val="00445137"/>
    <w:rsid w:val="00500375"/>
    <w:rsid w:val="005F770F"/>
    <w:rsid w:val="00680434"/>
    <w:rsid w:val="00795ED6"/>
    <w:rsid w:val="00890330"/>
    <w:rsid w:val="00AB3419"/>
    <w:rsid w:val="00B56D41"/>
    <w:rsid w:val="00C41801"/>
    <w:rsid w:val="00CA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9F7FC"/>
  <w15:chartTrackingRefBased/>
  <w15:docId w15:val="{1E9773C9-79BE-4CEB-B625-C7D634BDC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D4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D41"/>
  </w:style>
  <w:style w:type="paragraph" w:styleId="Footer">
    <w:name w:val="footer"/>
    <w:basedOn w:val="Normal"/>
    <w:link w:val="FooterChar"/>
    <w:uiPriority w:val="99"/>
    <w:unhideWhenUsed/>
    <w:rsid w:val="00B56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D41"/>
  </w:style>
  <w:style w:type="character" w:customStyle="1" w:styleId="Heading1Char">
    <w:name w:val="Heading 1 Char"/>
    <w:basedOn w:val="DefaultParagraphFont"/>
    <w:link w:val="Heading1"/>
    <w:uiPriority w:val="9"/>
    <w:rsid w:val="00B56D41"/>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075728">
      <w:bodyDiv w:val="1"/>
      <w:marLeft w:val="0"/>
      <w:marRight w:val="0"/>
      <w:marTop w:val="0"/>
      <w:marBottom w:val="0"/>
      <w:divBdr>
        <w:top w:val="none" w:sz="0" w:space="0" w:color="auto"/>
        <w:left w:val="none" w:sz="0" w:space="0" w:color="auto"/>
        <w:bottom w:val="none" w:sz="0" w:space="0" w:color="auto"/>
        <w:right w:val="none" w:sz="0" w:space="0" w:color="auto"/>
      </w:divBdr>
      <w:divsChild>
        <w:div w:id="114325928">
          <w:marLeft w:val="0"/>
          <w:marRight w:val="0"/>
          <w:marTop w:val="0"/>
          <w:marBottom w:val="0"/>
          <w:divBdr>
            <w:top w:val="none" w:sz="0" w:space="0" w:color="auto"/>
            <w:left w:val="none" w:sz="0" w:space="0" w:color="auto"/>
            <w:bottom w:val="none" w:sz="0" w:space="0" w:color="auto"/>
            <w:right w:val="none" w:sz="0" w:space="0" w:color="auto"/>
          </w:divBdr>
          <w:divsChild>
            <w:div w:id="498931230">
              <w:marLeft w:val="0"/>
              <w:marRight w:val="0"/>
              <w:marTop w:val="0"/>
              <w:marBottom w:val="0"/>
              <w:divBdr>
                <w:top w:val="none" w:sz="0" w:space="0" w:color="auto"/>
                <w:left w:val="none" w:sz="0" w:space="0" w:color="auto"/>
                <w:bottom w:val="none" w:sz="0" w:space="0" w:color="auto"/>
                <w:right w:val="none" w:sz="0" w:space="0" w:color="auto"/>
              </w:divBdr>
              <w:divsChild>
                <w:div w:id="628240020">
                  <w:marLeft w:val="0"/>
                  <w:marRight w:val="0"/>
                  <w:marTop w:val="0"/>
                  <w:marBottom w:val="0"/>
                  <w:divBdr>
                    <w:top w:val="none" w:sz="0" w:space="0" w:color="auto"/>
                    <w:left w:val="none" w:sz="0" w:space="0" w:color="auto"/>
                    <w:bottom w:val="none" w:sz="0" w:space="0" w:color="auto"/>
                    <w:right w:val="none" w:sz="0" w:space="0" w:color="auto"/>
                  </w:divBdr>
                </w:div>
                <w:div w:id="1288968985">
                  <w:marLeft w:val="0"/>
                  <w:marRight w:val="0"/>
                  <w:marTop w:val="0"/>
                  <w:marBottom w:val="0"/>
                  <w:divBdr>
                    <w:top w:val="none" w:sz="0" w:space="0" w:color="auto"/>
                    <w:left w:val="none" w:sz="0" w:space="0" w:color="auto"/>
                    <w:bottom w:val="none" w:sz="0" w:space="0" w:color="auto"/>
                    <w:right w:val="none" w:sz="0" w:space="0" w:color="auto"/>
                  </w:divBdr>
                  <w:divsChild>
                    <w:div w:id="1549993186">
                      <w:marLeft w:val="0"/>
                      <w:marRight w:val="0"/>
                      <w:marTop w:val="0"/>
                      <w:marBottom w:val="0"/>
                      <w:divBdr>
                        <w:top w:val="none" w:sz="0" w:space="0" w:color="auto"/>
                        <w:left w:val="none" w:sz="0" w:space="0" w:color="auto"/>
                        <w:bottom w:val="none" w:sz="0" w:space="0" w:color="auto"/>
                        <w:right w:val="none" w:sz="0" w:space="0" w:color="auto"/>
                      </w:divBdr>
                      <w:divsChild>
                        <w:div w:id="165943310">
                          <w:marLeft w:val="0"/>
                          <w:marRight w:val="0"/>
                          <w:marTop w:val="0"/>
                          <w:marBottom w:val="0"/>
                          <w:divBdr>
                            <w:top w:val="none" w:sz="0" w:space="0" w:color="auto"/>
                            <w:left w:val="none" w:sz="0" w:space="0" w:color="auto"/>
                            <w:bottom w:val="none" w:sz="0" w:space="0" w:color="auto"/>
                            <w:right w:val="none" w:sz="0" w:space="0" w:color="auto"/>
                          </w:divBdr>
                          <w:divsChild>
                            <w:div w:id="21131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940725">
          <w:marLeft w:val="0"/>
          <w:marRight w:val="0"/>
          <w:marTop w:val="0"/>
          <w:marBottom w:val="0"/>
          <w:divBdr>
            <w:top w:val="none" w:sz="0" w:space="0" w:color="auto"/>
            <w:left w:val="none" w:sz="0" w:space="0" w:color="auto"/>
            <w:bottom w:val="none" w:sz="0" w:space="0" w:color="auto"/>
            <w:right w:val="none" w:sz="0" w:space="0" w:color="auto"/>
          </w:divBdr>
          <w:divsChild>
            <w:div w:id="836187856">
              <w:marLeft w:val="0"/>
              <w:marRight w:val="0"/>
              <w:marTop w:val="0"/>
              <w:marBottom w:val="0"/>
              <w:divBdr>
                <w:top w:val="none" w:sz="0" w:space="0" w:color="auto"/>
                <w:left w:val="none" w:sz="0" w:space="0" w:color="auto"/>
                <w:bottom w:val="none" w:sz="0" w:space="0" w:color="auto"/>
                <w:right w:val="none" w:sz="0" w:space="0" w:color="auto"/>
              </w:divBdr>
              <w:divsChild>
                <w:div w:id="147672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679468">
      <w:bodyDiv w:val="1"/>
      <w:marLeft w:val="0"/>
      <w:marRight w:val="0"/>
      <w:marTop w:val="0"/>
      <w:marBottom w:val="0"/>
      <w:divBdr>
        <w:top w:val="none" w:sz="0" w:space="0" w:color="auto"/>
        <w:left w:val="none" w:sz="0" w:space="0" w:color="auto"/>
        <w:bottom w:val="none" w:sz="0" w:space="0" w:color="auto"/>
        <w:right w:val="none" w:sz="0" w:space="0" w:color="auto"/>
      </w:divBdr>
      <w:divsChild>
        <w:div w:id="471944949">
          <w:marLeft w:val="0"/>
          <w:marRight w:val="0"/>
          <w:marTop w:val="0"/>
          <w:marBottom w:val="0"/>
          <w:divBdr>
            <w:top w:val="none" w:sz="0" w:space="0" w:color="auto"/>
            <w:left w:val="none" w:sz="0" w:space="0" w:color="auto"/>
            <w:bottom w:val="none" w:sz="0" w:space="0" w:color="auto"/>
            <w:right w:val="none" w:sz="0" w:space="0" w:color="auto"/>
          </w:divBdr>
          <w:divsChild>
            <w:div w:id="1867408168">
              <w:marLeft w:val="0"/>
              <w:marRight w:val="0"/>
              <w:marTop w:val="0"/>
              <w:marBottom w:val="0"/>
              <w:divBdr>
                <w:top w:val="none" w:sz="0" w:space="0" w:color="auto"/>
                <w:left w:val="none" w:sz="0" w:space="0" w:color="auto"/>
                <w:bottom w:val="none" w:sz="0" w:space="0" w:color="auto"/>
                <w:right w:val="none" w:sz="0" w:space="0" w:color="auto"/>
              </w:divBdr>
              <w:divsChild>
                <w:div w:id="163130033">
                  <w:marLeft w:val="0"/>
                  <w:marRight w:val="0"/>
                  <w:marTop w:val="0"/>
                  <w:marBottom w:val="0"/>
                  <w:divBdr>
                    <w:top w:val="none" w:sz="0" w:space="0" w:color="auto"/>
                    <w:left w:val="none" w:sz="0" w:space="0" w:color="auto"/>
                    <w:bottom w:val="none" w:sz="0" w:space="0" w:color="auto"/>
                    <w:right w:val="none" w:sz="0" w:space="0" w:color="auto"/>
                  </w:divBdr>
                </w:div>
                <w:div w:id="1223056186">
                  <w:marLeft w:val="0"/>
                  <w:marRight w:val="0"/>
                  <w:marTop w:val="0"/>
                  <w:marBottom w:val="0"/>
                  <w:divBdr>
                    <w:top w:val="none" w:sz="0" w:space="0" w:color="auto"/>
                    <w:left w:val="none" w:sz="0" w:space="0" w:color="auto"/>
                    <w:bottom w:val="none" w:sz="0" w:space="0" w:color="auto"/>
                    <w:right w:val="none" w:sz="0" w:space="0" w:color="auto"/>
                  </w:divBdr>
                  <w:divsChild>
                    <w:div w:id="175386209">
                      <w:marLeft w:val="0"/>
                      <w:marRight w:val="0"/>
                      <w:marTop w:val="0"/>
                      <w:marBottom w:val="0"/>
                      <w:divBdr>
                        <w:top w:val="none" w:sz="0" w:space="0" w:color="auto"/>
                        <w:left w:val="none" w:sz="0" w:space="0" w:color="auto"/>
                        <w:bottom w:val="none" w:sz="0" w:space="0" w:color="auto"/>
                        <w:right w:val="none" w:sz="0" w:space="0" w:color="auto"/>
                      </w:divBdr>
                      <w:divsChild>
                        <w:div w:id="1915818079">
                          <w:marLeft w:val="0"/>
                          <w:marRight w:val="0"/>
                          <w:marTop w:val="0"/>
                          <w:marBottom w:val="0"/>
                          <w:divBdr>
                            <w:top w:val="none" w:sz="0" w:space="0" w:color="auto"/>
                            <w:left w:val="none" w:sz="0" w:space="0" w:color="auto"/>
                            <w:bottom w:val="none" w:sz="0" w:space="0" w:color="auto"/>
                            <w:right w:val="none" w:sz="0" w:space="0" w:color="auto"/>
                          </w:divBdr>
                          <w:divsChild>
                            <w:div w:id="17365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786280">
          <w:marLeft w:val="0"/>
          <w:marRight w:val="0"/>
          <w:marTop w:val="0"/>
          <w:marBottom w:val="0"/>
          <w:divBdr>
            <w:top w:val="none" w:sz="0" w:space="0" w:color="auto"/>
            <w:left w:val="none" w:sz="0" w:space="0" w:color="auto"/>
            <w:bottom w:val="none" w:sz="0" w:space="0" w:color="auto"/>
            <w:right w:val="none" w:sz="0" w:space="0" w:color="auto"/>
          </w:divBdr>
          <w:divsChild>
            <w:div w:id="1892493543">
              <w:marLeft w:val="0"/>
              <w:marRight w:val="0"/>
              <w:marTop w:val="0"/>
              <w:marBottom w:val="0"/>
              <w:divBdr>
                <w:top w:val="none" w:sz="0" w:space="0" w:color="auto"/>
                <w:left w:val="none" w:sz="0" w:space="0" w:color="auto"/>
                <w:bottom w:val="none" w:sz="0" w:space="0" w:color="auto"/>
                <w:right w:val="none" w:sz="0" w:space="0" w:color="auto"/>
              </w:divBdr>
              <w:divsChild>
                <w:div w:id="72641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985508">
      <w:bodyDiv w:val="1"/>
      <w:marLeft w:val="0"/>
      <w:marRight w:val="0"/>
      <w:marTop w:val="0"/>
      <w:marBottom w:val="0"/>
      <w:divBdr>
        <w:top w:val="none" w:sz="0" w:space="0" w:color="auto"/>
        <w:left w:val="none" w:sz="0" w:space="0" w:color="auto"/>
        <w:bottom w:val="none" w:sz="0" w:space="0" w:color="auto"/>
        <w:right w:val="none" w:sz="0" w:space="0" w:color="auto"/>
      </w:divBdr>
    </w:div>
    <w:div w:id="1157920064">
      <w:bodyDiv w:val="1"/>
      <w:marLeft w:val="0"/>
      <w:marRight w:val="0"/>
      <w:marTop w:val="0"/>
      <w:marBottom w:val="0"/>
      <w:divBdr>
        <w:top w:val="none" w:sz="0" w:space="0" w:color="auto"/>
        <w:left w:val="none" w:sz="0" w:space="0" w:color="auto"/>
        <w:bottom w:val="none" w:sz="0" w:space="0" w:color="auto"/>
        <w:right w:val="none" w:sz="0" w:space="0" w:color="auto"/>
      </w:divBdr>
      <w:divsChild>
        <w:div w:id="1610772438">
          <w:marLeft w:val="0"/>
          <w:marRight w:val="0"/>
          <w:marTop w:val="0"/>
          <w:marBottom w:val="0"/>
          <w:divBdr>
            <w:top w:val="none" w:sz="0" w:space="0" w:color="auto"/>
            <w:left w:val="none" w:sz="0" w:space="0" w:color="auto"/>
            <w:bottom w:val="none" w:sz="0" w:space="0" w:color="auto"/>
            <w:right w:val="none" w:sz="0" w:space="0" w:color="auto"/>
          </w:divBdr>
          <w:divsChild>
            <w:div w:id="1243376556">
              <w:marLeft w:val="0"/>
              <w:marRight w:val="0"/>
              <w:marTop w:val="0"/>
              <w:marBottom w:val="0"/>
              <w:divBdr>
                <w:top w:val="none" w:sz="0" w:space="0" w:color="auto"/>
                <w:left w:val="none" w:sz="0" w:space="0" w:color="auto"/>
                <w:bottom w:val="none" w:sz="0" w:space="0" w:color="auto"/>
                <w:right w:val="none" w:sz="0" w:space="0" w:color="auto"/>
              </w:divBdr>
              <w:divsChild>
                <w:div w:id="92895243">
                  <w:marLeft w:val="0"/>
                  <w:marRight w:val="0"/>
                  <w:marTop w:val="0"/>
                  <w:marBottom w:val="0"/>
                  <w:divBdr>
                    <w:top w:val="none" w:sz="0" w:space="0" w:color="auto"/>
                    <w:left w:val="none" w:sz="0" w:space="0" w:color="auto"/>
                    <w:bottom w:val="none" w:sz="0" w:space="0" w:color="auto"/>
                    <w:right w:val="none" w:sz="0" w:space="0" w:color="auto"/>
                  </w:divBdr>
                </w:div>
                <w:div w:id="518467202">
                  <w:marLeft w:val="0"/>
                  <w:marRight w:val="0"/>
                  <w:marTop w:val="0"/>
                  <w:marBottom w:val="0"/>
                  <w:divBdr>
                    <w:top w:val="none" w:sz="0" w:space="0" w:color="auto"/>
                    <w:left w:val="none" w:sz="0" w:space="0" w:color="auto"/>
                    <w:bottom w:val="none" w:sz="0" w:space="0" w:color="auto"/>
                    <w:right w:val="none" w:sz="0" w:space="0" w:color="auto"/>
                  </w:divBdr>
                  <w:divsChild>
                    <w:div w:id="1067460385">
                      <w:marLeft w:val="0"/>
                      <w:marRight w:val="0"/>
                      <w:marTop w:val="0"/>
                      <w:marBottom w:val="0"/>
                      <w:divBdr>
                        <w:top w:val="none" w:sz="0" w:space="0" w:color="auto"/>
                        <w:left w:val="none" w:sz="0" w:space="0" w:color="auto"/>
                        <w:bottom w:val="none" w:sz="0" w:space="0" w:color="auto"/>
                        <w:right w:val="none" w:sz="0" w:space="0" w:color="auto"/>
                      </w:divBdr>
                      <w:divsChild>
                        <w:div w:id="1684672958">
                          <w:marLeft w:val="0"/>
                          <w:marRight w:val="0"/>
                          <w:marTop w:val="0"/>
                          <w:marBottom w:val="0"/>
                          <w:divBdr>
                            <w:top w:val="none" w:sz="0" w:space="0" w:color="auto"/>
                            <w:left w:val="none" w:sz="0" w:space="0" w:color="auto"/>
                            <w:bottom w:val="none" w:sz="0" w:space="0" w:color="auto"/>
                            <w:right w:val="none" w:sz="0" w:space="0" w:color="auto"/>
                          </w:divBdr>
                          <w:divsChild>
                            <w:div w:id="188960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994966">
          <w:marLeft w:val="0"/>
          <w:marRight w:val="0"/>
          <w:marTop w:val="0"/>
          <w:marBottom w:val="0"/>
          <w:divBdr>
            <w:top w:val="none" w:sz="0" w:space="0" w:color="auto"/>
            <w:left w:val="none" w:sz="0" w:space="0" w:color="auto"/>
            <w:bottom w:val="none" w:sz="0" w:space="0" w:color="auto"/>
            <w:right w:val="none" w:sz="0" w:space="0" w:color="auto"/>
          </w:divBdr>
          <w:divsChild>
            <w:div w:id="831021724">
              <w:marLeft w:val="0"/>
              <w:marRight w:val="0"/>
              <w:marTop w:val="0"/>
              <w:marBottom w:val="0"/>
              <w:divBdr>
                <w:top w:val="none" w:sz="0" w:space="0" w:color="auto"/>
                <w:left w:val="none" w:sz="0" w:space="0" w:color="auto"/>
                <w:bottom w:val="none" w:sz="0" w:space="0" w:color="auto"/>
                <w:right w:val="none" w:sz="0" w:space="0" w:color="auto"/>
              </w:divBdr>
              <w:divsChild>
                <w:div w:id="13595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daystar.ac.ke/server/api/core/bitstreams/922e0db6-ce82-4abd-ae31-ea015bcf8c36/conten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77BC6D-24DD-4626-A20F-01EF8A33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1035</Words>
  <Characters>7549</Characters>
  <Application>Microsoft Office Word</Application>
  <DocSecurity>0</DocSecurity>
  <Lines>154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Jitari</dc:creator>
  <cp:keywords/>
  <dc:description/>
  <cp:lastModifiedBy>Natalia Jitari</cp:lastModifiedBy>
  <cp:revision>3</cp:revision>
  <dcterms:created xsi:type="dcterms:W3CDTF">2024-08-14T16:19:00Z</dcterms:created>
  <dcterms:modified xsi:type="dcterms:W3CDTF">2024-08-14T17:38:00Z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1e702781b098cdb6f76df3f65c13e649b946a07dce2acbd0b303227e0842371d</vt:lpwstr>
  </property>
</Properties>
</file>