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B8BD16D" w14:textId="77777777" w:rsidR="00DF5429" w:rsidRPr="007541F1" w:rsidRDefault="00DF5429" w:rsidP="002A6739">
      <w:pPr>
        <w:pStyle w:val="Heading1"/>
        <w:rPr>
          <w:rFonts w:ascii="Arial" w:hAnsi="Arial" w:cs="Arial"/>
          <w:sz w:val="22"/>
          <w:szCs w:val="22"/>
        </w:rPr>
      </w:pPr>
    </w:p>
    <w:p w14:paraId="2266EAA1" w14:textId="77777777" w:rsidR="00DF5429" w:rsidRPr="007541F1" w:rsidRDefault="00DF5429" w:rsidP="00DF5429">
      <w:pPr>
        <w:pStyle w:val="Heading1"/>
        <w:jc w:val="center"/>
        <w:rPr>
          <w:rFonts w:ascii="Arial" w:hAnsi="Arial" w:cs="Arial"/>
          <w:sz w:val="22"/>
          <w:szCs w:val="22"/>
        </w:rPr>
      </w:pPr>
    </w:p>
    <w:p w14:paraId="0584F31A" w14:textId="77777777" w:rsidR="00DF5429" w:rsidRPr="007541F1" w:rsidRDefault="00DF5429" w:rsidP="00DF5429">
      <w:pPr>
        <w:pStyle w:val="Heading1"/>
        <w:jc w:val="center"/>
        <w:rPr>
          <w:rFonts w:ascii="Arial" w:hAnsi="Arial" w:cs="Arial"/>
          <w:sz w:val="22"/>
          <w:szCs w:val="22"/>
        </w:rPr>
      </w:pPr>
    </w:p>
    <w:p w14:paraId="69981BDB" w14:textId="77777777" w:rsidR="005F13B2" w:rsidRDefault="005F13B2" w:rsidP="005F13B2">
      <w:pPr>
        <w:rPr>
          <w:rFonts w:ascii="Arial" w:hAnsi="Arial" w:cs="Arial"/>
          <w:b/>
          <w:sz w:val="32"/>
          <w:szCs w:val="32"/>
        </w:rPr>
      </w:pPr>
      <w:proofErr w:type="spellStart"/>
      <w:r>
        <w:rPr>
          <w:rFonts w:ascii="Arial" w:hAnsi="Arial" w:cs="Arial"/>
          <w:b/>
          <w:sz w:val="32"/>
          <w:szCs w:val="32"/>
        </w:rPr>
        <w:t>Shaibah</w:t>
      </w:r>
      <w:proofErr w:type="spellEnd"/>
      <w:r>
        <w:rPr>
          <w:rFonts w:ascii="Arial" w:hAnsi="Arial" w:cs="Arial"/>
          <w:b/>
          <w:sz w:val="32"/>
          <w:szCs w:val="32"/>
        </w:rPr>
        <w:t xml:space="preserve"> </w:t>
      </w:r>
      <w:proofErr w:type="spellStart"/>
      <w:r>
        <w:rPr>
          <w:rFonts w:ascii="Arial" w:hAnsi="Arial" w:cs="Arial"/>
          <w:b/>
          <w:sz w:val="32"/>
          <w:szCs w:val="32"/>
        </w:rPr>
        <w:t>Riaz</w:t>
      </w:r>
      <w:proofErr w:type="spellEnd"/>
      <w:r>
        <w:rPr>
          <w:rFonts w:ascii="Arial" w:hAnsi="Arial" w:cs="Arial"/>
          <w:b/>
          <w:sz w:val="32"/>
          <w:szCs w:val="32"/>
        </w:rPr>
        <w:t xml:space="preserve"> 2314358</w:t>
      </w:r>
    </w:p>
    <w:p w14:paraId="0B719227" w14:textId="77777777" w:rsidR="005F13B2" w:rsidRPr="000640C1" w:rsidRDefault="005F13B2" w:rsidP="005F13B2">
      <w:pPr>
        <w:rPr>
          <w:rFonts w:ascii="Arial" w:hAnsi="Arial" w:cs="Arial"/>
          <w:b/>
          <w:sz w:val="32"/>
          <w:szCs w:val="32"/>
        </w:rPr>
      </w:pPr>
      <w:r w:rsidRPr="000640C1">
        <w:rPr>
          <w:rFonts w:ascii="Arial" w:hAnsi="Arial" w:cs="Arial"/>
          <w:b/>
          <w:sz w:val="32"/>
          <w:szCs w:val="32"/>
        </w:rPr>
        <w:t>BSc (</w:t>
      </w:r>
      <w:proofErr w:type="spellStart"/>
      <w:r w:rsidRPr="000640C1">
        <w:rPr>
          <w:rFonts w:ascii="Arial" w:hAnsi="Arial" w:cs="Arial"/>
          <w:b/>
          <w:sz w:val="32"/>
          <w:szCs w:val="32"/>
        </w:rPr>
        <w:t>Hons</w:t>
      </w:r>
      <w:proofErr w:type="spellEnd"/>
      <w:r w:rsidRPr="000640C1">
        <w:rPr>
          <w:rFonts w:ascii="Arial" w:hAnsi="Arial" w:cs="Arial"/>
          <w:b/>
          <w:sz w:val="32"/>
          <w:szCs w:val="32"/>
        </w:rPr>
        <w:t xml:space="preserve">) Health and Social Care </w:t>
      </w:r>
    </w:p>
    <w:p w14:paraId="1F00A3BC" w14:textId="77777777" w:rsidR="005F13B2" w:rsidRPr="000640C1" w:rsidRDefault="005F13B2" w:rsidP="005F13B2">
      <w:pPr>
        <w:rPr>
          <w:rFonts w:ascii="Arial" w:hAnsi="Arial" w:cs="Arial"/>
          <w:b/>
          <w:sz w:val="32"/>
          <w:szCs w:val="32"/>
        </w:rPr>
      </w:pPr>
      <w:r>
        <w:rPr>
          <w:rFonts w:ascii="Arial" w:hAnsi="Arial" w:cs="Arial"/>
          <w:b/>
          <w:sz w:val="32"/>
          <w:szCs w:val="32"/>
        </w:rPr>
        <w:t>Psychopathological Classification and Provision</w:t>
      </w:r>
    </w:p>
    <w:p w14:paraId="7696144C" w14:textId="691189A6" w:rsidR="005F13B2" w:rsidRPr="00DD05CD" w:rsidRDefault="005F13B2" w:rsidP="005F13B2">
      <w:pPr>
        <w:rPr>
          <w:rFonts w:ascii="Arial" w:hAnsi="Arial" w:cs="Arial"/>
          <w:b/>
          <w:sz w:val="32"/>
          <w:szCs w:val="32"/>
        </w:rPr>
      </w:pPr>
      <w:r>
        <w:rPr>
          <w:rFonts w:ascii="Arial" w:hAnsi="Arial" w:cs="Arial"/>
          <w:b/>
          <w:sz w:val="32"/>
          <w:szCs w:val="32"/>
        </w:rPr>
        <w:t xml:space="preserve">Lecturer: </w:t>
      </w:r>
      <w:proofErr w:type="spellStart"/>
      <w:r w:rsidRPr="00DD05CD">
        <w:rPr>
          <w:rFonts w:ascii="Arial" w:hAnsi="Arial" w:cs="Arial"/>
          <w:b/>
          <w:sz w:val="32"/>
          <w:szCs w:val="32"/>
        </w:rPr>
        <w:t>Tomy</w:t>
      </w:r>
      <w:proofErr w:type="spellEnd"/>
      <w:r w:rsidRPr="00DD05CD">
        <w:rPr>
          <w:rFonts w:ascii="Arial" w:hAnsi="Arial" w:cs="Arial"/>
          <w:b/>
          <w:sz w:val="32"/>
          <w:szCs w:val="32"/>
        </w:rPr>
        <w:t xml:space="preserve"> </w:t>
      </w:r>
      <w:proofErr w:type="spellStart"/>
      <w:r w:rsidR="00DD05CD" w:rsidRPr="00DD05CD">
        <w:rPr>
          <w:rFonts w:ascii="Arial" w:hAnsi="Arial" w:cs="Arial"/>
          <w:b/>
          <w:sz w:val="32"/>
          <w:szCs w:val="32"/>
        </w:rPr>
        <w:t>Adattu</w:t>
      </w:r>
      <w:proofErr w:type="spellEnd"/>
      <w:r w:rsidR="00DD05CD" w:rsidRPr="00DD05CD">
        <w:rPr>
          <w:rFonts w:ascii="Arial" w:hAnsi="Arial" w:cs="Arial"/>
          <w:b/>
          <w:sz w:val="32"/>
          <w:szCs w:val="32"/>
        </w:rPr>
        <w:t xml:space="preserve"> </w:t>
      </w:r>
      <w:proofErr w:type="spellStart"/>
      <w:r w:rsidR="00DD05CD" w:rsidRPr="00DD05CD">
        <w:rPr>
          <w:rFonts w:ascii="Arial" w:hAnsi="Arial" w:cs="Arial"/>
          <w:b/>
          <w:sz w:val="32"/>
          <w:szCs w:val="32"/>
        </w:rPr>
        <w:t>Chacko</w:t>
      </w:r>
      <w:proofErr w:type="spellEnd"/>
    </w:p>
    <w:p w14:paraId="76959FDE" w14:textId="77777777" w:rsidR="005F13B2" w:rsidRDefault="005F13B2" w:rsidP="005F13B2">
      <w:pPr>
        <w:rPr>
          <w:rFonts w:ascii="Arial" w:hAnsi="Arial" w:cs="Arial"/>
          <w:b/>
          <w:sz w:val="32"/>
          <w:szCs w:val="32"/>
        </w:rPr>
      </w:pPr>
      <w:r>
        <w:rPr>
          <w:rFonts w:ascii="Arial" w:hAnsi="Arial" w:cs="Arial"/>
          <w:b/>
          <w:sz w:val="32"/>
          <w:szCs w:val="32"/>
        </w:rPr>
        <w:t xml:space="preserve">Module: </w:t>
      </w:r>
      <w:r w:rsidRPr="000640C1">
        <w:rPr>
          <w:rFonts w:ascii="Arial" w:hAnsi="Arial" w:cs="Arial"/>
          <w:b/>
          <w:sz w:val="32"/>
          <w:szCs w:val="32"/>
        </w:rPr>
        <w:t>BMHP</w:t>
      </w:r>
      <w:r>
        <w:rPr>
          <w:rFonts w:ascii="Arial" w:hAnsi="Arial" w:cs="Arial"/>
          <w:b/>
          <w:sz w:val="32"/>
          <w:szCs w:val="32"/>
        </w:rPr>
        <w:t>6029</w:t>
      </w:r>
    </w:p>
    <w:p w14:paraId="6522F604" w14:textId="77777777" w:rsidR="005F13B2" w:rsidRDefault="005F13B2" w:rsidP="005F13B2"/>
    <w:p w14:paraId="2E9FE8C8" w14:textId="3C008C7E" w:rsidR="005F13B2" w:rsidRDefault="005F13B2" w:rsidP="002A6739">
      <w:pPr>
        <w:pStyle w:val="Heading1"/>
        <w:rPr>
          <w:rFonts w:ascii="Arial" w:hAnsi="Arial" w:cs="Arial"/>
          <w:sz w:val="22"/>
          <w:szCs w:val="22"/>
        </w:rPr>
      </w:pPr>
    </w:p>
    <w:p w14:paraId="7C1A840E" w14:textId="77777777" w:rsidR="005F13B2" w:rsidRDefault="005F13B2">
      <w:pPr>
        <w:spacing w:after="160" w:line="278" w:lineRule="auto"/>
        <w:jc w:val="left"/>
        <w:rPr>
          <w:rFonts w:ascii="Arial" w:hAnsi="Arial" w:cs="Arial"/>
          <w:b/>
          <w:sz w:val="22"/>
          <w:szCs w:val="22"/>
        </w:rPr>
      </w:pPr>
      <w:r>
        <w:rPr>
          <w:rFonts w:ascii="Arial" w:hAnsi="Arial" w:cs="Arial"/>
          <w:sz w:val="22"/>
          <w:szCs w:val="22"/>
        </w:rPr>
        <w:br w:type="page"/>
      </w:r>
    </w:p>
    <w:p w14:paraId="335416EF" w14:textId="77777777" w:rsidR="00DF5429" w:rsidRPr="007541F1" w:rsidRDefault="00DF5429" w:rsidP="002A6739">
      <w:pPr>
        <w:pStyle w:val="Heading1"/>
        <w:rPr>
          <w:rFonts w:ascii="Arial" w:hAnsi="Arial" w:cs="Arial"/>
          <w:sz w:val="22"/>
          <w:szCs w:val="22"/>
        </w:rPr>
      </w:pPr>
      <w:bookmarkStart w:id="0" w:name="_GoBack"/>
      <w:bookmarkEnd w:id="0"/>
    </w:p>
    <w:p w14:paraId="71454239" w14:textId="77777777" w:rsidR="008929C8" w:rsidRPr="007541F1" w:rsidRDefault="008929C8" w:rsidP="002A6739">
      <w:pPr>
        <w:rPr>
          <w:rFonts w:ascii="Arial" w:hAnsi="Arial" w:cs="Arial"/>
          <w:sz w:val="22"/>
          <w:szCs w:val="22"/>
        </w:rPr>
      </w:pPr>
    </w:p>
    <w:sdt>
      <w:sdtPr>
        <w:id w:val="1775817425"/>
        <w:docPartObj>
          <w:docPartGallery w:val="Table of Contents"/>
          <w:docPartUnique/>
        </w:docPartObj>
      </w:sdtPr>
      <w:sdtEndPr>
        <w:rPr>
          <w:rFonts w:ascii="Times New Roman" w:eastAsiaTheme="minorHAnsi" w:hAnsi="Times New Roman" w:cstheme="minorBidi"/>
          <w:noProof/>
          <w:color w:val="auto"/>
          <w:kern w:val="2"/>
          <w:sz w:val="24"/>
          <w:szCs w:val="24"/>
          <w:lang w:val="en-GB" w:eastAsia="en-US"/>
          <w14:ligatures w14:val="standardContextual"/>
        </w:rPr>
      </w:sdtEndPr>
      <w:sdtContent>
        <w:p w14:paraId="69057D38" w14:textId="1D4D2E0C" w:rsidR="008E1FB5" w:rsidRPr="008E1FB5" w:rsidRDefault="008E1FB5">
          <w:pPr>
            <w:pStyle w:val="TOCHeading"/>
            <w:rPr>
              <w:rFonts w:ascii="Arial" w:hAnsi="Arial" w:cs="Arial"/>
              <w:sz w:val="24"/>
              <w:szCs w:val="24"/>
            </w:rPr>
          </w:pPr>
          <w:r w:rsidRPr="008E1FB5">
            <w:rPr>
              <w:rFonts w:ascii="Arial" w:hAnsi="Arial" w:cs="Arial"/>
              <w:sz w:val="24"/>
              <w:szCs w:val="24"/>
            </w:rPr>
            <w:t>Contents</w:t>
          </w:r>
        </w:p>
        <w:p w14:paraId="3FC3F471" w14:textId="77777777" w:rsidR="008E1FB5" w:rsidRPr="00AE2F95" w:rsidRDefault="008E1FB5">
          <w:pPr>
            <w:pStyle w:val="TOC1"/>
            <w:tabs>
              <w:tab w:val="right" w:leader="dot" w:pos="9350"/>
            </w:tabs>
            <w:rPr>
              <w:rFonts w:ascii="Arial" w:hAnsi="Arial" w:cs="Arial"/>
              <w:noProof/>
            </w:rPr>
          </w:pPr>
          <w:r w:rsidRPr="008E1FB5">
            <w:rPr>
              <w:rFonts w:ascii="Arial" w:hAnsi="Arial" w:cs="Arial"/>
            </w:rPr>
            <w:fldChar w:fldCharType="begin"/>
          </w:r>
          <w:r w:rsidRPr="008E1FB5">
            <w:rPr>
              <w:rFonts w:ascii="Arial" w:hAnsi="Arial" w:cs="Arial"/>
            </w:rPr>
            <w:instrText xml:space="preserve"> TOC \o "1-3" \h \z \u </w:instrText>
          </w:r>
          <w:r w:rsidRPr="008E1FB5">
            <w:rPr>
              <w:rFonts w:ascii="Arial" w:hAnsi="Arial" w:cs="Arial"/>
            </w:rPr>
            <w:fldChar w:fldCharType="separate"/>
          </w:r>
          <w:hyperlink w:anchor="_Toc214013653" w:history="1">
            <w:r w:rsidRPr="00AE2F95">
              <w:rPr>
                <w:rStyle w:val="Hyperlink"/>
                <w:rFonts w:ascii="Arial" w:hAnsi="Arial" w:cs="Arial"/>
                <w:noProof/>
              </w:rPr>
              <w:t>Introduction</w:t>
            </w:r>
            <w:r w:rsidRPr="00AE2F95">
              <w:rPr>
                <w:rFonts w:ascii="Arial" w:hAnsi="Arial" w:cs="Arial"/>
                <w:noProof/>
                <w:webHidden/>
              </w:rPr>
              <w:tab/>
            </w:r>
            <w:r w:rsidRPr="00AE2F95">
              <w:rPr>
                <w:rFonts w:ascii="Arial" w:hAnsi="Arial" w:cs="Arial"/>
                <w:noProof/>
                <w:webHidden/>
              </w:rPr>
              <w:fldChar w:fldCharType="begin"/>
            </w:r>
            <w:r w:rsidRPr="00AE2F95">
              <w:rPr>
                <w:rFonts w:ascii="Arial" w:hAnsi="Arial" w:cs="Arial"/>
                <w:noProof/>
                <w:webHidden/>
              </w:rPr>
              <w:instrText xml:space="preserve"> PAGEREF _Toc214013653 \h </w:instrText>
            </w:r>
            <w:r w:rsidRPr="00AE2F95">
              <w:rPr>
                <w:rFonts w:ascii="Arial" w:hAnsi="Arial" w:cs="Arial"/>
                <w:noProof/>
                <w:webHidden/>
              </w:rPr>
            </w:r>
            <w:r w:rsidRPr="00AE2F95">
              <w:rPr>
                <w:rFonts w:ascii="Arial" w:hAnsi="Arial" w:cs="Arial"/>
                <w:noProof/>
                <w:webHidden/>
              </w:rPr>
              <w:fldChar w:fldCharType="separate"/>
            </w:r>
            <w:r w:rsidRPr="00AE2F95">
              <w:rPr>
                <w:rFonts w:ascii="Arial" w:hAnsi="Arial" w:cs="Arial"/>
                <w:noProof/>
                <w:webHidden/>
              </w:rPr>
              <w:t>3</w:t>
            </w:r>
            <w:r w:rsidRPr="00AE2F95">
              <w:rPr>
                <w:rFonts w:ascii="Arial" w:hAnsi="Arial" w:cs="Arial"/>
                <w:noProof/>
                <w:webHidden/>
              </w:rPr>
              <w:fldChar w:fldCharType="end"/>
            </w:r>
          </w:hyperlink>
        </w:p>
        <w:p w14:paraId="5B8566E5" w14:textId="77777777" w:rsidR="008E1FB5" w:rsidRPr="00AE2F95" w:rsidRDefault="008E1FB5">
          <w:pPr>
            <w:pStyle w:val="TOC1"/>
            <w:tabs>
              <w:tab w:val="right" w:leader="dot" w:pos="9350"/>
            </w:tabs>
            <w:rPr>
              <w:rFonts w:ascii="Arial" w:hAnsi="Arial" w:cs="Arial"/>
              <w:noProof/>
            </w:rPr>
          </w:pPr>
          <w:hyperlink w:anchor="_Toc214013654" w:history="1">
            <w:r w:rsidRPr="00AE2F95">
              <w:rPr>
                <w:rStyle w:val="Hyperlink"/>
                <w:rFonts w:ascii="Arial" w:hAnsi="Arial" w:cs="Arial"/>
                <w:noProof/>
              </w:rPr>
              <w:t>2. Classification</w:t>
            </w:r>
            <w:r w:rsidRPr="00AE2F95">
              <w:rPr>
                <w:rFonts w:ascii="Arial" w:hAnsi="Arial" w:cs="Arial"/>
                <w:noProof/>
                <w:webHidden/>
              </w:rPr>
              <w:tab/>
            </w:r>
            <w:r w:rsidRPr="00AE2F95">
              <w:rPr>
                <w:rFonts w:ascii="Arial" w:hAnsi="Arial" w:cs="Arial"/>
                <w:noProof/>
                <w:webHidden/>
              </w:rPr>
              <w:fldChar w:fldCharType="begin"/>
            </w:r>
            <w:r w:rsidRPr="00AE2F95">
              <w:rPr>
                <w:rFonts w:ascii="Arial" w:hAnsi="Arial" w:cs="Arial"/>
                <w:noProof/>
                <w:webHidden/>
              </w:rPr>
              <w:instrText xml:space="preserve"> PAGEREF _Toc214013654 \h </w:instrText>
            </w:r>
            <w:r w:rsidRPr="00AE2F95">
              <w:rPr>
                <w:rFonts w:ascii="Arial" w:hAnsi="Arial" w:cs="Arial"/>
                <w:noProof/>
                <w:webHidden/>
              </w:rPr>
            </w:r>
            <w:r w:rsidRPr="00AE2F95">
              <w:rPr>
                <w:rFonts w:ascii="Arial" w:hAnsi="Arial" w:cs="Arial"/>
                <w:noProof/>
                <w:webHidden/>
              </w:rPr>
              <w:fldChar w:fldCharType="separate"/>
            </w:r>
            <w:r w:rsidRPr="00AE2F95">
              <w:rPr>
                <w:rFonts w:ascii="Arial" w:hAnsi="Arial" w:cs="Arial"/>
                <w:noProof/>
                <w:webHidden/>
              </w:rPr>
              <w:t>3</w:t>
            </w:r>
            <w:r w:rsidRPr="00AE2F95">
              <w:rPr>
                <w:rFonts w:ascii="Arial" w:hAnsi="Arial" w:cs="Arial"/>
                <w:noProof/>
                <w:webHidden/>
              </w:rPr>
              <w:fldChar w:fldCharType="end"/>
            </w:r>
          </w:hyperlink>
        </w:p>
        <w:p w14:paraId="27C9513C" w14:textId="77777777" w:rsidR="008E1FB5" w:rsidRPr="00AE2F95" w:rsidRDefault="008E1FB5">
          <w:pPr>
            <w:pStyle w:val="TOC1"/>
            <w:tabs>
              <w:tab w:val="right" w:leader="dot" w:pos="9350"/>
            </w:tabs>
            <w:rPr>
              <w:rFonts w:ascii="Arial" w:hAnsi="Arial" w:cs="Arial"/>
              <w:noProof/>
            </w:rPr>
          </w:pPr>
          <w:hyperlink w:anchor="_Toc214013655" w:history="1">
            <w:r w:rsidRPr="00AE2F95">
              <w:rPr>
                <w:rStyle w:val="Hyperlink"/>
                <w:rFonts w:ascii="Arial" w:hAnsi="Arial" w:cs="Arial"/>
                <w:noProof/>
              </w:rPr>
              <w:t>3</w:t>
            </w:r>
            <w:r w:rsidRPr="00AE2F95">
              <w:rPr>
                <w:rStyle w:val="Hyperlink"/>
                <w:rFonts w:ascii="Arial" w:eastAsiaTheme="majorEastAsia" w:hAnsi="Arial" w:cs="Arial"/>
                <w:noProof/>
              </w:rPr>
              <w:t>. Diagnosis</w:t>
            </w:r>
            <w:r w:rsidRPr="00AE2F95">
              <w:rPr>
                <w:rFonts w:ascii="Arial" w:hAnsi="Arial" w:cs="Arial"/>
                <w:noProof/>
                <w:webHidden/>
              </w:rPr>
              <w:tab/>
            </w:r>
            <w:r w:rsidRPr="00AE2F95">
              <w:rPr>
                <w:rFonts w:ascii="Arial" w:hAnsi="Arial" w:cs="Arial"/>
                <w:noProof/>
                <w:webHidden/>
              </w:rPr>
              <w:fldChar w:fldCharType="begin"/>
            </w:r>
            <w:r w:rsidRPr="00AE2F95">
              <w:rPr>
                <w:rFonts w:ascii="Arial" w:hAnsi="Arial" w:cs="Arial"/>
                <w:noProof/>
                <w:webHidden/>
              </w:rPr>
              <w:instrText xml:space="preserve"> PAGEREF _Toc214013655 \h </w:instrText>
            </w:r>
            <w:r w:rsidRPr="00AE2F95">
              <w:rPr>
                <w:rFonts w:ascii="Arial" w:hAnsi="Arial" w:cs="Arial"/>
                <w:noProof/>
                <w:webHidden/>
              </w:rPr>
            </w:r>
            <w:r w:rsidRPr="00AE2F95">
              <w:rPr>
                <w:rFonts w:ascii="Arial" w:hAnsi="Arial" w:cs="Arial"/>
                <w:noProof/>
                <w:webHidden/>
              </w:rPr>
              <w:fldChar w:fldCharType="separate"/>
            </w:r>
            <w:r w:rsidRPr="00AE2F95">
              <w:rPr>
                <w:rFonts w:ascii="Arial" w:hAnsi="Arial" w:cs="Arial"/>
                <w:noProof/>
                <w:webHidden/>
              </w:rPr>
              <w:t>4</w:t>
            </w:r>
            <w:r w:rsidRPr="00AE2F95">
              <w:rPr>
                <w:rFonts w:ascii="Arial" w:hAnsi="Arial" w:cs="Arial"/>
                <w:noProof/>
                <w:webHidden/>
              </w:rPr>
              <w:fldChar w:fldCharType="end"/>
            </w:r>
          </w:hyperlink>
        </w:p>
        <w:p w14:paraId="713E2FCE" w14:textId="77777777" w:rsidR="008E1FB5" w:rsidRPr="00AE2F95" w:rsidRDefault="008E1FB5">
          <w:pPr>
            <w:pStyle w:val="TOC1"/>
            <w:tabs>
              <w:tab w:val="right" w:leader="dot" w:pos="9350"/>
            </w:tabs>
            <w:rPr>
              <w:rFonts w:ascii="Arial" w:hAnsi="Arial" w:cs="Arial"/>
              <w:noProof/>
            </w:rPr>
          </w:pPr>
          <w:hyperlink w:anchor="_Toc214013656" w:history="1">
            <w:r w:rsidRPr="00AE2F95">
              <w:rPr>
                <w:rStyle w:val="Hyperlink"/>
                <w:rFonts w:ascii="Arial" w:hAnsi="Arial" w:cs="Arial"/>
                <w:noProof/>
              </w:rPr>
              <w:t xml:space="preserve">4. </w:t>
            </w:r>
            <w:r w:rsidRPr="00AE2F95">
              <w:rPr>
                <w:rStyle w:val="Hyperlink"/>
                <w:rFonts w:ascii="Arial" w:eastAsiaTheme="majorEastAsia" w:hAnsi="Arial" w:cs="Arial"/>
                <w:iCs/>
                <w:noProof/>
              </w:rPr>
              <w:t>Treatment</w:t>
            </w:r>
            <w:r w:rsidRPr="00AE2F95">
              <w:rPr>
                <w:rFonts w:ascii="Arial" w:hAnsi="Arial" w:cs="Arial"/>
                <w:noProof/>
                <w:webHidden/>
              </w:rPr>
              <w:tab/>
            </w:r>
            <w:r w:rsidRPr="00AE2F95">
              <w:rPr>
                <w:rFonts w:ascii="Arial" w:hAnsi="Arial" w:cs="Arial"/>
                <w:noProof/>
                <w:webHidden/>
              </w:rPr>
              <w:fldChar w:fldCharType="begin"/>
            </w:r>
            <w:r w:rsidRPr="00AE2F95">
              <w:rPr>
                <w:rFonts w:ascii="Arial" w:hAnsi="Arial" w:cs="Arial"/>
                <w:noProof/>
                <w:webHidden/>
              </w:rPr>
              <w:instrText xml:space="preserve"> PAGEREF _Toc214013656 \h </w:instrText>
            </w:r>
            <w:r w:rsidRPr="00AE2F95">
              <w:rPr>
                <w:rFonts w:ascii="Arial" w:hAnsi="Arial" w:cs="Arial"/>
                <w:noProof/>
                <w:webHidden/>
              </w:rPr>
            </w:r>
            <w:r w:rsidRPr="00AE2F95">
              <w:rPr>
                <w:rFonts w:ascii="Arial" w:hAnsi="Arial" w:cs="Arial"/>
                <w:noProof/>
                <w:webHidden/>
              </w:rPr>
              <w:fldChar w:fldCharType="separate"/>
            </w:r>
            <w:r w:rsidRPr="00AE2F95">
              <w:rPr>
                <w:rFonts w:ascii="Arial" w:hAnsi="Arial" w:cs="Arial"/>
                <w:noProof/>
                <w:webHidden/>
              </w:rPr>
              <w:t>5</w:t>
            </w:r>
            <w:r w:rsidRPr="00AE2F95">
              <w:rPr>
                <w:rFonts w:ascii="Arial" w:hAnsi="Arial" w:cs="Arial"/>
                <w:noProof/>
                <w:webHidden/>
              </w:rPr>
              <w:fldChar w:fldCharType="end"/>
            </w:r>
          </w:hyperlink>
        </w:p>
        <w:p w14:paraId="79BCD6D6" w14:textId="77777777" w:rsidR="008E1FB5" w:rsidRPr="00AE2F95" w:rsidRDefault="008E1FB5">
          <w:pPr>
            <w:pStyle w:val="TOC2"/>
            <w:tabs>
              <w:tab w:val="right" w:leader="dot" w:pos="9350"/>
            </w:tabs>
            <w:rPr>
              <w:rFonts w:ascii="Arial" w:hAnsi="Arial" w:cs="Arial"/>
              <w:noProof/>
            </w:rPr>
          </w:pPr>
          <w:hyperlink w:anchor="_Toc214013657" w:history="1">
            <w:r w:rsidRPr="00AE2F95">
              <w:rPr>
                <w:rStyle w:val="Hyperlink"/>
                <w:rFonts w:ascii="Arial" w:hAnsi="Arial" w:cs="Arial"/>
                <w:noProof/>
              </w:rPr>
              <w:t>Pharmacological Treatments</w:t>
            </w:r>
            <w:r w:rsidRPr="00AE2F95">
              <w:rPr>
                <w:rFonts w:ascii="Arial" w:hAnsi="Arial" w:cs="Arial"/>
                <w:noProof/>
                <w:webHidden/>
              </w:rPr>
              <w:tab/>
            </w:r>
            <w:r w:rsidRPr="00AE2F95">
              <w:rPr>
                <w:rFonts w:ascii="Arial" w:hAnsi="Arial" w:cs="Arial"/>
                <w:noProof/>
                <w:webHidden/>
              </w:rPr>
              <w:fldChar w:fldCharType="begin"/>
            </w:r>
            <w:r w:rsidRPr="00AE2F95">
              <w:rPr>
                <w:rFonts w:ascii="Arial" w:hAnsi="Arial" w:cs="Arial"/>
                <w:noProof/>
                <w:webHidden/>
              </w:rPr>
              <w:instrText xml:space="preserve"> PAGEREF _Toc214013657 \h </w:instrText>
            </w:r>
            <w:r w:rsidRPr="00AE2F95">
              <w:rPr>
                <w:rFonts w:ascii="Arial" w:hAnsi="Arial" w:cs="Arial"/>
                <w:noProof/>
                <w:webHidden/>
              </w:rPr>
            </w:r>
            <w:r w:rsidRPr="00AE2F95">
              <w:rPr>
                <w:rFonts w:ascii="Arial" w:hAnsi="Arial" w:cs="Arial"/>
                <w:noProof/>
                <w:webHidden/>
              </w:rPr>
              <w:fldChar w:fldCharType="separate"/>
            </w:r>
            <w:r w:rsidRPr="00AE2F95">
              <w:rPr>
                <w:rFonts w:ascii="Arial" w:hAnsi="Arial" w:cs="Arial"/>
                <w:noProof/>
                <w:webHidden/>
              </w:rPr>
              <w:t>5</w:t>
            </w:r>
            <w:r w:rsidRPr="00AE2F95">
              <w:rPr>
                <w:rFonts w:ascii="Arial" w:hAnsi="Arial" w:cs="Arial"/>
                <w:noProof/>
                <w:webHidden/>
              </w:rPr>
              <w:fldChar w:fldCharType="end"/>
            </w:r>
          </w:hyperlink>
        </w:p>
        <w:p w14:paraId="5C8ACA40" w14:textId="77777777" w:rsidR="008E1FB5" w:rsidRPr="00AE2F95" w:rsidRDefault="008E1FB5">
          <w:pPr>
            <w:pStyle w:val="TOC2"/>
            <w:tabs>
              <w:tab w:val="right" w:leader="dot" w:pos="9350"/>
            </w:tabs>
            <w:rPr>
              <w:rFonts w:ascii="Arial" w:hAnsi="Arial" w:cs="Arial"/>
              <w:noProof/>
            </w:rPr>
          </w:pPr>
          <w:hyperlink w:anchor="_Toc214013658" w:history="1">
            <w:r w:rsidRPr="00AE2F95">
              <w:rPr>
                <w:rStyle w:val="Hyperlink"/>
                <w:rFonts w:ascii="Arial" w:hAnsi="Arial" w:cs="Arial"/>
                <w:noProof/>
              </w:rPr>
              <w:t>Psychological Treatments</w:t>
            </w:r>
            <w:r w:rsidRPr="00AE2F95">
              <w:rPr>
                <w:rFonts w:ascii="Arial" w:hAnsi="Arial" w:cs="Arial"/>
                <w:noProof/>
                <w:webHidden/>
              </w:rPr>
              <w:tab/>
            </w:r>
            <w:r w:rsidRPr="00AE2F95">
              <w:rPr>
                <w:rFonts w:ascii="Arial" w:hAnsi="Arial" w:cs="Arial"/>
                <w:noProof/>
                <w:webHidden/>
              </w:rPr>
              <w:fldChar w:fldCharType="begin"/>
            </w:r>
            <w:r w:rsidRPr="00AE2F95">
              <w:rPr>
                <w:rFonts w:ascii="Arial" w:hAnsi="Arial" w:cs="Arial"/>
                <w:noProof/>
                <w:webHidden/>
              </w:rPr>
              <w:instrText xml:space="preserve"> PAGEREF _Toc214013658 \h </w:instrText>
            </w:r>
            <w:r w:rsidRPr="00AE2F95">
              <w:rPr>
                <w:rFonts w:ascii="Arial" w:hAnsi="Arial" w:cs="Arial"/>
                <w:noProof/>
                <w:webHidden/>
              </w:rPr>
            </w:r>
            <w:r w:rsidRPr="00AE2F95">
              <w:rPr>
                <w:rFonts w:ascii="Arial" w:hAnsi="Arial" w:cs="Arial"/>
                <w:noProof/>
                <w:webHidden/>
              </w:rPr>
              <w:fldChar w:fldCharType="separate"/>
            </w:r>
            <w:r w:rsidRPr="00AE2F95">
              <w:rPr>
                <w:rFonts w:ascii="Arial" w:hAnsi="Arial" w:cs="Arial"/>
                <w:noProof/>
                <w:webHidden/>
              </w:rPr>
              <w:t>5</w:t>
            </w:r>
            <w:r w:rsidRPr="00AE2F95">
              <w:rPr>
                <w:rFonts w:ascii="Arial" w:hAnsi="Arial" w:cs="Arial"/>
                <w:noProof/>
                <w:webHidden/>
              </w:rPr>
              <w:fldChar w:fldCharType="end"/>
            </w:r>
          </w:hyperlink>
        </w:p>
        <w:p w14:paraId="537DD27D" w14:textId="77777777" w:rsidR="008E1FB5" w:rsidRPr="00AE2F95" w:rsidRDefault="008E1FB5">
          <w:pPr>
            <w:pStyle w:val="TOC2"/>
            <w:tabs>
              <w:tab w:val="right" w:leader="dot" w:pos="9350"/>
            </w:tabs>
            <w:rPr>
              <w:rFonts w:ascii="Arial" w:hAnsi="Arial" w:cs="Arial"/>
              <w:noProof/>
            </w:rPr>
          </w:pPr>
          <w:hyperlink w:anchor="_Toc214013659" w:history="1">
            <w:r w:rsidRPr="00AE2F95">
              <w:rPr>
                <w:rStyle w:val="Hyperlink"/>
                <w:rFonts w:ascii="Arial" w:hAnsi="Arial" w:cs="Arial"/>
                <w:noProof/>
              </w:rPr>
              <w:t>Comparative Effectiveness and Ethics.</w:t>
            </w:r>
            <w:r w:rsidRPr="00AE2F95">
              <w:rPr>
                <w:rFonts w:ascii="Arial" w:hAnsi="Arial" w:cs="Arial"/>
                <w:noProof/>
                <w:webHidden/>
              </w:rPr>
              <w:tab/>
            </w:r>
            <w:r w:rsidRPr="00AE2F95">
              <w:rPr>
                <w:rFonts w:ascii="Arial" w:hAnsi="Arial" w:cs="Arial"/>
                <w:noProof/>
                <w:webHidden/>
              </w:rPr>
              <w:fldChar w:fldCharType="begin"/>
            </w:r>
            <w:r w:rsidRPr="00AE2F95">
              <w:rPr>
                <w:rFonts w:ascii="Arial" w:hAnsi="Arial" w:cs="Arial"/>
                <w:noProof/>
                <w:webHidden/>
              </w:rPr>
              <w:instrText xml:space="preserve"> PAGEREF _Toc214013659 \h </w:instrText>
            </w:r>
            <w:r w:rsidRPr="00AE2F95">
              <w:rPr>
                <w:rFonts w:ascii="Arial" w:hAnsi="Arial" w:cs="Arial"/>
                <w:noProof/>
                <w:webHidden/>
              </w:rPr>
            </w:r>
            <w:r w:rsidRPr="00AE2F95">
              <w:rPr>
                <w:rFonts w:ascii="Arial" w:hAnsi="Arial" w:cs="Arial"/>
                <w:noProof/>
                <w:webHidden/>
              </w:rPr>
              <w:fldChar w:fldCharType="separate"/>
            </w:r>
            <w:r w:rsidRPr="00AE2F95">
              <w:rPr>
                <w:rFonts w:ascii="Arial" w:hAnsi="Arial" w:cs="Arial"/>
                <w:noProof/>
                <w:webHidden/>
              </w:rPr>
              <w:t>6</w:t>
            </w:r>
            <w:r w:rsidRPr="00AE2F95">
              <w:rPr>
                <w:rFonts w:ascii="Arial" w:hAnsi="Arial" w:cs="Arial"/>
                <w:noProof/>
                <w:webHidden/>
              </w:rPr>
              <w:fldChar w:fldCharType="end"/>
            </w:r>
          </w:hyperlink>
        </w:p>
        <w:p w14:paraId="1D00EC10" w14:textId="77777777" w:rsidR="008E1FB5" w:rsidRPr="00AE2F95" w:rsidRDefault="008E1FB5">
          <w:pPr>
            <w:pStyle w:val="TOC1"/>
            <w:tabs>
              <w:tab w:val="right" w:leader="dot" w:pos="9350"/>
            </w:tabs>
            <w:rPr>
              <w:rFonts w:ascii="Arial" w:hAnsi="Arial" w:cs="Arial"/>
              <w:noProof/>
            </w:rPr>
          </w:pPr>
          <w:hyperlink w:anchor="_Toc214013660" w:history="1">
            <w:r w:rsidRPr="00AE2F95">
              <w:rPr>
                <w:rStyle w:val="Hyperlink"/>
                <w:rFonts w:ascii="Arial" w:hAnsi="Arial" w:cs="Arial"/>
                <w:noProof/>
              </w:rPr>
              <w:t xml:space="preserve">5. </w:t>
            </w:r>
            <w:r w:rsidRPr="00AE2F95">
              <w:rPr>
                <w:rStyle w:val="Hyperlink"/>
                <w:rFonts w:ascii="Arial" w:eastAsiaTheme="majorEastAsia" w:hAnsi="Arial" w:cs="Arial"/>
                <w:noProof/>
              </w:rPr>
              <w:t>Rehabilitation</w:t>
            </w:r>
            <w:r w:rsidRPr="00AE2F95">
              <w:rPr>
                <w:rFonts w:ascii="Arial" w:hAnsi="Arial" w:cs="Arial"/>
                <w:noProof/>
                <w:webHidden/>
              </w:rPr>
              <w:tab/>
            </w:r>
            <w:r w:rsidRPr="00AE2F95">
              <w:rPr>
                <w:rFonts w:ascii="Arial" w:hAnsi="Arial" w:cs="Arial"/>
                <w:noProof/>
                <w:webHidden/>
              </w:rPr>
              <w:fldChar w:fldCharType="begin"/>
            </w:r>
            <w:r w:rsidRPr="00AE2F95">
              <w:rPr>
                <w:rFonts w:ascii="Arial" w:hAnsi="Arial" w:cs="Arial"/>
                <w:noProof/>
                <w:webHidden/>
              </w:rPr>
              <w:instrText xml:space="preserve"> PAGEREF _Toc214013660 \h </w:instrText>
            </w:r>
            <w:r w:rsidRPr="00AE2F95">
              <w:rPr>
                <w:rFonts w:ascii="Arial" w:hAnsi="Arial" w:cs="Arial"/>
                <w:noProof/>
                <w:webHidden/>
              </w:rPr>
            </w:r>
            <w:r w:rsidRPr="00AE2F95">
              <w:rPr>
                <w:rFonts w:ascii="Arial" w:hAnsi="Arial" w:cs="Arial"/>
                <w:noProof/>
                <w:webHidden/>
              </w:rPr>
              <w:fldChar w:fldCharType="separate"/>
            </w:r>
            <w:r w:rsidRPr="00AE2F95">
              <w:rPr>
                <w:rFonts w:ascii="Arial" w:hAnsi="Arial" w:cs="Arial"/>
                <w:noProof/>
                <w:webHidden/>
              </w:rPr>
              <w:t>6</w:t>
            </w:r>
            <w:r w:rsidRPr="00AE2F95">
              <w:rPr>
                <w:rFonts w:ascii="Arial" w:hAnsi="Arial" w:cs="Arial"/>
                <w:noProof/>
                <w:webHidden/>
              </w:rPr>
              <w:fldChar w:fldCharType="end"/>
            </w:r>
          </w:hyperlink>
        </w:p>
        <w:p w14:paraId="476CF5CF" w14:textId="77777777" w:rsidR="008E1FB5" w:rsidRPr="00AE2F95" w:rsidRDefault="008E1FB5">
          <w:pPr>
            <w:pStyle w:val="TOC1"/>
            <w:tabs>
              <w:tab w:val="right" w:leader="dot" w:pos="9350"/>
            </w:tabs>
            <w:rPr>
              <w:rFonts w:ascii="Arial" w:hAnsi="Arial" w:cs="Arial"/>
              <w:noProof/>
            </w:rPr>
          </w:pPr>
          <w:hyperlink w:anchor="_Toc214013661" w:history="1">
            <w:r w:rsidRPr="00AE2F95">
              <w:rPr>
                <w:rStyle w:val="Hyperlink"/>
                <w:rFonts w:ascii="Arial" w:hAnsi="Arial" w:cs="Arial"/>
                <w:noProof/>
              </w:rPr>
              <w:t xml:space="preserve">6. </w:t>
            </w:r>
            <w:r w:rsidRPr="00AE2F95">
              <w:rPr>
                <w:rStyle w:val="Hyperlink"/>
                <w:rFonts w:ascii="Arial" w:eastAsiaTheme="majorEastAsia" w:hAnsi="Arial" w:cs="Arial"/>
                <w:iCs/>
                <w:noProof/>
              </w:rPr>
              <w:t>Debates and Ethical Issues</w:t>
            </w:r>
            <w:r w:rsidRPr="00AE2F95">
              <w:rPr>
                <w:rFonts w:ascii="Arial" w:hAnsi="Arial" w:cs="Arial"/>
                <w:noProof/>
                <w:webHidden/>
              </w:rPr>
              <w:tab/>
            </w:r>
            <w:r w:rsidRPr="00AE2F95">
              <w:rPr>
                <w:rFonts w:ascii="Arial" w:hAnsi="Arial" w:cs="Arial"/>
                <w:noProof/>
                <w:webHidden/>
              </w:rPr>
              <w:fldChar w:fldCharType="begin"/>
            </w:r>
            <w:r w:rsidRPr="00AE2F95">
              <w:rPr>
                <w:rFonts w:ascii="Arial" w:hAnsi="Arial" w:cs="Arial"/>
                <w:noProof/>
                <w:webHidden/>
              </w:rPr>
              <w:instrText xml:space="preserve"> PAGEREF _Toc214013661 \h </w:instrText>
            </w:r>
            <w:r w:rsidRPr="00AE2F95">
              <w:rPr>
                <w:rFonts w:ascii="Arial" w:hAnsi="Arial" w:cs="Arial"/>
                <w:noProof/>
                <w:webHidden/>
              </w:rPr>
            </w:r>
            <w:r w:rsidRPr="00AE2F95">
              <w:rPr>
                <w:rFonts w:ascii="Arial" w:hAnsi="Arial" w:cs="Arial"/>
                <w:noProof/>
                <w:webHidden/>
              </w:rPr>
              <w:fldChar w:fldCharType="separate"/>
            </w:r>
            <w:r w:rsidRPr="00AE2F95">
              <w:rPr>
                <w:rFonts w:ascii="Arial" w:hAnsi="Arial" w:cs="Arial"/>
                <w:noProof/>
                <w:webHidden/>
              </w:rPr>
              <w:t>7</w:t>
            </w:r>
            <w:r w:rsidRPr="00AE2F95">
              <w:rPr>
                <w:rFonts w:ascii="Arial" w:hAnsi="Arial" w:cs="Arial"/>
                <w:noProof/>
                <w:webHidden/>
              </w:rPr>
              <w:fldChar w:fldCharType="end"/>
            </w:r>
          </w:hyperlink>
        </w:p>
        <w:p w14:paraId="3A1ED16E" w14:textId="77777777" w:rsidR="008E1FB5" w:rsidRPr="008E1FB5" w:rsidRDefault="008E1FB5">
          <w:pPr>
            <w:pStyle w:val="TOC1"/>
            <w:tabs>
              <w:tab w:val="right" w:leader="dot" w:pos="9350"/>
            </w:tabs>
            <w:rPr>
              <w:rFonts w:ascii="Arial" w:hAnsi="Arial" w:cs="Arial"/>
              <w:noProof/>
            </w:rPr>
          </w:pPr>
          <w:hyperlink w:anchor="_Toc214013662" w:history="1">
            <w:r w:rsidRPr="00AE2F95">
              <w:rPr>
                <w:rStyle w:val="Hyperlink"/>
                <w:rFonts w:ascii="Arial" w:hAnsi="Arial" w:cs="Arial"/>
                <w:noProof/>
              </w:rPr>
              <w:t xml:space="preserve">7. </w:t>
            </w:r>
            <w:r w:rsidRPr="00AE2F95">
              <w:rPr>
                <w:rStyle w:val="Hyperlink"/>
                <w:rFonts w:ascii="Arial" w:eastAsiaTheme="majorEastAsia" w:hAnsi="Arial" w:cs="Arial"/>
                <w:noProof/>
              </w:rPr>
              <w:t>Recommendations and Conclusion</w:t>
            </w:r>
            <w:r w:rsidRPr="00AE2F95">
              <w:rPr>
                <w:rFonts w:ascii="Arial" w:hAnsi="Arial" w:cs="Arial"/>
                <w:noProof/>
                <w:webHidden/>
              </w:rPr>
              <w:tab/>
            </w:r>
            <w:r w:rsidRPr="00AE2F95">
              <w:rPr>
                <w:rFonts w:ascii="Arial" w:hAnsi="Arial" w:cs="Arial"/>
                <w:noProof/>
                <w:webHidden/>
              </w:rPr>
              <w:fldChar w:fldCharType="begin"/>
            </w:r>
            <w:r w:rsidRPr="00AE2F95">
              <w:rPr>
                <w:rFonts w:ascii="Arial" w:hAnsi="Arial" w:cs="Arial"/>
                <w:noProof/>
                <w:webHidden/>
              </w:rPr>
              <w:instrText xml:space="preserve"> PAGEREF _Toc214013662 \h </w:instrText>
            </w:r>
            <w:r w:rsidRPr="00AE2F95">
              <w:rPr>
                <w:rFonts w:ascii="Arial" w:hAnsi="Arial" w:cs="Arial"/>
                <w:noProof/>
                <w:webHidden/>
              </w:rPr>
            </w:r>
            <w:r w:rsidRPr="00AE2F95">
              <w:rPr>
                <w:rFonts w:ascii="Arial" w:hAnsi="Arial" w:cs="Arial"/>
                <w:noProof/>
                <w:webHidden/>
              </w:rPr>
              <w:fldChar w:fldCharType="separate"/>
            </w:r>
            <w:r w:rsidRPr="00AE2F95">
              <w:rPr>
                <w:rFonts w:ascii="Arial" w:hAnsi="Arial" w:cs="Arial"/>
                <w:noProof/>
                <w:webHidden/>
              </w:rPr>
              <w:t>8</w:t>
            </w:r>
            <w:r w:rsidRPr="00AE2F95">
              <w:rPr>
                <w:rFonts w:ascii="Arial" w:hAnsi="Arial" w:cs="Arial"/>
                <w:noProof/>
                <w:webHidden/>
              </w:rPr>
              <w:fldChar w:fldCharType="end"/>
            </w:r>
          </w:hyperlink>
        </w:p>
        <w:p w14:paraId="12A1BCC4" w14:textId="4B552A86" w:rsidR="008E1FB5" w:rsidRDefault="008E1FB5">
          <w:r w:rsidRPr="008E1FB5">
            <w:rPr>
              <w:rFonts w:ascii="Arial" w:hAnsi="Arial" w:cs="Arial"/>
              <w:b/>
              <w:bCs/>
              <w:noProof/>
            </w:rPr>
            <w:fldChar w:fldCharType="end"/>
          </w:r>
        </w:p>
      </w:sdtContent>
    </w:sdt>
    <w:p w14:paraId="6BFD38E2" w14:textId="77777777" w:rsidR="008929C8" w:rsidRPr="007541F1" w:rsidRDefault="008929C8" w:rsidP="002A6739">
      <w:pPr>
        <w:spacing w:after="160" w:line="278" w:lineRule="auto"/>
        <w:rPr>
          <w:rFonts w:ascii="Arial" w:hAnsi="Arial" w:cs="Arial"/>
          <w:b/>
          <w:sz w:val="22"/>
          <w:szCs w:val="22"/>
        </w:rPr>
      </w:pPr>
      <w:r w:rsidRPr="007541F1">
        <w:rPr>
          <w:rFonts w:ascii="Arial" w:hAnsi="Arial" w:cs="Arial"/>
          <w:sz w:val="22"/>
          <w:szCs w:val="22"/>
        </w:rPr>
        <w:br w:type="page"/>
      </w:r>
    </w:p>
    <w:p w14:paraId="41ACE004" w14:textId="1B3F71CB" w:rsidR="006E4CFB" w:rsidRPr="007E5D9D" w:rsidRDefault="00301954" w:rsidP="008E1FB5">
      <w:pPr>
        <w:pStyle w:val="Heading1"/>
        <w:rPr>
          <w:rFonts w:ascii="Arial" w:hAnsi="Arial" w:cs="Arial"/>
          <w:sz w:val="22"/>
          <w:szCs w:val="22"/>
        </w:rPr>
      </w:pPr>
      <w:bookmarkStart w:id="1" w:name="_Toc214013653"/>
      <w:r w:rsidRPr="007E5D9D">
        <w:rPr>
          <w:rFonts w:ascii="Arial" w:hAnsi="Arial" w:cs="Arial"/>
          <w:sz w:val="22"/>
          <w:szCs w:val="22"/>
        </w:rPr>
        <w:lastRenderedPageBreak/>
        <w:t>Introduction</w:t>
      </w:r>
      <w:bookmarkEnd w:id="1"/>
    </w:p>
    <w:p w14:paraId="7609E71C" w14:textId="15565150" w:rsidR="00F75CDB" w:rsidRPr="007E5D9D" w:rsidRDefault="00D67E68" w:rsidP="002A6739">
      <w:pPr>
        <w:rPr>
          <w:rFonts w:ascii="Arial" w:hAnsi="Arial" w:cs="Arial"/>
          <w:sz w:val="22"/>
          <w:szCs w:val="22"/>
        </w:rPr>
      </w:pPr>
      <w:r w:rsidRPr="007E5D9D">
        <w:rPr>
          <w:rFonts w:ascii="Arial" w:hAnsi="Arial" w:cs="Arial"/>
          <w:sz w:val="22"/>
          <w:szCs w:val="22"/>
        </w:rPr>
        <w:t>Generalised</w:t>
      </w:r>
      <w:r w:rsidR="00F75CDB" w:rsidRPr="007E5D9D">
        <w:rPr>
          <w:rFonts w:ascii="Arial" w:hAnsi="Arial" w:cs="Arial"/>
          <w:sz w:val="22"/>
          <w:szCs w:val="22"/>
        </w:rPr>
        <w:t xml:space="preserve"> Anxiety Disorder (GAD) is considered to be one of the most prevalent mental disorders in the world. It is located in the Chapter 6 of International Classification of Diseases, 11th Revision (ICD-11) as the anxiety and fear-related disorders</w:t>
      </w:r>
      <w:r w:rsidR="007541F1" w:rsidRPr="007E5D9D">
        <w:rPr>
          <w:rFonts w:ascii="Arial" w:hAnsi="Arial" w:cs="Arial"/>
          <w:sz w:val="22"/>
          <w:szCs w:val="22"/>
        </w:rPr>
        <w:t xml:space="preserve"> which is highly common</w:t>
      </w:r>
      <w:r w:rsidR="00DD3AB7" w:rsidRPr="007E5D9D">
        <w:rPr>
          <w:rFonts w:ascii="Arial" w:hAnsi="Arial" w:cs="Arial"/>
          <w:sz w:val="22"/>
          <w:szCs w:val="22"/>
        </w:rPr>
        <w:t xml:space="preserve"> (Mishra &amp; Varma, 2023)</w:t>
      </w:r>
      <w:r w:rsidR="00F75CDB" w:rsidRPr="007E5D9D">
        <w:rPr>
          <w:rFonts w:ascii="Arial" w:hAnsi="Arial" w:cs="Arial"/>
          <w:sz w:val="22"/>
          <w:szCs w:val="22"/>
        </w:rPr>
        <w:t xml:space="preserve">. GAD is </w:t>
      </w:r>
      <w:r w:rsidR="00416286" w:rsidRPr="007E5D9D">
        <w:rPr>
          <w:rFonts w:ascii="Arial" w:hAnsi="Arial" w:cs="Arial"/>
          <w:sz w:val="22"/>
          <w:szCs w:val="22"/>
        </w:rPr>
        <w:t>characterised</w:t>
      </w:r>
      <w:r w:rsidR="00F75CDB" w:rsidRPr="007E5D9D">
        <w:rPr>
          <w:rFonts w:ascii="Arial" w:hAnsi="Arial" w:cs="Arial"/>
          <w:sz w:val="22"/>
          <w:szCs w:val="22"/>
        </w:rPr>
        <w:t xml:space="preserve"> by the feeling of worry that is persistent and excessive and which cannot be easily controlled by people. Physical symptoms that come with it include restlessness, fatigue, muscle tension and difficulties in sleeping</w:t>
      </w:r>
      <w:r w:rsidR="00DD3AB7" w:rsidRPr="007E5D9D">
        <w:rPr>
          <w:rFonts w:ascii="Arial" w:hAnsi="Arial" w:cs="Arial"/>
          <w:sz w:val="22"/>
          <w:szCs w:val="22"/>
        </w:rPr>
        <w:t xml:space="preserve"> (National Institute of Mental Health, 2022)</w:t>
      </w:r>
      <w:r w:rsidR="00F75CDB" w:rsidRPr="007E5D9D">
        <w:rPr>
          <w:rFonts w:ascii="Arial" w:hAnsi="Arial" w:cs="Arial"/>
          <w:sz w:val="22"/>
          <w:szCs w:val="22"/>
        </w:rPr>
        <w:t>. The disorder may affect the normal operations, decrease productivity and lead to a burden on social relationships thus making it a big issue to health systems and the society at large.</w:t>
      </w:r>
    </w:p>
    <w:p w14:paraId="5525F177" w14:textId="6BD04821" w:rsidR="00F75CDB" w:rsidRPr="007E5D9D" w:rsidRDefault="00F75CDB" w:rsidP="002A6739">
      <w:pPr>
        <w:rPr>
          <w:rFonts w:ascii="Arial" w:hAnsi="Arial" w:cs="Arial"/>
          <w:sz w:val="22"/>
          <w:szCs w:val="22"/>
        </w:rPr>
      </w:pPr>
      <w:r w:rsidRPr="007E5D9D">
        <w:rPr>
          <w:rFonts w:ascii="Arial" w:hAnsi="Arial" w:cs="Arial"/>
          <w:sz w:val="22"/>
          <w:szCs w:val="22"/>
        </w:rPr>
        <w:t xml:space="preserve">With this report, the classification, diagnosis, treatment, and rehabilitation of GAD is critically </w:t>
      </w:r>
      <w:r w:rsidR="00DD3AB7" w:rsidRPr="007E5D9D">
        <w:rPr>
          <w:rFonts w:ascii="Arial" w:hAnsi="Arial" w:cs="Arial"/>
          <w:sz w:val="22"/>
          <w:szCs w:val="22"/>
        </w:rPr>
        <w:t>analysed</w:t>
      </w:r>
      <w:r w:rsidRPr="007E5D9D">
        <w:rPr>
          <w:rFonts w:ascii="Arial" w:hAnsi="Arial" w:cs="Arial"/>
          <w:sz w:val="22"/>
          <w:szCs w:val="22"/>
        </w:rPr>
        <w:t>. It takes into account the influence of clinical practice and ethical perspectives on care and the controversies of medicalisation, stigma and person-centred approaches. The report will find effective practices that can help people living with GAD by pointing out evidence-based interventions and the present challenges in mental health practice. The paper concludes by offering recommendations on how service delivery, professional practice and policy can be improved to facilitate holistic recovery and promote mental health.</w:t>
      </w:r>
    </w:p>
    <w:p w14:paraId="2BAD3EEB" w14:textId="77777777" w:rsidR="00F75CDB" w:rsidRPr="007E5D9D" w:rsidRDefault="00F75CDB" w:rsidP="002A6739">
      <w:pPr>
        <w:rPr>
          <w:rFonts w:ascii="Arial" w:hAnsi="Arial" w:cs="Arial"/>
          <w:sz w:val="22"/>
          <w:szCs w:val="22"/>
        </w:rPr>
      </w:pPr>
    </w:p>
    <w:p w14:paraId="30538B4C" w14:textId="77777777" w:rsidR="00F75CDB" w:rsidRPr="007E5D9D" w:rsidRDefault="00F75CDB" w:rsidP="002A6739">
      <w:pPr>
        <w:pStyle w:val="Heading1"/>
        <w:rPr>
          <w:rFonts w:ascii="Arial" w:hAnsi="Arial" w:cs="Arial"/>
          <w:sz w:val="22"/>
          <w:szCs w:val="22"/>
        </w:rPr>
      </w:pPr>
      <w:bookmarkStart w:id="2" w:name="_Toc214013654"/>
      <w:r w:rsidRPr="007E5D9D">
        <w:rPr>
          <w:rFonts w:ascii="Arial" w:hAnsi="Arial" w:cs="Arial"/>
          <w:sz w:val="22"/>
          <w:szCs w:val="22"/>
        </w:rPr>
        <w:t xml:space="preserve">2. </w:t>
      </w:r>
      <w:r w:rsidRPr="007E5D9D">
        <w:rPr>
          <w:rStyle w:val="Heading2Char"/>
          <w:rFonts w:ascii="Arial" w:hAnsi="Arial" w:cs="Arial"/>
          <w:sz w:val="22"/>
          <w:szCs w:val="22"/>
        </w:rPr>
        <w:t>Classification</w:t>
      </w:r>
      <w:bookmarkEnd w:id="2"/>
    </w:p>
    <w:p w14:paraId="25F8140E" w14:textId="063C4F46" w:rsidR="00301954" w:rsidRPr="007E5D9D" w:rsidRDefault="00416286" w:rsidP="002A6739">
      <w:pPr>
        <w:rPr>
          <w:rFonts w:ascii="Arial" w:hAnsi="Arial" w:cs="Arial"/>
          <w:sz w:val="22"/>
          <w:szCs w:val="22"/>
        </w:rPr>
      </w:pPr>
      <w:r w:rsidRPr="007E5D9D">
        <w:rPr>
          <w:rFonts w:ascii="Arial" w:hAnsi="Arial" w:cs="Arial"/>
          <w:sz w:val="22"/>
          <w:szCs w:val="22"/>
        </w:rPr>
        <w:t>Generalised</w:t>
      </w:r>
      <w:r w:rsidR="00F75CDB" w:rsidRPr="007E5D9D">
        <w:rPr>
          <w:rFonts w:ascii="Arial" w:hAnsi="Arial" w:cs="Arial"/>
          <w:sz w:val="22"/>
          <w:szCs w:val="22"/>
        </w:rPr>
        <w:t xml:space="preserve"> Anxiety Disorder (GAD) is codified in the International Classification of Diseases, 11 th</w:t>
      </w:r>
      <w:r w:rsidR="00DD3AB7" w:rsidRPr="007E5D9D">
        <w:rPr>
          <w:rFonts w:ascii="Arial" w:hAnsi="Arial" w:cs="Arial"/>
          <w:sz w:val="22"/>
          <w:szCs w:val="22"/>
        </w:rPr>
        <w:t>e</w:t>
      </w:r>
      <w:r w:rsidR="00F75CDB" w:rsidRPr="007E5D9D">
        <w:rPr>
          <w:rFonts w:ascii="Arial" w:hAnsi="Arial" w:cs="Arial"/>
          <w:sz w:val="22"/>
          <w:szCs w:val="22"/>
        </w:rPr>
        <w:t xml:space="preserve"> Revision (ICD-11) in the group of Anxiety or Fear-Related Disorders</w:t>
      </w:r>
      <w:r w:rsidR="00134463" w:rsidRPr="007E5D9D">
        <w:rPr>
          <w:rFonts w:ascii="Arial" w:hAnsi="Arial" w:cs="Arial"/>
          <w:sz w:val="22"/>
          <w:szCs w:val="22"/>
        </w:rPr>
        <w:t xml:space="preserve"> (Kogan et al., 2016)</w:t>
      </w:r>
      <w:r w:rsidR="00F75CDB" w:rsidRPr="007E5D9D">
        <w:rPr>
          <w:rFonts w:ascii="Arial" w:hAnsi="Arial" w:cs="Arial"/>
          <w:sz w:val="22"/>
          <w:szCs w:val="22"/>
        </w:rPr>
        <w:t>. The ICD-11 defines the GAD as excessive worry and anxiety about numerous daily events, which occur at least several days a week, and at least over several months. The symptoms are restlessness, muscle tension, fatigue, lack of concentration in mind, irritability, and sleep disorders. This anxiety does not involve specific objects or situations as is the case with phobic disorders.</w:t>
      </w:r>
    </w:p>
    <w:p w14:paraId="23C63516" w14:textId="6613A327" w:rsidR="00F75CDB" w:rsidRPr="007E5D9D" w:rsidRDefault="00F75CDB" w:rsidP="002A6739">
      <w:pPr>
        <w:rPr>
          <w:rFonts w:ascii="Arial" w:hAnsi="Arial" w:cs="Arial"/>
          <w:sz w:val="22"/>
          <w:szCs w:val="22"/>
        </w:rPr>
      </w:pPr>
      <w:r w:rsidRPr="007E5D9D">
        <w:rPr>
          <w:rFonts w:ascii="Arial" w:hAnsi="Arial" w:cs="Arial"/>
          <w:sz w:val="22"/>
          <w:szCs w:val="22"/>
        </w:rPr>
        <w:t xml:space="preserve">On the same note, </w:t>
      </w:r>
      <w:r w:rsidR="008254F2" w:rsidRPr="007E5D9D">
        <w:rPr>
          <w:rFonts w:ascii="Arial" w:hAnsi="Arial" w:cs="Arial"/>
          <w:sz w:val="22"/>
          <w:szCs w:val="22"/>
        </w:rPr>
        <w:t>Generalised</w:t>
      </w:r>
      <w:r w:rsidRPr="007E5D9D">
        <w:rPr>
          <w:rFonts w:ascii="Arial" w:hAnsi="Arial" w:cs="Arial"/>
          <w:sz w:val="22"/>
          <w:szCs w:val="22"/>
        </w:rPr>
        <w:t xml:space="preserve"> Anxiety Disorder (GAD) is another category of an anxiety disorder in the Diagnostic and Statistical Manual of Mental Disorders, Fifth Edition (DSM-5). Its main characteristics are the same as those in ICD-11, and DSM-5 has two requirements: the symptoms should be at least six months long and the individual should not be able to control his or her worry</w:t>
      </w:r>
      <w:r w:rsidR="00134463" w:rsidRPr="007E5D9D">
        <w:rPr>
          <w:rFonts w:ascii="Arial" w:hAnsi="Arial" w:cs="Arial"/>
          <w:sz w:val="22"/>
          <w:szCs w:val="22"/>
        </w:rPr>
        <w:t xml:space="preserve"> (</w:t>
      </w:r>
      <w:proofErr w:type="spellStart"/>
      <w:r w:rsidR="00134463" w:rsidRPr="007E5D9D">
        <w:rPr>
          <w:rFonts w:ascii="Arial" w:hAnsi="Arial" w:cs="Arial"/>
          <w:sz w:val="22"/>
          <w:szCs w:val="22"/>
        </w:rPr>
        <w:t>Munir</w:t>
      </w:r>
      <w:proofErr w:type="spellEnd"/>
      <w:r w:rsidR="00134463" w:rsidRPr="007E5D9D">
        <w:rPr>
          <w:rFonts w:ascii="Arial" w:hAnsi="Arial" w:cs="Arial"/>
          <w:sz w:val="22"/>
          <w:szCs w:val="22"/>
        </w:rPr>
        <w:t xml:space="preserve"> &amp; </w:t>
      </w:r>
      <w:proofErr w:type="spellStart"/>
      <w:r w:rsidR="00134463" w:rsidRPr="007E5D9D">
        <w:rPr>
          <w:rFonts w:ascii="Arial" w:hAnsi="Arial" w:cs="Arial"/>
          <w:sz w:val="22"/>
          <w:szCs w:val="22"/>
        </w:rPr>
        <w:t>Takov</w:t>
      </w:r>
      <w:proofErr w:type="spellEnd"/>
      <w:r w:rsidR="00134463" w:rsidRPr="007E5D9D">
        <w:rPr>
          <w:rFonts w:ascii="Arial" w:hAnsi="Arial" w:cs="Arial"/>
          <w:sz w:val="22"/>
          <w:szCs w:val="22"/>
        </w:rPr>
        <w:t>, 2022)</w:t>
      </w:r>
      <w:r w:rsidRPr="007E5D9D">
        <w:rPr>
          <w:rFonts w:ascii="Arial" w:hAnsi="Arial" w:cs="Arial"/>
          <w:sz w:val="22"/>
          <w:szCs w:val="22"/>
        </w:rPr>
        <w:t>. The two systems have similar overlap on diagnosis, but ICD-11 makes the criteria simpler with the emphasis on global relevance and functional impairment. Conversely, DSM 5 maintains a symptom checklist in detail, which is used primarily in clinical practice in North America.</w:t>
      </w:r>
    </w:p>
    <w:p w14:paraId="05EF5693" w14:textId="5E6CEDA5" w:rsidR="00F75CDB" w:rsidRPr="007E5D9D" w:rsidRDefault="00F75CDB" w:rsidP="002A6739">
      <w:pPr>
        <w:rPr>
          <w:rFonts w:ascii="Arial" w:hAnsi="Arial" w:cs="Arial"/>
          <w:sz w:val="22"/>
          <w:szCs w:val="22"/>
        </w:rPr>
      </w:pPr>
      <w:r w:rsidRPr="007E5D9D">
        <w:rPr>
          <w:rFonts w:ascii="Arial" w:hAnsi="Arial" w:cs="Arial"/>
          <w:sz w:val="22"/>
          <w:szCs w:val="22"/>
        </w:rPr>
        <w:lastRenderedPageBreak/>
        <w:t>ICD-11 and DSM-5 are classification systems that have critical functions. They provide a standard language to the clinicians, maintain consistency in research, and assist in the guidance of a treatment plan. However, it is said that their ability to over-label individuals, cultural bias, and disregard of other social and contextual causes that might lead to mental distress</w:t>
      </w:r>
      <w:r w:rsidR="00134463" w:rsidRPr="007E5D9D">
        <w:rPr>
          <w:rFonts w:ascii="Arial" w:hAnsi="Arial" w:cs="Arial"/>
          <w:sz w:val="22"/>
          <w:szCs w:val="22"/>
        </w:rPr>
        <w:t xml:space="preserve"> (</w:t>
      </w:r>
      <w:proofErr w:type="spellStart"/>
      <w:r w:rsidR="00134463" w:rsidRPr="007E5D9D">
        <w:rPr>
          <w:rFonts w:ascii="Arial" w:hAnsi="Arial" w:cs="Arial"/>
          <w:sz w:val="22"/>
          <w:szCs w:val="22"/>
        </w:rPr>
        <w:t>Niwlikar</w:t>
      </w:r>
      <w:proofErr w:type="spellEnd"/>
      <w:r w:rsidR="00134463" w:rsidRPr="007E5D9D">
        <w:rPr>
          <w:rFonts w:ascii="Arial" w:hAnsi="Arial" w:cs="Arial"/>
          <w:sz w:val="22"/>
          <w:szCs w:val="22"/>
        </w:rPr>
        <w:t>, 2025)</w:t>
      </w:r>
      <w:r w:rsidRPr="007E5D9D">
        <w:rPr>
          <w:rFonts w:ascii="Arial" w:hAnsi="Arial" w:cs="Arial"/>
          <w:sz w:val="22"/>
          <w:szCs w:val="22"/>
        </w:rPr>
        <w:t xml:space="preserve">. The biopsychosocial model helps </w:t>
      </w:r>
      <w:r w:rsidR="00134463" w:rsidRPr="007E5D9D">
        <w:rPr>
          <w:rFonts w:ascii="Arial" w:hAnsi="Arial" w:cs="Arial"/>
          <w:sz w:val="22"/>
          <w:szCs w:val="22"/>
        </w:rPr>
        <w:t>to</w:t>
      </w:r>
      <w:r w:rsidRPr="007E5D9D">
        <w:rPr>
          <w:rFonts w:ascii="Arial" w:hAnsi="Arial" w:cs="Arial"/>
          <w:sz w:val="22"/>
          <w:szCs w:val="22"/>
        </w:rPr>
        <w:t xml:space="preserve"> not forget that neurochemical or genetic factors</w:t>
      </w:r>
      <w:r w:rsidR="00134463" w:rsidRPr="007E5D9D">
        <w:rPr>
          <w:rFonts w:ascii="Arial" w:hAnsi="Arial" w:cs="Arial"/>
          <w:sz w:val="22"/>
          <w:szCs w:val="22"/>
        </w:rPr>
        <w:t xml:space="preserve"> that</w:t>
      </w:r>
      <w:r w:rsidRPr="007E5D9D">
        <w:rPr>
          <w:rFonts w:ascii="Arial" w:hAnsi="Arial" w:cs="Arial"/>
          <w:sz w:val="22"/>
          <w:szCs w:val="22"/>
        </w:rPr>
        <w:t xml:space="preserve"> are not the only contributors to anxiety, there are thoughts and environmental stress and socioeconomic pressures too. Due to this, despite the fact that a clear diagnosis helps the treatment, it needs to be used in a sensitive manner to the background and culture of every individual in order to offer an all-inclusive, person-centred care.</w:t>
      </w:r>
    </w:p>
    <w:p w14:paraId="49D9071D" w14:textId="77777777" w:rsidR="00F75CDB" w:rsidRPr="007E5D9D" w:rsidRDefault="00F75CDB" w:rsidP="002A6739">
      <w:pPr>
        <w:rPr>
          <w:rFonts w:ascii="Arial" w:hAnsi="Arial" w:cs="Arial"/>
          <w:sz w:val="22"/>
          <w:szCs w:val="22"/>
        </w:rPr>
      </w:pPr>
    </w:p>
    <w:p w14:paraId="25F2C8D7" w14:textId="77777777" w:rsidR="00F75CDB" w:rsidRPr="007E5D9D" w:rsidRDefault="00F75CDB" w:rsidP="002A6739">
      <w:pPr>
        <w:pStyle w:val="Heading1"/>
        <w:rPr>
          <w:rStyle w:val="Heading3Char"/>
          <w:rFonts w:ascii="Arial" w:hAnsi="Arial" w:cs="Arial"/>
          <w:sz w:val="22"/>
          <w:szCs w:val="22"/>
        </w:rPr>
      </w:pPr>
      <w:bookmarkStart w:id="3" w:name="_Toc214013655"/>
      <w:r w:rsidRPr="007E5D9D">
        <w:rPr>
          <w:rFonts w:ascii="Arial" w:hAnsi="Arial" w:cs="Arial"/>
          <w:sz w:val="22"/>
          <w:szCs w:val="22"/>
        </w:rPr>
        <w:t>3</w:t>
      </w:r>
      <w:r w:rsidRPr="007E5D9D">
        <w:rPr>
          <w:rStyle w:val="Heading3Char"/>
          <w:rFonts w:ascii="Arial" w:hAnsi="Arial" w:cs="Arial"/>
          <w:sz w:val="22"/>
          <w:szCs w:val="22"/>
        </w:rPr>
        <w:t>. Diagnosis</w:t>
      </w:r>
      <w:bookmarkEnd w:id="3"/>
    </w:p>
    <w:p w14:paraId="740353F5" w14:textId="7D5B517A" w:rsidR="00F75CDB" w:rsidRPr="007E5D9D" w:rsidRDefault="008254F2" w:rsidP="002A6739">
      <w:pPr>
        <w:rPr>
          <w:rFonts w:ascii="Arial" w:hAnsi="Arial" w:cs="Arial"/>
          <w:sz w:val="22"/>
          <w:szCs w:val="22"/>
        </w:rPr>
      </w:pPr>
      <w:r w:rsidRPr="007E5D9D">
        <w:rPr>
          <w:rFonts w:ascii="Arial" w:hAnsi="Arial" w:cs="Arial"/>
          <w:sz w:val="22"/>
          <w:szCs w:val="22"/>
        </w:rPr>
        <w:t>Generalised</w:t>
      </w:r>
      <w:r w:rsidR="00F75CDB" w:rsidRPr="007E5D9D">
        <w:rPr>
          <w:rFonts w:ascii="Arial" w:hAnsi="Arial" w:cs="Arial"/>
          <w:sz w:val="22"/>
          <w:szCs w:val="22"/>
        </w:rPr>
        <w:t xml:space="preserve"> Anxiety Disorder (GAD) needs a comprehensive clinical evaluation to examine the nature, duration and the impact of symptoms. The ICD-11 suggests that a patient should receive a diagnosis when they are worried about multiple areas of his or her life on a daily basis and this fear is not going away after several months. Several symptoms associated with the anxiety are always accompanied by physical traits, which may include restlessness, fatigue, muscle stiffness, and disturbed sleep</w:t>
      </w:r>
      <w:r w:rsidR="00134463" w:rsidRPr="007E5D9D">
        <w:rPr>
          <w:rFonts w:ascii="Arial" w:hAnsi="Arial" w:cs="Arial"/>
          <w:sz w:val="22"/>
          <w:szCs w:val="22"/>
        </w:rPr>
        <w:t xml:space="preserve"> (World Health Organization, 2025)</w:t>
      </w:r>
      <w:r w:rsidR="00F75CDB" w:rsidRPr="007E5D9D">
        <w:rPr>
          <w:rFonts w:ascii="Arial" w:hAnsi="Arial" w:cs="Arial"/>
          <w:sz w:val="22"/>
          <w:szCs w:val="22"/>
        </w:rPr>
        <w:t>. To gather the detailed histories, assess the impact of the anxiety on the daily functioning, and eliminate other mental or medical issues that could be the reason behind the symptoms, clinicians typically perform structured or semi-structured interviews.</w:t>
      </w:r>
    </w:p>
    <w:p w14:paraId="2E81C1C6" w14:textId="17123D67" w:rsidR="00F75CDB" w:rsidRPr="007E5D9D" w:rsidRDefault="00F75CDB" w:rsidP="002A6739">
      <w:pPr>
        <w:rPr>
          <w:rFonts w:ascii="Arial" w:hAnsi="Arial" w:cs="Arial"/>
          <w:sz w:val="22"/>
          <w:szCs w:val="22"/>
        </w:rPr>
      </w:pPr>
      <w:r w:rsidRPr="007E5D9D">
        <w:rPr>
          <w:rFonts w:ascii="Arial" w:hAnsi="Arial" w:cs="Arial"/>
          <w:sz w:val="22"/>
          <w:szCs w:val="22"/>
        </w:rPr>
        <w:t xml:space="preserve">Diagnostic judgement is often supported with the help of standardised screening instruments. </w:t>
      </w:r>
      <w:r w:rsidR="00AB0E5A" w:rsidRPr="007E5D9D">
        <w:rPr>
          <w:rFonts w:ascii="Arial" w:hAnsi="Arial" w:cs="Arial"/>
          <w:sz w:val="22"/>
          <w:szCs w:val="22"/>
        </w:rPr>
        <w:t>Generalised</w:t>
      </w:r>
      <w:r w:rsidRPr="007E5D9D">
        <w:rPr>
          <w:rFonts w:ascii="Arial" w:hAnsi="Arial" w:cs="Arial"/>
          <w:sz w:val="22"/>
          <w:szCs w:val="22"/>
        </w:rPr>
        <w:t xml:space="preserve"> Anxiety Disorders- 7 (GAD-7) questionnaire is a short and self-reported questionnaire designed to measure the level of anxiety and monitor the effects of </w:t>
      </w:r>
      <w:r w:rsidR="00641EE9" w:rsidRPr="007E5D9D">
        <w:rPr>
          <w:rFonts w:ascii="Arial" w:hAnsi="Arial" w:cs="Arial"/>
          <w:sz w:val="22"/>
          <w:szCs w:val="22"/>
        </w:rPr>
        <w:t>treatment (Plummer et al., 2016)</w:t>
      </w:r>
      <w:r w:rsidRPr="007E5D9D">
        <w:rPr>
          <w:rFonts w:ascii="Arial" w:hAnsi="Arial" w:cs="Arial"/>
          <w:sz w:val="22"/>
          <w:szCs w:val="22"/>
        </w:rPr>
        <w:t>. The Hamilton Anxiety Rating Scale (HAM-A) provides both the psychological and the physical symptoms insight that a</w:t>
      </w:r>
      <w:r w:rsidR="00D72CBA" w:rsidRPr="007E5D9D">
        <w:rPr>
          <w:rFonts w:ascii="Arial" w:hAnsi="Arial" w:cs="Arial"/>
          <w:sz w:val="22"/>
          <w:szCs w:val="22"/>
        </w:rPr>
        <w:t>re clinician-rated. T</w:t>
      </w:r>
      <w:r w:rsidRPr="007E5D9D">
        <w:rPr>
          <w:rFonts w:ascii="Arial" w:hAnsi="Arial" w:cs="Arial"/>
          <w:sz w:val="22"/>
          <w:szCs w:val="22"/>
        </w:rPr>
        <w:t>hese scales en</w:t>
      </w:r>
      <w:r w:rsidR="00D72CBA" w:rsidRPr="007E5D9D">
        <w:rPr>
          <w:rFonts w:ascii="Arial" w:hAnsi="Arial" w:cs="Arial"/>
          <w:sz w:val="22"/>
          <w:szCs w:val="22"/>
        </w:rPr>
        <w:t xml:space="preserve">hance reliability, </w:t>
      </w:r>
      <w:r w:rsidRPr="007E5D9D">
        <w:rPr>
          <w:rFonts w:ascii="Arial" w:hAnsi="Arial" w:cs="Arial"/>
          <w:sz w:val="22"/>
          <w:szCs w:val="22"/>
        </w:rPr>
        <w:t>alongside an effective clinical assessment.</w:t>
      </w:r>
    </w:p>
    <w:p w14:paraId="145CB7E9" w14:textId="65868C0F" w:rsidR="00F75CDB" w:rsidRPr="007E5D9D" w:rsidRDefault="00F75CDB" w:rsidP="002A6739">
      <w:pPr>
        <w:rPr>
          <w:rFonts w:ascii="Arial" w:hAnsi="Arial" w:cs="Arial"/>
          <w:sz w:val="22"/>
          <w:szCs w:val="22"/>
        </w:rPr>
      </w:pPr>
      <w:r w:rsidRPr="007E5D9D">
        <w:rPr>
          <w:rFonts w:ascii="Arial" w:hAnsi="Arial" w:cs="Arial"/>
          <w:sz w:val="22"/>
          <w:szCs w:val="22"/>
        </w:rPr>
        <w:t xml:space="preserve">A number of problems disrupt proper diagnosis. Anxiety symptoms tend to be similar to depression, normal stress responses and physical illness, which further </w:t>
      </w:r>
      <w:r w:rsidR="00C3365E" w:rsidRPr="007E5D9D">
        <w:rPr>
          <w:rFonts w:ascii="Arial" w:hAnsi="Arial" w:cs="Arial"/>
          <w:sz w:val="22"/>
          <w:szCs w:val="22"/>
        </w:rPr>
        <w:t>pose</w:t>
      </w:r>
      <w:r w:rsidRPr="007E5D9D">
        <w:rPr>
          <w:rFonts w:ascii="Arial" w:hAnsi="Arial" w:cs="Arial"/>
          <w:sz w:val="22"/>
          <w:szCs w:val="22"/>
        </w:rPr>
        <w:t xml:space="preserve"> the risk of being misdiagnosed or </w:t>
      </w:r>
      <w:r w:rsidR="00F1441E" w:rsidRPr="007E5D9D">
        <w:rPr>
          <w:rFonts w:ascii="Arial" w:hAnsi="Arial" w:cs="Arial"/>
          <w:sz w:val="22"/>
          <w:szCs w:val="22"/>
        </w:rPr>
        <w:t>under-recognised</w:t>
      </w:r>
      <w:r w:rsidRPr="007E5D9D">
        <w:rPr>
          <w:rFonts w:ascii="Arial" w:hAnsi="Arial" w:cs="Arial"/>
          <w:sz w:val="22"/>
          <w:szCs w:val="22"/>
        </w:rPr>
        <w:t>. The expression of distress also depends on the culture: there are individuals who report primarily physical symptoms, and those who focus on cognitive worry. Such disparities bring up the issue of cultural validity of diagnostic criteria</w:t>
      </w:r>
      <w:r w:rsidR="00641EE9" w:rsidRPr="007E5D9D">
        <w:rPr>
          <w:rFonts w:ascii="Arial" w:hAnsi="Arial" w:cs="Arial"/>
          <w:sz w:val="22"/>
          <w:szCs w:val="22"/>
        </w:rPr>
        <w:t xml:space="preserve"> (</w:t>
      </w:r>
      <w:proofErr w:type="gramStart"/>
      <w:r w:rsidR="00641EE9" w:rsidRPr="007E5D9D">
        <w:rPr>
          <w:rFonts w:ascii="Arial" w:hAnsi="Arial" w:cs="Arial"/>
          <w:sz w:val="22"/>
          <w:szCs w:val="22"/>
        </w:rPr>
        <w:t>Kaiser &amp;</w:t>
      </w:r>
      <w:proofErr w:type="gramEnd"/>
      <w:r w:rsidR="00641EE9" w:rsidRPr="007E5D9D">
        <w:rPr>
          <w:rFonts w:ascii="Arial" w:hAnsi="Arial" w:cs="Arial"/>
          <w:sz w:val="22"/>
          <w:szCs w:val="22"/>
        </w:rPr>
        <w:t xml:space="preserve"> Jo Weaver, 2019)</w:t>
      </w:r>
      <w:r w:rsidRPr="007E5D9D">
        <w:rPr>
          <w:rFonts w:ascii="Arial" w:hAnsi="Arial" w:cs="Arial"/>
          <w:sz w:val="22"/>
          <w:szCs w:val="22"/>
        </w:rPr>
        <w:t>.</w:t>
      </w:r>
    </w:p>
    <w:p w14:paraId="0656A4D3" w14:textId="19A829F1" w:rsidR="00F75CDB" w:rsidRPr="007E5D9D" w:rsidRDefault="00F75CDB" w:rsidP="002A6739">
      <w:pPr>
        <w:rPr>
          <w:rFonts w:ascii="Arial" w:hAnsi="Arial" w:cs="Arial"/>
          <w:sz w:val="22"/>
          <w:szCs w:val="22"/>
        </w:rPr>
      </w:pPr>
      <w:r w:rsidRPr="007E5D9D">
        <w:rPr>
          <w:rFonts w:ascii="Arial" w:hAnsi="Arial" w:cs="Arial"/>
          <w:sz w:val="22"/>
          <w:szCs w:val="22"/>
        </w:rPr>
        <w:t xml:space="preserve">Ethical problems are also presented during diagnosis. </w:t>
      </w:r>
      <w:r w:rsidR="00641EE9" w:rsidRPr="007E5D9D">
        <w:rPr>
          <w:rFonts w:ascii="Arial" w:hAnsi="Arial" w:cs="Arial"/>
          <w:sz w:val="22"/>
          <w:szCs w:val="22"/>
        </w:rPr>
        <w:t>Labelling</w:t>
      </w:r>
      <w:r w:rsidRPr="007E5D9D">
        <w:rPr>
          <w:rFonts w:ascii="Arial" w:hAnsi="Arial" w:cs="Arial"/>
          <w:sz w:val="22"/>
          <w:szCs w:val="22"/>
        </w:rPr>
        <w:t xml:space="preserve"> may cause self-stigma and self-stereotyping and medicalising normal worry may </w:t>
      </w:r>
      <w:r w:rsidR="00641EE9" w:rsidRPr="007E5D9D">
        <w:rPr>
          <w:rFonts w:ascii="Arial" w:hAnsi="Arial" w:cs="Arial"/>
          <w:sz w:val="22"/>
          <w:szCs w:val="22"/>
        </w:rPr>
        <w:t>pathologies</w:t>
      </w:r>
      <w:r w:rsidRPr="007E5D9D">
        <w:rPr>
          <w:rFonts w:ascii="Arial" w:hAnsi="Arial" w:cs="Arial"/>
          <w:sz w:val="22"/>
          <w:szCs w:val="22"/>
        </w:rPr>
        <w:t xml:space="preserve"> normal stressors</w:t>
      </w:r>
      <w:r w:rsidR="00641EE9" w:rsidRPr="007E5D9D">
        <w:rPr>
          <w:rFonts w:ascii="Arial" w:hAnsi="Arial" w:cs="Arial"/>
          <w:sz w:val="22"/>
          <w:szCs w:val="22"/>
        </w:rPr>
        <w:t xml:space="preserve"> (</w:t>
      </w:r>
      <w:proofErr w:type="spellStart"/>
      <w:r w:rsidR="00641EE9" w:rsidRPr="007E5D9D">
        <w:rPr>
          <w:rFonts w:ascii="Arial" w:hAnsi="Arial" w:cs="Arial"/>
          <w:sz w:val="22"/>
          <w:szCs w:val="22"/>
        </w:rPr>
        <w:t>Galderisi</w:t>
      </w:r>
      <w:proofErr w:type="spellEnd"/>
      <w:r w:rsidR="00641EE9" w:rsidRPr="007E5D9D">
        <w:rPr>
          <w:rFonts w:ascii="Arial" w:hAnsi="Arial" w:cs="Arial"/>
          <w:sz w:val="22"/>
          <w:szCs w:val="22"/>
        </w:rPr>
        <w:t xml:space="preserve"> et al., </w:t>
      </w:r>
      <w:r w:rsidR="00641EE9" w:rsidRPr="007E5D9D">
        <w:rPr>
          <w:rFonts w:ascii="Arial" w:hAnsi="Arial" w:cs="Arial"/>
          <w:sz w:val="22"/>
          <w:szCs w:val="22"/>
        </w:rPr>
        <w:lastRenderedPageBreak/>
        <w:t>2024)</w:t>
      </w:r>
      <w:r w:rsidRPr="007E5D9D">
        <w:rPr>
          <w:rFonts w:ascii="Arial" w:hAnsi="Arial" w:cs="Arial"/>
          <w:sz w:val="22"/>
          <w:szCs w:val="22"/>
        </w:rPr>
        <w:t>. On the other hand, false diagnosis can deprive individuals of assistance. There are still arguments regarding whether or not GAD is over-diagnosed in high-income contexts but under-diagnosed in marginalised or non-Western contexts</w:t>
      </w:r>
      <w:r w:rsidR="0029656D" w:rsidRPr="007E5D9D">
        <w:rPr>
          <w:rFonts w:ascii="Arial" w:hAnsi="Arial" w:cs="Arial"/>
          <w:sz w:val="22"/>
          <w:szCs w:val="22"/>
        </w:rPr>
        <w:t xml:space="preserve"> (Singh et al., 2018)</w:t>
      </w:r>
      <w:r w:rsidRPr="007E5D9D">
        <w:rPr>
          <w:rFonts w:ascii="Arial" w:hAnsi="Arial" w:cs="Arial"/>
          <w:sz w:val="22"/>
          <w:szCs w:val="22"/>
        </w:rPr>
        <w:t>. In order to maintain fairness and accuracy in mental-health practice, a balanced, culturally sensitive, person-centred approach is necessary.</w:t>
      </w:r>
    </w:p>
    <w:p w14:paraId="44FDE933" w14:textId="77777777" w:rsidR="00F75CDB" w:rsidRPr="007E5D9D" w:rsidRDefault="00F75CDB" w:rsidP="002A6739">
      <w:pPr>
        <w:rPr>
          <w:rFonts w:ascii="Arial" w:hAnsi="Arial" w:cs="Arial"/>
          <w:sz w:val="22"/>
          <w:szCs w:val="22"/>
        </w:rPr>
      </w:pPr>
    </w:p>
    <w:p w14:paraId="5BE82C5B" w14:textId="77777777" w:rsidR="00F75CDB" w:rsidRPr="007E5D9D" w:rsidRDefault="00F75CDB" w:rsidP="002A6739">
      <w:pPr>
        <w:pStyle w:val="Heading1"/>
        <w:rPr>
          <w:rStyle w:val="Heading4Char"/>
          <w:rFonts w:ascii="Arial" w:hAnsi="Arial" w:cs="Arial"/>
          <w:sz w:val="22"/>
          <w:szCs w:val="22"/>
        </w:rPr>
      </w:pPr>
      <w:bookmarkStart w:id="4" w:name="_Toc214013656"/>
      <w:r w:rsidRPr="007E5D9D">
        <w:rPr>
          <w:rFonts w:ascii="Arial" w:hAnsi="Arial" w:cs="Arial"/>
          <w:sz w:val="22"/>
          <w:szCs w:val="22"/>
        </w:rPr>
        <w:t xml:space="preserve">4. </w:t>
      </w:r>
      <w:r w:rsidRPr="007E5D9D">
        <w:rPr>
          <w:rStyle w:val="Heading4Char"/>
          <w:rFonts w:ascii="Arial" w:hAnsi="Arial" w:cs="Arial"/>
          <w:sz w:val="22"/>
          <w:szCs w:val="22"/>
        </w:rPr>
        <w:t>Treatment</w:t>
      </w:r>
      <w:bookmarkEnd w:id="4"/>
    </w:p>
    <w:p w14:paraId="17D90146" w14:textId="55901CA8" w:rsidR="00F75CDB" w:rsidRPr="007E5D9D" w:rsidRDefault="00F75CDB" w:rsidP="002A6739">
      <w:pPr>
        <w:rPr>
          <w:rFonts w:ascii="Arial" w:hAnsi="Arial" w:cs="Arial"/>
          <w:sz w:val="22"/>
          <w:szCs w:val="22"/>
        </w:rPr>
      </w:pPr>
      <w:r w:rsidRPr="007E5D9D">
        <w:rPr>
          <w:rFonts w:ascii="Arial" w:hAnsi="Arial" w:cs="Arial"/>
          <w:sz w:val="22"/>
          <w:szCs w:val="22"/>
        </w:rPr>
        <w:t>The interventions depend on the severity of the symptoms, preferences of the patients, and the functional needs</w:t>
      </w:r>
      <w:r w:rsidR="00190FA8" w:rsidRPr="007E5D9D">
        <w:rPr>
          <w:rFonts w:ascii="Arial" w:hAnsi="Arial" w:cs="Arial"/>
          <w:sz w:val="22"/>
          <w:szCs w:val="22"/>
        </w:rPr>
        <w:t xml:space="preserve"> </w:t>
      </w:r>
      <w:r w:rsidR="005945A4" w:rsidRPr="007E5D9D">
        <w:rPr>
          <w:rFonts w:ascii="Arial" w:hAnsi="Arial" w:cs="Arial"/>
          <w:sz w:val="22"/>
          <w:szCs w:val="22"/>
        </w:rPr>
        <w:t>(Newman et al., 2022)</w:t>
      </w:r>
      <w:r w:rsidRPr="007E5D9D">
        <w:rPr>
          <w:rFonts w:ascii="Arial" w:hAnsi="Arial" w:cs="Arial"/>
          <w:sz w:val="22"/>
          <w:szCs w:val="22"/>
        </w:rPr>
        <w:t>. National Institute of Health and Care Excellence (NICE, 2020) supports stepped-care approach at the beginning of which is low-intensity psychological therapy followed by medication or specialist treatment when necessary.</w:t>
      </w:r>
    </w:p>
    <w:p w14:paraId="153BD498" w14:textId="77777777" w:rsidR="00F75CDB" w:rsidRPr="007E5D9D" w:rsidRDefault="00F75CDB" w:rsidP="002A6739">
      <w:pPr>
        <w:rPr>
          <w:rFonts w:ascii="Arial" w:hAnsi="Arial" w:cs="Arial"/>
          <w:sz w:val="22"/>
          <w:szCs w:val="22"/>
        </w:rPr>
      </w:pPr>
    </w:p>
    <w:p w14:paraId="3ABB3464" w14:textId="636AEE31" w:rsidR="00F75CDB" w:rsidRPr="007E5D9D" w:rsidRDefault="00F75CDB" w:rsidP="002A6739">
      <w:pPr>
        <w:pStyle w:val="Heading2"/>
        <w:rPr>
          <w:rFonts w:ascii="Arial" w:hAnsi="Arial" w:cs="Arial"/>
          <w:sz w:val="22"/>
          <w:szCs w:val="22"/>
        </w:rPr>
      </w:pPr>
      <w:bookmarkStart w:id="5" w:name="_Toc214013657"/>
      <w:r w:rsidRPr="007E5D9D">
        <w:rPr>
          <w:rFonts w:ascii="Arial" w:hAnsi="Arial" w:cs="Arial"/>
          <w:sz w:val="22"/>
          <w:szCs w:val="22"/>
        </w:rPr>
        <w:t>Pharmacological Treatments</w:t>
      </w:r>
      <w:bookmarkEnd w:id="5"/>
    </w:p>
    <w:p w14:paraId="3AD5AB2F" w14:textId="7CC543D0" w:rsidR="00F75CDB" w:rsidRPr="007E5D9D" w:rsidRDefault="00F75CDB" w:rsidP="002A6739">
      <w:pPr>
        <w:rPr>
          <w:rFonts w:ascii="Arial" w:hAnsi="Arial" w:cs="Arial"/>
          <w:sz w:val="22"/>
          <w:szCs w:val="22"/>
        </w:rPr>
      </w:pPr>
      <w:r w:rsidRPr="007E5D9D">
        <w:rPr>
          <w:rFonts w:ascii="Arial" w:hAnsi="Arial" w:cs="Arial"/>
          <w:sz w:val="22"/>
          <w:szCs w:val="22"/>
        </w:rPr>
        <w:t>Selective serotonin reuptake inhibitors (SSRI) including sertraline and escitalopram can be used as first-line medications. They increase serotonin concentrations and are effective in emotional and physical symptoms of anxiety.  In cases where SSRIs fail or are intolerable, serotonin-norepinephrine reuptake inhibitors (SNRIs) can be considered, e.g. duloxetine and venlafaxine.  The benzodiazepines have a rapid effect and are not recommended as long-term medications due to the development of dependence and cognitive impairment</w:t>
      </w:r>
      <w:r w:rsidR="00190FA8" w:rsidRPr="007E5D9D">
        <w:rPr>
          <w:rFonts w:ascii="Arial" w:hAnsi="Arial" w:cs="Arial"/>
          <w:sz w:val="22"/>
          <w:szCs w:val="22"/>
        </w:rPr>
        <w:t xml:space="preserve"> (</w:t>
      </w:r>
      <w:proofErr w:type="spellStart"/>
      <w:r w:rsidR="00190FA8" w:rsidRPr="007E5D9D">
        <w:rPr>
          <w:rFonts w:ascii="Arial" w:hAnsi="Arial" w:cs="Arial"/>
          <w:sz w:val="22"/>
          <w:szCs w:val="22"/>
        </w:rPr>
        <w:t>Edinoff</w:t>
      </w:r>
      <w:proofErr w:type="spellEnd"/>
      <w:r w:rsidR="00190FA8" w:rsidRPr="007E5D9D">
        <w:rPr>
          <w:rFonts w:ascii="Arial" w:hAnsi="Arial" w:cs="Arial"/>
          <w:sz w:val="22"/>
          <w:szCs w:val="22"/>
        </w:rPr>
        <w:t xml:space="preserve"> et al., 2021)</w:t>
      </w:r>
      <w:r w:rsidRPr="007E5D9D">
        <w:rPr>
          <w:rFonts w:ascii="Arial" w:hAnsi="Arial" w:cs="Arial"/>
          <w:sz w:val="22"/>
          <w:szCs w:val="22"/>
        </w:rPr>
        <w:t xml:space="preserve">.  Symptoms can be managed by </w:t>
      </w:r>
      <w:r w:rsidR="005945A4" w:rsidRPr="007E5D9D">
        <w:rPr>
          <w:rFonts w:ascii="Arial" w:hAnsi="Arial" w:cs="Arial"/>
          <w:sz w:val="22"/>
          <w:szCs w:val="22"/>
        </w:rPr>
        <w:t>medication;</w:t>
      </w:r>
      <w:r w:rsidRPr="007E5D9D">
        <w:rPr>
          <w:rFonts w:ascii="Arial" w:hAnsi="Arial" w:cs="Arial"/>
          <w:sz w:val="22"/>
          <w:szCs w:val="22"/>
        </w:rPr>
        <w:t xml:space="preserve"> </w:t>
      </w:r>
      <w:r w:rsidR="00190FA8" w:rsidRPr="007E5D9D">
        <w:rPr>
          <w:rFonts w:ascii="Arial" w:hAnsi="Arial" w:cs="Arial"/>
          <w:sz w:val="22"/>
          <w:szCs w:val="22"/>
        </w:rPr>
        <w:t>however,</w:t>
      </w:r>
      <w:r w:rsidRPr="007E5D9D">
        <w:rPr>
          <w:rFonts w:ascii="Arial" w:hAnsi="Arial" w:cs="Arial"/>
          <w:sz w:val="22"/>
          <w:szCs w:val="22"/>
        </w:rPr>
        <w:t xml:space="preserve"> they do not usually target the thoughts and </w:t>
      </w:r>
      <w:r w:rsidR="00190FA8" w:rsidRPr="007E5D9D">
        <w:rPr>
          <w:rFonts w:ascii="Arial" w:hAnsi="Arial" w:cs="Arial"/>
          <w:sz w:val="22"/>
          <w:szCs w:val="22"/>
        </w:rPr>
        <w:t>behaviours</w:t>
      </w:r>
      <w:r w:rsidRPr="007E5D9D">
        <w:rPr>
          <w:rFonts w:ascii="Arial" w:hAnsi="Arial" w:cs="Arial"/>
          <w:sz w:val="22"/>
          <w:szCs w:val="22"/>
        </w:rPr>
        <w:t xml:space="preserve"> that persist in causing the anxiety, and they also have side effects that decrease adherence.</w:t>
      </w:r>
    </w:p>
    <w:p w14:paraId="3214EF29" w14:textId="77777777" w:rsidR="00F75CDB" w:rsidRPr="007E5D9D" w:rsidRDefault="00F75CDB" w:rsidP="002A6739">
      <w:pPr>
        <w:rPr>
          <w:rFonts w:ascii="Arial" w:hAnsi="Arial" w:cs="Arial"/>
          <w:sz w:val="22"/>
          <w:szCs w:val="22"/>
        </w:rPr>
      </w:pPr>
    </w:p>
    <w:p w14:paraId="6827BD80" w14:textId="77777777" w:rsidR="00F75CDB" w:rsidRPr="007E5D9D" w:rsidRDefault="00F75CDB" w:rsidP="002A6739">
      <w:pPr>
        <w:pStyle w:val="Heading2"/>
        <w:rPr>
          <w:rFonts w:ascii="Arial" w:hAnsi="Arial" w:cs="Arial"/>
          <w:sz w:val="22"/>
          <w:szCs w:val="22"/>
        </w:rPr>
      </w:pPr>
      <w:bookmarkStart w:id="6" w:name="_Toc214013658"/>
      <w:r w:rsidRPr="007E5D9D">
        <w:rPr>
          <w:rFonts w:ascii="Arial" w:hAnsi="Arial" w:cs="Arial"/>
          <w:sz w:val="22"/>
          <w:szCs w:val="22"/>
        </w:rPr>
        <w:t>Psychological Treatments</w:t>
      </w:r>
      <w:bookmarkEnd w:id="6"/>
    </w:p>
    <w:p w14:paraId="5BF05701" w14:textId="29B5C0CD" w:rsidR="00F75CDB" w:rsidRPr="007E5D9D" w:rsidRDefault="00F75CDB" w:rsidP="002A6739">
      <w:pPr>
        <w:rPr>
          <w:rFonts w:ascii="Arial" w:hAnsi="Arial" w:cs="Arial"/>
          <w:sz w:val="22"/>
          <w:szCs w:val="22"/>
          <w:lang w:val="en-US"/>
        </w:rPr>
      </w:pPr>
      <w:r w:rsidRPr="007E5D9D">
        <w:rPr>
          <w:rFonts w:ascii="Arial" w:hAnsi="Arial" w:cs="Arial"/>
          <w:sz w:val="22"/>
          <w:szCs w:val="22"/>
        </w:rPr>
        <w:t xml:space="preserve">It has been evidenced that cognitive-behavioural therapy (CBT) is the best psychological therapy in </w:t>
      </w:r>
      <w:r w:rsidR="00041BCF" w:rsidRPr="007E5D9D">
        <w:rPr>
          <w:rFonts w:ascii="Arial" w:hAnsi="Arial" w:cs="Arial"/>
          <w:sz w:val="22"/>
          <w:szCs w:val="22"/>
        </w:rPr>
        <w:t>generalised</w:t>
      </w:r>
      <w:r w:rsidRPr="007E5D9D">
        <w:rPr>
          <w:rFonts w:ascii="Arial" w:hAnsi="Arial" w:cs="Arial"/>
          <w:sz w:val="22"/>
          <w:szCs w:val="22"/>
        </w:rPr>
        <w:t xml:space="preserve"> anxiety disorder.  CBT assists the patients in identifying and disputing the unhelpful thought patterns and avoidance </w:t>
      </w:r>
      <w:r w:rsidR="00190FA8" w:rsidRPr="007E5D9D">
        <w:rPr>
          <w:rFonts w:ascii="Arial" w:hAnsi="Arial" w:cs="Arial"/>
          <w:sz w:val="22"/>
          <w:szCs w:val="22"/>
        </w:rPr>
        <w:t>behaviour</w:t>
      </w:r>
      <w:r w:rsidRPr="007E5D9D">
        <w:rPr>
          <w:rFonts w:ascii="Arial" w:hAnsi="Arial" w:cs="Arial"/>
          <w:sz w:val="22"/>
          <w:szCs w:val="22"/>
        </w:rPr>
        <w:t xml:space="preserve"> to enhance thinking and control of emotions.  Mindfulness-based cognitive therapy (MBCT) and acceptance-and-commitment therapy (ACT) are helpful alternatives and that would help to promote non-judgmental awareness of anxious thoughts and take action in accordance with values</w:t>
      </w:r>
      <w:r w:rsidR="00190FA8" w:rsidRPr="007E5D9D">
        <w:rPr>
          <w:rFonts w:ascii="Arial" w:eastAsia="Times New Roman" w:hAnsi="Arial" w:cs="Arial"/>
          <w:kern w:val="0"/>
          <w:sz w:val="22"/>
          <w:szCs w:val="22"/>
          <w:lang w:val="en-US"/>
          <w14:ligatures w14:val="none"/>
        </w:rPr>
        <w:t xml:space="preserve"> </w:t>
      </w:r>
      <w:r w:rsidR="00190FA8" w:rsidRPr="007E5D9D">
        <w:rPr>
          <w:rFonts w:ascii="Arial" w:hAnsi="Arial" w:cs="Arial"/>
          <w:sz w:val="22"/>
          <w:szCs w:val="22"/>
          <w:lang w:val="en-US"/>
        </w:rPr>
        <w:t>(</w:t>
      </w:r>
      <w:proofErr w:type="spellStart"/>
      <w:r w:rsidR="00190FA8" w:rsidRPr="007E5D9D">
        <w:rPr>
          <w:rFonts w:ascii="Arial" w:hAnsi="Arial" w:cs="Arial"/>
          <w:sz w:val="22"/>
          <w:szCs w:val="22"/>
          <w:lang w:val="en-US"/>
        </w:rPr>
        <w:t>Seshadri</w:t>
      </w:r>
      <w:proofErr w:type="spellEnd"/>
      <w:r w:rsidR="00190FA8" w:rsidRPr="007E5D9D">
        <w:rPr>
          <w:rFonts w:ascii="Arial" w:hAnsi="Arial" w:cs="Arial"/>
          <w:sz w:val="22"/>
          <w:szCs w:val="22"/>
          <w:lang w:val="en-US"/>
        </w:rPr>
        <w:t xml:space="preserve"> et al., 2021)</w:t>
      </w:r>
      <w:r w:rsidRPr="007E5D9D">
        <w:rPr>
          <w:rFonts w:ascii="Arial" w:hAnsi="Arial" w:cs="Arial"/>
          <w:sz w:val="22"/>
          <w:szCs w:val="22"/>
        </w:rPr>
        <w:t xml:space="preserve">.  Cochrane reviews and meta-analyses reveal that CBT is as effective as medication in the long-term results or even higher, particularly when used with relaxation and </w:t>
      </w:r>
      <w:proofErr w:type="spellStart"/>
      <w:r w:rsidR="003D1B55" w:rsidRPr="007E5D9D">
        <w:rPr>
          <w:rFonts w:ascii="Arial" w:hAnsi="Arial" w:cs="Arial"/>
          <w:sz w:val="22"/>
          <w:szCs w:val="22"/>
        </w:rPr>
        <w:t>psycheducation</w:t>
      </w:r>
      <w:proofErr w:type="spellEnd"/>
      <w:r w:rsidRPr="007E5D9D">
        <w:rPr>
          <w:rFonts w:ascii="Arial" w:hAnsi="Arial" w:cs="Arial"/>
          <w:sz w:val="22"/>
          <w:szCs w:val="22"/>
        </w:rPr>
        <w:t>.</w:t>
      </w:r>
    </w:p>
    <w:p w14:paraId="2E469D87" w14:textId="77777777" w:rsidR="00F75CDB" w:rsidRPr="007E5D9D" w:rsidRDefault="00F75CDB" w:rsidP="002A6739">
      <w:pPr>
        <w:rPr>
          <w:rFonts w:ascii="Arial" w:hAnsi="Arial" w:cs="Arial"/>
          <w:sz w:val="22"/>
          <w:szCs w:val="22"/>
        </w:rPr>
      </w:pPr>
    </w:p>
    <w:p w14:paraId="7DFC48E4" w14:textId="77777777" w:rsidR="00D57EA3" w:rsidRPr="007E5D9D" w:rsidRDefault="00D57EA3" w:rsidP="002A6739">
      <w:pPr>
        <w:pStyle w:val="Heading2"/>
        <w:rPr>
          <w:rFonts w:ascii="Arial" w:hAnsi="Arial" w:cs="Arial"/>
          <w:sz w:val="22"/>
          <w:szCs w:val="22"/>
        </w:rPr>
      </w:pPr>
    </w:p>
    <w:p w14:paraId="6616078D" w14:textId="77777777" w:rsidR="00F75CDB" w:rsidRPr="007E5D9D" w:rsidRDefault="00F75CDB" w:rsidP="002A6739">
      <w:pPr>
        <w:pStyle w:val="Heading2"/>
        <w:rPr>
          <w:rFonts w:ascii="Arial" w:hAnsi="Arial" w:cs="Arial"/>
          <w:sz w:val="22"/>
          <w:szCs w:val="22"/>
        </w:rPr>
      </w:pPr>
      <w:bookmarkStart w:id="7" w:name="_Toc214013659"/>
      <w:proofErr w:type="gramStart"/>
      <w:r w:rsidRPr="007E5D9D">
        <w:rPr>
          <w:rFonts w:ascii="Arial" w:hAnsi="Arial" w:cs="Arial"/>
          <w:sz w:val="22"/>
          <w:szCs w:val="22"/>
        </w:rPr>
        <w:lastRenderedPageBreak/>
        <w:t>Comparative Effectiveness and Ethics.</w:t>
      </w:r>
      <w:bookmarkEnd w:id="7"/>
      <w:proofErr w:type="gramEnd"/>
    </w:p>
    <w:p w14:paraId="3F173F2A" w14:textId="5BD1F8AE" w:rsidR="00F75CDB" w:rsidRPr="007E5D9D" w:rsidRDefault="00F75CDB" w:rsidP="002A6739">
      <w:pPr>
        <w:rPr>
          <w:rFonts w:ascii="Arial" w:hAnsi="Arial" w:cs="Arial"/>
          <w:sz w:val="22"/>
          <w:szCs w:val="22"/>
        </w:rPr>
      </w:pPr>
      <w:r w:rsidRPr="007E5D9D">
        <w:rPr>
          <w:rFonts w:ascii="Arial" w:hAnsi="Arial" w:cs="Arial"/>
          <w:sz w:val="22"/>
          <w:szCs w:val="22"/>
        </w:rPr>
        <w:t>Although drugs provide immediate symptom relief, psychological interventions provide a permanent recovery because they focus on the thoughts behind anxiety</w:t>
      </w:r>
      <w:r w:rsidR="00190FA8" w:rsidRPr="007E5D9D">
        <w:rPr>
          <w:rFonts w:ascii="Arial" w:hAnsi="Arial" w:cs="Arial"/>
          <w:sz w:val="22"/>
          <w:szCs w:val="22"/>
        </w:rPr>
        <w:t xml:space="preserve"> (SAMHSA, 2023)</w:t>
      </w:r>
      <w:r w:rsidRPr="007E5D9D">
        <w:rPr>
          <w:rFonts w:ascii="Arial" w:hAnsi="Arial" w:cs="Arial"/>
          <w:sz w:val="22"/>
          <w:szCs w:val="22"/>
        </w:rPr>
        <w:t>.  The use of medication together with CBT tends to have the most positive outcome.  Nevertheless, some individuals might have obstacles to care, including long NHS waiting lists, socioeconomic disparities, and cultural stigma, among others, and thus, many do not receive psychological assistance.</w:t>
      </w:r>
      <w:r w:rsidR="00190FA8" w:rsidRPr="007E5D9D">
        <w:rPr>
          <w:rFonts w:ascii="Arial" w:hAnsi="Arial" w:cs="Arial"/>
          <w:sz w:val="22"/>
          <w:szCs w:val="22"/>
        </w:rPr>
        <w:t xml:space="preserve"> </w:t>
      </w:r>
      <w:r w:rsidRPr="007E5D9D">
        <w:rPr>
          <w:rFonts w:ascii="Arial" w:hAnsi="Arial" w:cs="Arial"/>
          <w:sz w:val="22"/>
          <w:szCs w:val="22"/>
        </w:rPr>
        <w:t xml:space="preserve">Ethically, patient autonomy needs to be respected and informed consent obtained.  Patients need to be part of the </w:t>
      </w:r>
      <w:r w:rsidR="00190FA8" w:rsidRPr="007E5D9D">
        <w:rPr>
          <w:rFonts w:ascii="Arial" w:hAnsi="Arial" w:cs="Arial"/>
          <w:sz w:val="22"/>
          <w:szCs w:val="22"/>
        </w:rPr>
        <w:t>decision-making</w:t>
      </w:r>
      <w:r w:rsidRPr="007E5D9D">
        <w:rPr>
          <w:rFonts w:ascii="Arial" w:hAnsi="Arial" w:cs="Arial"/>
          <w:sz w:val="22"/>
          <w:szCs w:val="22"/>
        </w:rPr>
        <w:t xml:space="preserve"> process and this can only be achieved through clinical professionals explaining the pros and cons to them</w:t>
      </w:r>
      <w:r w:rsidR="00190FA8" w:rsidRPr="007E5D9D">
        <w:rPr>
          <w:rFonts w:ascii="Arial" w:hAnsi="Arial" w:cs="Arial"/>
          <w:sz w:val="22"/>
          <w:szCs w:val="22"/>
        </w:rPr>
        <w:t xml:space="preserve"> (Pugh, 2020)</w:t>
      </w:r>
      <w:r w:rsidRPr="007E5D9D">
        <w:rPr>
          <w:rFonts w:ascii="Arial" w:hAnsi="Arial" w:cs="Arial"/>
          <w:sz w:val="22"/>
          <w:szCs w:val="22"/>
        </w:rPr>
        <w:t>.  Patient choice, cultural sensitivity, and open communication contribute to the creation of more equitable and person-centred mental health care and are supported.</w:t>
      </w:r>
    </w:p>
    <w:p w14:paraId="6755F92D" w14:textId="77777777" w:rsidR="003D1B55" w:rsidRPr="007E5D9D" w:rsidRDefault="003D1B55" w:rsidP="002A6739">
      <w:pPr>
        <w:pStyle w:val="Heading1"/>
        <w:rPr>
          <w:rFonts w:ascii="Arial" w:hAnsi="Arial" w:cs="Arial"/>
          <w:sz w:val="22"/>
          <w:szCs w:val="22"/>
        </w:rPr>
      </w:pPr>
    </w:p>
    <w:p w14:paraId="77D7F53B" w14:textId="1FF77158" w:rsidR="00F75CDB" w:rsidRPr="007E5D9D" w:rsidRDefault="00F75CDB" w:rsidP="002A6739">
      <w:pPr>
        <w:pStyle w:val="Heading1"/>
        <w:rPr>
          <w:rFonts w:ascii="Arial" w:hAnsi="Arial" w:cs="Arial"/>
          <w:sz w:val="22"/>
          <w:szCs w:val="22"/>
        </w:rPr>
      </w:pPr>
      <w:bookmarkStart w:id="8" w:name="_Toc214013660"/>
      <w:r w:rsidRPr="007E5D9D">
        <w:rPr>
          <w:rFonts w:ascii="Arial" w:hAnsi="Arial" w:cs="Arial"/>
          <w:sz w:val="22"/>
          <w:szCs w:val="22"/>
        </w:rPr>
        <w:t xml:space="preserve">5. </w:t>
      </w:r>
      <w:r w:rsidRPr="007E5D9D">
        <w:rPr>
          <w:rStyle w:val="Heading5Char"/>
          <w:rFonts w:ascii="Arial" w:hAnsi="Arial" w:cs="Arial"/>
          <w:sz w:val="22"/>
          <w:szCs w:val="22"/>
        </w:rPr>
        <w:t>Rehabilitation</w:t>
      </w:r>
      <w:bookmarkEnd w:id="8"/>
    </w:p>
    <w:p w14:paraId="4F985F1A" w14:textId="748AC216" w:rsidR="003F3BDD" w:rsidRPr="007E5D9D" w:rsidRDefault="003F3BDD" w:rsidP="002A6739">
      <w:pPr>
        <w:rPr>
          <w:rFonts w:ascii="Arial" w:hAnsi="Arial" w:cs="Arial"/>
          <w:sz w:val="22"/>
          <w:szCs w:val="22"/>
        </w:rPr>
      </w:pPr>
      <w:r w:rsidRPr="007E5D9D">
        <w:rPr>
          <w:rFonts w:ascii="Arial" w:hAnsi="Arial" w:cs="Arial"/>
          <w:sz w:val="22"/>
          <w:szCs w:val="22"/>
        </w:rPr>
        <w:t xml:space="preserve">Treatment of individuals with </w:t>
      </w:r>
      <w:r w:rsidR="00041BCF" w:rsidRPr="007E5D9D">
        <w:rPr>
          <w:rFonts w:ascii="Arial" w:hAnsi="Arial" w:cs="Arial"/>
          <w:sz w:val="22"/>
          <w:szCs w:val="22"/>
        </w:rPr>
        <w:t>Generalised</w:t>
      </w:r>
      <w:r w:rsidRPr="007E5D9D">
        <w:rPr>
          <w:rFonts w:ascii="Arial" w:hAnsi="Arial" w:cs="Arial"/>
          <w:sz w:val="22"/>
          <w:szCs w:val="22"/>
        </w:rPr>
        <w:t xml:space="preserve"> Anxiety Disorder (GAD) extends beyond symptom control. It strives to make them well again, become independent and become a part of their community</w:t>
      </w:r>
      <w:r w:rsidR="00190FA8" w:rsidRPr="007E5D9D">
        <w:rPr>
          <w:rFonts w:ascii="Arial" w:hAnsi="Arial" w:cs="Arial"/>
          <w:sz w:val="22"/>
          <w:szCs w:val="22"/>
        </w:rPr>
        <w:t xml:space="preserve"> (Newman et al., 2022b)</w:t>
      </w:r>
      <w:r w:rsidRPr="007E5D9D">
        <w:rPr>
          <w:rFonts w:ascii="Arial" w:hAnsi="Arial" w:cs="Arial"/>
          <w:sz w:val="22"/>
          <w:szCs w:val="22"/>
        </w:rPr>
        <w:t>. An individualistic approach is important. It is concerned with the strengths of the individual, coping skills and on personal recovery goals. Maybe relapse prevention, stress-management strategies, and peer support groups can be included to establish resilience and reduce the likelihood of symptoms reoccurring.</w:t>
      </w:r>
    </w:p>
    <w:p w14:paraId="48C2EDE9" w14:textId="77777777" w:rsidR="003F3BDD" w:rsidRPr="007E5D9D" w:rsidRDefault="003F3BDD" w:rsidP="003D1B55">
      <w:pPr>
        <w:rPr>
          <w:rFonts w:ascii="Arial" w:hAnsi="Arial" w:cs="Arial"/>
          <w:sz w:val="22"/>
          <w:szCs w:val="22"/>
        </w:rPr>
      </w:pPr>
      <w:r w:rsidRPr="007E5D9D">
        <w:rPr>
          <w:rFonts w:ascii="Arial" w:hAnsi="Arial" w:cs="Arial"/>
          <w:sz w:val="22"/>
          <w:szCs w:val="22"/>
        </w:rPr>
        <w:t xml:space="preserve">The key to the long-term recovery is the multidisciplinary support. Social workers assist individuals in locating a place to live, financial resources and local facilities. Occupational therapists help to perform daily activities, increase confidence and help to resume work or school regularly. Mental health nurses provide </w:t>
      </w:r>
      <w:proofErr w:type="spellStart"/>
      <w:r w:rsidRPr="007E5D9D">
        <w:rPr>
          <w:rFonts w:ascii="Arial" w:hAnsi="Arial" w:cs="Arial"/>
          <w:sz w:val="22"/>
          <w:szCs w:val="22"/>
        </w:rPr>
        <w:t>psychoeducation</w:t>
      </w:r>
      <w:proofErr w:type="spellEnd"/>
      <w:r w:rsidRPr="007E5D9D">
        <w:rPr>
          <w:rFonts w:ascii="Arial" w:hAnsi="Arial" w:cs="Arial"/>
          <w:sz w:val="22"/>
          <w:szCs w:val="22"/>
        </w:rPr>
        <w:t xml:space="preserve">, medication, and </w:t>
      </w:r>
      <w:proofErr w:type="spellStart"/>
      <w:r w:rsidRPr="007E5D9D">
        <w:rPr>
          <w:rFonts w:ascii="Arial" w:hAnsi="Arial" w:cs="Arial"/>
          <w:sz w:val="22"/>
          <w:szCs w:val="22"/>
        </w:rPr>
        <w:t>ongoing</w:t>
      </w:r>
      <w:proofErr w:type="spellEnd"/>
      <w:r w:rsidRPr="007E5D9D">
        <w:rPr>
          <w:rFonts w:ascii="Arial" w:hAnsi="Arial" w:cs="Arial"/>
          <w:sz w:val="22"/>
          <w:szCs w:val="22"/>
        </w:rPr>
        <w:t xml:space="preserve"> care. An inter-professional collaboration approach will help meet the needs of the physical, psychological, and social needs jointly.</w:t>
      </w:r>
    </w:p>
    <w:p w14:paraId="6DE4A33F" w14:textId="5F966563" w:rsidR="003F3BDD" w:rsidRPr="007E5D9D" w:rsidRDefault="003F3BDD" w:rsidP="002A6739">
      <w:pPr>
        <w:rPr>
          <w:rFonts w:ascii="Arial" w:hAnsi="Arial" w:cs="Arial"/>
          <w:sz w:val="22"/>
          <w:szCs w:val="22"/>
        </w:rPr>
      </w:pPr>
      <w:r w:rsidRPr="007E5D9D">
        <w:rPr>
          <w:rFonts w:ascii="Arial" w:hAnsi="Arial" w:cs="Arial"/>
          <w:sz w:val="22"/>
          <w:szCs w:val="22"/>
        </w:rPr>
        <w:t xml:space="preserve">Vocational rehabilitation and social inclusions are crucial elements of recovery. Work and goals bring self-esteem and </w:t>
      </w:r>
      <w:r w:rsidR="00041BCF" w:rsidRPr="007E5D9D">
        <w:rPr>
          <w:rFonts w:ascii="Arial" w:hAnsi="Arial" w:cs="Arial"/>
          <w:sz w:val="22"/>
          <w:szCs w:val="22"/>
        </w:rPr>
        <w:t>organisation</w:t>
      </w:r>
      <w:r w:rsidRPr="007E5D9D">
        <w:rPr>
          <w:rFonts w:ascii="Arial" w:hAnsi="Arial" w:cs="Arial"/>
          <w:sz w:val="22"/>
          <w:szCs w:val="22"/>
        </w:rPr>
        <w:t xml:space="preserve"> and this enables individuals to cope with anxiety easily. Family and carer-based</w:t>
      </w:r>
      <w:r w:rsidR="00041BCF" w:rsidRPr="007E5D9D">
        <w:rPr>
          <w:rFonts w:ascii="Arial" w:hAnsi="Arial" w:cs="Arial"/>
          <w:sz w:val="22"/>
          <w:szCs w:val="22"/>
        </w:rPr>
        <w:t xml:space="preserve"> </w:t>
      </w:r>
      <w:proofErr w:type="spellStart"/>
      <w:r w:rsidRPr="007E5D9D">
        <w:rPr>
          <w:rFonts w:ascii="Arial" w:hAnsi="Arial" w:cs="Arial"/>
          <w:sz w:val="22"/>
          <w:szCs w:val="22"/>
        </w:rPr>
        <w:t>psychoeducation</w:t>
      </w:r>
      <w:proofErr w:type="spellEnd"/>
      <w:r w:rsidRPr="007E5D9D">
        <w:rPr>
          <w:rFonts w:ascii="Arial" w:hAnsi="Arial" w:cs="Arial"/>
          <w:sz w:val="22"/>
          <w:szCs w:val="22"/>
        </w:rPr>
        <w:t xml:space="preserve"> </w:t>
      </w:r>
      <w:r w:rsidR="00190FA8" w:rsidRPr="007E5D9D">
        <w:rPr>
          <w:rFonts w:ascii="Arial" w:hAnsi="Arial" w:cs="Arial"/>
          <w:sz w:val="22"/>
          <w:szCs w:val="22"/>
        </w:rPr>
        <w:t>enhance</w:t>
      </w:r>
      <w:r w:rsidRPr="007E5D9D">
        <w:rPr>
          <w:rFonts w:ascii="Arial" w:hAnsi="Arial" w:cs="Arial"/>
          <w:sz w:val="22"/>
          <w:szCs w:val="22"/>
        </w:rPr>
        <w:t xml:space="preserve"> knowledge, fosters empathy, and de-stigmatises. However, the long-term recovery is frequently not achieved due to the lack of employment, social isolation, discrimination, and community resources</w:t>
      </w:r>
      <w:r w:rsidR="00190FA8" w:rsidRPr="007E5D9D">
        <w:rPr>
          <w:rFonts w:ascii="Arial" w:hAnsi="Arial" w:cs="Arial"/>
          <w:sz w:val="22"/>
          <w:szCs w:val="22"/>
        </w:rPr>
        <w:t xml:space="preserve"> (Tessier et al., 2023)</w:t>
      </w:r>
      <w:r w:rsidRPr="007E5D9D">
        <w:rPr>
          <w:rFonts w:ascii="Arial" w:hAnsi="Arial" w:cs="Arial"/>
          <w:sz w:val="22"/>
          <w:szCs w:val="22"/>
        </w:rPr>
        <w:t>. Long-term support is also curtailed by gaps between owing and secondary care.</w:t>
      </w:r>
    </w:p>
    <w:p w14:paraId="6C76B7D3" w14:textId="33C807E1" w:rsidR="00F75CDB" w:rsidRPr="007E5D9D" w:rsidRDefault="003F3BDD" w:rsidP="002A6739">
      <w:pPr>
        <w:rPr>
          <w:rFonts w:ascii="Arial" w:hAnsi="Arial" w:cs="Arial"/>
          <w:sz w:val="22"/>
          <w:szCs w:val="22"/>
          <w:lang w:val="en-US"/>
        </w:rPr>
      </w:pPr>
      <w:r w:rsidRPr="007E5D9D">
        <w:rPr>
          <w:rFonts w:ascii="Arial" w:hAnsi="Arial" w:cs="Arial"/>
          <w:sz w:val="22"/>
          <w:szCs w:val="22"/>
        </w:rPr>
        <w:t xml:space="preserve">According to the </w:t>
      </w:r>
      <w:r w:rsidR="003F7140" w:rsidRPr="007E5D9D">
        <w:rPr>
          <w:rFonts w:ascii="Arial" w:hAnsi="Arial" w:cs="Arial"/>
          <w:sz w:val="22"/>
          <w:szCs w:val="22"/>
          <w:lang w:val="en-US"/>
        </w:rPr>
        <w:t>NHS England (2019)</w:t>
      </w:r>
      <w:r w:rsidRPr="007E5D9D">
        <w:rPr>
          <w:rFonts w:ascii="Arial" w:hAnsi="Arial" w:cs="Arial"/>
          <w:sz w:val="22"/>
          <w:szCs w:val="22"/>
        </w:rPr>
        <w:t xml:space="preserve"> and the Community Mental Health Framework, the accessible, integrated, and localised mental-health services should be based on the recovery-oriented, person-led approach to care. These are the policies that encourage early intervention, </w:t>
      </w:r>
      <w:r w:rsidRPr="007E5D9D">
        <w:rPr>
          <w:rFonts w:ascii="Arial" w:hAnsi="Arial" w:cs="Arial"/>
          <w:sz w:val="22"/>
          <w:szCs w:val="22"/>
        </w:rPr>
        <w:lastRenderedPageBreak/>
        <w:t>digital self-management tools, and community collaboration as a way to enhance the rehabilitation outcomes. Thus, GAD rehabilitation needs to be a system that can empower people, minimize inequality, and provide lifelong recovery based on social inclusion, empowerment, and collaboration amongst the professionals.</w:t>
      </w:r>
    </w:p>
    <w:p w14:paraId="7F0533F7" w14:textId="77777777" w:rsidR="003F3BDD" w:rsidRPr="007E5D9D" w:rsidRDefault="003F3BDD" w:rsidP="002A6739">
      <w:pPr>
        <w:rPr>
          <w:rFonts w:ascii="Arial" w:hAnsi="Arial" w:cs="Arial"/>
          <w:sz w:val="22"/>
          <w:szCs w:val="22"/>
        </w:rPr>
      </w:pPr>
    </w:p>
    <w:p w14:paraId="066771B6" w14:textId="4339A6A0" w:rsidR="003F3BDD" w:rsidRPr="007E5D9D" w:rsidRDefault="003F3BDD" w:rsidP="002A6739">
      <w:pPr>
        <w:pStyle w:val="Heading1"/>
        <w:rPr>
          <w:rFonts w:ascii="Arial" w:hAnsi="Arial" w:cs="Arial"/>
          <w:sz w:val="22"/>
          <w:szCs w:val="22"/>
        </w:rPr>
      </w:pPr>
      <w:bookmarkStart w:id="9" w:name="_Toc214013661"/>
      <w:r w:rsidRPr="007E5D9D">
        <w:rPr>
          <w:rFonts w:ascii="Arial" w:hAnsi="Arial" w:cs="Arial"/>
          <w:sz w:val="22"/>
          <w:szCs w:val="22"/>
        </w:rPr>
        <w:t xml:space="preserve">6. </w:t>
      </w:r>
      <w:r w:rsidRPr="007E5D9D">
        <w:rPr>
          <w:rStyle w:val="Heading6Char"/>
          <w:rFonts w:ascii="Arial" w:hAnsi="Arial" w:cs="Arial"/>
          <w:sz w:val="22"/>
          <w:szCs w:val="22"/>
        </w:rPr>
        <w:t>Debates and Ethical Issues</w:t>
      </w:r>
      <w:bookmarkEnd w:id="9"/>
    </w:p>
    <w:p w14:paraId="4BA62111" w14:textId="03671328" w:rsidR="003F3BDD" w:rsidRPr="007E5D9D" w:rsidRDefault="003F3BDD" w:rsidP="002A6739">
      <w:pPr>
        <w:rPr>
          <w:rFonts w:ascii="Arial" w:hAnsi="Arial" w:cs="Arial"/>
          <w:sz w:val="22"/>
          <w:szCs w:val="22"/>
        </w:rPr>
      </w:pPr>
      <w:r w:rsidRPr="007E5D9D">
        <w:rPr>
          <w:rFonts w:ascii="Arial" w:hAnsi="Arial" w:cs="Arial"/>
          <w:sz w:val="22"/>
          <w:szCs w:val="22"/>
        </w:rPr>
        <w:t xml:space="preserve">The diagnosis and management of the </w:t>
      </w:r>
      <w:r w:rsidR="00041BCF" w:rsidRPr="007E5D9D">
        <w:rPr>
          <w:rFonts w:ascii="Arial" w:hAnsi="Arial" w:cs="Arial"/>
          <w:sz w:val="22"/>
          <w:szCs w:val="22"/>
        </w:rPr>
        <w:t>Generalised</w:t>
      </w:r>
      <w:r w:rsidRPr="007E5D9D">
        <w:rPr>
          <w:rFonts w:ascii="Arial" w:hAnsi="Arial" w:cs="Arial"/>
          <w:sz w:val="22"/>
          <w:szCs w:val="22"/>
        </w:rPr>
        <w:t xml:space="preserve"> Anxiety Disorder (GAD) still </w:t>
      </w:r>
      <w:r w:rsidR="003F7140" w:rsidRPr="007E5D9D">
        <w:rPr>
          <w:rFonts w:ascii="Arial" w:hAnsi="Arial" w:cs="Arial"/>
          <w:sz w:val="22"/>
          <w:szCs w:val="22"/>
        </w:rPr>
        <w:t>remain</w:t>
      </w:r>
      <w:r w:rsidRPr="007E5D9D">
        <w:rPr>
          <w:rFonts w:ascii="Arial" w:hAnsi="Arial" w:cs="Arial"/>
          <w:sz w:val="22"/>
          <w:szCs w:val="22"/>
        </w:rPr>
        <w:t xml:space="preserve"> a highly contested topic in the field of mental health. The conceptualisation of GAD according to the medical model assumes that the disorder is the result of impaired biological or neurochemical processes and that the ideal approach to treating the disorder is to reduce the symptoms by means of medication and treatment</w:t>
      </w:r>
      <w:r w:rsidR="003F7140" w:rsidRPr="007E5D9D">
        <w:rPr>
          <w:rFonts w:ascii="Arial" w:hAnsi="Arial" w:cs="Arial"/>
          <w:sz w:val="22"/>
          <w:szCs w:val="22"/>
        </w:rPr>
        <w:t xml:space="preserve"> (Gautam et al., 2017a)</w:t>
      </w:r>
      <w:r w:rsidRPr="007E5D9D">
        <w:rPr>
          <w:rFonts w:ascii="Arial" w:hAnsi="Arial" w:cs="Arial"/>
          <w:sz w:val="22"/>
          <w:szCs w:val="22"/>
        </w:rPr>
        <w:t>. The social model, in turn, considers anxiety as a reaction to life experiences, environmental stressors, and inequality and recommends a more extensive social change and community-oriented support. The conflict between these two views determines the process of defining, diagnosing, and treating anxiety in healthcare systems.</w:t>
      </w:r>
    </w:p>
    <w:p w14:paraId="6373E3AD" w14:textId="5AB596F3" w:rsidR="003F3BDD" w:rsidRPr="007E5D9D" w:rsidRDefault="003F3BDD" w:rsidP="002A6739">
      <w:pPr>
        <w:rPr>
          <w:rFonts w:ascii="Arial" w:hAnsi="Arial" w:cs="Arial"/>
          <w:sz w:val="22"/>
          <w:szCs w:val="22"/>
        </w:rPr>
      </w:pPr>
      <w:r w:rsidRPr="007E5D9D">
        <w:rPr>
          <w:rFonts w:ascii="Arial" w:hAnsi="Arial" w:cs="Arial"/>
          <w:sz w:val="22"/>
          <w:szCs w:val="22"/>
        </w:rPr>
        <w:t>One of the main arguments is the medicalisation of normal anxiety when everyday stress reactions are being more and more regarded as pathological. Critics</w:t>
      </w:r>
      <w:r w:rsidR="003F7140" w:rsidRPr="007E5D9D">
        <w:rPr>
          <w:rFonts w:ascii="Arial" w:hAnsi="Arial" w:cs="Arial"/>
          <w:sz w:val="22"/>
          <w:szCs w:val="22"/>
        </w:rPr>
        <w:t xml:space="preserve"> like Hofmann (2022)</w:t>
      </w:r>
      <w:r w:rsidRPr="007E5D9D">
        <w:rPr>
          <w:rFonts w:ascii="Arial" w:hAnsi="Arial" w:cs="Arial"/>
          <w:sz w:val="22"/>
          <w:szCs w:val="22"/>
        </w:rPr>
        <w:t xml:space="preserve"> believe that a broader diagnostic frontier is dangerous to over-</w:t>
      </w:r>
      <w:proofErr w:type="spellStart"/>
      <w:r w:rsidRPr="007E5D9D">
        <w:rPr>
          <w:rFonts w:ascii="Arial" w:hAnsi="Arial" w:cs="Arial"/>
          <w:sz w:val="22"/>
          <w:szCs w:val="22"/>
        </w:rPr>
        <w:t>pathologize</w:t>
      </w:r>
      <w:proofErr w:type="spellEnd"/>
      <w:r w:rsidRPr="007E5D9D">
        <w:rPr>
          <w:rFonts w:ascii="Arial" w:hAnsi="Arial" w:cs="Arial"/>
          <w:sz w:val="22"/>
          <w:szCs w:val="22"/>
        </w:rPr>
        <w:t xml:space="preserve"> human feeling, encourage drug dependency, and overlook circumstantial variables, including living in poverty or suffering. On the other hand, proponents of classification argue that medical recognition is a legitimate way of legitimising distress, and enables access to treatment.</w:t>
      </w:r>
    </w:p>
    <w:p w14:paraId="6FF24853" w14:textId="77777777" w:rsidR="003F3BDD" w:rsidRPr="007E5D9D" w:rsidRDefault="003F3BDD" w:rsidP="002A6739">
      <w:pPr>
        <w:rPr>
          <w:rFonts w:ascii="Arial" w:hAnsi="Arial" w:cs="Arial"/>
          <w:sz w:val="22"/>
          <w:szCs w:val="22"/>
        </w:rPr>
      </w:pPr>
    </w:p>
    <w:p w14:paraId="327E6CD5" w14:textId="09225357" w:rsidR="003F3BDD" w:rsidRPr="007E5D9D" w:rsidRDefault="003F3BDD" w:rsidP="002A6739">
      <w:pPr>
        <w:rPr>
          <w:rFonts w:ascii="Arial" w:hAnsi="Arial" w:cs="Arial"/>
          <w:sz w:val="22"/>
          <w:szCs w:val="22"/>
        </w:rPr>
      </w:pPr>
      <w:r w:rsidRPr="007E5D9D">
        <w:rPr>
          <w:rFonts w:ascii="Arial" w:hAnsi="Arial" w:cs="Arial"/>
          <w:sz w:val="22"/>
          <w:szCs w:val="22"/>
        </w:rPr>
        <w:t>There are also cultural differences that make diagnosis difficult. A non-Western individual is likely to exhibit anxiety as somatic headaches or fatigue (rather than cognitive through excessive worry), which is common among those in the West</w:t>
      </w:r>
      <w:r w:rsidR="003F7140" w:rsidRPr="007E5D9D">
        <w:rPr>
          <w:rFonts w:ascii="Arial" w:hAnsi="Arial" w:cs="Arial"/>
          <w:sz w:val="22"/>
          <w:szCs w:val="22"/>
        </w:rPr>
        <w:t xml:space="preserve"> (Kim et al., 2019)</w:t>
      </w:r>
      <w:r w:rsidRPr="007E5D9D">
        <w:rPr>
          <w:rFonts w:ascii="Arial" w:hAnsi="Arial" w:cs="Arial"/>
          <w:sz w:val="22"/>
          <w:szCs w:val="22"/>
        </w:rPr>
        <w:t>. This provokes the problem of cultural bias in diagnostic instruments and the under-identification of anxiety among the minority.</w:t>
      </w:r>
      <w:r w:rsidR="003F7140" w:rsidRPr="007E5D9D">
        <w:rPr>
          <w:rFonts w:ascii="Arial" w:hAnsi="Arial" w:cs="Arial"/>
          <w:sz w:val="22"/>
          <w:szCs w:val="22"/>
        </w:rPr>
        <w:t xml:space="preserve"> </w:t>
      </w:r>
      <w:r w:rsidRPr="007E5D9D">
        <w:rPr>
          <w:rFonts w:ascii="Arial" w:hAnsi="Arial" w:cs="Arial"/>
          <w:sz w:val="22"/>
          <w:szCs w:val="22"/>
        </w:rPr>
        <w:t xml:space="preserve">Ethically, the naming of people with GAD may result in stigma, discrimination, and confidentiality breach, which may discourage people to seek help. Informed consent and autonomy should also be </w:t>
      </w:r>
      <w:proofErr w:type="spellStart"/>
      <w:r w:rsidRPr="007E5D9D">
        <w:rPr>
          <w:rFonts w:ascii="Arial" w:hAnsi="Arial" w:cs="Arial"/>
          <w:sz w:val="22"/>
          <w:szCs w:val="22"/>
        </w:rPr>
        <w:t>honored</w:t>
      </w:r>
      <w:proofErr w:type="spellEnd"/>
      <w:r w:rsidRPr="007E5D9D">
        <w:rPr>
          <w:rFonts w:ascii="Arial" w:hAnsi="Arial" w:cs="Arial"/>
          <w:sz w:val="22"/>
          <w:szCs w:val="22"/>
        </w:rPr>
        <w:t xml:space="preserve"> during the diagnosis and treatment process and people have to have a say as well as make their decisions regarding the care.</w:t>
      </w:r>
    </w:p>
    <w:p w14:paraId="29379FF0" w14:textId="1525D1DA" w:rsidR="003F3BDD" w:rsidRPr="007E5D9D" w:rsidRDefault="003F3BDD" w:rsidP="002A6739">
      <w:pPr>
        <w:rPr>
          <w:rFonts w:ascii="Arial" w:hAnsi="Arial" w:cs="Arial"/>
          <w:sz w:val="22"/>
          <w:szCs w:val="22"/>
        </w:rPr>
      </w:pPr>
      <w:r w:rsidRPr="007E5D9D">
        <w:rPr>
          <w:rFonts w:ascii="Arial" w:hAnsi="Arial" w:cs="Arial"/>
          <w:sz w:val="22"/>
          <w:szCs w:val="22"/>
        </w:rPr>
        <w:t>Empowerment and person-centred care, as well as recovery-oriented services, are highlighted by service-user organisations</w:t>
      </w:r>
      <w:r w:rsidR="003F7140" w:rsidRPr="007E5D9D">
        <w:rPr>
          <w:rFonts w:ascii="Arial" w:hAnsi="Arial" w:cs="Arial"/>
          <w:sz w:val="22"/>
          <w:szCs w:val="22"/>
        </w:rPr>
        <w:t xml:space="preserve"> (Sowers, 2022)</w:t>
      </w:r>
      <w:r w:rsidRPr="007E5D9D">
        <w:rPr>
          <w:rFonts w:ascii="Arial" w:hAnsi="Arial" w:cs="Arial"/>
          <w:sz w:val="22"/>
          <w:szCs w:val="22"/>
        </w:rPr>
        <w:t xml:space="preserve">. They have been championing the end of medicalisation in </w:t>
      </w:r>
      <w:r w:rsidR="00CE7098" w:rsidRPr="007E5D9D">
        <w:rPr>
          <w:rFonts w:ascii="Arial" w:hAnsi="Arial" w:cs="Arial"/>
          <w:sz w:val="22"/>
          <w:szCs w:val="22"/>
        </w:rPr>
        <w:t>favour</w:t>
      </w:r>
      <w:r w:rsidRPr="007E5D9D">
        <w:rPr>
          <w:rFonts w:ascii="Arial" w:hAnsi="Arial" w:cs="Arial"/>
          <w:sz w:val="22"/>
          <w:szCs w:val="22"/>
        </w:rPr>
        <w:t xml:space="preserve"> of practices that embrace lived experience, social inclusion, and dignity as key attributes of ethical and equitable mental health practice.</w:t>
      </w:r>
    </w:p>
    <w:p w14:paraId="1F8B3E8E" w14:textId="77777777" w:rsidR="003D1B55" w:rsidRPr="007E5D9D" w:rsidRDefault="003D1B55" w:rsidP="002A6739">
      <w:pPr>
        <w:pStyle w:val="Heading1"/>
        <w:rPr>
          <w:rFonts w:ascii="Arial" w:hAnsi="Arial" w:cs="Arial"/>
          <w:sz w:val="22"/>
          <w:szCs w:val="22"/>
        </w:rPr>
      </w:pPr>
    </w:p>
    <w:p w14:paraId="748A77EC" w14:textId="78FE2C27" w:rsidR="003F3BDD" w:rsidRPr="007E5D9D" w:rsidRDefault="003F3BDD" w:rsidP="002A6739">
      <w:pPr>
        <w:pStyle w:val="Heading1"/>
        <w:rPr>
          <w:rFonts w:ascii="Arial" w:hAnsi="Arial" w:cs="Arial"/>
          <w:sz w:val="22"/>
          <w:szCs w:val="22"/>
        </w:rPr>
      </w:pPr>
      <w:bookmarkStart w:id="10" w:name="_Toc214013662"/>
      <w:r w:rsidRPr="007E5D9D">
        <w:rPr>
          <w:rFonts w:ascii="Arial" w:hAnsi="Arial" w:cs="Arial"/>
          <w:sz w:val="22"/>
          <w:szCs w:val="22"/>
        </w:rPr>
        <w:t xml:space="preserve">7. </w:t>
      </w:r>
      <w:r w:rsidRPr="007E5D9D">
        <w:rPr>
          <w:rStyle w:val="Heading7Char"/>
          <w:rFonts w:ascii="Arial" w:hAnsi="Arial" w:cs="Arial"/>
          <w:sz w:val="22"/>
          <w:szCs w:val="22"/>
        </w:rPr>
        <w:t>Recommendations and Conclusion</w:t>
      </w:r>
      <w:bookmarkEnd w:id="10"/>
    </w:p>
    <w:p w14:paraId="6BF78F7A" w14:textId="2AFE5DE2" w:rsidR="003F3BDD" w:rsidRPr="007E5D9D" w:rsidRDefault="003F3BDD" w:rsidP="003D1B55">
      <w:pPr>
        <w:rPr>
          <w:rFonts w:ascii="Arial" w:hAnsi="Arial" w:cs="Arial"/>
          <w:sz w:val="22"/>
          <w:szCs w:val="22"/>
        </w:rPr>
      </w:pPr>
      <w:r w:rsidRPr="007E5D9D">
        <w:rPr>
          <w:rFonts w:ascii="Arial" w:hAnsi="Arial" w:cs="Arial"/>
          <w:sz w:val="22"/>
          <w:szCs w:val="22"/>
        </w:rPr>
        <w:t xml:space="preserve">This report has critically </w:t>
      </w:r>
      <w:r w:rsidR="003F7140" w:rsidRPr="007E5D9D">
        <w:rPr>
          <w:rFonts w:ascii="Arial" w:hAnsi="Arial" w:cs="Arial"/>
          <w:sz w:val="22"/>
          <w:szCs w:val="22"/>
        </w:rPr>
        <w:t>analysed</w:t>
      </w:r>
      <w:r w:rsidRPr="007E5D9D">
        <w:rPr>
          <w:rFonts w:ascii="Arial" w:hAnsi="Arial" w:cs="Arial"/>
          <w:sz w:val="22"/>
          <w:szCs w:val="22"/>
        </w:rPr>
        <w:t xml:space="preserve"> the </w:t>
      </w:r>
      <w:r w:rsidR="00CE7098" w:rsidRPr="007E5D9D">
        <w:rPr>
          <w:rFonts w:ascii="Arial" w:hAnsi="Arial" w:cs="Arial"/>
          <w:sz w:val="22"/>
          <w:szCs w:val="22"/>
        </w:rPr>
        <w:t>Generalised</w:t>
      </w:r>
      <w:r w:rsidRPr="007E5D9D">
        <w:rPr>
          <w:rFonts w:ascii="Arial" w:hAnsi="Arial" w:cs="Arial"/>
          <w:sz w:val="22"/>
          <w:szCs w:val="22"/>
        </w:rPr>
        <w:t xml:space="preserve"> Anxiety Disorder (GAD) with respect to ICD-11 with the emphasis on its classification, diagnosis, treatment, and rehabilitation. GAD is considered a long-term and debilitating anxiety disorder that needs an equitable comprehension of biological, psychologic and social elements. Although the classification systems such as ICD-11 and DSM-5 offer clarity in diagnosis, there are concerns regarding the provision of culturally sensitive, accessible, and ethically based care.</w:t>
      </w:r>
    </w:p>
    <w:p w14:paraId="5085CA73" w14:textId="77777777" w:rsidR="003F3BDD" w:rsidRPr="007E5D9D" w:rsidRDefault="003F3BDD" w:rsidP="002A6739">
      <w:pPr>
        <w:rPr>
          <w:rFonts w:ascii="Arial" w:hAnsi="Arial" w:cs="Arial"/>
          <w:sz w:val="22"/>
          <w:szCs w:val="22"/>
        </w:rPr>
      </w:pPr>
      <w:r w:rsidRPr="007E5D9D">
        <w:rPr>
          <w:rFonts w:ascii="Arial" w:hAnsi="Arial" w:cs="Arial"/>
          <w:sz w:val="22"/>
          <w:szCs w:val="22"/>
        </w:rPr>
        <w:t>Based on the recommendations, there are several aspects that should be improved to enhance practice and policy. The first is that primary care screening and diagnosing at an early age should be increased to facilitate early intervention and limit disability in the long run. Second, the services of culturally responsive psychological interventions, specifically Cognitive Behavioural Therapy, should be made more accessible in order to reduce disparities in service access. Third, continuity of care can be promoted by incorporating digital self-help tools and internet resources of CBT which will enable individuals to manage the symptoms independently. Last but not least, the role of anti-stigma programs and peer-led community support programmes in building inclusion and recovery should be strengthened outside clinical environments.</w:t>
      </w:r>
    </w:p>
    <w:p w14:paraId="6E7C4A39" w14:textId="77777777" w:rsidR="00DE7DD0" w:rsidRPr="007E5D9D" w:rsidRDefault="00DE7DD0" w:rsidP="002A6739">
      <w:pPr>
        <w:ind w:firstLine="720"/>
        <w:rPr>
          <w:rFonts w:ascii="Arial" w:hAnsi="Arial" w:cs="Arial"/>
          <w:sz w:val="22"/>
          <w:szCs w:val="22"/>
        </w:rPr>
      </w:pPr>
    </w:p>
    <w:p w14:paraId="76DD976F" w14:textId="3BEBA09B" w:rsidR="00DE7DD0" w:rsidRPr="007E5D9D" w:rsidRDefault="00DE7DD0" w:rsidP="003D1B55">
      <w:pPr>
        <w:spacing w:after="160" w:line="278" w:lineRule="auto"/>
        <w:rPr>
          <w:rFonts w:ascii="Arial" w:hAnsi="Arial" w:cs="Arial"/>
          <w:sz w:val="22"/>
          <w:szCs w:val="22"/>
        </w:rPr>
      </w:pPr>
      <w:r w:rsidRPr="007E5D9D">
        <w:rPr>
          <w:rFonts w:ascii="Arial" w:hAnsi="Arial" w:cs="Arial"/>
          <w:sz w:val="22"/>
          <w:szCs w:val="22"/>
        </w:rPr>
        <w:br w:type="page"/>
      </w:r>
      <w:r w:rsidR="003F3BDD" w:rsidRPr="007E5D9D">
        <w:rPr>
          <w:rFonts w:ascii="Arial" w:hAnsi="Arial" w:cs="Arial"/>
          <w:sz w:val="22"/>
          <w:szCs w:val="22"/>
        </w:rPr>
        <w:lastRenderedPageBreak/>
        <w:t>Finally, a more unified model based on the combination of psychological, social, and ethical views will improve the level and sustainability of GAD care. This would not only facilitate personal healing, but also a caring and inclusive mental health system.</w:t>
      </w:r>
    </w:p>
    <w:p w14:paraId="5CA3C7EE" w14:textId="77777777" w:rsidR="00DE7DD0" w:rsidRPr="007E5D9D" w:rsidRDefault="00DE7DD0" w:rsidP="002A6739">
      <w:pPr>
        <w:spacing w:after="160" w:line="278" w:lineRule="auto"/>
        <w:rPr>
          <w:rFonts w:ascii="Arial" w:hAnsi="Arial" w:cs="Arial"/>
          <w:sz w:val="22"/>
          <w:szCs w:val="22"/>
        </w:rPr>
      </w:pPr>
      <w:r w:rsidRPr="007E5D9D">
        <w:rPr>
          <w:rFonts w:ascii="Arial" w:hAnsi="Arial" w:cs="Arial"/>
          <w:sz w:val="22"/>
          <w:szCs w:val="22"/>
        </w:rPr>
        <w:br w:type="page"/>
      </w:r>
    </w:p>
    <w:p w14:paraId="1239EED9" w14:textId="77777777" w:rsidR="00DE7DD0" w:rsidRPr="007E5D9D" w:rsidRDefault="00DE7DD0" w:rsidP="008E1FB5">
      <w:pPr>
        <w:pStyle w:val="Heading8"/>
        <w:rPr>
          <w:rFonts w:ascii="Arial" w:hAnsi="Arial" w:cs="Arial"/>
          <w:sz w:val="22"/>
          <w:szCs w:val="22"/>
        </w:rPr>
      </w:pPr>
      <w:r w:rsidRPr="007E5D9D">
        <w:rPr>
          <w:rFonts w:ascii="Arial" w:hAnsi="Arial" w:cs="Arial"/>
          <w:sz w:val="22"/>
          <w:szCs w:val="22"/>
        </w:rPr>
        <w:lastRenderedPageBreak/>
        <w:t xml:space="preserve">References </w:t>
      </w:r>
    </w:p>
    <w:p w14:paraId="394BC8B1"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spellStart"/>
      <w:r w:rsidRPr="007E5D9D">
        <w:rPr>
          <w:rFonts w:ascii="Arial" w:hAnsi="Arial" w:cs="Arial"/>
          <w:sz w:val="22"/>
          <w:szCs w:val="22"/>
        </w:rPr>
        <w:t>Edinoff</w:t>
      </w:r>
      <w:proofErr w:type="spellEnd"/>
      <w:r w:rsidRPr="007E5D9D">
        <w:rPr>
          <w:rFonts w:ascii="Arial" w:hAnsi="Arial" w:cs="Arial"/>
          <w:sz w:val="22"/>
          <w:szCs w:val="22"/>
        </w:rPr>
        <w:t xml:space="preserve">, A. N., Nix, C. A., </w:t>
      </w:r>
      <w:proofErr w:type="spellStart"/>
      <w:r w:rsidRPr="007E5D9D">
        <w:rPr>
          <w:rFonts w:ascii="Arial" w:hAnsi="Arial" w:cs="Arial"/>
          <w:sz w:val="22"/>
          <w:szCs w:val="22"/>
        </w:rPr>
        <w:t>Hollier</w:t>
      </w:r>
      <w:proofErr w:type="spellEnd"/>
      <w:r w:rsidRPr="007E5D9D">
        <w:rPr>
          <w:rFonts w:ascii="Arial" w:hAnsi="Arial" w:cs="Arial"/>
          <w:sz w:val="22"/>
          <w:szCs w:val="22"/>
        </w:rPr>
        <w:t xml:space="preserve">, J., </w:t>
      </w:r>
      <w:proofErr w:type="spellStart"/>
      <w:r w:rsidRPr="007E5D9D">
        <w:rPr>
          <w:rFonts w:ascii="Arial" w:hAnsi="Arial" w:cs="Arial"/>
          <w:sz w:val="22"/>
          <w:szCs w:val="22"/>
        </w:rPr>
        <w:t>Sagrera</w:t>
      </w:r>
      <w:proofErr w:type="spellEnd"/>
      <w:r w:rsidRPr="007E5D9D">
        <w:rPr>
          <w:rFonts w:ascii="Arial" w:hAnsi="Arial" w:cs="Arial"/>
          <w:sz w:val="22"/>
          <w:szCs w:val="22"/>
        </w:rPr>
        <w:t xml:space="preserve">, C. E., Delacroix, B. M., </w:t>
      </w:r>
      <w:proofErr w:type="spellStart"/>
      <w:r w:rsidRPr="007E5D9D">
        <w:rPr>
          <w:rFonts w:ascii="Arial" w:hAnsi="Arial" w:cs="Arial"/>
          <w:sz w:val="22"/>
          <w:szCs w:val="22"/>
        </w:rPr>
        <w:t>Abubakar</w:t>
      </w:r>
      <w:proofErr w:type="spellEnd"/>
      <w:r w:rsidRPr="007E5D9D">
        <w:rPr>
          <w:rFonts w:ascii="Arial" w:hAnsi="Arial" w:cs="Arial"/>
          <w:sz w:val="22"/>
          <w:szCs w:val="22"/>
        </w:rPr>
        <w:t xml:space="preserve">, T., Cornett, E. M., Kaye, A. M., &amp; Kaye, A. D. (2021). Benzodiazepines: Uses, dangers, and clinical considerations. </w:t>
      </w:r>
      <w:r w:rsidRPr="007E5D9D">
        <w:rPr>
          <w:rFonts w:ascii="Arial" w:hAnsi="Arial" w:cs="Arial"/>
          <w:i/>
          <w:iCs/>
          <w:sz w:val="22"/>
          <w:szCs w:val="22"/>
        </w:rPr>
        <w:t>Neurology International</w:t>
      </w:r>
      <w:r w:rsidRPr="007E5D9D">
        <w:rPr>
          <w:rFonts w:ascii="Arial" w:hAnsi="Arial" w:cs="Arial"/>
          <w:sz w:val="22"/>
          <w:szCs w:val="22"/>
        </w:rPr>
        <w:t xml:space="preserve">, </w:t>
      </w:r>
      <w:r w:rsidRPr="007E5D9D">
        <w:rPr>
          <w:rFonts w:ascii="Arial" w:hAnsi="Arial" w:cs="Arial"/>
          <w:i/>
          <w:iCs/>
          <w:sz w:val="22"/>
          <w:szCs w:val="22"/>
        </w:rPr>
        <w:t>13</w:t>
      </w:r>
      <w:r w:rsidRPr="007E5D9D">
        <w:rPr>
          <w:rFonts w:ascii="Arial" w:hAnsi="Arial" w:cs="Arial"/>
          <w:sz w:val="22"/>
          <w:szCs w:val="22"/>
        </w:rPr>
        <w:t>(4), 594–607. https://doi.org/10.3390/neurolint13040059</w:t>
      </w:r>
    </w:p>
    <w:p w14:paraId="2B5F030C"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spellStart"/>
      <w:r w:rsidRPr="007E5D9D">
        <w:rPr>
          <w:rFonts w:ascii="Arial" w:hAnsi="Arial" w:cs="Arial"/>
          <w:sz w:val="22"/>
          <w:szCs w:val="22"/>
        </w:rPr>
        <w:t>Galderisi</w:t>
      </w:r>
      <w:proofErr w:type="spellEnd"/>
      <w:r w:rsidRPr="007E5D9D">
        <w:rPr>
          <w:rFonts w:ascii="Arial" w:hAnsi="Arial" w:cs="Arial"/>
          <w:sz w:val="22"/>
          <w:szCs w:val="22"/>
        </w:rPr>
        <w:t xml:space="preserve">, S., </w:t>
      </w:r>
      <w:proofErr w:type="spellStart"/>
      <w:r w:rsidRPr="007E5D9D">
        <w:rPr>
          <w:rFonts w:ascii="Arial" w:hAnsi="Arial" w:cs="Arial"/>
          <w:sz w:val="22"/>
          <w:szCs w:val="22"/>
        </w:rPr>
        <w:t>Appelbaum</w:t>
      </w:r>
      <w:proofErr w:type="spellEnd"/>
      <w:r w:rsidRPr="007E5D9D">
        <w:rPr>
          <w:rFonts w:ascii="Arial" w:hAnsi="Arial" w:cs="Arial"/>
          <w:sz w:val="22"/>
          <w:szCs w:val="22"/>
        </w:rPr>
        <w:t xml:space="preserve">, P. S., Gill, N., Gooding, P., </w:t>
      </w:r>
      <w:proofErr w:type="spellStart"/>
      <w:r w:rsidRPr="007E5D9D">
        <w:rPr>
          <w:rFonts w:ascii="Arial" w:hAnsi="Arial" w:cs="Arial"/>
          <w:sz w:val="22"/>
          <w:szCs w:val="22"/>
        </w:rPr>
        <w:t>Herrman</w:t>
      </w:r>
      <w:proofErr w:type="spellEnd"/>
      <w:r w:rsidRPr="007E5D9D">
        <w:rPr>
          <w:rFonts w:ascii="Arial" w:hAnsi="Arial" w:cs="Arial"/>
          <w:sz w:val="22"/>
          <w:szCs w:val="22"/>
        </w:rPr>
        <w:t xml:space="preserve">, H., </w:t>
      </w:r>
      <w:proofErr w:type="spellStart"/>
      <w:r w:rsidRPr="007E5D9D">
        <w:rPr>
          <w:rFonts w:ascii="Arial" w:hAnsi="Arial" w:cs="Arial"/>
          <w:sz w:val="22"/>
          <w:szCs w:val="22"/>
        </w:rPr>
        <w:t>Melillo</w:t>
      </w:r>
      <w:proofErr w:type="spellEnd"/>
      <w:r w:rsidRPr="007E5D9D">
        <w:rPr>
          <w:rFonts w:ascii="Arial" w:hAnsi="Arial" w:cs="Arial"/>
          <w:sz w:val="22"/>
          <w:szCs w:val="22"/>
        </w:rPr>
        <w:t xml:space="preserve">, A., Myrick, K., </w:t>
      </w:r>
      <w:proofErr w:type="spellStart"/>
      <w:r w:rsidRPr="007E5D9D">
        <w:rPr>
          <w:rFonts w:ascii="Arial" w:hAnsi="Arial" w:cs="Arial"/>
          <w:sz w:val="22"/>
          <w:szCs w:val="22"/>
        </w:rPr>
        <w:t>Pathare</w:t>
      </w:r>
      <w:proofErr w:type="spellEnd"/>
      <w:r w:rsidRPr="007E5D9D">
        <w:rPr>
          <w:rFonts w:ascii="Arial" w:hAnsi="Arial" w:cs="Arial"/>
          <w:sz w:val="22"/>
          <w:szCs w:val="22"/>
        </w:rPr>
        <w:t xml:space="preserve">, S., Savage, M., </w:t>
      </w:r>
      <w:proofErr w:type="spellStart"/>
      <w:r w:rsidRPr="007E5D9D">
        <w:rPr>
          <w:rFonts w:ascii="Arial" w:hAnsi="Arial" w:cs="Arial"/>
          <w:sz w:val="22"/>
          <w:szCs w:val="22"/>
        </w:rPr>
        <w:t>Szmukler</w:t>
      </w:r>
      <w:proofErr w:type="spellEnd"/>
      <w:r w:rsidRPr="007E5D9D">
        <w:rPr>
          <w:rFonts w:ascii="Arial" w:hAnsi="Arial" w:cs="Arial"/>
          <w:sz w:val="22"/>
          <w:szCs w:val="22"/>
        </w:rPr>
        <w:t xml:space="preserve">, G., &amp; </w:t>
      </w:r>
      <w:proofErr w:type="spellStart"/>
      <w:r w:rsidRPr="007E5D9D">
        <w:rPr>
          <w:rFonts w:ascii="Arial" w:hAnsi="Arial" w:cs="Arial"/>
          <w:sz w:val="22"/>
          <w:szCs w:val="22"/>
        </w:rPr>
        <w:t>Torous</w:t>
      </w:r>
      <w:proofErr w:type="spellEnd"/>
      <w:r w:rsidRPr="007E5D9D">
        <w:rPr>
          <w:rFonts w:ascii="Arial" w:hAnsi="Arial" w:cs="Arial"/>
          <w:sz w:val="22"/>
          <w:szCs w:val="22"/>
        </w:rPr>
        <w:t xml:space="preserve">, J. (2024). Ethical challenges in contemporary psychiatry: an overview and an appraisal of possible strategies and research needs. </w:t>
      </w:r>
      <w:r w:rsidRPr="007E5D9D">
        <w:rPr>
          <w:rFonts w:ascii="Arial" w:hAnsi="Arial" w:cs="Arial"/>
          <w:i/>
          <w:iCs/>
          <w:sz w:val="22"/>
          <w:szCs w:val="22"/>
        </w:rPr>
        <w:t>PubMed</w:t>
      </w:r>
      <w:r w:rsidRPr="007E5D9D">
        <w:rPr>
          <w:rFonts w:ascii="Arial" w:hAnsi="Arial" w:cs="Arial"/>
          <w:sz w:val="22"/>
          <w:szCs w:val="22"/>
        </w:rPr>
        <w:t xml:space="preserve">, </w:t>
      </w:r>
      <w:r w:rsidRPr="007E5D9D">
        <w:rPr>
          <w:rFonts w:ascii="Arial" w:hAnsi="Arial" w:cs="Arial"/>
          <w:i/>
          <w:iCs/>
          <w:sz w:val="22"/>
          <w:szCs w:val="22"/>
        </w:rPr>
        <w:t>23</w:t>
      </w:r>
      <w:r w:rsidRPr="007E5D9D">
        <w:rPr>
          <w:rFonts w:ascii="Arial" w:hAnsi="Arial" w:cs="Arial"/>
          <w:sz w:val="22"/>
          <w:szCs w:val="22"/>
        </w:rPr>
        <w:t>(3), 364–386. https://doi.org/10.1002/wps.21230</w:t>
      </w:r>
    </w:p>
    <w:p w14:paraId="7704A78B"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 xml:space="preserve">Gautam, S., Jain, A., Gautam, M., </w:t>
      </w:r>
      <w:proofErr w:type="spellStart"/>
      <w:r w:rsidRPr="007E5D9D">
        <w:rPr>
          <w:rFonts w:ascii="Arial" w:hAnsi="Arial" w:cs="Arial"/>
          <w:sz w:val="22"/>
          <w:szCs w:val="22"/>
        </w:rPr>
        <w:t>Vahia</w:t>
      </w:r>
      <w:proofErr w:type="spellEnd"/>
      <w:r w:rsidRPr="007E5D9D">
        <w:rPr>
          <w:rFonts w:ascii="Arial" w:hAnsi="Arial" w:cs="Arial"/>
          <w:sz w:val="22"/>
          <w:szCs w:val="22"/>
        </w:rPr>
        <w:t>, V., &amp; Gautam, A. (2017).</w:t>
      </w:r>
      <w:proofErr w:type="gramEnd"/>
      <w:r w:rsidRPr="007E5D9D">
        <w:rPr>
          <w:rFonts w:ascii="Arial" w:hAnsi="Arial" w:cs="Arial"/>
          <w:sz w:val="22"/>
          <w:szCs w:val="22"/>
        </w:rPr>
        <w:t xml:space="preserve"> Clinical practice guidelines for the management of generalized anxiety disorder (GAD) and panic disorder (PD). </w:t>
      </w:r>
      <w:proofErr w:type="gramStart"/>
      <w:r w:rsidRPr="007E5D9D">
        <w:rPr>
          <w:rFonts w:ascii="Arial" w:hAnsi="Arial" w:cs="Arial"/>
          <w:i/>
          <w:iCs/>
          <w:sz w:val="22"/>
          <w:szCs w:val="22"/>
        </w:rPr>
        <w:t>Indian Journal of Psychiatry</w:t>
      </w:r>
      <w:r w:rsidRPr="007E5D9D">
        <w:rPr>
          <w:rFonts w:ascii="Arial" w:hAnsi="Arial" w:cs="Arial"/>
          <w:sz w:val="22"/>
          <w:szCs w:val="22"/>
        </w:rPr>
        <w:t xml:space="preserve">, </w:t>
      </w:r>
      <w:r w:rsidRPr="007E5D9D">
        <w:rPr>
          <w:rFonts w:ascii="Arial" w:hAnsi="Arial" w:cs="Arial"/>
          <w:i/>
          <w:iCs/>
          <w:sz w:val="22"/>
          <w:szCs w:val="22"/>
        </w:rPr>
        <w:t>59</w:t>
      </w:r>
      <w:r w:rsidRPr="007E5D9D">
        <w:rPr>
          <w:rFonts w:ascii="Arial" w:hAnsi="Arial" w:cs="Arial"/>
          <w:sz w:val="22"/>
          <w:szCs w:val="22"/>
        </w:rPr>
        <w:t>(5), 67.</w:t>
      </w:r>
      <w:proofErr w:type="gramEnd"/>
      <w:r w:rsidRPr="007E5D9D">
        <w:rPr>
          <w:rFonts w:ascii="Arial" w:hAnsi="Arial" w:cs="Arial"/>
          <w:sz w:val="22"/>
          <w:szCs w:val="22"/>
        </w:rPr>
        <w:t xml:space="preserve"> https://doi.org/10.4103/0019-5545.196975</w:t>
      </w:r>
    </w:p>
    <w:p w14:paraId="089C6494"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r w:rsidRPr="007E5D9D">
        <w:rPr>
          <w:rFonts w:ascii="Arial" w:hAnsi="Arial" w:cs="Arial"/>
          <w:sz w:val="22"/>
          <w:szCs w:val="22"/>
        </w:rPr>
        <w:t xml:space="preserve">Hofmann, B. (2022). Too Much, Too Mild, Too Early: Diagnosing the Excessive Expansion of Diagnoses. </w:t>
      </w:r>
      <w:proofErr w:type="gramStart"/>
      <w:r w:rsidRPr="007E5D9D">
        <w:rPr>
          <w:rFonts w:ascii="Arial" w:hAnsi="Arial" w:cs="Arial"/>
          <w:i/>
          <w:iCs/>
          <w:sz w:val="22"/>
          <w:szCs w:val="22"/>
        </w:rPr>
        <w:t>International Journal of General Medicine</w:t>
      </w:r>
      <w:r w:rsidRPr="007E5D9D">
        <w:rPr>
          <w:rFonts w:ascii="Arial" w:hAnsi="Arial" w:cs="Arial"/>
          <w:sz w:val="22"/>
          <w:szCs w:val="22"/>
        </w:rPr>
        <w:t xml:space="preserve">, </w:t>
      </w:r>
      <w:r w:rsidRPr="007E5D9D">
        <w:rPr>
          <w:rFonts w:ascii="Arial" w:hAnsi="Arial" w:cs="Arial"/>
          <w:i/>
          <w:iCs/>
          <w:sz w:val="22"/>
          <w:szCs w:val="22"/>
        </w:rPr>
        <w:t>Volume 15</w:t>
      </w:r>
      <w:r w:rsidRPr="007E5D9D">
        <w:rPr>
          <w:rFonts w:ascii="Arial" w:hAnsi="Arial" w:cs="Arial"/>
          <w:sz w:val="22"/>
          <w:szCs w:val="22"/>
        </w:rPr>
        <w:t>, 6441–6450.</w:t>
      </w:r>
      <w:proofErr w:type="gramEnd"/>
      <w:r w:rsidRPr="007E5D9D">
        <w:rPr>
          <w:rFonts w:ascii="Arial" w:hAnsi="Arial" w:cs="Arial"/>
          <w:sz w:val="22"/>
          <w:szCs w:val="22"/>
        </w:rPr>
        <w:t xml:space="preserve"> https://doi.org/10.2147/ijgm.s368541</w:t>
      </w:r>
    </w:p>
    <w:p w14:paraId="72CB3696"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Kaiser, B. N., &amp; Jo Weaver, L. (2019).</w:t>
      </w:r>
      <w:proofErr w:type="gramEnd"/>
      <w:r w:rsidRPr="007E5D9D">
        <w:rPr>
          <w:rFonts w:ascii="Arial" w:hAnsi="Arial" w:cs="Arial"/>
          <w:sz w:val="22"/>
          <w:szCs w:val="22"/>
        </w:rPr>
        <w:t xml:space="preserve"> Culture-bound syndromes, idioms of distress, and cultural concepts of distress: New directions for an old concept in psychological anthropology. </w:t>
      </w:r>
      <w:r w:rsidRPr="007E5D9D">
        <w:rPr>
          <w:rFonts w:ascii="Arial" w:hAnsi="Arial" w:cs="Arial"/>
          <w:i/>
          <w:iCs/>
          <w:sz w:val="22"/>
          <w:szCs w:val="22"/>
        </w:rPr>
        <w:t>Transcultural Psychiatry</w:t>
      </w:r>
      <w:r w:rsidRPr="007E5D9D">
        <w:rPr>
          <w:rFonts w:ascii="Arial" w:hAnsi="Arial" w:cs="Arial"/>
          <w:sz w:val="22"/>
          <w:szCs w:val="22"/>
        </w:rPr>
        <w:t xml:space="preserve">, </w:t>
      </w:r>
      <w:r w:rsidRPr="007E5D9D">
        <w:rPr>
          <w:rFonts w:ascii="Arial" w:hAnsi="Arial" w:cs="Arial"/>
          <w:i/>
          <w:iCs/>
          <w:sz w:val="22"/>
          <w:szCs w:val="22"/>
        </w:rPr>
        <w:t>56</w:t>
      </w:r>
      <w:r w:rsidRPr="007E5D9D">
        <w:rPr>
          <w:rFonts w:ascii="Arial" w:hAnsi="Arial" w:cs="Arial"/>
          <w:sz w:val="22"/>
          <w:szCs w:val="22"/>
        </w:rPr>
        <w:t>(4), 589–598. https://doi.org/10.1177/1363461519862708</w:t>
      </w:r>
    </w:p>
    <w:p w14:paraId="78FA1ADD"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 xml:space="preserve">Kim, J. H. J., Tsai, W., </w:t>
      </w:r>
      <w:proofErr w:type="spellStart"/>
      <w:r w:rsidRPr="007E5D9D">
        <w:rPr>
          <w:rFonts w:ascii="Arial" w:hAnsi="Arial" w:cs="Arial"/>
          <w:sz w:val="22"/>
          <w:szCs w:val="22"/>
        </w:rPr>
        <w:t>Kodish</w:t>
      </w:r>
      <w:proofErr w:type="spellEnd"/>
      <w:r w:rsidRPr="007E5D9D">
        <w:rPr>
          <w:rFonts w:ascii="Arial" w:hAnsi="Arial" w:cs="Arial"/>
          <w:sz w:val="22"/>
          <w:szCs w:val="22"/>
        </w:rPr>
        <w:t xml:space="preserve">, T., </w:t>
      </w:r>
      <w:proofErr w:type="spellStart"/>
      <w:r w:rsidRPr="007E5D9D">
        <w:rPr>
          <w:rFonts w:ascii="Arial" w:hAnsi="Arial" w:cs="Arial"/>
          <w:sz w:val="22"/>
          <w:szCs w:val="22"/>
        </w:rPr>
        <w:t>Trung</w:t>
      </w:r>
      <w:proofErr w:type="spellEnd"/>
      <w:r w:rsidRPr="007E5D9D">
        <w:rPr>
          <w:rFonts w:ascii="Arial" w:hAnsi="Arial" w:cs="Arial"/>
          <w:sz w:val="22"/>
          <w:szCs w:val="22"/>
        </w:rPr>
        <w:t>, L. T., Lau, A. S., &amp; Weiss, B. (2019).</w:t>
      </w:r>
      <w:proofErr w:type="gramEnd"/>
      <w:r w:rsidRPr="007E5D9D">
        <w:rPr>
          <w:rFonts w:ascii="Arial" w:hAnsi="Arial" w:cs="Arial"/>
          <w:sz w:val="22"/>
          <w:szCs w:val="22"/>
        </w:rPr>
        <w:t xml:space="preserve"> </w:t>
      </w:r>
      <w:proofErr w:type="gramStart"/>
      <w:r w:rsidRPr="007E5D9D">
        <w:rPr>
          <w:rFonts w:ascii="Arial" w:hAnsi="Arial" w:cs="Arial"/>
          <w:sz w:val="22"/>
          <w:szCs w:val="22"/>
        </w:rPr>
        <w:t>Cultural variation in temporal associations among somatic complaints, anxiety, and depressive symptoms in adolescence.</w:t>
      </w:r>
      <w:proofErr w:type="gramEnd"/>
      <w:r w:rsidRPr="007E5D9D">
        <w:rPr>
          <w:rFonts w:ascii="Arial" w:hAnsi="Arial" w:cs="Arial"/>
          <w:sz w:val="22"/>
          <w:szCs w:val="22"/>
        </w:rPr>
        <w:t xml:space="preserve"> </w:t>
      </w:r>
      <w:proofErr w:type="gramStart"/>
      <w:r w:rsidRPr="007E5D9D">
        <w:rPr>
          <w:rFonts w:ascii="Arial" w:hAnsi="Arial" w:cs="Arial"/>
          <w:i/>
          <w:iCs/>
          <w:sz w:val="22"/>
          <w:szCs w:val="22"/>
        </w:rPr>
        <w:t>Journal of Psychosomatic Research</w:t>
      </w:r>
      <w:r w:rsidRPr="007E5D9D">
        <w:rPr>
          <w:rFonts w:ascii="Arial" w:hAnsi="Arial" w:cs="Arial"/>
          <w:sz w:val="22"/>
          <w:szCs w:val="22"/>
        </w:rPr>
        <w:t xml:space="preserve">, </w:t>
      </w:r>
      <w:r w:rsidRPr="007E5D9D">
        <w:rPr>
          <w:rFonts w:ascii="Arial" w:hAnsi="Arial" w:cs="Arial"/>
          <w:i/>
          <w:iCs/>
          <w:sz w:val="22"/>
          <w:szCs w:val="22"/>
        </w:rPr>
        <w:t>124</w:t>
      </w:r>
      <w:r w:rsidRPr="007E5D9D">
        <w:rPr>
          <w:rFonts w:ascii="Arial" w:hAnsi="Arial" w:cs="Arial"/>
          <w:sz w:val="22"/>
          <w:szCs w:val="22"/>
        </w:rPr>
        <w:t>, 109763.</w:t>
      </w:r>
      <w:proofErr w:type="gramEnd"/>
      <w:r w:rsidRPr="007E5D9D">
        <w:rPr>
          <w:rFonts w:ascii="Arial" w:hAnsi="Arial" w:cs="Arial"/>
          <w:sz w:val="22"/>
          <w:szCs w:val="22"/>
        </w:rPr>
        <w:t xml:space="preserve"> https://doi.org/10.1016/j.jpsychores.2019.109763</w:t>
      </w:r>
    </w:p>
    <w:p w14:paraId="2DE59296"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 xml:space="preserve">Kogan, C. S., Stein, D. J., </w:t>
      </w:r>
      <w:proofErr w:type="spellStart"/>
      <w:r w:rsidRPr="007E5D9D">
        <w:rPr>
          <w:rFonts w:ascii="Arial" w:hAnsi="Arial" w:cs="Arial"/>
          <w:sz w:val="22"/>
          <w:szCs w:val="22"/>
        </w:rPr>
        <w:t>Maj</w:t>
      </w:r>
      <w:proofErr w:type="spellEnd"/>
      <w:r w:rsidRPr="007E5D9D">
        <w:rPr>
          <w:rFonts w:ascii="Arial" w:hAnsi="Arial" w:cs="Arial"/>
          <w:sz w:val="22"/>
          <w:szCs w:val="22"/>
        </w:rPr>
        <w:t xml:space="preserve">, M., First, M. B., </w:t>
      </w:r>
      <w:proofErr w:type="spellStart"/>
      <w:r w:rsidRPr="007E5D9D">
        <w:rPr>
          <w:rFonts w:ascii="Arial" w:hAnsi="Arial" w:cs="Arial"/>
          <w:sz w:val="22"/>
          <w:szCs w:val="22"/>
        </w:rPr>
        <w:t>Emmelkamp</w:t>
      </w:r>
      <w:proofErr w:type="spellEnd"/>
      <w:r w:rsidRPr="007E5D9D">
        <w:rPr>
          <w:rFonts w:ascii="Arial" w:hAnsi="Arial" w:cs="Arial"/>
          <w:sz w:val="22"/>
          <w:szCs w:val="22"/>
        </w:rPr>
        <w:t>, P. M. G., &amp; Reed, G. M. (2016).</w:t>
      </w:r>
      <w:proofErr w:type="gramEnd"/>
      <w:r w:rsidRPr="007E5D9D">
        <w:rPr>
          <w:rFonts w:ascii="Arial" w:hAnsi="Arial" w:cs="Arial"/>
          <w:sz w:val="22"/>
          <w:szCs w:val="22"/>
        </w:rPr>
        <w:t xml:space="preserve"> </w:t>
      </w:r>
      <w:proofErr w:type="gramStart"/>
      <w:r w:rsidRPr="007E5D9D">
        <w:rPr>
          <w:rFonts w:ascii="Arial" w:hAnsi="Arial" w:cs="Arial"/>
          <w:sz w:val="22"/>
          <w:szCs w:val="22"/>
        </w:rPr>
        <w:t>The Classification of Anxiety and Fear-Related Disorders in the ICD-11.</w:t>
      </w:r>
      <w:proofErr w:type="gramEnd"/>
      <w:r w:rsidRPr="007E5D9D">
        <w:rPr>
          <w:rFonts w:ascii="Arial" w:hAnsi="Arial" w:cs="Arial"/>
          <w:sz w:val="22"/>
          <w:szCs w:val="22"/>
        </w:rPr>
        <w:t xml:space="preserve"> </w:t>
      </w:r>
      <w:r w:rsidRPr="007E5D9D">
        <w:rPr>
          <w:rFonts w:ascii="Arial" w:hAnsi="Arial" w:cs="Arial"/>
          <w:i/>
          <w:iCs/>
          <w:sz w:val="22"/>
          <w:szCs w:val="22"/>
        </w:rPr>
        <w:t>Depression and Anxiety</w:t>
      </w:r>
      <w:r w:rsidRPr="007E5D9D">
        <w:rPr>
          <w:rFonts w:ascii="Arial" w:hAnsi="Arial" w:cs="Arial"/>
          <w:sz w:val="22"/>
          <w:szCs w:val="22"/>
        </w:rPr>
        <w:t xml:space="preserve">, </w:t>
      </w:r>
      <w:r w:rsidRPr="007E5D9D">
        <w:rPr>
          <w:rFonts w:ascii="Arial" w:hAnsi="Arial" w:cs="Arial"/>
          <w:i/>
          <w:iCs/>
          <w:sz w:val="22"/>
          <w:szCs w:val="22"/>
        </w:rPr>
        <w:t>33</w:t>
      </w:r>
      <w:r w:rsidRPr="007E5D9D">
        <w:rPr>
          <w:rFonts w:ascii="Arial" w:hAnsi="Arial" w:cs="Arial"/>
          <w:sz w:val="22"/>
          <w:szCs w:val="22"/>
        </w:rPr>
        <w:t>(12), 1141–1154. https://doi.org/10.1002/da.22530</w:t>
      </w:r>
    </w:p>
    <w:p w14:paraId="5B355989"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lastRenderedPageBreak/>
        <w:t>Mishra, A., &amp; Varma, A. (2023).</w:t>
      </w:r>
      <w:proofErr w:type="gramEnd"/>
      <w:r w:rsidRPr="007E5D9D">
        <w:rPr>
          <w:rFonts w:ascii="Arial" w:hAnsi="Arial" w:cs="Arial"/>
          <w:sz w:val="22"/>
          <w:szCs w:val="22"/>
        </w:rPr>
        <w:t xml:space="preserve"> </w:t>
      </w:r>
      <w:proofErr w:type="gramStart"/>
      <w:r w:rsidRPr="007E5D9D">
        <w:rPr>
          <w:rFonts w:ascii="Arial" w:hAnsi="Arial" w:cs="Arial"/>
          <w:sz w:val="22"/>
          <w:szCs w:val="22"/>
        </w:rPr>
        <w:t>A comprehensive review of the generalized anxiety disorder.</w:t>
      </w:r>
      <w:proofErr w:type="gramEnd"/>
      <w:r w:rsidRPr="007E5D9D">
        <w:rPr>
          <w:rFonts w:ascii="Arial" w:hAnsi="Arial" w:cs="Arial"/>
          <w:sz w:val="22"/>
          <w:szCs w:val="22"/>
        </w:rPr>
        <w:t xml:space="preserve"> </w:t>
      </w:r>
      <w:proofErr w:type="spellStart"/>
      <w:proofErr w:type="gramStart"/>
      <w:r w:rsidRPr="007E5D9D">
        <w:rPr>
          <w:rFonts w:ascii="Arial" w:hAnsi="Arial" w:cs="Arial"/>
          <w:i/>
          <w:iCs/>
          <w:sz w:val="22"/>
          <w:szCs w:val="22"/>
        </w:rPr>
        <w:t>Cureus</w:t>
      </w:r>
      <w:proofErr w:type="spellEnd"/>
      <w:r w:rsidRPr="007E5D9D">
        <w:rPr>
          <w:rFonts w:ascii="Arial" w:hAnsi="Arial" w:cs="Arial"/>
          <w:sz w:val="22"/>
          <w:szCs w:val="22"/>
        </w:rPr>
        <w:t xml:space="preserve">, </w:t>
      </w:r>
      <w:r w:rsidRPr="007E5D9D">
        <w:rPr>
          <w:rFonts w:ascii="Arial" w:hAnsi="Arial" w:cs="Arial"/>
          <w:i/>
          <w:iCs/>
          <w:sz w:val="22"/>
          <w:szCs w:val="22"/>
        </w:rPr>
        <w:t>15</w:t>
      </w:r>
      <w:r w:rsidRPr="007E5D9D">
        <w:rPr>
          <w:rFonts w:ascii="Arial" w:hAnsi="Arial" w:cs="Arial"/>
          <w:sz w:val="22"/>
          <w:szCs w:val="22"/>
        </w:rPr>
        <w:t>(9).</w:t>
      </w:r>
      <w:proofErr w:type="gramEnd"/>
      <w:r w:rsidRPr="007E5D9D">
        <w:rPr>
          <w:rFonts w:ascii="Arial" w:hAnsi="Arial" w:cs="Arial"/>
          <w:sz w:val="22"/>
          <w:szCs w:val="22"/>
        </w:rPr>
        <w:t xml:space="preserve"> https://doi.org/10.7759/cureus.46115</w:t>
      </w:r>
    </w:p>
    <w:p w14:paraId="28B8BCD4"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spellStart"/>
      <w:proofErr w:type="gramStart"/>
      <w:r w:rsidRPr="007E5D9D">
        <w:rPr>
          <w:rFonts w:ascii="Arial" w:hAnsi="Arial" w:cs="Arial"/>
          <w:sz w:val="22"/>
          <w:szCs w:val="22"/>
        </w:rPr>
        <w:t>Munir</w:t>
      </w:r>
      <w:proofErr w:type="spellEnd"/>
      <w:r w:rsidRPr="007E5D9D">
        <w:rPr>
          <w:rFonts w:ascii="Arial" w:hAnsi="Arial" w:cs="Arial"/>
          <w:sz w:val="22"/>
          <w:szCs w:val="22"/>
        </w:rPr>
        <w:t xml:space="preserve">, S., &amp; </w:t>
      </w:r>
      <w:proofErr w:type="spellStart"/>
      <w:r w:rsidRPr="007E5D9D">
        <w:rPr>
          <w:rFonts w:ascii="Arial" w:hAnsi="Arial" w:cs="Arial"/>
          <w:sz w:val="22"/>
          <w:szCs w:val="22"/>
        </w:rPr>
        <w:t>Takov</w:t>
      </w:r>
      <w:proofErr w:type="spellEnd"/>
      <w:r w:rsidRPr="007E5D9D">
        <w:rPr>
          <w:rFonts w:ascii="Arial" w:hAnsi="Arial" w:cs="Arial"/>
          <w:sz w:val="22"/>
          <w:szCs w:val="22"/>
        </w:rPr>
        <w:t>, V. (2022).</w:t>
      </w:r>
      <w:proofErr w:type="gramEnd"/>
      <w:r w:rsidRPr="007E5D9D">
        <w:rPr>
          <w:rFonts w:ascii="Arial" w:hAnsi="Arial" w:cs="Arial"/>
          <w:sz w:val="22"/>
          <w:szCs w:val="22"/>
        </w:rPr>
        <w:t xml:space="preserve"> </w:t>
      </w:r>
      <w:proofErr w:type="gramStart"/>
      <w:r w:rsidRPr="007E5D9D">
        <w:rPr>
          <w:rFonts w:ascii="Arial" w:hAnsi="Arial" w:cs="Arial"/>
          <w:i/>
          <w:iCs/>
          <w:sz w:val="22"/>
          <w:szCs w:val="22"/>
        </w:rPr>
        <w:t>Generalized anxiety disorder</w:t>
      </w:r>
      <w:r w:rsidRPr="007E5D9D">
        <w:rPr>
          <w:rFonts w:ascii="Arial" w:hAnsi="Arial" w:cs="Arial"/>
          <w:sz w:val="22"/>
          <w:szCs w:val="22"/>
        </w:rPr>
        <w:t>.</w:t>
      </w:r>
      <w:proofErr w:type="gramEnd"/>
      <w:r w:rsidRPr="007E5D9D">
        <w:rPr>
          <w:rFonts w:ascii="Arial" w:hAnsi="Arial" w:cs="Arial"/>
          <w:sz w:val="22"/>
          <w:szCs w:val="22"/>
        </w:rPr>
        <w:t xml:space="preserve"> </w:t>
      </w:r>
      <w:proofErr w:type="gramStart"/>
      <w:r w:rsidRPr="007E5D9D">
        <w:rPr>
          <w:rFonts w:ascii="Arial" w:hAnsi="Arial" w:cs="Arial"/>
          <w:sz w:val="22"/>
          <w:szCs w:val="22"/>
        </w:rPr>
        <w:t>National Library of Medicine; StatPearls Publishing.</w:t>
      </w:r>
      <w:proofErr w:type="gramEnd"/>
      <w:r w:rsidRPr="007E5D9D">
        <w:rPr>
          <w:rFonts w:ascii="Arial" w:hAnsi="Arial" w:cs="Arial"/>
          <w:sz w:val="22"/>
          <w:szCs w:val="22"/>
        </w:rPr>
        <w:t xml:space="preserve"> https://www.ncbi.nlm.nih.gov/books/NBK441870/</w:t>
      </w:r>
    </w:p>
    <w:p w14:paraId="5230E59C"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National Institute of Mental Health.</w:t>
      </w:r>
      <w:proofErr w:type="gramEnd"/>
      <w:r w:rsidRPr="007E5D9D">
        <w:rPr>
          <w:rFonts w:ascii="Arial" w:hAnsi="Arial" w:cs="Arial"/>
          <w:sz w:val="22"/>
          <w:szCs w:val="22"/>
        </w:rPr>
        <w:t xml:space="preserve"> (2022). </w:t>
      </w:r>
      <w:proofErr w:type="gramStart"/>
      <w:r w:rsidRPr="007E5D9D">
        <w:rPr>
          <w:rFonts w:ascii="Arial" w:hAnsi="Arial" w:cs="Arial"/>
          <w:i/>
          <w:iCs/>
          <w:sz w:val="22"/>
          <w:szCs w:val="22"/>
        </w:rPr>
        <w:t>Generalized</w:t>
      </w:r>
      <w:proofErr w:type="gramEnd"/>
      <w:r w:rsidRPr="007E5D9D">
        <w:rPr>
          <w:rFonts w:ascii="Arial" w:hAnsi="Arial" w:cs="Arial"/>
          <w:i/>
          <w:iCs/>
          <w:sz w:val="22"/>
          <w:szCs w:val="22"/>
        </w:rPr>
        <w:t xml:space="preserve"> anxiety disorder: When worry gets out of control</w:t>
      </w:r>
      <w:r w:rsidRPr="007E5D9D">
        <w:rPr>
          <w:rFonts w:ascii="Arial" w:hAnsi="Arial" w:cs="Arial"/>
          <w:sz w:val="22"/>
          <w:szCs w:val="22"/>
        </w:rPr>
        <w:t xml:space="preserve">. </w:t>
      </w:r>
      <w:proofErr w:type="gramStart"/>
      <w:r w:rsidRPr="007E5D9D">
        <w:rPr>
          <w:rFonts w:ascii="Arial" w:hAnsi="Arial" w:cs="Arial"/>
          <w:sz w:val="22"/>
          <w:szCs w:val="22"/>
        </w:rPr>
        <w:t>National Institute of Mental Health.</w:t>
      </w:r>
      <w:proofErr w:type="gramEnd"/>
      <w:r w:rsidRPr="007E5D9D">
        <w:rPr>
          <w:rFonts w:ascii="Arial" w:hAnsi="Arial" w:cs="Arial"/>
          <w:sz w:val="22"/>
          <w:szCs w:val="22"/>
        </w:rPr>
        <w:t xml:space="preserve"> https://www.nimh.nih.gov/health/publications/generalized-anxiety-disorder-gad</w:t>
      </w:r>
    </w:p>
    <w:p w14:paraId="38E56E49"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 xml:space="preserve">Newman, M. G., </w:t>
      </w:r>
      <w:proofErr w:type="spellStart"/>
      <w:r w:rsidRPr="007E5D9D">
        <w:rPr>
          <w:rFonts w:ascii="Arial" w:hAnsi="Arial" w:cs="Arial"/>
          <w:sz w:val="22"/>
          <w:szCs w:val="22"/>
        </w:rPr>
        <w:t>Basterfield</w:t>
      </w:r>
      <w:proofErr w:type="spellEnd"/>
      <w:r w:rsidRPr="007E5D9D">
        <w:rPr>
          <w:rFonts w:ascii="Arial" w:hAnsi="Arial" w:cs="Arial"/>
          <w:sz w:val="22"/>
          <w:szCs w:val="22"/>
        </w:rPr>
        <w:t xml:space="preserve">, C., Erickson, T. M., </w:t>
      </w:r>
      <w:proofErr w:type="spellStart"/>
      <w:r w:rsidRPr="007E5D9D">
        <w:rPr>
          <w:rFonts w:ascii="Arial" w:hAnsi="Arial" w:cs="Arial"/>
          <w:sz w:val="22"/>
          <w:szCs w:val="22"/>
        </w:rPr>
        <w:t>Caulley</w:t>
      </w:r>
      <w:proofErr w:type="spellEnd"/>
      <w:r w:rsidRPr="007E5D9D">
        <w:rPr>
          <w:rFonts w:ascii="Arial" w:hAnsi="Arial" w:cs="Arial"/>
          <w:sz w:val="22"/>
          <w:szCs w:val="22"/>
        </w:rPr>
        <w:t xml:space="preserve">, E., </w:t>
      </w:r>
      <w:proofErr w:type="spellStart"/>
      <w:r w:rsidRPr="007E5D9D">
        <w:rPr>
          <w:rFonts w:ascii="Arial" w:hAnsi="Arial" w:cs="Arial"/>
          <w:sz w:val="22"/>
          <w:szCs w:val="22"/>
        </w:rPr>
        <w:t>Przeworski</w:t>
      </w:r>
      <w:proofErr w:type="spellEnd"/>
      <w:r w:rsidRPr="007E5D9D">
        <w:rPr>
          <w:rFonts w:ascii="Arial" w:hAnsi="Arial" w:cs="Arial"/>
          <w:sz w:val="22"/>
          <w:szCs w:val="22"/>
        </w:rPr>
        <w:t xml:space="preserve">, A., &amp; </w:t>
      </w:r>
      <w:proofErr w:type="spellStart"/>
      <w:r w:rsidRPr="007E5D9D">
        <w:rPr>
          <w:rFonts w:ascii="Arial" w:hAnsi="Arial" w:cs="Arial"/>
          <w:sz w:val="22"/>
          <w:szCs w:val="22"/>
        </w:rPr>
        <w:t>Llera</w:t>
      </w:r>
      <w:proofErr w:type="spellEnd"/>
      <w:r w:rsidRPr="007E5D9D">
        <w:rPr>
          <w:rFonts w:ascii="Arial" w:hAnsi="Arial" w:cs="Arial"/>
          <w:sz w:val="22"/>
          <w:szCs w:val="22"/>
        </w:rPr>
        <w:t>, S. J. (2022a).</w:t>
      </w:r>
      <w:proofErr w:type="gramEnd"/>
      <w:r w:rsidRPr="007E5D9D">
        <w:rPr>
          <w:rFonts w:ascii="Arial" w:hAnsi="Arial" w:cs="Arial"/>
          <w:sz w:val="22"/>
          <w:szCs w:val="22"/>
        </w:rPr>
        <w:t xml:space="preserve"> Psychotherapeutic treatments for generalized anxiety disorder: Cognitive and behavioral therapies, enhancement strategies, and emerging efforts. </w:t>
      </w:r>
      <w:r w:rsidRPr="007E5D9D">
        <w:rPr>
          <w:rFonts w:ascii="Arial" w:hAnsi="Arial" w:cs="Arial"/>
          <w:i/>
          <w:iCs/>
          <w:sz w:val="22"/>
          <w:szCs w:val="22"/>
        </w:rPr>
        <w:t xml:space="preserve">Expert Review of </w:t>
      </w:r>
      <w:proofErr w:type="spellStart"/>
      <w:r w:rsidRPr="007E5D9D">
        <w:rPr>
          <w:rFonts w:ascii="Arial" w:hAnsi="Arial" w:cs="Arial"/>
          <w:i/>
          <w:iCs/>
          <w:sz w:val="22"/>
          <w:szCs w:val="22"/>
        </w:rPr>
        <w:t>Neurotherapeutics</w:t>
      </w:r>
      <w:proofErr w:type="spellEnd"/>
      <w:r w:rsidRPr="007E5D9D">
        <w:rPr>
          <w:rFonts w:ascii="Arial" w:hAnsi="Arial" w:cs="Arial"/>
          <w:sz w:val="22"/>
          <w:szCs w:val="22"/>
        </w:rPr>
        <w:t xml:space="preserve">, </w:t>
      </w:r>
      <w:r w:rsidRPr="007E5D9D">
        <w:rPr>
          <w:rFonts w:ascii="Arial" w:hAnsi="Arial" w:cs="Arial"/>
          <w:i/>
          <w:iCs/>
          <w:sz w:val="22"/>
          <w:szCs w:val="22"/>
        </w:rPr>
        <w:t>22</w:t>
      </w:r>
      <w:r w:rsidRPr="007E5D9D">
        <w:rPr>
          <w:rFonts w:ascii="Arial" w:hAnsi="Arial" w:cs="Arial"/>
          <w:sz w:val="22"/>
          <w:szCs w:val="22"/>
        </w:rPr>
        <w:t>(9), 751–770. https://doi.org/10.1080/14737175.2022.2125800</w:t>
      </w:r>
    </w:p>
    <w:p w14:paraId="54C4AD7A"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 xml:space="preserve">Newman, M. G., </w:t>
      </w:r>
      <w:proofErr w:type="spellStart"/>
      <w:r w:rsidRPr="007E5D9D">
        <w:rPr>
          <w:rFonts w:ascii="Arial" w:hAnsi="Arial" w:cs="Arial"/>
          <w:sz w:val="22"/>
          <w:szCs w:val="22"/>
        </w:rPr>
        <w:t>Basterfield</w:t>
      </w:r>
      <w:proofErr w:type="spellEnd"/>
      <w:r w:rsidRPr="007E5D9D">
        <w:rPr>
          <w:rFonts w:ascii="Arial" w:hAnsi="Arial" w:cs="Arial"/>
          <w:sz w:val="22"/>
          <w:szCs w:val="22"/>
        </w:rPr>
        <w:t xml:space="preserve">, C., Erickson, T. M., </w:t>
      </w:r>
      <w:proofErr w:type="spellStart"/>
      <w:r w:rsidRPr="007E5D9D">
        <w:rPr>
          <w:rFonts w:ascii="Arial" w:hAnsi="Arial" w:cs="Arial"/>
          <w:sz w:val="22"/>
          <w:szCs w:val="22"/>
        </w:rPr>
        <w:t>Caulley</w:t>
      </w:r>
      <w:proofErr w:type="spellEnd"/>
      <w:r w:rsidRPr="007E5D9D">
        <w:rPr>
          <w:rFonts w:ascii="Arial" w:hAnsi="Arial" w:cs="Arial"/>
          <w:sz w:val="22"/>
          <w:szCs w:val="22"/>
        </w:rPr>
        <w:t xml:space="preserve">, E., </w:t>
      </w:r>
      <w:proofErr w:type="spellStart"/>
      <w:r w:rsidRPr="007E5D9D">
        <w:rPr>
          <w:rFonts w:ascii="Arial" w:hAnsi="Arial" w:cs="Arial"/>
          <w:sz w:val="22"/>
          <w:szCs w:val="22"/>
        </w:rPr>
        <w:t>Przeworski</w:t>
      </w:r>
      <w:proofErr w:type="spellEnd"/>
      <w:r w:rsidRPr="007E5D9D">
        <w:rPr>
          <w:rFonts w:ascii="Arial" w:hAnsi="Arial" w:cs="Arial"/>
          <w:sz w:val="22"/>
          <w:szCs w:val="22"/>
        </w:rPr>
        <w:t xml:space="preserve">, A., &amp; </w:t>
      </w:r>
      <w:proofErr w:type="spellStart"/>
      <w:r w:rsidRPr="007E5D9D">
        <w:rPr>
          <w:rFonts w:ascii="Arial" w:hAnsi="Arial" w:cs="Arial"/>
          <w:sz w:val="22"/>
          <w:szCs w:val="22"/>
        </w:rPr>
        <w:t>Llera</w:t>
      </w:r>
      <w:proofErr w:type="spellEnd"/>
      <w:r w:rsidRPr="007E5D9D">
        <w:rPr>
          <w:rFonts w:ascii="Arial" w:hAnsi="Arial" w:cs="Arial"/>
          <w:sz w:val="22"/>
          <w:szCs w:val="22"/>
        </w:rPr>
        <w:t>, S. J. (2022b).</w:t>
      </w:r>
      <w:proofErr w:type="gramEnd"/>
      <w:r w:rsidRPr="007E5D9D">
        <w:rPr>
          <w:rFonts w:ascii="Arial" w:hAnsi="Arial" w:cs="Arial"/>
          <w:sz w:val="22"/>
          <w:szCs w:val="22"/>
        </w:rPr>
        <w:t xml:space="preserve"> Psychotherapeutic treatments for generalized anxiety disorder: Cognitive and behavioral therapies, enhancement strategies, and emerging efforts. </w:t>
      </w:r>
      <w:r w:rsidRPr="007E5D9D">
        <w:rPr>
          <w:rFonts w:ascii="Arial" w:hAnsi="Arial" w:cs="Arial"/>
          <w:i/>
          <w:iCs/>
          <w:sz w:val="22"/>
          <w:szCs w:val="22"/>
        </w:rPr>
        <w:t xml:space="preserve">Expert Review of </w:t>
      </w:r>
      <w:proofErr w:type="spellStart"/>
      <w:r w:rsidRPr="007E5D9D">
        <w:rPr>
          <w:rFonts w:ascii="Arial" w:hAnsi="Arial" w:cs="Arial"/>
          <w:i/>
          <w:iCs/>
          <w:sz w:val="22"/>
          <w:szCs w:val="22"/>
        </w:rPr>
        <w:t>Neurotherapeutics</w:t>
      </w:r>
      <w:proofErr w:type="spellEnd"/>
      <w:r w:rsidRPr="007E5D9D">
        <w:rPr>
          <w:rFonts w:ascii="Arial" w:hAnsi="Arial" w:cs="Arial"/>
          <w:sz w:val="22"/>
          <w:szCs w:val="22"/>
        </w:rPr>
        <w:t xml:space="preserve">, </w:t>
      </w:r>
      <w:r w:rsidRPr="007E5D9D">
        <w:rPr>
          <w:rFonts w:ascii="Arial" w:hAnsi="Arial" w:cs="Arial"/>
          <w:i/>
          <w:iCs/>
          <w:sz w:val="22"/>
          <w:szCs w:val="22"/>
        </w:rPr>
        <w:t>22</w:t>
      </w:r>
      <w:r w:rsidRPr="007E5D9D">
        <w:rPr>
          <w:rFonts w:ascii="Arial" w:hAnsi="Arial" w:cs="Arial"/>
          <w:sz w:val="22"/>
          <w:szCs w:val="22"/>
        </w:rPr>
        <w:t>(9), 751–770. https://doi.org/10.1080/14737175.2022.2125800</w:t>
      </w:r>
    </w:p>
    <w:p w14:paraId="183FFBB0"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r w:rsidRPr="007E5D9D">
        <w:rPr>
          <w:rFonts w:ascii="Arial" w:hAnsi="Arial" w:cs="Arial"/>
          <w:sz w:val="22"/>
          <w:szCs w:val="22"/>
        </w:rPr>
        <w:t xml:space="preserve">NHS England. </w:t>
      </w:r>
      <w:proofErr w:type="gramStart"/>
      <w:r w:rsidRPr="007E5D9D">
        <w:rPr>
          <w:rFonts w:ascii="Arial" w:hAnsi="Arial" w:cs="Arial"/>
          <w:sz w:val="22"/>
          <w:szCs w:val="22"/>
        </w:rPr>
        <w:t xml:space="preserve">(2019). </w:t>
      </w:r>
      <w:r w:rsidRPr="007E5D9D">
        <w:rPr>
          <w:rFonts w:ascii="Arial" w:hAnsi="Arial" w:cs="Arial"/>
          <w:i/>
          <w:iCs/>
          <w:sz w:val="22"/>
          <w:szCs w:val="22"/>
        </w:rPr>
        <w:t>NHS England» The community mental health framework for adults and older adults</w:t>
      </w:r>
      <w:r w:rsidRPr="007E5D9D">
        <w:rPr>
          <w:rFonts w:ascii="Arial" w:hAnsi="Arial" w:cs="Arial"/>
          <w:sz w:val="22"/>
          <w:szCs w:val="22"/>
        </w:rPr>
        <w:t>.</w:t>
      </w:r>
      <w:proofErr w:type="gramEnd"/>
      <w:r w:rsidRPr="007E5D9D">
        <w:rPr>
          <w:rFonts w:ascii="Arial" w:hAnsi="Arial" w:cs="Arial"/>
          <w:sz w:val="22"/>
          <w:szCs w:val="22"/>
        </w:rPr>
        <w:t xml:space="preserve"> England.nhs.uk. https://www.england.nhs.uk/publication/the-community-mental-health-framework-for-adults-and-older-adults/</w:t>
      </w:r>
    </w:p>
    <w:p w14:paraId="69A744A9"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r w:rsidRPr="007E5D9D">
        <w:rPr>
          <w:rFonts w:ascii="Arial" w:hAnsi="Arial" w:cs="Arial"/>
          <w:sz w:val="22"/>
          <w:szCs w:val="22"/>
        </w:rPr>
        <w:t xml:space="preserve">NICE. </w:t>
      </w:r>
      <w:proofErr w:type="gramStart"/>
      <w:r w:rsidRPr="007E5D9D">
        <w:rPr>
          <w:rFonts w:ascii="Arial" w:hAnsi="Arial" w:cs="Arial"/>
          <w:sz w:val="22"/>
          <w:szCs w:val="22"/>
        </w:rPr>
        <w:t xml:space="preserve">(2024). </w:t>
      </w:r>
      <w:r w:rsidRPr="007E5D9D">
        <w:rPr>
          <w:rFonts w:ascii="Arial" w:hAnsi="Arial" w:cs="Arial"/>
          <w:i/>
          <w:iCs/>
          <w:sz w:val="22"/>
          <w:szCs w:val="22"/>
        </w:rPr>
        <w:t>NICE Guidance</w:t>
      </w:r>
      <w:r w:rsidRPr="007E5D9D">
        <w:rPr>
          <w:rFonts w:ascii="Arial" w:hAnsi="Arial" w:cs="Arial"/>
          <w:sz w:val="22"/>
          <w:szCs w:val="22"/>
        </w:rPr>
        <w:t>.</w:t>
      </w:r>
      <w:proofErr w:type="gramEnd"/>
      <w:r w:rsidRPr="007E5D9D">
        <w:rPr>
          <w:rFonts w:ascii="Arial" w:hAnsi="Arial" w:cs="Arial"/>
          <w:sz w:val="22"/>
          <w:szCs w:val="22"/>
        </w:rPr>
        <w:t xml:space="preserve"> NICE. https://www.nice.org.uk/guidance</w:t>
      </w:r>
    </w:p>
    <w:p w14:paraId="5101EA4D"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lang w:val="it-IT"/>
        </w:rPr>
      </w:pPr>
      <w:proofErr w:type="spellStart"/>
      <w:r w:rsidRPr="007E5D9D">
        <w:rPr>
          <w:rFonts w:ascii="Arial" w:hAnsi="Arial" w:cs="Arial"/>
          <w:sz w:val="22"/>
          <w:szCs w:val="22"/>
        </w:rPr>
        <w:t>Niwlikar</w:t>
      </w:r>
      <w:proofErr w:type="spellEnd"/>
      <w:r w:rsidRPr="007E5D9D">
        <w:rPr>
          <w:rFonts w:ascii="Arial" w:hAnsi="Arial" w:cs="Arial"/>
          <w:sz w:val="22"/>
          <w:szCs w:val="22"/>
        </w:rPr>
        <w:t xml:space="preserve">, B. (2025, September 15). </w:t>
      </w:r>
      <w:r w:rsidRPr="007E5D9D">
        <w:rPr>
          <w:rFonts w:ascii="Arial" w:hAnsi="Arial" w:cs="Arial"/>
          <w:i/>
          <w:iCs/>
          <w:sz w:val="22"/>
          <w:szCs w:val="22"/>
        </w:rPr>
        <w:t xml:space="preserve">DSM-5 and ICD-11: Definition, Criteria, and 2 Important Mental Disorder Classification Systems - </w:t>
      </w:r>
      <w:proofErr w:type="spellStart"/>
      <w:r w:rsidRPr="007E5D9D">
        <w:rPr>
          <w:rFonts w:ascii="Arial" w:hAnsi="Arial" w:cs="Arial"/>
          <w:i/>
          <w:iCs/>
          <w:sz w:val="22"/>
          <w:szCs w:val="22"/>
        </w:rPr>
        <w:t>Careershodh</w:t>
      </w:r>
      <w:proofErr w:type="spellEnd"/>
      <w:r w:rsidRPr="007E5D9D">
        <w:rPr>
          <w:rFonts w:ascii="Arial" w:hAnsi="Arial" w:cs="Arial"/>
          <w:sz w:val="22"/>
          <w:szCs w:val="22"/>
        </w:rPr>
        <w:t xml:space="preserve">. </w:t>
      </w:r>
      <w:r w:rsidRPr="007E5D9D">
        <w:rPr>
          <w:rFonts w:ascii="Arial" w:hAnsi="Arial" w:cs="Arial"/>
          <w:sz w:val="22"/>
          <w:szCs w:val="22"/>
          <w:lang w:val="it-IT"/>
        </w:rPr>
        <w:t>Careershodh. https://www.careershodh.com/dsm-5-and-icd-11/</w:t>
      </w:r>
    </w:p>
    <w:p w14:paraId="51865CD2"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r w:rsidRPr="007E5D9D">
        <w:rPr>
          <w:rFonts w:ascii="Arial" w:hAnsi="Arial" w:cs="Arial"/>
          <w:sz w:val="22"/>
          <w:szCs w:val="22"/>
          <w:lang w:val="it-IT"/>
        </w:rPr>
        <w:t xml:space="preserve">Plummer, F., Manea, L., Trepel, D., &amp; McMillan, D. (2016). </w:t>
      </w:r>
      <w:r w:rsidRPr="007E5D9D">
        <w:rPr>
          <w:rFonts w:ascii="Arial" w:hAnsi="Arial" w:cs="Arial"/>
          <w:sz w:val="22"/>
          <w:szCs w:val="22"/>
        </w:rPr>
        <w:t xml:space="preserve">Screening for anxiety disorders with the GAD-7 and GAD-2: A systematic review and diagnostic </w:t>
      </w:r>
      <w:proofErr w:type="spellStart"/>
      <w:r w:rsidRPr="007E5D9D">
        <w:rPr>
          <w:rFonts w:ascii="Arial" w:hAnsi="Arial" w:cs="Arial"/>
          <w:sz w:val="22"/>
          <w:szCs w:val="22"/>
        </w:rPr>
        <w:t>metaanalysis</w:t>
      </w:r>
      <w:proofErr w:type="spellEnd"/>
      <w:r w:rsidRPr="007E5D9D">
        <w:rPr>
          <w:rFonts w:ascii="Arial" w:hAnsi="Arial" w:cs="Arial"/>
          <w:sz w:val="22"/>
          <w:szCs w:val="22"/>
        </w:rPr>
        <w:t xml:space="preserve">. </w:t>
      </w:r>
      <w:r w:rsidRPr="007E5D9D">
        <w:rPr>
          <w:rFonts w:ascii="Arial" w:hAnsi="Arial" w:cs="Arial"/>
          <w:i/>
          <w:iCs/>
          <w:sz w:val="22"/>
          <w:szCs w:val="22"/>
        </w:rPr>
        <w:t>General Hospital Psychiatry</w:t>
      </w:r>
      <w:r w:rsidRPr="007E5D9D">
        <w:rPr>
          <w:rFonts w:ascii="Arial" w:hAnsi="Arial" w:cs="Arial"/>
          <w:sz w:val="22"/>
          <w:szCs w:val="22"/>
        </w:rPr>
        <w:t xml:space="preserve">, </w:t>
      </w:r>
      <w:r w:rsidRPr="007E5D9D">
        <w:rPr>
          <w:rFonts w:ascii="Arial" w:hAnsi="Arial" w:cs="Arial"/>
          <w:i/>
          <w:iCs/>
          <w:sz w:val="22"/>
          <w:szCs w:val="22"/>
        </w:rPr>
        <w:t>39</w:t>
      </w:r>
      <w:r w:rsidRPr="007E5D9D">
        <w:rPr>
          <w:rFonts w:ascii="Arial" w:hAnsi="Arial" w:cs="Arial"/>
          <w:sz w:val="22"/>
          <w:szCs w:val="22"/>
        </w:rPr>
        <w:t>(1), 24–31. https://doi.org/10.1016/j.genhosppsych.2015.11.005</w:t>
      </w:r>
    </w:p>
    <w:p w14:paraId="2AA3BDC1"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r w:rsidRPr="007E5D9D">
        <w:rPr>
          <w:rFonts w:ascii="Arial" w:hAnsi="Arial" w:cs="Arial"/>
          <w:sz w:val="22"/>
          <w:szCs w:val="22"/>
        </w:rPr>
        <w:lastRenderedPageBreak/>
        <w:t xml:space="preserve">Pugh, J. (2020). </w:t>
      </w:r>
      <w:proofErr w:type="gramStart"/>
      <w:r w:rsidRPr="007E5D9D">
        <w:rPr>
          <w:rFonts w:ascii="Arial" w:hAnsi="Arial" w:cs="Arial"/>
          <w:sz w:val="22"/>
          <w:szCs w:val="22"/>
        </w:rPr>
        <w:t>Informed Consent, Autonomy, and Beliefs.</w:t>
      </w:r>
      <w:proofErr w:type="gramEnd"/>
      <w:r w:rsidRPr="007E5D9D">
        <w:rPr>
          <w:rFonts w:ascii="Arial" w:hAnsi="Arial" w:cs="Arial"/>
          <w:sz w:val="22"/>
          <w:szCs w:val="22"/>
        </w:rPr>
        <w:t xml:space="preserve"> </w:t>
      </w:r>
      <w:proofErr w:type="gramStart"/>
      <w:r w:rsidRPr="007E5D9D">
        <w:rPr>
          <w:rFonts w:ascii="Arial" w:hAnsi="Arial" w:cs="Arial"/>
          <w:sz w:val="22"/>
          <w:szCs w:val="22"/>
        </w:rPr>
        <w:t xml:space="preserve">In </w:t>
      </w:r>
      <w:r w:rsidRPr="007E5D9D">
        <w:rPr>
          <w:rFonts w:ascii="Arial" w:hAnsi="Arial" w:cs="Arial"/>
          <w:i/>
          <w:iCs/>
          <w:sz w:val="22"/>
          <w:szCs w:val="22"/>
        </w:rPr>
        <w:t>www.ncbi.nlm.nih.gov</w:t>
      </w:r>
      <w:r w:rsidRPr="007E5D9D">
        <w:rPr>
          <w:rFonts w:ascii="Arial" w:hAnsi="Arial" w:cs="Arial"/>
          <w:sz w:val="22"/>
          <w:szCs w:val="22"/>
        </w:rPr>
        <w:t>.</w:t>
      </w:r>
      <w:proofErr w:type="gramEnd"/>
      <w:r w:rsidRPr="007E5D9D">
        <w:rPr>
          <w:rFonts w:ascii="Arial" w:hAnsi="Arial" w:cs="Arial"/>
          <w:sz w:val="22"/>
          <w:szCs w:val="22"/>
        </w:rPr>
        <w:t xml:space="preserve"> </w:t>
      </w:r>
      <w:proofErr w:type="gramStart"/>
      <w:r w:rsidRPr="007E5D9D">
        <w:rPr>
          <w:rFonts w:ascii="Arial" w:hAnsi="Arial" w:cs="Arial"/>
          <w:sz w:val="22"/>
          <w:szCs w:val="22"/>
        </w:rPr>
        <w:t>Oxford University Press.</w:t>
      </w:r>
      <w:proofErr w:type="gramEnd"/>
      <w:r w:rsidRPr="007E5D9D">
        <w:rPr>
          <w:rFonts w:ascii="Arial" w:hAnsi="Arial" w:cs="Arial"/>
          <w:sz w:val="22"/>
          <w:szCs w:val="22"/>
        </w:rPr>
        <w:t xml:space="preserve"> https://www.ncbi.nlm.nih.gov/books/NBK556864/</w:t>
      </w:r>
    </w:p>
    <w:p w14:paraId="66B36A4E"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SAMHSA.</w:t>
      </w:r>
      <w:proofErr w:type="gramEnd"/>
      <w:r w:rsidRPr="007E5D9D">
        <w:rPr>
          <w:rFonts w:ascii="Arial" w:hAnsi="Arial" w:cs="Arial"/>
          <w:sz w:val="22"/>
          <w:szCs w:val="22"/>
        </w:rPr>
        <w:t xml:space="preserve"> (2023). </w:t>
      </w:r>
      <w:r w:rsidRPr="007E5D9D">
        <w:rPr>
          <w:rFonts w:ascii="Arial" w:hAnsi="Arial" w:cs="Arial"/>
          <w:i/>
          <w:iCs/>
          <w:sz w:val="22"/>
          <w:szCs w:val="22"/>
        </w:rPr>
        <w:t>Chapter 3—Counseling Approaches for Promoting Harm Reduction and Preventing Recurrence</w:t>
      </w:r>
      <w:r w:rsidRPr="007E5D9D">
        <w:rPr>
          <w:rFonts w:ascii="Arial" w:hAnsi="Arial" w:cs="Arial"/>
          <w:sz w:val="22"/>
          <w:szCs w:val="22"/>
        </w:rPr>
        <w:t xml:space="preserve">. </w:t>
      </w:r>
      <w:proofErr w:type="gramStart"/>
      <w:r w:rsidRPr="007E5D9D">
        <w:rPr>
          <w:rFonts w:ascii="Arial" w:hAnsi="Arial" w:cs="Arial"/>
          <w:sz w:val="22"/>
          <w:szCs w:val="22"/>
        </w:rPr>
        <w:t>Www.ncbi.nlm.nih.gov; Substance Abuse and Mental Health Services Administration (US).</w:t>
      </w:r>
      <w:proofErr w:type="gramEnd"/>
      <w:r w:rsidRPr="007E5D9D">
        <w:rPr>
          <w:rFonts w:ascii="Arial" w:hAnsi="Arial" w:cs="Arial"/>
          <w:sz w:val="22"/>
          <w:szCs w:val="22"/>
        </w:rPr>
        <w:t xml:space="preserve"> https://www.ncbi.nlm.nih.gov/books/NBK601490/</w:t>
      </w:r>
    </w:p>
    <w:p w14:paraId="0C022056"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spellStart"/>
      <w:proofErr w:type="gramStart"/>
      <w:r w:rsidRPr="007E5D9D">
        <w:rPr>
          <w:rFonts w:ascii="Arial" w:hAnsi="Arial" w:cs="Arial"/>
          <w:sz w:val="22"/>
          <w:szCs w:val="22"/>
        </w:rPr>
        <w:t>Seshadri</w:t>
      </w:r>
      <w:proofErr w:type="spellEnd"/>
      <w:r w:rsidRPr="007E5D9D">
        <w:rPr>
          <w:rFonts w:ascii="Arial" w:hAnsi="Arial" w:cs="Arial"/>
          <w:sz w:val="22"/>
          <w:szCs w:val="22"/>
        </w:rPr>
        <w:t xml:space="preserve">, A., </w:t>
      </w:r>
      <w:proofErr w:type="spellStart"/>
      <w:r w:rsidRPr="007E5D9D">
        <w:rPr>
          <w:rFonts w:ascii="Arial" w:hAnsi="Arial" w:cs="Arial"/>
          <w:sz w:val="22"/>
          <w:szCs w:val="22"/>
        </w:rPr>
        <w:t>Orth</w:t>
      </w:r>
      <w:proofErr w:type="spellEnd"/>
      <w:r w:rsidRPr="007E5D9D">
        <w:rPr>
          <w:rFonts w:ascii="Arial" w:hAnsi="Arial" w:cs="Arial"/>
          <w:sz w:val="22"/>
          <w:szCs w:val="22"/>
        </w:rPr>
        <w:t xml:space="preserve">, S. S., </w:t>
      </w:r>
      <w:proofErr w:type="spellStart"/>
      <w:r w:rsidRPr="007E5D9D">
        <w:rPr>
          <w:rFonts w:ascii="Arial" w:hAnsi="Arial" w:cs="Arial"/>
          <w:sz w:val="22"/>
          <w:szCs w:val="22"/>
        </w:rPr>
        <w:t>Adaji</w:t>
      </w:r>
      <w:proofErr w:type="spellEnd"/>
      <w:r w:rsidRPr="007E5D9D">
        <w:rPr>
          <w:rFonts w:ascii="Arial" w:hAnsi="Arial" w:cs="Arial"/>
          <w:sz w:val="22"/>
          <w:szCs w:val="22"/>
        </w:rPr>
        <w:t>, A., Singh, B., Clark, M. M., Frye, M. A., McGillivray, J., &amp; Fuller-</w:t>
      </w:r>
      <w:proofErr w:type="spellStart"/>
      <w:r w:rsidRPr="007E5D9D">
        <w:rPr>
          <w:rFonts w:ascii="Arial" w:hAnsi="Arial" w:cs="Arial"/>
          <w:sz w:val="22"/>
          <w:szCs w:val="22"/>
        </w:rPr>
        <w:t>Tyszkiewicz</w:t>
      </w:r>
      <w:proofErr w:type="spellEnd"/>
      <w:r w:rsidRPr="007E5D9D">
        <w:rPr>
          <w:rFonts w:ascii="Arial" w:hAnsi="Arial" w:cs="Arial"/>
          <w:sz w:val="22"/>
          <w:szCs w:val="22"/>
        </w:rPr>
        <w:t>, M. (2021).</w:t>
      </w:r>
      <w:proofErr w:type="gramEnd"/>
      <w:r w:rsidRPr="007E5D9D">
        <w:rPr>
          <w:rFonts w:ascii="Arial" w:hAnsi="Arial" w:cs="Arial"/>
          <w:sz w:val="22"/>
          <w:szCs w:val="22"/>
        </w:rPr>
        <w:t xml:space="preserve"> </w:t>
      </w:r>
      <w:proofErr w:type="gramStart"/>
      <w:r w:rsidRPr="007E5D9D">
        <w:rPr>
          <w:rFonts w:ascii="Arial" w:hAnsi="Arial" w:cs="Arial"/>
          <w:sz w:val="22"/>
          <w:szCs w:val="22"/>
        </w:rPr>
        <w:t>Mindfulness-Based Cognitive Therapy, Acceptance and Commitment Therapy, and Positive Psychotherapy for Major Depression.</w:t>
      </w:r>
      <w:proofErr w:type="gramEnd"/>
      <w:r w:rsidRPr="007E5D9D">
        <w:rPr>
          <w:rFonts w:ascii="Arial" w:hAnsi="Arial" w:cs="Arial"/>
          <w:sz w:val="22"/>
          <w:szCs w:val="22"/>
        </w:rPr>
        <w:t xml:space="preserve"> </w:t>
      </w:r>
      <w:r w:rsidRPr="007E5D9D">
        <w:rPr>
          <w:rFonts w:ascii="Arial" w:hAnsi="Arial" w:cs="Arial"/>
          <w:i/>
          <w:iCs/>
          <w:sz w:val="22"/>
          <w:szCs w:val="22"/>
        </w:rPr>
        <w:t>American Journal of Psychotherapy</w:t>
      </w:r>
      <w:r w:rsidRPr="007E5D9D">
        <w:rPr>
          <w:rFonts w:ascii="Arial" w:hAnsi="Arial" w:cs="Arial"/>
          <w:sz w:val="22"/>
          <w:szCs w:val="22"/>
        </w:rPr>
        <w:t xml:space="preserve">, </w:t>
      </w:r>
      <w:r w:rsidRPr="007E5D9D">
        <w:rPr>
          <w:rFonts w:ascii="Arial" w:hAnsi="Arial" w:cs="Arial"/>
          <w:i/>
          <w:iCs/>
          <w:sz w:val="22"/>
          <w:szCs w:val="22"/>
        </w:rPr>
        <w:t>74</w:t>
      </w:r>
      <w:r w:rsidRPr="007E5D9D">
        <w:rPr>
          <w:rFonts w:ascii="Arial" w:hAnsi="Arial" w:cs="Arial"/>
          <w:sz w:val="22"/>
          <w:szCs w:val="22"/>
        </w:rPr>
        <w:t>(1), 4–12. https://doi.org/10.1176/appi.psychotherapy.20200006</w:t>
      </w:r>
    </w:p>
    <w:p w14:paraId="489F293B"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 xml:space="preserve">Singh, H., Dickinson, J. A., </w:t>
      </w:r>
      <w:proofErr w:type="spellStart"/>
      <w:r w:rsidRPr="007E5D9D">
        <w:rPr>
          <w:rFonts w:ascii="Arial" w:hAnsi="Arial" w:cs="Arial"/>
          <w:sz w:val="22"/>
          <w:szCs w:val="22"/>
        </w:rPr>
        <w:t>Guylène</w:t>
      </w:r>
      <w:proofErr w:type="spellEnd"/>
      <w:r w:rsidRPr="007E5D9D">
        <w:rPr>
          <w:rFonts w:ascii="Arial" w:hAnsi="Arial" w:cs="Arial"/>
          <w:sz w:val="22"/>
          <w:szCs w:val="22"/>
        </w:rPr>
        <w:t xml:space="preserve"> </w:t>
      </w:r>
      <w:proofErr w:type="spellStart"/>
      <w:r w:rsidRPr="007E5D9D">
        <w:rPr>
          <w:rFonts w:ascii="Arial" w:hAnsi="Arial" w:cs="Arial"/>
          <w:sz w:val="22"/>
          <w:szCs w:val="22"/>
        </w:rPr>
        <w:t>Thériault</w:t>
      </w:r>
      <w:proofErr w:type="spellEnd"/>
      <w:r w:rsidRPr="007E5D9D">
        <w:rPr>
          <w:rFonts w:ascii="Arial" w:hAnsi="Arial" w:cs="Arial"/>
          <w:sz w:val="22"/>
          <w:szCs w:val="22"/>
        </w:rPr>
        <w:t xml:space="preserve">, Grad, R., Groulx, S., Wilson, B. J., </w:t>
      </w:r>
      <w:proofErr w:type="spellStart"/>
      <w:r w:rsidRPr="007E5D9D">
        <w:rPr>
          <w:rFonts w:ascii="Arial" w:hAnsi="Arial" w:cs="Arial"/>
          <w:sz w:val="22"/>
          <w:szCs w:val="22"/>
        </w:rPr>
        <w:t>Szafran</w:t>
      </w:r>
      <w:proofErr w:type="spellEnd"/>
      <w:r w:rsidRPr="007E5D9D">
        <w:rPr>
          <w:rFonts w:ascii="Arial" w:hAnsi="Arial" w:cs="Arial"/>
          <w:sz w:val="22"/>
          <w:szCs w:val="22"/>
        </w:rPr>
        <w:t>, O., &amp; Bell, N. R. (2018).</w:t>
      </w:r>
      <w:proofErr w:type="gramEnd"/>
      <w:r w:rsidRPr="007E5D9D">
        <w:rPr>
          <w:rFonts w:ascii="Arial" w:hAnsi="Arial" w:cs="Arial"/>
          <w:sz w:val="22"/>
          <w:szCs w:val="22"/>
        </w:rPr>
        <w:t xml:space="preserve"> </w:t>
      </w:r>
      <w:proofErr w:type="spellStart"/>
      <w:r w:rsidRPr="007E5D9D">
        <w:rPr>
          <w:rFonts w:ascii="Arial" w:hAnsi="Arial" w:cs="Arial"/>
          <w:sz w:val="22"/>
          <w:szCs w:val="22"/>
        </w:rPr>
        <w:t>Overdiagnosis</w:t>
      </w:r>
      <w:proofErr w:type="spellEnd"/>
      <w:r w:rsidRPr="007E5D9D">
        <w:rPr>
          <w:rFonts w:ascii="Arial" w:hAnsi="Arial" w:cs="Arial"/>
          <w:sz w:val="22"/>
          <w:szCs w:val="22"/>
        </w:rPr>
        <w:t xml:space="preserve">: causes and consequences in primary health care. </w:t>
      </w:r>
      <w:proofErr w:type="gramStart"/>
      <w:r w:rsidRPr="007E5D9D">
        <w:rPr>
          <w:rFonts w:ascii="Arial" w:hAnsi="Arial" w:cs="Arial"/>
          <w:i/>
          <w:iCs/>
          <w:sz w:val="22"/>
          <w:szCs w:val="22"/>
        </w:rPr>
        <w:t>Canadian Family Physician</w:t>
      </w:r>
      <w:r w:rsidRPr="007E5D9D">
        <w:rPr>
          <w:rFonts w:ascii="Arial" w:hAnsi="Arial" w:cs="Arial"/>
          <w:sz w:val="22"/>
          <w:szCs w:val="22"/>
        </w:rPr>
        <w:t xml:space="preserve">, </w:t>
      </w:r>
      <w:r w:rsidRPr="007E5D9D">
        <w:rPr>
          <w:rFonts w:ascii="Arial" w:hAnsi="Arial" w:cs="Arial"/>
          <w:i/>
          <w:iCs/>
          <w:sz w:val="22"/>
          <w:szCs w:val="22"/>
        </w:rPr>
        <w:t>64</w:t>
      </w:r>
      <w:r w:rsidRPr="007E5D9D">
        <w:rPr>
          <w:rFonts w:ascii="Arial" w:hAnsi="Arial" w:cs="Arial"/>
          <w:sz w:val="22"/>
          <w:szCs w:val="22"/>
        </w:rPr>
        <w:t>(9), 654.</w:t>
      </w:r>
      <w:proofErr w:type="gramEnd"/>
      <w:r w:rsidRPr="007E5D9D">
        <w:rPr>
          <w:rFonts w:ascii="Arial" w:hAnsi="Arial" w:cs="Arial"/>
          <w:sz w:val="22"/>
          <w:szCs w:val="22"/>
        </w:rPr>
        <w:t xml:space="preserve"> https://pmc.ncbi.nlm.nih.gov/articles/PMC6135119/</w:t>
      </w:r>
    </w:p>
    <w:p w14:paraId="1CFD99CC"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Sowers, W. E. (2022).</w:t>
      </w:r>
      <w:proofErr w:type="gramEnd"/>
      <w:r w:rsidRPr="007E5D9D">
        <w:rPr>
          <w:rFonts w:ascii="Arial" w:hAnsi="Arial" w:cs="Arial"/>
          <w:sz w:val="22"/>
          <w:szCs w:val="22"/>
        </w:rPr>
        <w:t xml:space="preserve"> Recovery and Person-Centered Care: Empowerment, Collaboration, and Integration. </w:t>
      </w:r>
      <w:r w:rsidRPr="007E5D9D">
        <w:rPr>
          <w:rFonts w:ascii="Arial" w:hAnsi="Arial" w:cs="Arial"/>
          <w:i/>
          <w:iCs/>
          <w:sz w:val="22"/>
          <w:szCs w:val="22"/>
        </w:rPr>
        <w:t>Textbook of Community Psychiatry</w:t>
      </w:r>
      <w:r w:rsidRPr="007E5D9D">
        <w:rPr>
          <w:rFonts w:ascii="Arial" w:hAnsi="Arial" w:cs="Arial"/>
          <w:sz w:val="22"/>
          <w:szCs w:val="22"/>
        </w:rPr>
        <w:t>, 21–32. https://doi.org/10.1007/978-3-031-10239-4_3</w:t>
      </w:r>
    </w:p>
    <w:p w14:paraId="4801E706"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 xml:space="preserve">Tessier, A., Roger, K., </w:t>
      </w:r>
      <w:proofErr w:type="spellStart"/>
      <w:r w:rsidRPr="007E5D9D">
        <w:rPr>
          <w:rFonts w:ascii="Arial" w:hAnsi="Arial" w:cs="Arial"/>
          <w:sz w:val="22"/>
          <w:szCs w:val="22"/>
        </w:rPr>
        <w:t>Gregoire</w:t>
      </w:r>
      <w:proofErr w:type="spellEnd"/>
      <w:r w:rsidRPr="007E5D9D">
        <w:rPr>
          <w:rFonts w:ascii="Arial" w:hAnsi="Arial" w:cs="Arial"/>
          <w:sz w:val="22"/>
          <w:szCs w:val="22"/>
        </w:rPr>
        <w:t xml:space="preserve">, A., </w:t>
      </w:r>
      <w:proofErr w:type="spellStart"/>
      <w:r w:rsidRPr="007E5D9D">
        <w:rPr>
          <w:rFonts w:ascii="Arial" w:hAnsi="Arial" w:cs="Arial"/>
          <w:sz w:val="22"/>
          <w:szCs w:val="22"/>
        </w:rPr>
        <w:t>Desnavailles</w:t>
      </w:r>
      <w:proofErr w:type="spellEnd"/>
      <w:r w:rsidRPr="007E5D9D">
        <w:rPr>
          <w:rFonts w:ascii="Arial" w:hAnsi="Arial" w:cs="Arial"/>
          <w:sz w:val="22"/>
          <w:szCs w:val="22"/>
        </w:rPr>
        <w:t xml:space="preserve">, P., &amp; </w:t>
      </w:r>
      <w:proofErr w:type="spellStart"/>
      <w:r w:rsidRPr="007E5D9D">
        <w:rPr>
          <w:rFonts w:ascii="Arial" w:hAnsi="Arial" w:cs="Arial"/>
          <w:sz w:val="22"/>
          <w:szCs w:val="22"/>
        </w:rPr>
        <w:t>Misdrahi</w:t>
      </w:r>
      <w:proofErr w:type="spellEnd"/>
      <w:r w:rsidRPr="007E5D9D">
        <w:rPr>
          <w:rFonts w:ascii="Arial" w:hAnsi="Arial" w:cs="Arial"/>
          <w:sz w:val="22"/>
          <w:szCs w:val="22"/>
        </w:rPr>
        <w:t>, D. (2023).</w:t>
      </w:r>
      <w:proofErr w:type="gramEnd"/>
      <w:r w:rsidRPr="007E5D9D">
        <w:rPr>
          <w:rFonts w:ascii="Arial" w:hAnsi="Arial" w:cs="Arial"/>
          <w:sz w:val="22"/>
          <w:szCs w:val="22"/>
        </w:rPr>
        <w:t xml:space="preserve"> Family </w:t>
      </w:r>
      <w:proofErr w:type="spellStart"/>
      <w:r w:rsidRPr="007E5D9D">
        <w:rPr>
          <w:rFonts w:ascii="Arial" w:hAnsi="Arial" w:cs="Arial"/>
          <w:sz w:val="22"/>
          <w:szCs w:val="22"/>
        </w:rPr>
        <w:t>psychoeducation</w:t>
      </w:r>
      <w:proofErr w:type="spellEnd"/>
      <w:r w:rsidRPr="007E5D9D">
        <w:rPr>
          <w:rFonts w:ascii="Arial" w:hAnsi="Arial" w:cs="Arial"/>
          <w:sz w:val="22"/>
          <w:szCs w:val="22"/>
        </w:rPr>
        <w:t xml:space="preserve"> to improve outcome in caregivers and patients with schizophrenia: a randomized clinical trial. </w:t>
      </w:r>
      <w:proofErr w:type="gramStart"/>
      <w:r w:rsidRPr="007E5D9D">
        <w:rPr>
          <w:rFonts w:ascii="Arial" w:hAnsi="Arial" w:cs="Arial"/>
          <w:i/>
          <w:iCs/>
          <w:sz w:val="22"/>
          <w:szCs w:val="22"/>
        </w:rPr>
        <w:t>Frontiers in Psychiatry</w:t>
      </w:r>
      <w:r w:rsidRPr="007E5D9D">
        <w:rPr>
          <w:rFonts w:ascii="Arial" w:hAnsi="Arial" w:cs="Arial"/>
          <w:sz w:val="22"/>
          <w:szCs w:val="22"/>
        </w:rPr>
        <w:t xml:space="preserve">, </w:t>
      </w:r>
      <w:r w:rsidRPr="007E5D9D">
        <w:rPr>
          <w:rFonts w:ascii="Arial" w:hAnsi="Arial" w:cs="Arial"/>
          <w:i/>
          <w:iCs/>
          <w:sz w:val="22"/>
          <w:szCs w:val="22"/>
        </w:rPr>
        <w:t>14</w:t>
      </w:r>
      <w:r w:rsidRPr="007E5D9D">
        <w:rPr>
          <w:rFonts w:ascii="Arial" w:hAnsi="Arial" w:cs="Arial"/>
          <w:sz w:val="22"/>
          <w:szCs w:val="22"/>
        </w:rPr>
        <w:t>(1).</w:t>
      </w:r>
      <w:proofErr w:type="gramEnd"/>
      <w:r w:rsidRPr="007E5D9D">
        <w:rPr>
          <w:rFonts w:ascii="Arial" w:hAnsi="Arial" w:cs="Arial"/>
          <w:sz w:val="22"/>
          <w:szCs w:val="22"/>
        </w:rPr>
        <w:t xml:space="preserve"> https://doi.org/10.3389/fpsyt.2023.1171661</w:t>
      </w:r>
    </w:p>
    <w:p w14:paraId="0C08A8B3" w14:textId="77777777" w:rsidR="00DE7DD0" w:rsidRPr="007E5D9D" w:rsidRDefault="00DE7DD0" w:rsidP="002A6739">
      <w:pPr>
        <w:pStyle w:val="NormalWeb"/>
        <w:spacing w:before="0" w:beforeAutospacing="0" w:after="0" w:afterAutospacing="0" w:line="480" w:lineRule="auto"/>
        <w:ind w:left="720" w:hanging="720"/>
        <w:jc w:val="both"/>
        <w:rPr>
          <w:rFonts w:ascii="Arial" w:hAnsi="Arial" w:cs="Arial"/>
          <w:sz w:val="22"/>
          <w:szCs w:val="22"/>
        </w:rPr>
      </w:pPr>
      <w:proofErr w:type="gramStart"/>
      <w:r w:rsidRPr="007E5D9D">
        <w:rPr>
          <w:rFonts w:ascii="Arial" w:hAnsi="Arial" w:cs="Arial"/>
          <w:sz w:val="22"/>
          <w:szCs w:val="22"/>
        </w:rPr>
        <w:t>World Health Organization.</w:t>
      </w:r>
      <w:proofErr w:type="gramEnd"/>
      <w:r w:rsidRPr="007E5D9D">
        <w:rPr>
          <w:rFonts w:ascii="Arial" w:hAnsi="Arial" w:cs="Arial"/>
          <w:sz w:val="22"/>
          <w:szCs w:val="22"/>
        </w:rPr>
        <w:t xml:space="preserve"> </w:t>
      </w:r>
      <w:proofErr w:type="gramStart"/>
      <w:r w:rsidRPr="007E5D9D">
        <w:rPr>
          <w:rFonts w:ascii="Arial" w:hAnsi="Arial" w:cs="Arial"/>
          <w:sz w:val="22"/>
          <w:szCs w:val="22"/>
        </w:rPr>
        <w:t xml:space="preserve">(2025). </w:t>
      </w:r>
      <w:r w:rsidRPr="007E5D9D">
        <w:rPr>
          <w:rFonts w:ascii="Arial" w:hAnsi="Arial" w:cs="Arial"/>
          <w:i/>
          <w:iCs/>
          <w:sz w:val="22"/>
          <w:szCs w:val="22"/>
        </w:rPr>
        <w:t>Anxiety disorders</w:t>
      </w:r>
      <w:r w:rsidRPr="007E5D9D">
        <w:rPr>
          <w:rFonts w:ascii="Arial" w:hAnsi="Arial" w:cs="Arial"/>
          <w:sz w:val="22"/>
          <w:szCs w:val="22"/>
        </w:rPr>
        <w:t>.</w:t>
      </w:r>
      <w:proofErr w:type="gramEnd"/>
      <w:r w:rsidRPr="007E5D9D">
        <w:rPr>
          <w:rFonts w:ascii="Arial" w:hAnsi="Arial" w:cs="Arial"/>
          <w:sz w:val="22"/>
          <w:szCs w:val="22"/>
        </w:rPr>
        <w:t xml:space="preserve"> </w:t>
      </w:r>
      <w:proofErr w:type="gramStart"/>
      <w:r w:rsidRPr="007E5D9D">
        <w:rPr>
          <w:rFonts w:ascii="Arial" w:hAnsi="Arial" w:cs="Arial"/>
          <w:sz w:val="22"/>
          <w:szCs w:val="22"/>
        </w:rPr>
        <w:t>World Health Organization.</w:t>
      </w:r>
      <w:proofErr w:type="gramEnd"/>
      <w:r w:rsidRPr="007E5D9D">
        <w:rPr>
          <w:rFonts w:ascii="Arial" w:hAnsi="Arial" w:cs="Arial"/>
          <w:sz w:val="22"/>
          <w:szCs w:val="22"/>
        </w:rPr>
        <w:t xml:space="preserve"> https://www.who.int/news-room/fact-sheets/detail/anxiety-disorders</w:t>
      </w:r>
    </w:p>
    <w:p w14:paraId="03CE1BA7" w14:textId="77777777" w:rsidR="003F3BDD" w:rsidRPr="007E5D9D" w:rsidRDefault="003F3BDD" w:rsidP="002A6739">
      <w:pPr>
        <w:rPr>
          <w:rFonts w:ascii="Arial" w:hAnsi="Arial" w:cs="Arial"/>
          <w:sz w:val="22"/>
          <w:szCs w:val="22"/>
          <w:lang w:val="en-US"/>
        </w:rPr>
      </w:pPr>
    </w:p>
    <w:p w14:paraId="50DF27C9" w14:textId="77777777" w:rsidR="003F3BDD" w:rsidRPr="007E5D9D" w:rsidRDefault="003F3BDD" w:rsidP="002A6739">
      <w:pPr>
        <w:rPr>
          <w:rFonts w:ascii="Arial" w:hAnsi="Arial" w:cs="Arial"/>
          <w:sz w:val="22"/>
          <w:szCs w:val="22"/>
        </w:rPr>
      </w:pPr>
    </w:p>
    <w:p w14:paraId="7F9D62EE" w14:textId="77777777" w:rsidR="00F75CDB" w:rsidRPr="007E5D9D" w:rsidRDefault="00F75CDB" w:rsidP="002A6739">
      <w:pPr>
        <w:rPr>
          <w:rFonts w:ascii="Arial" w:hAnsi="Arial" w:cs="Arial"/>
          <w:sz w:val="22"/>
          <w:szCs w:val="22"/>
        </w:rPr>
      </w:pPr>
    </w:p>
    <w:p w14:paraId="1344FEA9" w14:textId="77777777" w:rsidR="00F75CDB" w:rsidRPr="007E5D9D" w:rsidRDefault="00F75CDB" w:rsidP="002A6739">
      <w:pPr>
        <w:rPr>
          <w:rFonts w:ascii="Arial" w:hAnsi="Arial" w:cs="Arial"/>
          <w:sz w:val="22"/>
          <w:szCs w:val="22"/>
        </w:rPr>
      </w:pPr>
    </w:p>
    <w:sectPr w:rsidR="00F75CDB" w:rsidRPr="007E5D9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A5E5A7" w14:textId="77777777" w:rsidR="002B25AF" w:rsidRDefault="002B25AF" w:rsidP="00A932A7">
      <w:pPr>
        <w:spacing w:line="240" w:lineRule="auto"/>
      </w:pPr>
      <w:r>
        <w:separator/>
      </w:r>
    </w:p>
  </w:endnote>
  <w:endnote w:type="continuationSeparator" w:id="0">
    <w:p w14:paraId="4F7D7088" w14:textId="77777777" w:rsidR="002B25AF" w:rsidRDefault="002B25AF" w:rsidP="00A932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BDFD73" w14:textId="77777777" w:rsidR="00660A57" w:rsidRDefault="00660A5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EBE131" w14:textId="77777777" w:rsidR="00660A57" w:rsidRDefault="00660A5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BD4F96A" w14:textId="77777777" w:rsidR="00660A57" w:rsidRDefault="00660A5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18385A" w14:textId="77777777" w:rsidR="002B25AF" w:rsidRDefault="002B25AF" w:rsidP="00A932A7">
      <w:pPr>
        <w:spacing w:line="240" w:lineRule="auto"/>
      </w:pPr>
      <w:r>
        <w:separator/>
      </w:r>
    </w:p>
  </w:footnote>
  <w:footnote w:type="continuationSeparator" w:id="0">
    <w:p w14:paraId="7B395CD1" w14:textId="77777777" w:rsidR="002B25AF" w:rsidRDefault="002B25AF" w:rsidP="00A932A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B6C883" w14:textId="77777777" w:rsidR="00660A57" w:rsidRDefault="00660A5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504052"/>
      <w:docPartObj>
        <w:docPartGallery w:val="Page Numbers (Top of Page)"/>
        <w:docPartUnique/>
      </w:docPartObj>
    </w:sdtPr>
    <w:sdtEndPr>
      <w:rPr>
        <w:noProof/>
      </w:rPr>
    </w:sdtEndPr>
    <w:sdtContent>
      <w:p w14:paraId="3D6B8199" w14:textId="7644F016" w:rsidR="00A932A7" w:rsidRDefault="00A932A7">
        <w:pPr>
          <w:pStyle w:val="Header"/>
          <w:jc w:val="right"/>
        </w:pPr>
        <w:r>
          <w:fldChar w:fldCharType="begin"/>
        </w:r>
        <w:r>
          <w:instrText xml:space="preserve"> PAGE   \* MERGEFORMAT </w:instrText>
        </w:r>
        <w:r>
          <w:fldChar w:fldCharType="separate"/>
        </w:r>
        <w:r w:rsidR="007E5D9D">
          <w:rPr>
            <w:noProof/>
          </w:rPr>
          <w:t>2</w:t>
        </w:r>
        <w:r>
          <w:rPr>
            <w:noProof/>
          </w:rPr>
          <w:fldChar w:fldCharType="end"/>
        </w:r>
      </w:p>
    </w:sdtContent>
  </w:sdt>
  <w:p w14:paraId="384B81D3" w14:textId="77777777" w:rsidR="00A932A7" w:rsidRDefault="00A932A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AAB6ED" w14:textId="77777777" w:rsidR="00660A57" w:rsidRDefault="00660A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954"/>
    <w:rsid w:val="00041BCF"/>
    <w:rsid w:val="00134463"/>
    <w:rsid w:val="001573B1"/>
    <w:rsid w:val="00190FA8"/>
    <w:rsid w:val="001C7E22"/>
    <w:rsid w:val="001E4208"/>
    <w:rsid w:val="002813DA"/>
    <w:rsid w:val="0029656D"/>
    <w:rsid w:val="002A6739"/>
    <w:rsid w:val="002B25AF"/>
    <w:rsid w:val="002F39DA"/>
    <w:rsid w:val="00301954"/>
    <w:rsid w:val="0033149A"/>
    <w:rsid w:val="003D1B55"/>
    <w:rsid w:val="003F3BDD"/>
    <w:rsid w:val="003F7140"/>
    <w:rsid w:val="00416286"/>
    <w:rsid w:val="005945A4"/>
    <w:rsid w:val="005F13B2"/>
    <w:rsid w:val="00641EE9"/>
    <w:rsid w:val="00660A57"/>
    <w:rsid w:val="006E4CFB"/>
    <w:rsid w:val="007412E3"/>
    <w:rsid w:val="007541F1"/>
    <w:rsid w:val="007731A1"/>
    <w:rsid w:val="007E5D9D"/>
    <w:rsid w:val="008254F2"/>
    <w:rsid w:val="00853100"/>
    <w:rsid w:val="008929C8"/>
    <w:rsid w:val="008A763B"/>
    <w:rsid w:val="008A7901"/>
    <w:rsid w:val="008E1FB5"/>
    <w:rsid w:val="008F095D"/>
    <w:rsid w:val="00952032"/>
    <w:rsid w:val="00956637"/>
    <w:rsid w:val="009E44FA"/>
    <w:rsid w:val="00A932A7"/>
    <w:rsid w:val="00AB0E5A"/>
    <w:rsid w:val="00AE2F95"/>
    <w:rsid w:val="00B20D74"/>
    <w:rsid w:val="00BC6A18"/>
    <w:rsid w:val="00C3365E"/>
    <w:rsid w:val="00C93E75"/>
    <w:rsid w:val="00CE7098"/>
    <w:rsid w:val="00D05B9D"/>
    <w:rsid w:val="00D57EA3"/>
    <w:rsid w:val="00D67E68"/>
    <w:rsid w:val="00D72CBA"/>
    <w:rsid w:val="00D93588"/>
    <w:rsid w:val="00DB37EA"/>
    <w:rsid w:val="00DD05CD"/>
    <w:rsid w:val="00DD3AB7"/>
    <w:rsid w:val="00DE7DD0"/>
    <w:rsid w:val="00DF5429"/>
    <w:rsid w:val="00E919F3"/>
    <w:rsid w:val="00F1441E"/>
    <w:rsid w:val="00F75CDB"/>
    <w:rsid w:val="00F911D0"/>
    <w:rsid w:val="00FA2026"/>
    <w:rsid w:val="00FE65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9E8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1954"/>
    <w:pPr>
      <w:spacing w:after="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301954"/>
    <w:pPr>
      <w:outlineLvl w:val="0"/>
    </w:pPr>
    <w:rPr>
      <w:b/>
    </w:rPr>
  </w:style>
  <w:style w:type="paragraph" w:styleId="Heading2">
    <w:name w:val="heading 2"/>
    <w:basedOn w:val="Heading1"/>
    <w:next w:val="Normal"/>
    <w:link w:val="Heading2Char"/>
    <w:uiPriority w:val="9"/>
    <w:unhideWhenUsed/>
    <w:qFormat/>
    <w:rsid w:val="00301954"/>
    <w:pPr>
      <w:outlineLvl w:val="1"/>
    </w:pPr>
    <w:rPr>
      <w:i/>
    </w:rPr>
  </w:style>
  <w:style w:type="paragraph" w:styleId="Heading3">
    <w:name w:val="heading 3"/>
    <w:basedOn w:val="Normal"/>
    <w:next w:val="Normal"/>
    <w:link w:val="Heading3Char"/>
    <w:uiPriority w:val="9"/>
    <w:unhideWhenUsed/>
    <w:qFormat/>
    <w:rsid w:val="003019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019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3019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30195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30195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30195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95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954"/>
    <w:rPr>
      <w:rFonts w:ascii="Times New Roman" w:hAnsi="Times New Roman"/>
      <w:b/>
    </w:rPr>
  </w:style>
  <w:style w:type="character" w:customStyle="1" w:styleId="Heading2Char">
    <w:name w:val="Heading 2 Char"/>
    <w:basedOn w:val="DefaultParagraphFont"/>
    <w:link w:val="Heading2"/>
    <w:uiPriority w:val="9"/>
    <w:rsid w:val="00301954"/>
    <w:rPr>
      <w:rFonts w:ascii="Times New Roman" w:hAnsi="Times New Roman"/>
      <w:b/>
      <w:i/>
    </w:rPr>
  </w:style>
  <w:style w:type="character" w:customStyle="1" w:styleId="Heading3Char">
    <w:name w:val="Heading 3 Char"/>
    <w:basedOn w:val="DefaultParagraphFont"/>
    <w:link w:val="Heading3"/>
    <w:uiPriority w:val="9"/>
    <w:rsid w:val="003019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3019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301954"/>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3019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301954"/>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3019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954"/>
    <w:rPr>
      <w:rFonts w:eastAsiaTheme="majorEastAsia" w:cstheme="majorBidi"/>
      <w:color w:val="272727" w:themeColor="text1" w:themeTint="D8"/>
    </w:rPr>
  </w:style>
  <w:style w:type="paragraph" w:styleId="Title">
    <w:name w:val="Title"/>
    <w:basedOn w:val="Normal"/>
    <w:next w:val="Normal"/>
    <w:link w:val="TitleChar"/>
    <w:uiPriority w:val="10"/>
    <w:qFormat/>
    <w:rsid w:val="003019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9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9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9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954"/>
    <w:pPr>
      <w:spacing w:before="160"/>
      <w:jc w:val="center"/>
    </w:pPr>
    <w:rPr>
      <w:i/>
      <w:iCs/>
      <w:color w:val="404040" w:themeColor="text1" w:themeTint="BF"/>
    </w:rPr>
  </w:style>
  <w:style w:type="character" w:customStyle="1" w:styleId="QuoteChar">
    <w:name w:val="Quote Char"/>
    <w:basedOn w:val="DefaultParagraphFont"/>
    <w:link w:val="Quote"/>
    <w:uiPriority w:val="29"/>
    <w:rsid w:val="00301954"/>
    <w:rPr>
      <w:i/>
      <w:iCs/>
      <w:color w:val="404040" w:themeColor="text1" w:themeTint="BF"/>
    </w:rPr>
  </w:style>
  <w:style w:type="paragraph" w:styleId="ListParagraph">
    <w:name w:val="List Paragraph"/>
    <w:basedOn w:val="Normal"/>
    <w:uiPriority w:val="34"/>
    <w:qFormat/>
    <w:rsid w:val="00301954"/>
    <w:pPr>
      <w:ind w:left="720"/>
      <w:contextualSpacing/>
    </w:pPr>
  </w:style>
  <w:style w:type="character" w:styleId="IntenseEmphasis">
    <w:name w:val="Intense Emphasis"/>
    <w:basedOn w:val="DefaultParagraphFont"/>
    <w:uiPriority w:val="21"/>
    <w:qFormat/>
    <w:rsid w:val="00301954"/>
    <w:rPr>
      <w:i/>
      <w:iCs/>
      <w:color w:val="2F5496" w:themeColor="accent1" w:themeShade="BF"/>
    </w:rPr>
  </w:style>
  <w:style w:type="paragraph" w:styleId="IntenseQuote">
    <w:name w:val="Intense Quote"/>
    <w:basedOn w:val="Normal"/>
    <w:next w:val="Normal"/>
    <w:link w:val="IntenseQuoteChar"/>
    <w:uiPriority w:val="30"/>
    <w:qFormat/>
    <w:rsid w:val="003019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1954"/>
    <w:rPr>
      <w:i/>
      <w:iCs/>
      <w:color w:val="2F5496" w:themeColor="accent1" w:themeShade="BF"/>
    </w:rPr>
  </w:style>
  <w:style w:type="character" w:styleId="IntenseReference">
    <w:name w:val="Intense Reference"/>
    <w:basedOn w:val="DefaultParagraphFont"/>
    <w:uiPriority w:val="32"/>
    <w:qFormat/>
    <w:rsid w:val="00301954"/>
    <w:rPr>
      <w:b/>
      <w:bCs/>
      <w:smallCaps/>
      <w:color w:val="2F5496" w:themeColor="accent1" w:themeShade="BF"/>
      <w:spacing w:val="5"/>
    </w:rPr>
  </w:style>
  <w:style w:type="paragraph" w:styleId="NormalWeb">
    <w:name w:val="Normal (Web)"/>
    <w:basedOn w:val="Normal"/>
    <w:uiPriority w:val="99"/>
    <w:semiHidden/>
    <w:unhideWhenUsed/>
    <w:rsid w:val="00DE7DD0"/>
    <w:pPr>
      <w:spacing w:before="100" w:beforeAutospacing="1" w:after="100" w:afterAutospacing="1" w:line="240" w:lineRule="auto"/>
      <w:jc w:val="left"/>
    </w:pPr>
    <w:rPr>
      <w:rFonts w:eastAsia="Times New Roman" w:cs="Times New Roman"/>
      <w:kern w:val="0"/>
      <w:lang w:val="en-US"/>
      <w14:ligatures w14:val="none"/>
    </w:rPr>
  </w:style>
  <w:style w:type="paragraph" w:styleId="Header">
    <w:name w:val="header"/>
    <w:basedOn w:val="Normal"/>
    <w:link w:val="HeaderChar"/>
    <w:uiPriority w:val="99"/>
    <w:unhideWhenUsed/>
    <w:rsid w:val="00A932A7"/>
    <w:pPr>
      <w:tabs>
        <w:tab w:val="center" w:pos="4680"/>
        <w:tab w:val="right" w:pos="9360"/>
      </w:tabs>
      <w:spacing w:line="240" w:lineRule="auto"/>
    </w:pPr>
  </w:style>
  <w:style w:type="character" w:customStyle="1" w:styleId="HeaderChar">
    <w:name w:val="Header Char"/>
    <w:basedOn w:val="DefaultParagraphFont"/>
    <w:link w:val="Header"/>
    <w:uiPriority w:val="99"/>
    <w:rsid w:val="00A932A7"/>
    <w:rPr>
      <w:rFonts w:ascii="Times New Roman" w:hAnsi="Times New Roman"/>
      <w:lang w:val="en-GB"/>
    </w:rPr>
  </w:style>
  <w:style w:type="paragraph" w:styleId="Footer">
    <w:name w:val="footer"/>
    <w:basedOn w:val="Normal"/>
    <w:link w:val="FooterChar"/>
    <w:uiPriority w:val="99"/>
    <w:unhideWhenUsed/>
    <w:rsid w:val="00A932A7"/>
    <w:pPr>
      <w:tabs>
        <w:tab w:val="center" w:pos="4680"/>
        <w:tab w:val="right" w:pos="9360"/>
      </w:tabs>
      <w:spacing w:line="240" w:lineRule="auto"/>
    </w:pPr>
  </w:style>
  <w:style w:type="character" w:customStyle="1" w:styleId="FooterChar">
    <w:name w:val="Footer Char"/>
    <w:basedOn w:val="DefaultParagraphFont"/>
    <w:link w:val="Footer"/>
    <w:uiPriority w:val="99"/>
    <w:rsid w:val="00A932A7"/>
    <w:rPr>
      <w:rFonts w:ascii="Times New Roman" w:hAnsi="Times New Roman"/>
      <w:lang w:val="en-GB"/>
    </w:rPr>
  </w:style>
  <w:style w:type="paragraph" w:styleId="TOCHeading">
    <w:name w:val="TOC Heading"/>
    <w:basedOn w:val="Heading1"/>
    <w:next w:val="Normal"/>
    <w:uiPriority w:val="39"/>
    <w:semiHidden/>
    <w:unhideWhenUsed/>
    <w:qFormat/>
    <w:rsid w:val="008E1FB5"/>
    <w:pPr>
      <w:keepNext/>
      <w:keepLines/>
      <w:spacing w:before="480" w:line="276" w:lineRule="auto"/>
      <w:jc w:val="left"/>
      <w:outlineLvl w:val="9"/>
    </w:pPr>
    <w:rPr>
      <w:rFonts w:asciiTheme="majorHAnsi" w:eastAsiaTheme="majorEastAsia" w:hAnsiTheme="majorHAnsi" w:cstheme="majorBidi"/>
      <w:bCs/>
      <w:color w:val="2F5496" w:themeColor="accent1" w:themeShade="BF"/>
      <w:kern w:val="0"/>
      <w:sz w:val="28"/>
      <w:szCs w:val="28"/>
      <w:lang w:val="en-US" w:eastAsia="ja-JP"/>
      <w14:ligatures w14:val="none"/>
    </w:rPr>
  </w:style>
  <w:style w:type="paragraph" w:styleId="TOC1">
    <w:name w:val="toc 1"/>
    <w:basedOn w:val="Normal"/>
    <w:next w:val="Normal"/>
    <w:autoRedefine/>
    <w:uiPriority w:val="39"/>
    <w:unhideWhenUsed/>
    <w:rsid w:val="008E1FB5"/>
    <w:pPr>
      <w:spacing w:after="100"/>
    </w:pPr>
  </w:style>
  <w:style w:type="paragraph" w:styleId="TOC2">
    <w:name w:val="toc 2"/>
    <w:basedOn w:val="Normal"/>
    <w:next w:val="Normal"/>
    <w:autoRedefine/>
    <w:uiPriority w:val="39"/>
    <w:unhideWhenUsed/>
    <w:rsid w:val="008E1FB5"/>
    <w:pPr>
      <w:spacing w:after="100"/>
      <w:ind w:left="240"/>
    </w:pPr>
  </w:style>
  <w:style w:type="character" w:styleId="Hyperlink">
    <w:name w:val="Hyperlink"/>
    <w:basedOn w:val="DefaultParagraphFont"/>
    <w:uiPriority w:val="99"/>
    <w:unhideWhenUsed/>
    <w:rsid w:val="008E1FB5"/>
    <w:rPr>
      <w:color w:val="0563C1" w:themeColor="hyperlink"/>
      <w:u w:val="single"/>
    </w:rPr>
  </w:style>
  <w:style w:type="paragraph" w:styleId="BalloonText">
    <w:name w:val="Balloon Text"/>
    <w:basedOn w:val="Normal"/>
    <w:link w:val="BalloonTextChar"/>
    <w:uiPriority w:val="99"/>
    <w:semiHidden/>
    <w:unhideWhenUsed/>
    <w:rsid w:val="008E1F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FB5"/>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1954"/>
    <w:pPr>
      <w:spacing w:after="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301954"/>
    <w:pPr>
      <w:outlineLvl w:val="0"/>
    </w:pPr>
    <w:rPr>
      <w:b/>
    </w:rPr>
  </w:style>
  <w:style w:type="paragraph" w:styleId="Heading2">
    <w:name w:val="heading 2"/>
    <w:basedOn w:val="Heading1"/>
    <w:next w:val="Normal"/>
    <w:link w:val="Heading2Char"/>
    <w:uiPriority w:val="9"/>
    <w:unhideWhenUsed/>
    <w:qFormat/>
    <w:rsid w:val="00301954"/>
    <w:pPr>
      <w:outlineLvl w:val="1"/>
    </w:pPr>
    <w:rPr>
      <w:i/>
    </w:rPr>
  </w:style>
  <w:style w:type="paragraph" w:styleId="Heading3">
    <w:name w:val="heading 3"/>
    <w:basedOn w:val="Normal"/>
    <w:next w:val="Normal"/>
    <w:link w:val="Heading3Char"/>
    <w:uiPriority w:val="9"/>
    <w:unhideWhenUsed/>
    <w:qFormat/>
    <w:rsid w:val="003019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019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3019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30195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30195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30195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95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954"/>
    <w:rPr>
      <w:rFonts w:ascii="Times New Roman" w:hAnsi="Times New Roman"/>
      <w:b/>
    </w:rPr>
  </w:style>
  <w:style w:type="character" w:customStyle="1" w:styleId="Heading2Char">
    <w:name w:val="Heading 2 Char"/>
    <w:basedOn w:val="DefaultParagraphFont"/>
    <w:link w:val="Heading2"/>
    <w:uiPriority w:val="9"/>
    <w:rsid w:val="00301954"/>
    <w:rPr>
      <w:rFonts w:ascii="Times New Roman" w:hAnsi="Times New Roman"/>
      <w:b/>
      <w:i/>
    </w:rPr>
  </w:style>
  <w:style w:type="character" w:customStyle="1" w:styleId="Heading3Char">
    <w:name w:val="Heading 3 Char"/>
    <w:basedOn w:val="DefaultParagraphFont"/>
    <w:link w:val="Heading3"/>
    <w:uiPriority w:val="9"/>
    <w:rsid w:val="003019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3019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301954"/>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3019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301954"/>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3019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954"/>
    <w:rPr>
      <w:rFonts w:eastAsiaTheme="majorEastAsia" w:cstheme="majorBidi"/>
      <w:color w:val="272727" w:themeColor="text1" w:themeTint="D8"/>
    </w:rPr>
  </w:style>
  <w:style w:type="paragraph" w:styleId="Title">
    <w:name w:val="Title"/>
    <w:basedOn w:val="Normal"/>
    <w:next w:val="Normal"/>
    <w:link w:val="TitleChar"/>
    <w:uiPriority w:val="10"/>
    <w:qFormat/>
    <w:rsid w:val="003019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9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9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9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954"/>
    <w:pPr>
      <w:spacing w:before="160"/>
      <w:jc w:val="center"/>
    </w:pPr>
    <w:rPr>
      <w:i/>
      <w:iCs/>
      <w:color w:val="404040" w:themeColor="text1" w:themeTint="BF"/>
    </w:rPr>
  </w:style>
  <w:style w:type="character" w:customStyle="1" w:styleId="QuoteChar">
    <w:name w:val="Quote Char"/>
    <w:basedOn w:val="DefaultParagraphFont"/>
    <w:link w:val="Quote"/>
    <w:uiPriority w:val="29"/>
    <w:rsid w:val="00301954"/>
    <w:rPr>
      <w:i/>
      <w:iCs/>
      <w:color w:val="404040" w:themeColor="text1" w:themeTint="BF"/>
    </w:rPr>
  </w:style>
  <w:style w:type="paragraph" w:styleId="ListParagraph">
    <w:name w:val="List Paragraph"/>
    <w:basedOn w:val="Normal"/>
    <w:uiPriority w:val="34"/>
    <w:qFormat/>
    <w:rsid w:val="00301954"/>
    <w:pPr>
      <w:ind w:left="720"/>
      <w:contextualSpacing/>
    </w:pPr>
  </w:style>
  <w:style w:type="character" w:styleId="IntenseEmphasis">
    <w:name w:val="Intense Emphasis"/>
    <w:basedOn w:val="DefaultParagraphFont"/>
    <w:uiPriority w:val="21"/>
    <w:qFormat/>
    <w:rsid w:val="00301954"/>
    <w:rPr>
      <w:i/>
      <w:iCs/>
      <w:color w:val="2F5496" w:themeColor="accent1" w:themeShade="BF"/>
    </w:rPr>
  </w:style>
  <w:style w:type="paragraph" w:styleId="IntenseQuote">
    <w:name w:val="Intense Quote"/>
    <w:basedOn w:val="Normal"/>
    <w:next w:val="Normal"/>
    <w:link w:val="IntenseQuoteChar"/>
    <w:uiPriority w:val="30"/>
    <w:qFormat/>
    <w:rsid w:val="003019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1954"/>
    <w:rPr>
      <w:i/>
      <w:iCs/>
      <w:color w:val="2F5496" w:themeColor="accent1" w:themeShade="BF"/>
    </w:rPr>
  </w:style>
  <w:style w:type="character" w:styleId="IntenseReference">
    <w:name w:val="Intense Reference"/>
    <w:basedOn w:val="DefaultParagraphFont"/>
    <w:uiPriority w:val="32"/>
    <w:qFormat/>
    <w:rsid w:val="00301954"/>
    <w:rPr>
      <w:b/>
      <w:bCs/>
      <w:smallCaps/>
      <w:color w:val="2F5496" w:themeColor="accent1" w:themeShade="BF"/>
      <w:spacing w:val="5"/>
    </w:rPr>
  </w:style>
  <w:style w:type="paragraph" w:styleId="NormalWeb">
    <w:name w:val="Normal (Web)"/>
    <w:basedOn w:val="Normal"/>
    <w:uiPriority w:val="99"/>
    <w:semiHidden/>
    <w:unhideWhenUsed/>
    <w:rsid w:val="00DE7DD0"/>
    <w:pPr>
      <w:spacing w:before="100" w:beforeAutospacing="1" w:after="100" w:afterAutospacing="1" w:line="240" w:lineRule="auto"/>
      <w:jc w:val="left"/>
    </w:pPr>
    <w:rPr>
      <w:rFonts w:eastAsia="Times New Roman" w:cs="Times New Roman"/>
      <w:kern w:val="0"/>
      <w:lang w:val="en-US"/>
      <w14:ligatures w14:val="none"/>
    </w:rPr>
  </w:style>
  <w:style w:type="paragraph" w:styleId="Header">
    <w:name w:val="header"/>
    <w:basedOn w:val="Normal"/>
    <w:link w:val="HeaderChar"/>
    <w:uiPriority w:val="99"/>
    <w:unhideWhenUsed/>
    <w:rsid w:val="00A932A7"/>
    <w:pPr>
      <w:tabs>
        <w:tab w:val="center" w:pos="4680"/>
        <w:tab w:val="right" w:pos="9360"/>
      </w:tabs>
      <w:spacing w:line="240" w:lineRule="auto"/>
    </w:pPr>
  </w:style>
  <w:style w:type="character" w:customStyle="1" w:styleId="HeaderChar">
    <w:name w:val="Header Char"/>
    <w:basedOn w:val="DefaultParagraphFont"/>
    <w:link w:val="Header"/>
    <w:uiPriority w:val="99"/>
    <w:rsid w:val="00A932A7"/>
    <w:rPr>
      <w:rFonts w:ascii="Times New Roman" w:hAnsi="Times New Roman"/>
      <w:lang w:val="en-GB"/>
    </w:rPr>
  </w:style>
  <w:style w:type="paragraph" w:styleId="Footer">
    <w:name w:val="footer"/>
    <w:basedOn w:val="Normal"/>
    <w:link w:val="FooterChar"/>
    <w:uiPriority w:val="99"/>
    <w:unhideWhenUsed/>
    <w:rsid w:val="00A932A7"/>
    <w:pPr>
      <w:tabs>
        <w:tab w:val="center" w:pos="4680"/>
        <w:tab w:val="right" w:pos="9360"/>
      </w:tabs>
      <w:spacing w:line="240" w:lineRule="auto"/>
    </w:pPr>
  </w:style>
  <w:style w:type="character" w:customStyle="1" w:styleId="FooterChar">
    <w:name w:val="Footer Char"/>
    <w:basedOn w:val="DefaultParagraphFont"/>
    <w:link w:val="Footer"/>
    <w:uiPriority w:val="99"/>
    <w:rsid w:val="00A932A7"/>
    <w:rPr>
      <w:rFonts w:ascii="Times New Roman" w:hAnsi="Times New Roman"/>
      <w:lang w:val="en-GB"/>
    </w:rPr>
  </w:style>
  <w:style w:type="paragraph" w:styleId="TOCHeading">
    <w:name w:val="TOC Heading"/>
    <w:basedOn w:val="Heading1"/>
    <w:next w:val="Normal"/>
    <w:uiPriority w:val="39"/>
    <w:semiHidden/>
    <w:unhideWhenUsed/>
    <w:qFormat/>
    <w:rsid w:val="008E1FB5"/>
    <w:pPr>
      <w:keepNext/>
      <w:keepLines/>
      <w:spacing w:before="480" w:line="276" w:lineRule="auto"/>
      <w:jc w:val="left"/>
      <w:outlineLvl w:val="9"/>
    </w:pPr>
    <w:rPr>
      <w:rFonts w:asciiTheme="majorHAnsi" w:eastAsiaTheme="majorEastAsia" w:hAnsiTheme="majorHAnsi" w:cstheme="majorBidi"/>
      <w:bCs/>
      <w:color w:val="2F5496" w:themeColor="accent1" w:themeShade="BF"/>
      <w:kern w:val="0"/>
      <w:sz w:val="28"/>
      <w:szCs w:val="28"/>
      <w:lang w:val="en-US" w:eastAsia="ja-JP"/>
      <w14:ligatures w14:val="none"/>
    </w:rPr>
  </w:style>
  <w:style w:type="paragraph" w:styleId="TOC1">
    <w:name w:val="toc 1"/>
    <w:basedOn w:val="Normal"/>
    <w:next w:val="Normal"/>
    <w:autoRedefine/>
    <w:uiPriority w:val="39"/>
    <w:unhideWhenUsed/>
    <w:rsid w:val="008E1FB5"/>
    <w:pPr>
      <w:spacing w:after="100"/>
    </w:pPr>
  </w:style>
  <w:style w:type="paragraph" w:styleId="TOC2">
    <w:name w:val="toc 2"/>
    <w:basedOn w:val="Normal"/>
    <w:next w:val="Normal"/>
    <w:autoRedefine/>
    <w:uiPriority w:val="39"/>
    <w:unhideWhenUsed/>
    <w:rsid w:val="008E1FB5"/>
    <w:pPr>
      <w:spacing w:after="100"/>
      <w:ind w:left="240"/>
    </w:pPr>
  </w:style>
  <w:style w:type="character" w:styleId="Hyperlink">
    <w:name w:val="Hyperlink"/>
    <w:basedOn w:val="DefaultParagraphFont"/>
    <w:uiPriority w:val="99"/>
    <w:unhideWhenUsed/>
    <w:rsid w:val="008E1FB5"/>
    <w:rPr>
      <w:color w:val="0563C1" w:themeColor="hyperlink"/>
      <w:u w:val="single"/>
    </w:rPr>
  </w:style>
  <w:style w:type="paragraph" w:styleId="BalloonText">
    <w:name w:val="Balloon Text"/>
    <w:basedOn w:val="Normal"/>
    <w:link w:val="BalloonTextChar"/>
    <w:uiPriority w:val="99"/>
    <w:semiHidden/>
    <w:unhideWhenUsed/>
    <w:rsid w:val="008E1F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FB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A7A1EB-9745-4709-B1B2-9F9D27087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3210</Words>
  <Characters>18303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2025-11-14T11:39:00Z</dcterms:created>
  <dcterms:modified xsi:type="dcterms:W3CDTF">2025-11-14T11:57:00Z</dcterms:modified>
</cp:coreProperties>
</file>