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93701097"/>
        <w:docPartObj>
          <w:docPartGallery w:val="Cover Pages"/>
          <w:docPartUnique/>
        </w:docPartObj>
      </w:sdtPr>
      <w:sdtEndPr>
        <w:rPr>
          <w:rFonts w:ascii="Arial" w:eastAsia="Arial" w:hAnsi="Arial" w:cs="Arial"/>
          <w:lang w:val="en-GB" w:eastAsia="en-GB"/>
        </w:rPr>
      </w:sdtEndPr>
      <w:sdtContent>
        <w:p w14:paraId="364E60E6" w14:textId="4129106E" w:rsidR="00D5715D" w:rsidRDefault="00D5715D">
          <w:pPr>
            <w:pStyle w:val="NoSpacing"/>
          </w:pPr>
          <w:r>
            <w:rPr>
              <w:noProof/>
            </w:rPr>
            <mc:AlternateContent>
              <mc:Choice Requires="wpg">
                <w:drawing>
                  <wp:anchor distT="0" distB="0" distL="114300" distR="114300" simplePos="0" relativeHeight="251659264" behindDoc="1" locked="0" layoutInCell="1" allowOverlap="1" wp14:anchorId="77E83849" wp14:editId="22C43578">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FB37BE8" w14:textId="77777777" w:rsidR="00D5715D" w:rsidRDefault="00D5715D">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7E83849"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FB37BE8" w14:textId="77777777" w:rsidR="00D5715D" w:rsidRDefault="00D5715D">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C43F444" wp14:editId="35FEACF8">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A53DE8" w14:textId="50C8987E" w:rsidR="00D5715D" w:rsidRDefault="00D5715D">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teodora nikolova;2009133@student.uwtsd.ac.uk</w:t>
                                    </w:r>
                                  </w:sdtContent>
                                </w:sdt>
                              </w:p>
                              <w:p w14:paraId="2544EA30" w14:textId="19238672" w:rsidR="00D5715D" w:rsidRDefault="00D5715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B04B6D">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C43F444"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3A53DE8" w14:textId="50C8987E" w:rsidR="00D5715D" w:rsidRDefault="00D5715D">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teodora nikolova;2009133@student.uwtsd.ac.uk</w:t>
                              </w:r>
                            </w:sdtContent>
                          </w:sdt>
                        </w:p>
                        <w:p w14:paraId="2544EA30" w14:textId="19238672" w:rsidR="00D5715D" w:rsidRDefault="00D5715D">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B04B6D">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63E7EE3" wp14:editId="2696874F">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B43BEB" w14:textId="4575A232" w:rsidR="00D5715D" w:rsidRDefault="00D5715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17D81">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63E7EE3"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3B43BEB" w14:textId="4575A232" w:rsidR="00D5715D" w:rsidRDefault="00D5715D">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17D81">
                                <w:rPr>
                                  <w:color w:val="404040" w:themeColor="text1" w:themeTint="BF"/>
                                  <w:sz w:val="36"/>
                                  <w:szCs w:val="36"/>
                                </w:rPr>
                                <w:t xml:space="preserve">     </w:t>
                              </w:r>
                            </w:sdtContent>
                          </w:sdt>
                        </w:p>
                      </w:txbxContent>
                    </v:textbox>
                    <w10:wrap anchorx="page" anchory="page"/>
                  </v:shape>
                </w:pict>
              </mc:Fallback>
            </mc:AlternateContent>
          </w:r>
        </w:p>
        <w:p w14:paraId="16202998" w14:textId="77D1A80E" w:rsidR="00D5715D" w:rsidRDefault="00D5715D">
          <w:pPr>
            <w:rPr>
              <w:rFonts w:ascii="Arial" w:eastAsia="Arial" w:hAnsi="Arial" w:cs="Arial"/>
            </w:rPr>
          </w:pPr>
          <w:r>
            <w:rPr>
              <w:rFonts w:ascii="Arial" w:eastAsia="Arial" w:hAnsi="Arial" w:cs="Arial"/>
            </w:rPr>
            <w:br w:type="page"/>
          </w:r>
        </w:p>
      </w:sdtContent>
    </w:sdt>
    <w:p w14:paraId="07EC4F86" w14:textId="77777777" w:rsidR="00C950B4" w:rsidRDefault="00C950B4">
      <w:pPr>
        <w:spacing w:after="0" w:line="360" w:lineRule="auto"/>
        <w:rPr>
          <w:rFonts w:ascii="Arial" w:eastAsia="Arial" w:hAnsi="Arial" w:cs="Arial"/>
        </w:rPr>
      </w:pPr>
    </w:p>
    <w:p w14:paraId="00000002" w14:textId="2D33EFB0" w:rsidR="00C950B4" w:rsidRDefault="001C43D7">
      <w:pPr>
        <w:spacing w:after="0" w:line="360" w:lineRule="auto"/>
        <w:rPr>
          <w:rFonts w:ascii="Arial" w:eastAsia="Arial" w:hAnsi="Arial" w:cs="Arial"/>
        </w:rPr>
      </w:pPr>
      <w:r>
        <w:rPr>
          <w:rFonts w:ascii="Arial" w:eastAsia="Arial" w:hAnsi="Arial" w:cs="Arial"/>
        </w:rPr>
        <w:t>Student name:</w:t>
      </w:r>
      <w:r w:rsidR="00B04B6D">
        <w:rPr>
          <w:rFonts w:ascii="Arial" w:eastAsia="Arial" w:hAnsi="Arial" w:cs="Arial"/>
        </w:rPr>
        <w:t xml:space="preserve"> </w:t>
      </w:r>
      <w:r w:rsidR="00117D81">
        <w:rPr>
          <w:rFonts w:ascii="Arial" w:eastAsia="Arial" w:hAnsi="Arial" w:cs="Arial"/>
        </w:rPr>
        <w:t xml:space="preserve">Teodora </w:t>
      </w:r>
      <w:r w:rsidR="00B04B6D">
        <w:rPr>
          <w:rFonts w:ascii="Arial" w:eastAsia="Arial" w:hAnsi="Arial" w:cs="Arial"/>
        </w:rPr>
        <w:t>Nikolova</w:t>
      </w:r>
    </w:p>
    <w:p w14:paraId="00000003" w14:textId="6C1F75D7" w:rsidR="00C950B4" w:rsidRDefault="001C43D7">
      <w:pPr>
        <w:spacing w:after="0" w:line="360" w:lineRule="auto"/>
        <w:rPr>
          <w:rFonts w:ascii="Arial" w:eastAsia="Arial" w:hAnsi="Arial" w:cs="Arial"/>
        </w:rPr>
      </w:pPr>
      <w:r>
        <w:rPr>
          <w:rFonts w:ascii="Arial" w:eastAsia="Arial" w:hAnsi="Arial" w:cs="Arial"/>
        </w:rPr>
        <w:t>Student ID:</w:t>
      </w:r>
      <w:r w:rsidR="00B04B6D">
        <w:rPr>
          <w:rFonts w:ascii="Arial" w:eastAsia="Arial" w:hAnsi="Arial" w:cs="Arial"/>
        </w:rPr>
        <w:t>2009133</w:t>
      </w:r>
    </w:p>
    <w:p w14:paraId="00000004" w14:textId="77777777" w:rsidR="00C950B4" w:rsidRDefault="001C43D7">
      <w:pPr>
        <w:spacing w:after="0" w:line="360" w:lineRule="auto"/>
        <w:rPr>
          <w:rFonts w:ascii="Arial" w:eastAsia="Arial" w:hAnsi="Arial" w:cs="Arial"/>
        </w:rPr>
      </w:pPr>
      <w:r>
        <w:rPr>
          <w:rFonts w:ascii="Arial" w:eastAsia="Arial" w:hAnsi="Arial" w:cs="Arial"/>
        </w:rPr>
        <w:t>Module Name: Principles of Health and Social Care Practice</w:t>
      </w:r>
    </w:p>
    <w:p w14:paraId="00000005" w14:textId="77777777" w:rsidR="00C950B4" w:rsidRDefault="001C43D7">
      <w:pPr>
        <w:spacing w:after="0" w:line="360" w:lineRule="auto"/>
        <w:rPr>
          <w:rFonts w:ascii="Arial" w:eastAsia="Arial" w:hAnsi="Arial" w:cs="Arial"/>
        </w:rPr>
      </w:pPr>
      <w:r>
        <w:rPr>
          <w:rFonts w:ascii="Arial" w:eastAsia="Arial" w:hAnsi="Arial" w:cs="Arial"/>
        </w:rPr>
        <w:t>Module Code: (BMHP5002)</w:t>
      </w:r>
    </w:p>
    <w:p w14:paraId="00000006" w14:textId="5848E58C" w:rsidR="00C950B4" w:rsidRDefault="001C43D7">
      <w:pPr>
        <w:spacing w:after="0" w:line="360" w:lineRule="auto"/>
        <w:rPr>
          <w:rFonts w:ascii="Arial" w:eastAsia="Arial" w:hAnsi="Arial" w:cs="Arial"/>
        </w:rPr>
      </w:pPr>
      <w:r>
        <w:rPr>
          <w:rFonts w:ascii="Arial" w:eastAsia="Arial" w:hAnsi="Arial" w:cs="Arial"/>
        </w:rPr>
        <w:t xml:space="preserve">Lecturer name: </w:t>
      </w:r>
      <w:r w:rsidR="00C60AD5">
        <w:rPr>
          <w:rFonts w:ascii="Arial" w:eastAsia="Arial" w:hAnsi="Arial" w:cs="Arial"/>
        </w:rPr>
        <w:t>Dr M</w:t>
      </w:r>
      <w:r w:rsidR="00720D69">
        <w:rPr>
          <w:rFonts w:ascii="Arial" w:eastAsia="Arial" w:hAnsi="Arial" w:cs="Arial"/>
        </w:rPr>
        <w:t xml:space="preserve">entesnot </w:t>
      </w:r>
      <w:r w:rsidR="005776C6">
        <w:rPr>
          <w:rFonts w:ascii="Arial" w:eastAsia="Arial" w:hAnsi="Arial" w:cs="Arial"/>
        </w:rPr>
        <w:t>Mengesha</w:t>
      </w:r>
    </w:p>
    <w:p w14:paraId="00000007" w14:textId="77777777" w:rsidR="00C950B4" w:rsidRDefault="00C950B4">
      <w:pPr>
        <w:spacing w:after="0" w:line="360" w:lineRule="auto"/>
        <w:ind w:firstLine="720"/>
        <w:rPr>
          <w:rFonts w:ascii="Arial" w:eastAsia="Arial" w:hAnsi="Arial" w:cs="Arial"/>
        </w:rPr>
      </w:pPr>
    </w:p>
    <w:p w14:paraId="00000008" w14:textId="77777777" w:rsidR="00C950B4" w:rsidRDefault="00C950B4">
      <w:pPr>
        <w:spacing w:after="0" w:line="360" w:lineRule="auto"/>
        <w:ind w:firstLine="720"/>
        <w:rPr>
          <w:rFonts w:ascii="Arial" w:eastAsia="Arial" w:hAnsi="Arial" w:cs="Arial"/>
        </w:rPr>
      </w:pPr>
    </w:p>
    <w:p w14:paraId="00000009" w14:textId="77777777" w:rsidR="00C950B4" w:rsidRDefault="00C950B4">
      <w:pPr>
        <w:spacing w:after="0" w:line="360" w:lineRule="auto"/>
        <w:ind w:firstLine="720"/>
        <w:rPr>
          <w:rFonts w:ascii="Arial" w:eastAsia="Arial" w:hAnsi="Arial" w:cs="Arial"/>
        </w:rPr>
      </w:pPr>
    </w:p>
    <w:p w14:paraId="0000000A" w14:textId="77777777" w:rsidR="00C950B4" w:rsidRDefault="00C950B4">
      <w:pPr>
        <w:spacing w:after="0" w:line="360" w:lineRule="auto"/>
        <w:ind w:firstLine="720"/>
        <w:rPr>
          <w:rFonts w:ascii="Arial" w:eastAsia="Arial" w:hAnsi="Arial" w:cs="Arial"/>
        </w:rPr>
      </w:pPr>
    </w:p>
    <w:p w14:paraId="0000000B" w14:textId="77777777" w:rsidR="00C950B4" w:rsidRDefault="00C950B4">
      <w:pPr>
        <w:spacing w:after="0" w:line="360" w:lineRule="auto"/>
        <w:ind w:firstLine="720"/>
        <w:rPr>
          <w:rFonts w:ascii="Arial" w:eastAsia="Arial" w:hAnsi="Arial" w:cs="Arial"/>
        </w:rPr>
      </w:pPr>
    </w:p>
    <w:p w14:paraId="0000000C" w14:textId="77777777" w:rsidR="00C950B4" w:rsidRDefault="00C950B4">
      <w:pPr>
        <w:spacing w:after="0" w:line="360" w:lineRule="auto"/>
        <w:ind w:firstLine="720"/>
        <w:rPr>
          <w:rFonts w:ascii="Arial" w:eastAsia="Arial" w:hAnsi="Arial" w:cs="Arial"/>
        </w:rPr>
      </w:pPr>
    </w:p>
    <w:p w14:paraId="0000000D" w14:textId="77777777" w:rsidR="00C950B4" w:rsidRDefault="00C950B4">
      <w:pPr>
        <w:spacing w:after="0" w:line="360" w:lineRule="auto"/>
        <w:ind w:firstLine="720"/>
        <w:rPr>
          <w:rFonts w:ascii="Arial" w:eastAsia="Arial" w:hAnsi="Arial" w:cs="Arial"/>
        </w:rPr>
      </w:pPr>
    </w:p>
    <w:p w14:paraId="0000000E" w14:textId="77777777" w:rsidR="00C950B4" w:rsidRDefault="00C950B4">
      <w:pPr>
        <w:spacing w:after="0" w:line="360" w:lineRule="auto"/>
        <w:ind w:firstLine="720"/>
        <w:rPr>
          <w:rFonts w:ascii="Arial" w:eastAsia="Arial" w:hAnsi="Arial" w:cs="Arial"/>
        </w:rPr>
      </w:pPr>
    </w:p>
    <w:p w14:paraId="0000000F" w14:textId="77777777" w:rsidR="00C950B4" w:rsidRDefault="00C950B4">
      <w:pPr>
        <w:spacing w:after="0" w:line="360" w:lineRule="auto"/>
        <w:ind w:firstLine="720"/>
        <w:rPr>
          <w:rFonts w:ascii="Arial" w:eastAsia="Arial" w:hAnsi="Arial" w:cs="Arial"/>
        </w:rPr>
      </w:pPr>
    </w:p>
    <w:p w14:paraId="00000010" w14:textId="77777777" w:rsidR="00C950B4" w:rsidRDefault="00C950B4">
      <w:pPr>
        <w:spacing w:after="0" w:line="360" w:lineRule="auto"/>
        <w:ind w:firstLine="720"/>
        <w:rPr>
          <w:rFonts w:ascii="Arial" w:eastAsia="Arial" w:hAnsi="Arial" w:cs="Arial"/>
        </w:rPr>
      </w:pPr>
    </w:p>
    <w:p w14:paraId="00000011" w14:textId="77777777" w:rsidR="00C950B4" w:rsidRDefault="00C950B4">
      <w:pPr>
        <w:spacing w:after="0" w:line="360" w:lineRule="auto"/>
        <w:ind w:firstLine="720"/>
        <w:rPr>
          <w:rFonts w:ascii="Arial" w:eastAsia="Arial" w:hAnsi="Arial" w:cs="Arial"/>
        </w:rPr>
      </w:pPr>
    </w:p>
    <w:p w14:paraId="00000012" w14:textId="77777777" w:rsidR="00C950B4" w:rsidRDefault="00C950B4">
      <w:pPr>
        <w:spacing w:after="0" w:line="360" w:lineRule="auto"/>
        <w:ind w:firstLine="720"/>
        <w:rPr>
          <w:rFonts w:ascii="Arial" w:eastAsia="Arial" w:hAnsi="Arial" w:cs="Arial"/>
        </w:rPr>
      </w:pPr>
    </w:p>
    <w:p w14:paraId="00000013" w14:textId="77777777" w:rsidR="00C950B4" w:rsidRDefault="00C950B4">
      <w:pPr>
        <w:spacing w:after="0" w:line="360" w:lineRule="auto"/>
        <w:ind w:firstLine="720"/>
        <w:rPr>
          <w:rFonts w:ascii="Arial" w:eastAsia="Arial" w:hAnsi="Arial" w:cs="Arial"/>
        </w:rPr>
      </w:pPr>
    </w:p>
    <w:p w14:paraId="00000014" w14:textId="77777777" w:rsidR="00C950B4" w:rsidRDefault="00C950B4">
      <w:pPr>
        <w:spacing w:after="0" w:line="360" w:lineRule="auto"/>
        <w:ind w:firstLine="720"/>
        <w:rPr>
          <w:rFonts w:ascii="Arial" w:eastAsia="Arial" w:hAnsi="Arial" w:cs="Arial"/>
        </w:rPr>
      </w:pPr>
    </w:p>
    <w:p w14:paraId="00000015" w14:textId="77777777" w:rsidR="00C950B4" w:rsidRDefault="00C950B4">
      <w:pPr>
        <w:spacing w:after="0" w:line="360" w:lineRule="auto"/>
        <w:ind w:firstLine="720"/>
        <w:rPr>
          <w:rFonts w:ascii="Arial" w:eastAsia="Arial" w:hAnsi="Arial" w:cs="Arial"/>
        </w:rPr>
      </w:pPr>
    </w:p>
    <w:p w14:paraId="00000016" w14:textId="77777777" w:rsidR="00C950B4" w:rsidRDefault="00C950B4">
      <w:pPr>
        <w:spacing w:after="0" w:line="360" w:lineRule="auto"/>
        <w:ind w:firstLine="720"/>
        <w:rPr>
          <w:rFonts w:ascii="Arial" w:eastAsia="Arial" w:hAnsi="Arial" w:cs="Arial"/>
        </w:rPr>
      </w:pPr>
    </w:p>
    <w:p w14:paraId="00000017" w14:textId="77777777" w:rsidR="00C950B4" w:rsidRDefault="00C950B4">
      <w:pPr>
        <w:spacing w:after="0" w:line="360" w:lineRule="auto"/>
        <w:ind w:firstLine="720"/>
        <w:rPr>
          <w:rFonts w:ascii="Arial" w:eastAsia="Arial" w:hAnsi="Arial" w:cs="Arial"/>
        </w:rPr>
      </w:pPr>
    </w:p>
    <w:p w14:paraId="00000018" w14:textId="77777777" w:rsidR="00C950B4" w:rsidRDefault="00C950B4">
      <w:pPr>
        <w:spacing w:after="0" w:line="360" w:lineRule="auto"/>
        <w:ind w:firstLine="720"/>
        <w:rPr>
          <w:rFonts w:ascii="Arial" w:eastAsia="Arial" w:hAnsi="Arial" w:cs="Arial"/>
        </w:rPr>
      </w:pPr>
    </w:p>
    <w:p w14:paraId="00000019" w14:textId="77777777" w:rsidR="00C950B4" w:rsidRDefault="00C950B4">
      <w:pPr>
        <w:spacing w:after="0" w:line="360" w:lineRule="auto"/>
        <w:ind w:firstLine="720"/>
        <w:rPr>
          <w:rFonts w:ascii="Arial" w:eastAsia="Arial" w:hAnsi="Arial" w:cs="Arial"/>
        </w:rPr>
      </w:pPr>
    </w:p>
    <w:p w14:paraId="0000001A" w14:textId="77777777" w:rsidR="00C950B4" w:rsidRDefault="00C950B4">
      <w:pPr>
        <w:spacing w:after="0" w:line="360" w:lineRule="auto"/>
        <w:ind w:firstLine="720"/>
        <w:rPr>
          <w:rFonts w:ascii="Arial" w:eastAsia="Arial" w:hAnsi="Arial" w:cs="Arial"/>
        </w:rPr>
      </w:pPr>
    </w:p>
    <w:p w14:paraId="0000001B" w14:textId="77777777" w:rsidR="00C950B4" w:rsidRDefault="00C950B4">
      <w:pPr>
        <w:spacing w:after="0" w:line="360" w:lineRule="auto"/>
        <w:ind w:firstLine="720"/>
        <w:rPr>
          <w:rFonts w:ascii="Arial" w:eastAsia="Arial" w:hAnsi="Arial" w:cs="Arial"/>
        </w:rPr>
      </w:pPr>
    </w:p>
    <w:p w14:paraId="0000001C" w14:textId="77777777" w:rsidR="00C950B4" w:rsidRDefault="00C950B4">
      <w:pPr>
        <w:spacing w:after="0" w:line="360" w:lineRule="auto"/>
        <w:ind w:firstLine="720"/>
        <w:rPr>
          <w:rFonts w:ascii="Arial" w:eastAsia="Arial" w:hAnsi="Arial" w:cs="Arial"/>
        </w:rPr>
      </w:pPr>
    </w:p>
    <w:p w14:paraId="0000001D" w14:textId="77777777" w:rsidR="00C950B4" w:rsidRDefault="00C950B4">
      <w:pPr>
        <w:spacing w:after="0" w:line="360" w:lineRule="auto"/>
        <w:ind w:firstLine="720"/>
        <w:rPr>
          <w:rFonts w:ascii="Arial" w:eastAsia="Arial" w:hAnsi="Arial" w:cs="Arial"/>
        </w:rPr>
      </w:pPr>
    </w:p>
    <w:p w14:paraId="0000001E" w14:textId="77777777" w:rsidR="00C950B4" w:rsidRDefault="00C950B4">
      <w:pPr>
        <w:spacing w:after="0" w:line="360" w:lineRule="auto"/>
        <w:ind w:firstLine="720"/>
        <w:rPr>
          <w:rFonts w:ascii="Arial" w:eastAsia="Arial" w:hAnsi="Arial" w:cs="Arial"/>
        </w:rPr>
      </w:pPr>
    </w:p>
    <w:p w14:paraId="0000001F" w14:textId="77777777" w:rsidR="00C950B4" w:rsidRDefault="00C950B4">
      <w:pPr>
        <w:spacing w:after="0" w:line="360" w:lineRule="auto"/>
        <w:ind w:firstLine="720"/>
        <w:rPr>
          <w:rFonts w:ascii="Arial" w:eastAsia="Arial" w:hAnsi="Arial" w:cs="Arial"/>
        </w:rPr>
      </w:pPr>
    </w:p>
    <w:p w14:paraId="00000020" w14:textId="77777777" w:rsidR="00C950B4" w:rsidRDefault="00C950B4">
      <w:pPr>
        <w:spacing w:after="0" w:line="360" w:lineRule="auto"/>
        <w:rPr>
          <w:rFonts w:ascii="Arial" w:eastAsia="Arial" w:hAnsi="Arial" w:cs="Arial"/>
        </w:rPr>
      </w:pPr>
    </w:p>
    <w:p w14:paraId="00000021" w14:textId="77777777" w:rsidR="00C950B4" w:rsidRDefault="001C43D7">
      <w:pPr>
        <w:keepNext/>
        <w:keepLines/>
        <w:pBdr>
          <w:top w:val="nil"/>
          <w:left w:val="nil"/>
          <w:bottom w:val="nil"/>
          <w:right w:val="nil"/>
          <w:between w:val="nil"/>
        </w:pBdr>
        <w:spacing w:after="0" w:line="360" w:lineRule="auto"/>
        <w:ind w:firstLine="720"/>
        <w:jc w:val="center"/>
        <w:rPr>
          <w:rFonts w:ascii="Arial" w:eastAsia="Arial" w:hAnsi="Arial" w:cs="Arial"/>
          <w:b/>
          <w:color w:val="000000"/>
        </w:rPr>
      </w:pPr>
      <w:r>
        <w:rPr>
          <w:rFonts w:ascii="Arial" w:eastAsia="Arial" w:hAnsi="Arial" w:cs="Arial"/>
          <w:b/>
          <w:color w:val="000000"/>
        </w:rPr>
        <w:t>Table of Contents</w:t>
      </w:r>
    </w:p>
    <w:sdt>
      <w:sdtPr>
        <w:id w:val="872732590"/>
        <w:docPartObj>
          <w:docPartGallery w:val="Table of Contents"/>
          <w:docPartUnique/>
        </w:docPartObj>
      </w:sdtPr>
      <w:sdtEndPr/>
      <w:sdtContent>
        <w:p w14:paraId="00000022" w14:textId="77777777" w:rsidR="00C950B4" w:rsidRDefault="001C43D7">
          <w:pPr>
            <w:pBdr>
              <w:top w:val="nil"/>
              <w:left w:val="nil"/>
              <w:bottom w:val="nil"/>
              <w:right w:val="nil"/>
              <w:between w:val="nil"/>
            </w:pBdr>
            <w:tabs>
              <w:tab w:val="right" w:pos="9350"/>
            </w:tabs>
            <w:spacing w:after="0" w:line="360" w:lineRule="auto"/>
            <w:rPr>
              <w:rFonts w:ascii="Arial" w:eastAsia="Arial" w:hAnsi="Arial" w:cs="Arial"/>
              <w:color w:val="000000"/>
            </w:rPr>
          </w:pPr>
          <w:r>
            <w:fldChar w:fldCharType="begin"/>
          </w:r>
          <w:r>
            <w:instrText xml:space="preserve"> TOC \h \u \z </w:instrText>
          </w:r>
          <w:r>
            <w:fldChar w:fldCharType="separate"/>
          </w:r>
          <w:hyperlink w:anchor="_heading=h.gjdgxs">
            <w:r>
              <w:rPr>
                <w:rFonts w:ascii="Arial" w:eastAsia="Arial" w:hAnsi="Arial" w:cs="Arial"/>
                <w:color w:val="000000"/>
              </w:rPr>
              <w:t>Underlying Concept of Person-Centred Care</w:t>
            </w:r>
            <w:r>
              <w:rPr>
                <w:rFonts w:ascii="Arial" w:eastAsia="Arial" w:hAnsi="Arial" w:cs="Arial"/>
                <w:color w:val="000000"/>
              </w:rPr>
              <w:tab/>
              <w:t>3</w:t>
            </w:r>
          </w:hyperlink>
        </w:p>
        <w:p w14:paraId="00000023" w14:textId="77777777" w:rsidR="00C950B4" w:rsidRDefault="001C43D7">
          <w:pPr>
            <w:pBdr>
              <w:top w:val="nil"/>
              <w:left w:val="nil"/>
              <w:bottom w:val="nil"/>
              <w:right w:val="nil"/>
              <w:between w:val="nil"/>
            </w:pBdr>
            <w:tabs>
              <w:tab w:val="right" w:pos="9350"/>
            </w:tabs>
            <w:spacing w:after="0" w:line="360" w:lineRule="auto"/>
            <w:rPr>
              <w:rFonts w:ascii="Arial" w:eastAsia="Arial" w:hAnsi="Arial" w:cs="Arial"/>
              <w:color w:val="000000"/>
            </w:rPr>
          </w:pPr>
          <w:hyperlink w:anchor="_heading=h.30j0zll">
            <w:r>
              <w:rPr>
                <w:rFonts w:ascii="Arial" w:eastAsia="Arial" w:hAnsi="Arial" w:cs="Arial"/>
                <w:color w:val="000000"/>
              </w:rPr>
              <w:t>Theoretical Underpinning of Person-Centred Care</w:t>
            </w:r>
            <w:r>
              <w:rPr>
                <w:rFonts w:ascii="Arial" w:eastAsia="Arial" w:hAnsi="Arial" w:cs="Arial"/>
                <w:color w:val="000000"/>
              </w:rPr>
              <w:tab/>
              <w:t>4</w:t>
            </w:r>
          </w:hyperlink>
        </w:p>
        <w:p w14:paraId="00000024" w14:textId="77777777" w:rsidR="00C950B4" w:rsidRDefault="001C43D7">
          <w:pPr>
            <w:pBdr>
              <w:top w:val="nil"/>
              <w:left w:val="nil"/>
              <w:bottom w:val="nil"/>
              <w:right w:val="nil"/>
              <w:between w:val="nil"/>
            </w:pBdr>
            <w:tabs>
              <w:tab w:val="right" w:pos="9350"/>
            </w:tabs>
            <w:spacing w:after="0" w:line="360" w:lineRule="auto"/>
            <w:rPr>
              <w:rFonts w:ascii="Arial" w:eastAsia="Arial" w:hAnsi="Arial" w:cs="Arial"/>
              <w:color w:val="000000"/>
            </w:rPr>
          </w:pPr>
          <w:hyperlink w:anchor="_heading=h.1fob9te">
            <w:r>
              <w:rPr>
                <w:rFonts w:ascii="Arial" w:eastAsia="Arial" w:hAnsi="Arial" w:cs="Arial"/>
                <w:color w:val="000000"/>
              </w:rPr>
              <w:t>Ethical Underpinning of Person-Centred Car</w:t>
            </w:r>
            <w:r>
              <w:rPr>
                <w:rFonts w:ascii="Arial" w:eastAsia="Arial" w:hAnsi="Arial" w:cs="Arial"/>
                <w:color w:val="000000"/>
              </w:rPr>
              <w:t>e</w:t>
            </w:r>
            <w:r>
              <w:rPr>
                <w:rFonts w:ascii="Arial" w:eastAsia="Arial" w:hAnsi="Arial" w:cs="Arial"/>
                <w:color w:val="000000"/>
              </w:rPr>
              <w:tab/>
              <w:t>7</w:t>
            </w:r>
          </w:hyperlink>
        </w:p>
        <w:p w14:paraId="00000025" w14:textId="77777777" w:rsidR="00C950B4" w:rsidRDefault="001C43D7">
          <w:pPr>
            <w:pBdr>
              <w:top w:val="nil"/>
              <w:left w:val="nil"/>
              <w:bottom w:val="nil"/>
              <w:right w:val="nil"/>
              <w:between w:val="nil"/>
            </w:pBdr>
            <w:tabs>
              <w:tab w:val="right" w:pos="9350"/>
            </w:tabs>
            <w:spacing w:after="0" w:line="360" w:lineRule="auto"/>
            <w:rPr>
              <w:rFonts w:ascii="Arial" w:eastAsia="Arial" w:hAnsi="Arial" w:cs="Arial"/>
              <w:color w:val="000000"/>
            </w:rPr>
          </w:pPr>
          <w:hyperlink w:anchor="_heading=h.3znysh7">
            <w:r>
              <w:rPr>
                <w:rFonts w:ascii="Arial" w:eastAsia="Arial" w:hAnsi="Arial" w:cs="Arial"/>
                <w:color w:val="000000"/>
              </w:rPr>
              <w:t>Benefits and Limitation of Person-Centred Care</w:t>
            </w:r>
            <w:r>
              <w:rPr>
                <w:rFonts w:ascii="Arial" w:eastAsia="Arial" w:hAnsi="Arial" w:cs="Arial"/>
                <w:color w:val="000000"/>
              </w:rPr>
              <w:tab/>
              <w:t>8</w:t>
            </w:r>
          </w:hyperlink>
        </w:p>
        <w:p w14:paraId="00000026" w14:textId="77777777" w:rsidR="00C950B4" w:rsidRDefault="001C43D7">
          <w:pPr>
            <w:pBdr>
              <w:top w:val="nil"/>
              <w:left w:val="nil"/>
              <w:bottom w:val="nil"/>
              <w:right w:val="nil"/>
              <w:between w:val="nil"/>
            </w:pBdr>
            <w:tabs>
              <w:tab w:val="right" w:pos="9350"/>
            </w:tabs>
            <w:spacing w:after="0" w:line="360" w:lineRule="auto"/>
            <w:rPr>
              <w:rFonts w:ascii="Arial" w:eastAsia="Arial" w:hAnsi="Arial" w:cs="Arial"/>
              <w:color w:val="000000"/>
            </w:rPr>
          </w:pPr>
          <w:hyperlink w:anchor="_heading=h.2et92p0">
            <w:r>
              <w:rPr>
                <w:rFonts w:ascii="Arial" w:eastAsia="Arial" w:hAnsi="Arial" w:cs="Arial"/>
                <w:color w:val="000000"/>
              </w:rPr>
              <w:t>Application of Person-Centred Care into Practice</w:t>
            </w:r>
            <w:r>
              <w:rPr>
                <w:rFonts w:ascii="Arial" w:eastAsia="Arial" w:hAnsi="Arial" w:cs="Arial"/>
                <w:color w:val="000000"/>
              </w:rPr>
              <w:tab/>
              <w:t>10</w:t>
            </w:r>
          </w:hyperlink>
        </w:p>
        <w:p w14:paraId="00000027" w14:textId="77777777" w:rsidR="00C950B4" w:rsidRDefault="001C43D7">
          <w:pPr>
            <w:pBdr>
              <w:top w:val="nil"/>
              <w:left w:val="nil"/>
              <w:bottom w:val="nil"/>
              <w:right w:val="nil"/>
              <w:between w:val="nil"/>
            </w:pBdr>
            <w:tabs>
              <w:tab w:val="right" w:pos="9350"/>
            </w:tabs>
            <w:spacing w:after="0" w:line="360" w:lineRule="auto"/>
            <w:rPr>
              <w:rFonts w:ascii="Arial" w:eastAsia="Arial" w:hAnsi="Arial" w:cs="Arial"/>
              <w:color w:val="000000"/>
            </w:rPr>
          </w:pPr>
          <w:hyperlink w:anchor="_heading=h.tyjcwt">
            <w:r>
              <w:rPr>
                <w:rFonts w:ascii="Arial" w:eastAsia="Arial" w:hAnsi="Arial" w:cs="Arial"/>
                <w:color w:val="000000"/>
              </w:rPr>
              <w:t xml:space="preserve">Recommendation for Improving </w:t>
            </w:r>
            <w:r>
              <w:rPr>
                <w:rFonts w:ascii="Arial" w:eastAsia="Arial" w:hAnsi="Arial" w:cs="Arial"/>
                <w:color w:val="000000"/>
              </w:rPr>
              <w:t>Person-Centred Care</w:t>
            </w:r>
            <w:r>
              <w:rPr>
                <w:rFonts w:ascii="Arial" w:eastAsia="Arial" w:hAnsi="Arial" w:cs="Arial"/>
                <w:color w:val="000000"/>
              </w:rPr>
              <w:tab/>
              <w:t>11</w:t>
            </w:r>
          </w:hyperlink>
        </w:p>
        <w:p w14:paraId="00000028" w14:textId="77777777" w:rsidR="00C950B4" w:rsidRDefault="001C43D7">
          <w:pPr>
            <w:pBdr>
              <w:top w:val="nil"/>
              <w:left w:val="nil"/>
              <w:bottom w:val="nil"/>
              <w:right w:val="nil"/>
              <w:between w:val="nil"/>
            </w:pBdr>
            <w:tabs>
              <w:tab w:val="right" w:pos="9350"/>
            </w:tabs>
            <w:spacing w:after="0" w:line="360" w:lineRule="auto"/>
            <w:rPr>
              <w:rFonts w:ascii="Arial" w:eastAsia="Arial" w:hAnsi="Arial" w:cs="Arial"/>
              <w:color w:val="000000"/>
            </w:rPr>
          </w:pPr>
          <w:hyperlink w:anchor="_heading=h.3dy6vkm">
            <w:r>
              <w:rPr>
                <w:rFonts w:ascii="Arial" w:eastAsia="Arial" w:hAnsi="Arial" w:cs="Arial"/>
                <w:color w:val="000000"/>
              </w:rPr>
              <w:t>References</w:t>
            </w:r>
            <w:r>
              <w:rPr>
                <w:rFonts w:ascii="Arial" w:eastAsia="Arial" w:hAnsi="Arial" w:cs="Arial"/>
                <w:color w:val="000000"/>
              </w:rPr>
              <w:tab/>
              <w:t>12</w:t>
            </w:r>
          </w:hyperlink>
        </w:p>
        <w:p w14:paraId="00000029" w14:textId="77777777" w:rsidR="00C950B4" w:rsidRDefault="001C43D7">
          <w:pPr>
            <w:spacing w:after="0" w:line="360" w:lineRule="auto"/>
            <w:ind w:firstLine="720"/>
            <w:rPr>
              <w:rFonts w:ascii="Arial" w:eastAsia="Arial" w:hAnsi="Arial" w:cs="Arial"/>
            </w:rPr>
          </w:pPr>
          <w:r>
            <w:fldChar w:fldCharType="end"/>
          </w:r>
        </w:p>
      </w:sdtContent>
    </w:sdt>
    <w:p w14:paraId="0000002A" w14:textId="77777777" w:rsidR="00C950B4" w:rsidRDefault="00C950B4">
      <w:pPr>
        <w:spacing w:after="0" w:line="360" w:lineRule="auto"/>
        <w:ind w:firstLine="720"/>
        <w:rPr>
          <w:rFonts w:ascii="Arial" w:eastAsia="Arial" w:hAnsi="Arial" w:cs="Arial"/>
        </w:rPr>
      </w:pPr>
    </w:p>
    <w:p w14:paraId="0000002B" w14:textId="77777777" w:rsidR="00C950B4" w:rsidRDefault="00C950B4">
      <w:pPr>
        <w:spacing w:after="0" w:line="360" w:lineRule="auto"/>
        <w:ind w:firstLine="720"/>
        <w:rPr>
          <w:rFonts w:ascii="Arial" w:eastAsia="Arial" w:hAnsi="Arial" w:cs="Arial"/>
        </w:rPr>
      </w:pPr>
    </w:p>
    <w:p w14:paraId="0000002C" w14:textId="77777777" w:rsidR="00C950B4" w:rsidRDefault="00C950B4">
      <w:pPr>
        <w:spacing w:after="0" w:line="360" w:lineRule="auto"/>
        <w:ind w:firstLine="720"/>
        <w:rPr>
          <w:rFonts w:ascii="Arial" w:eastAsia="Arial" w:hAnsi="Arial" w:cs="Arial"/>
        </w:rPr>
      </w:pPr>
    </w:p>
    <w:p w14:paraId="0000002D" w14:textId="77777777" w:rsidR="00C950B4" w:rsidRDefault="00C950B4">
      <w:pPr>
        <w:spacing w:after="0" w:line="360" w:lineRule="auto"/>
        <w:ind w:firstLine="720"/>
        <w:rPr>
          <w:rFonts w:ascii="Arial" w:eastAsia="Arial" w:hAnsi="Arial" w:cs="Arial"/>
        </w:rPr>
      </w:pPr>
    </w:p>
    <w:p w14:paraId="0000002E" w14:textId="77777777" w:rsidR="00C950B4" w:rsidRDefault="00C950B4">
      <w:pPr>
        <w:spacing w:after="0" w:line="360" w:lineRule="auto"/>
        <w:ind w:firstLine="720"/>
        <w:rPr>
          <w:rFonts w:ascii="Arial" w:eastAsia="Arial" w:hAnsi="Arial" w:cs="Arial"/>
        </w:rPr>
      </w:pPr>
    </w:p>
    <w:p w14:paraId="0000002F" w14:textId="77777777" w:rsidR="00C950B4" w:rsidRDefault="00C950B4">
      <w:pPr>
        <w:spacing w:after="0" w:line="360" w:lineRule="auto"/>
        <w:ind w:firstLine="720"/>
        <w:rPr>
          <w:rFonts w:ascii="Arial" w:eastAsia="Arial" w:hAnsi="Arial" w:cs="Arial"/>
        </w:rPr>
      </w:pPr>
    </w:p>
    <w:p w14:paraId="00000030" w14:textId="77777777" w:rsidR="00C950B4" w:rsidRDefault="00C950B4">
      <w:pPr>
        <w:spacing w:after="0" w:line="360" w:lineRule="auto"/>
        <w:ind w:firstLine="720"/>
        <w:rPr>
          <w:rFonts w:ascii="Arial" w:eastAsia="Arial" w:hAnsi="Arial" w:cs="Arial"/>
        </w:rPr>
      </w:pPr>
    </w:p>
    <w:p w14:paraId="00000031" w14:textId="77777777" w:rsidR="00C950B4" w:rsidRDefault="00C950B4">
      <w:pPr>
        <w:spacing w:after="0" w:line="360" w:lineRule="auto"/>
        <w:ind w:firstLine="720"/>
        <w:rPr>
          <w:rFonts w:ascii="Arial" w:eastAsia="Arial" w:hAnsi="Arial" w:cs="Arial"/>
        </w:rPr>
      </w:pPr>
    </w:p>
    <w:p w14:paraId="00000032" w14:textId="77777777" w:rsidR="00C950B4" w:rsidRDefault="00C950B4">
      <w:pPr>
        <w:spacing w:after="0" w:line="360" w:lineRule="auto"/>
        <w:ind w:firstLine="720"/>
        <w:rPr>
          <w:rFonts w:ascii="Arial" w:eastAsia="Arial" w:hAnsi="Arial" w:cs="Arial"/>
        </w:rPr>
      </w:pPr>
    </w:p>
    <w:p w14:paraId="00000033" w14:textId="77777777" w:rsidR="00C950B4" w:rsidRDefault="00C950B4">
      <w:pPr>
        <w:spacing w:after="0" w:line="360" w:lineRule="auto"/>
        <w:ind w:firstLine="720"/>
        <w:rPr>
          <w:rFonts w:ascii="Arial" w:eastAsia="Arial" w:hAnsi="Arial" w:cs="Arial"/>
        </w:rPr>
      </w:pPr>
    </w:p>
    <w:p w14:paraId="00000034" w14:textId="77777777" w:rsidR="00C950B4" w:rsidRDefault="00C950B4">
      <w:pPr>
        <w:spacing w:after="0" w:line="360" w:lineRule="auto"/>
        <w:ind w:firstLine="720"/>
        <w:rPr>
          <w:rFonts w:ascii="Arial" w:eastAsia="Arial" w:hAnsi="Arial" w:cs="Arial"/>
        </w:rPr>
      </w:pPr>
    </w:p>
    <w:p w14:paraId="00000035" w14:textId="77777777" w:rsidR="00C950B4" w:rsidRDefault="00C950B4">
      <w:pPr>
        <w:pStyle w:val="Heading1"/>
        <w:spacing w:before="0" w:line="360" w:lineRule="auto"/>
        <w:rPr>
          <w:rFonts w:ascii="Arial" w:eastAsia="Arial" w:hAnsi="Arial" w:cs="Arial"/>
          <w:color w:val="000000"/>
          <w:sz w:val="22"/>
          <w:szCs w:val="22"/>
        </w:rPr>
      </w:pPr>
    </w:p>
    <w:p w14:paraId="00000036" w14:textId="77777777" w:rsidR="00C950B4" w:rsidRDefault="00C950B4">
      <w:pPr>
        <w:spacing w:after="0" w:line="360" w:lineRule="auto"/>
        <w:rPr>
          <w:rFonts w:ascii="Arial" w:eastAsia="Arial" w:hAnsi="Arial" w:cs="Arial"/>
        </w:rPr>
      </w:pPr>
    </w:p>
    <w:p w14:paraId="00000037" w14:textId="77777777" w:rsidR="00C950B4" w:rsidRDefault="00C950B4">
      <w:pPr>
        <w:spacing w:after="0" w:line="360" w:lineRule="auto"/>
        <w:rPr>
          <w:rFonts w:ascii="Arial" w:eastAsia="Arial" w:hAnsi="Arial" w:cs="Arial"/>
        </w:rPr>
      </w:pPr>
    </w:p>
    <w:p w14:paraId="00000038" w14:textId="77777777" w:rsidR="00C950B4" w:rsidRDefault="00C950B4">
      <w:pPr>
        <w:spacing w:after="0" w:line="360" w:lineRule="auto"/>
        <w:rPr>
          <w:rFonts w:ascii="Arial" w:eastAsia="Arial" w:hAnsi="Arial" w:cs="Arial"/>
        </w:rPr>
      </w:pPr>
    </w:p>
    <w:p w14:paraId="00000039" w14:textId="77777777" w:rsidR="00C950B4" w:rsidRDefault="00C950B4">
      <w:pPr>
        <w:spacing w:after="0" w:line="360" w:lineRule="auto"/>
        <w:rPr>
          <w:rFonts w:ascii="Arial" w:eastAsia="Arial" w:hAnsi="Arial" w:cs="Arial"/>
        </w:rPr>
      </w:pPr>
    </w:p>
    <w:p w14:paraId="0000003A" w14:textId="77777777" w:rsidR="00C950B4" w:rsidRDefault="00C950B4">
      <w:pPr>
        <w:spacing w:after="0" w:line="360" w:lineRule="auto"/>
        <w:rPr>
          <w:rFonts w:ascii="Arial" w:eastAsia="Arial" w:hAnsi="Arial" w:cs="Arial"/>
        </w:rPr>
      </w:pPr>
    </w:p>
    <w:p w14:paraId="0000003B" w14:textId="77777777" w:rsidR="00C950B4" w:rsidRDefault="00C950B4">
      <w:pPr>
        <w:spacing w:after="0" w:line="360" w:lineRule="auto"/>
        <w:rPr>
          <w:rFonts w:ascii="Arial" w:eastAsia="Arial" w:hAnsi="Arial" w:cs="Arial"/>
        </w:rPr>
      </w:pPr>
    </w:p>
    <w:p w14:paraId="0000003C" w14:textId="77777777" w:rsidR="00C950B4" w:rsidRDefault="00C950B4">
      <w:pPr>
        <w:spacing w:after="0" w:line="360" w:lineRule="auto"/>
        <w:rPr>
          <w:rFonts w:ascii="Arial" w:eastAsia="Arial" w:hAnsi="Arial" w:cs="Arial"/>
        </w:rPr>
      </w:pPr>
    </w:p>
    <w:p w14:paraId="0000003D" w14:textId="77777777" w:rsidR="00C950B4" w:rsidRDefault="00C950B4">
      <w:pPr>
        <w:spacing w:after="0" w:line="360" w:lineRule="auto"/>
        <w:rPr>
          <w:rFonts w:ascii="Arial" w:eastAsia="Arial" w:hAnsi="Arial" w:cs="Arial"/>
        </w:rPr>
      </w:pPr>
    </w:p>
    <w:p w14:paraId="0000003E" w14:textId="77777777" w:rsidR="00C950B4" w:rsidRDefault="00C950B4">
      <w:pPr>
        <w:spacing w:after="0" w:line="360" w:lineRule="auto"/>
        <w:rPr>
          <w:rFonts w:ascii="Arial" w:eastAsia="Arial" w:hAnsi="Arial" w:cs="Arial"/>
        </w:rPr>
      </w:pPr>
    </w:p>
    <w:p w14:paraId="0000003F" w14:textId="77777777" w:rsidR="00C950B4" w:rsidRDefault="00C950B4">
      <w:pPr>
        <w:spacing w:after="0" w:line="360" w:lineRule="auto"/>
        <w:rPr>
          <w:rFonts w:ascii="Arial" w:eastAsia="Arial" w:hAnsi="Arial" w:cs="Arial"/>
        </w:rPr>
      </w:pPr>
    </w:p>
    <w:p w14:paraId="00000040" w14:textId="77777777" w:rsidR="00C950B4" w:rsidRDefault="00C950B4">
      <w:pPr>
        <w:spacing w:after="0" w:line="360" w:lineRule="auto"/>
        <w:rPr>
          <w:rFonts w:ascii="Arial" w:eastAsia="Arial" w:hAnsi="Arial" w:cs="Arial"/>
        </w:rPr>
      </w:pPr>
    </w:p>
    <w:p w14:paraId="00000041" w14:textId="104FA46E" w:rsidR="00C950B4" w:rsidRDefault="001C43D7">
      <w:pPr>
        <w:pStyle w:val="Heading1"/>
        <w:spacing w:before="0" w:line="360" w:lineRule="auto"/>
        <w:jc w:val="center"/>
        <w:rPr>
          <w:rFonts w:ascii="Arial" w:eastAsia="Arial" w:hAnsi="Arial" w:cs="Arial"/>
          <w:b/>
          <w:color w:val="000000"/>
          <w:sz w:val="22"/>
          <w:szCs w:val="22"/>
        </w:rPr>
      </w:pPr>
      <w:bookmarkStart w:id="0" w:name="_heading=h.gjdgxs" w:colFirst="0" w:colLast="0"/>
      <w:bookmarkEnd w:id="0"/>
      <w:r>
        <w:rPr>
          <w:rFonts w:ascii="Arial" w:eastAsia="Arial" w:hAnsi="Arial" w:cs="Arial"/>
          <w:b/>
          <w:color w:val="000000"/>
          <w:sz w:val="22"/>
          <w:szCs w:val="22"/>
        </w:rPr>
        <w:t>Underlying Concept of Person-</w:t>
      </w:r>
      <w:r w:rsidR="00FF3A81">
        <w:rPr>
          <w:rFonts w:ascii="Arial" w:eastAsia="Arial" w:hAnsi="Arial" w:cs="Arial"/>
          <w:b/>
          <w:color w:val="000000"/>
          <w:sz w:val="22"/>
          <w:szCs w:val="22"/>
        </w:rPr>
        <w:t>Centered</w:t>
      </w:r>
      <w:r>
        <w:rPr>
          <w:rFonts w:ascii="Arial" w:eastAsia="Arial" w:hAnsi="Arial" w:cs="Arial"/>
          <w:b/>
          <w:color w:val="000000"/>
          <w:sz w:val="22"/>
          <w:szCs w:val="22"/>
        </w:rPr>
        <w:t xml:space="preserve"> Care</w:t>
      </w:r>
    </w:p>
    <w:p w14:paraId="00000042" w14:textId="49732623" w:rsidR="00C950B4" w:rsidRDefault="001C43D7">
      <w:pPr>
        <w:spacing w:after="0" w:line="360" w:lineRule="auto"/>
        <w:ind w:firstLine="720"/>
        <w:rPr>
          <w:rFonts w:ascii="Arial" w:eastAsia="Arial" w:hAnsi="Arial" w:cs="Arial"/>
        </w:rPr>
      </w:pPr>
      <w:r>
        <w:rPr>
          <w:rFonts w:ascii="Arial" w:eastAsia="Arial" w:hAnsi="Arial" w:cs="Arial"/>
        </w:rPr>
        <w:t xml:space="preserve">In the words of Hippocrates, “it is important to know what kind of a person </w:t>
      </w:r>
      <w:r w:rsidR="00EE002D">
        <w:rPr>
          <w:rFonts w:ascii="Arial" w:eastAsia="Arial" w:hAnsi="Arial" w:cs="Arial"/>
        </w:rPr>
        <w:t>a condition has</w:t>
      </w:r>
      <w:r>
        <w:rPr>
          <w:rFonts w:ascii="Arial" w:eastAsia="Arial" w:hAnsi="Arial" w:cs="Arial"/>
        </w:rPr>
        <w:t xml:space="preserve"> than to know what kind of a condition a person has” invokes our thinking in understanding of person-centred care and the need for healthcare programs to address the</w:t>
      </w:r>
      <w:r>
        <w:rPr>
          <w:rFonts w:ascii="Arial" w:eastAsia="Arial" w:hAnsi="Arial" w:cs="Arial"/>
        </w:rPr>
        <w:t xml:space="preserve"> patients’ individual needs (Langholf, 2011). When the National Health Service was established, people were happy to access free health care for their various conditions they were unable to treat due to financial constraints. The expectations of the patien</w:t>
      </w:r>
      <w:r>
        <w:rPr>
          <w:rFonts w:ascii="Arial" w:eastAsia="Arial" w:hAnsi="Arial" w:cs="Arial"/>
        </w:rPr>
        <w:t xml:space="preserve">ts under this system </w:t>
      </w:r>
      <w:r w:rsidR="00EE002D">
        <w:rPr>
          <w:rFonts w:ascii="Arial" w:eastAsia="Arial" w:hAnsi="Arial" w:cs="Arial"/>
        </w:rPr>
        <w:t>were</w:t>
      </w:r>
      <w:r>
        <w:rPr>
          <w:rFonts w:ascii="Arial" w:eastAsia="Arial" w:hAnsi="Arial" w:cs="Arial"/>
        </w:rPr>
        <w:t xml:space="preserve"> to be informed about the kind of treatments they were going to receive. However, the attitudes have transformed over time and there is abundance of health information (Jacobs et al., 2017). Patients’ expectations have grown to inco</w:t>
      </w:r>
      <w:r>
        <w:rPr>
          <w:rFonts w:ascii="Arial" w:eastAsia="Arial" w:hAnsi="Arial" w:cs="Arial"/>
        </w:rPr>
        <w:t xml:space="preserve">rporate exceptional care. More significantly, patients need person-centred care, which takes cognizance of their individual values, knowledge, preferences, </w:t>
      </w:r>
      <w:r w:rsidR="00EE002D">
        <w:rPr>
          <w:rFonts w:ascii="Arial" w:eastAsia="Arial" w:hAnsi="Arial" w:cs="Arial"/>
        </w:rPr>
        <w:t>family,</w:t>
      </w:r>
      <w:r>
        <w:rPr>
          <w:rFonts w:ascii="Arial" w:eastAsia="Arial" w:hAnsi="Arial" w:cs="Arial"/>
        </w:rPr>
        <w:t xml:space="preserve"> and social circumstances. </w:t>
      </w:r>
    </w:p>
    <w:p w14:paraId="00000043" w14:textId="48D9621E" w:rsidR="00C950B4" w:rsidRDefault="001C43D7">
      <w:pPr>
        <w:spacing w:after="0" w:line="360" w:lineRule="auto"/>
        <w:ind w:firstLine="720"/>
        <w:rPr>
          <w:rFonts w:ascii="Arial" w:eastAsia="Arial" w:hAnsi="Arial" w:cs="Arial"/>
        </w:rPr>
      </w:pPr>
      <w:r>
        <w:rPr>
          <w:rFonts w:ascii="Arial" w:eastAsia="Arial" w:hAnsi="Arial" w:cs="Arial"/>
        </w:rPr>
        <w:t>Person-centred care entails providing care for patients beyond the limits of their condition through tailoring services to match specific individual health needs. The Care Quality Commission places a requirement on healthcare providers to suffice person-ce</w:t>
      </w:r>
      <w:r>
        <w:rPr>
          <w:rFonts w:ascii="Arial" w:eastAsia="Arial" w:hAnsi="Arial" w:cs="Arial"/>
        </w:rPr>
        <w:t>ntred care as one of the 13 primordial standards of care (Care Quality Commission, 2011). Delivering person-centred care involves taking cognizance of the views of individual patients with respect to what is best for them based on their own values and pref</w:t>
      </w:r>
      <w:r>
        <w:rPr>
          <w:rFonts w:ascii="Arial" w:eastAsia="Arial" w:hAnsi="Arial" w:cs="Arial"/>
        </w:rPr>
        <w:t xml:space="preserve">erence in life. </w:t>
      </w:r>
      <w:r w:rsidR="00EE002D">
        <w:rPr>
          <w:rFonts w:ascii="Arial" w:eastAsia="Arial" w:hAnsi="Arial" w:cs="Arial"/>
        </w:rPr>
        <w:t>To</w:t>
      </w:r>
      <w:r>
        <w:rPr>
          <w:rFonts w:ascii="Arial" w:eastAsia="Arial" w:hAnsi="Arial" w:cs="Arial"/>
        </w:rPr>
        <w:t xml:space="preserve"> implement this, the healthcare providers need to understand the patients from a personal perspective and actively engage them in person-centred care decisions. This is because failure to engage individual patients’ inputs while </w:t>
      </w:r>
      <w:r>
        <w:rPr>
          <w:rFonts w:ascii="Arial" w:eastAsia="Arial" w:hAnsi="Arial" w:cs="Arial"/>
        </w:rPr>
        <w:t>providing care will make them feel like an object in lieu of a human being with feelings and thoughts. Concisely, person-centred approach places the patient at the centre of the care (Byrne et al., 2020). It tailors the healthcare services to the preferenc</w:t>
      </w:r>
      <w:r>
        <w:rPr>
          <w:rFonts w:ascii="Arial" w:eastAsia="Arial" w:hAnsi="Arial" w:cs="Arial"/>
        </w:rPr>
        <w:t xml:space="preserve">es and expectations of the patients. Implementing patient-centred care allows the patient to maintain their freedom and dignity </w:t>
      </w:r>
      <w:r w:rsidR="00EE002D">
        <w:rPr>
          <w:rFonts w:ascii="Arial" w:eastAsia="Arial" w:hAnsi="Arial" w:cs="Arial"/>
        </w:rPr>
        <w:t>while</w:t>
      </w:r>
      <w:r>
        <w:rPr>
          <w:rFonts w:ascii="Arial" w:eastAsia="Arial" w:hAnsi="Arial" w:cs="Arial"/>
        </w:rPr>
        <w:t xml:space="preserve"> receiving treatment and helps them live a contenting life as an inpatient. </w:t>
      </w:r>
    </w:p>
    <w:p w14:paraId="00000044" w14:textId="77777777" w:rsidR="00C950B4" w:rsidRDefault="001C43D7">
      <w:pPr>
        <w:spacing w:after="0" w:line="360" w:lineRule="auto"/>
        <w:ind w:firstLine="720"/>
        <w:rPr>
          <w:rFonts w:ascii="Arial" w:eastAsia="Arial" w:hAnsi="Arial" w:cs="Arial"/>
        </w:rPr>
      </w:pPr>
      <w:r>
        <w:rPr>
          <w:rFonts w:ascii="Arial" w:eastAsia="Arial" w:hAnsi="Arial" w:cs="Arial"/>
        </w:rPr>
        <w:t>Person-centred care implies an indi</w:t>
      </w:r>
      <w:r>
        <w:rPr>
          <w:rFonts w:ascii="Arial" w:eastAsia="Arial" w:hAnsi="Arial" w:cs="Arial"/>
        </w:rPr>
        <w:t>vidualized treatment of patients as equal partners in the healing process. It takes cognizance of the fact that a patient might need more than one professional help (Coulter &amp; Oldham, 2016). It involves taking cognizance of people’s potential and abilities</w:t>
      </w:r>
      <w:r>
        <w:rPr>
          <w:rFonts w:ascii="Arial" w:eastAsia="Arial" w:hAnsi="Arial" w:cs="Arial"/>
        </w:rPr>
        <w:t xml:space="preserve"> to promulgate their own health in lieu of treating them as passive recipients of care. This is because excessively paternalistic medical care suffices dependency and deters the confidence of patients to self-treatment, avert diseases and manage their own </w:t>
      </w:r>
      <w:r>
        <w:rPr>
          <w:rFonts w:ascii="Arial" w:eastAsia="Arial" w:hAnsi="Arial" w:cs="Arial"/>
        </w:rPr>
        <w:t>conditions.</w:t>
      </w:r>
    </w:p>
    <w:p w14:paraId="00000045" w14:textId="52322C45" w:rsidR="00C950B4" w:rsidRDefault="001C43D7">
      <w:pPr>
        <w:pStyle w:val="Heading1"/>
        <w:spacing w:before="0" w:line="360" w:lineRule="auto"/>
        <w:ind w:firstLine="720"/>
        <w:jc w:val="center"/>
        <w:rPr>
          <w:rFonts w:ascii="Arial" w:eastAsia="Arial" w:hAnsi="Arial" w:cs="Arial"/>
          <w:b/>
          <w:color w:val="000000"/>
          <w:sz w:val="22"/>
          <w:szCs w:val="22"/>
        </w:rPr>
      </w:pPr>
      <w:bookmarkStart w:id="1" w:name="_heading=h.30j0zll" w:colFirst="0" w:colLast="0"/>
      <w:bookmarkEnd w:id="1"/>
      <w:r>
        <w:rPr>
          <w:rFonts w:ascii="Arial" w:eastAsia="Arial" w:hAnsi="Arial" w:cs="Arial"/>
          <w:b/>
          <w:color w:val="000000"/>
          <w:sz w:val="22"/>
          <w:szCs w:val="22"/>
        </w:rPr>
        <w:t>Theoretical Underpinning of Person-</w:t>
      </w:r>
      <w:r w:rsidR="00FF3A81">
        <w:rPr>
          <w:rFonts w:ascii="Arial" w:eastAsia="Arial" w:hAnsi="Arial" w:cs="Arial"/>
          <w:b/>
          <w:color w:val="000000"/>
          <w:sz w:val="22"/>
          <w:szCs w:val="22"/>
        </w:rPr>
        <w:t>Centered</w:t>
      </w:r>
      <w:r>
        <w:rPr>
          <w:rFonts w:ascii="Arial" w:eastAsia="Arial" w:hAnsi="Arial" w:cs="Arial"/>
          <w:b/>
          <w:color w:val="000000"/>
          <w:sz w:val="22"/>
          <w:szCs w:val="22"/>
        </w:rPr>
        <w:t xml:space="preserve"> Care</w:t>
      </w:r>
    </w:p>
    <w:p w14:paraId="00000046" w14:textId="65223D43" w:rsidR="00C950B4" w:rsidRDefault="001C43D7">
      <w:pPr>
        <w:spacing w:after="0" w:line="360" w:lineRule="auto"/>
        <w:ind w:firstLine="720"/>
        <w:rPr>
          <w:rFonts w:ascii="Arial" w:eastAsia="Arial" w:hAnsi="Arial" w:cs="Arial"/>
        </w:rPr>
      </w:pPr>
      <w:r>
        <w:rPr>
          <w:rFonts w:ascii="Arial" w:eastAsia="Arial" w:hAnsi="Arial" w:cs="Arial"/>
        </w:rPr>
        <w:t>Person-centred care originates from humanistic psychotherapy. According to Carl Rogers (1951) we create a perception of ourselves on the premise of our interactions with significant others. A pers</w:t>
      </w:r>
      <w:r>
        <w:rPr>
          <w:rFonts w:ascii="Arial" w:eastAsia="Arial" w:hAnsi="Arial" w:cs="Arial"/>
        </w:rPr>
        <w:t xml:space="preserve">on who is valued, loved, </w:t>
      </w:r>
      <w:r w:rsidR="00EE002D">
        <w:rPr>
          <w:rFonts w:ascii="Arial" w:eastAsia="Arial" w:hAnsi="Arial" w:cs="Arial"/>
        </w:rPr>
        <w:t>cherished,</w:t>
      </w:r>
      <w:r>
        <w:rPr>
          <w:rFonts w:ascii="Arial" w:eastAsia="Arial" w:hAnsi="Arial" w:cs="Arial"/>
        </w:rPr>
        <w:t xml:space="preserve"> and respected harbours the same worth. According to Rogers refers the reciprocation of a similar regard of our self-perception to as unconditional positive regard. </w:t>
      </w:r>
    </w:p>
    <w:p w14:paraId="00000047" w14:textId="52404650" w:rsidR="00C950B4" w:rsidRDefault="001C43D7">
      <w:pPr>
        <w:spacing w:after="0" w:line="360" w:lineRule="auto"/>
        <w:ind w:firstLine="720"/>
        <w:rPr>
          <w:rFonts w:ascii="Arial" w:eastAsia="Arial" w:hAnsi="Arial" w:cs="Arial"/>
        </w:rPr>
      </w:pPr>
      <w:r>
        <w:rPr>
          <w:rFonts w:ascii="Arial" w:eastAsia="Arial" w:hAnsi="Arial" w:cs="Arial"/>
        </w:rPr>
        <w:t>Rogers noted in his theory that the value attached to sp</w:t>
      </w:r>
      <w:r>
        <w:rPr>
          <w:rFonts w:ascii="Arial" w:eastAsia="Arial" w:hAnsi="Arial" w:cs="Arial"/>
        </w:rPr>
        <w:t>ecific behaviours tends to instil fear of exposure of certain behaviours and thoughts that seems to contradict a particular value system. The conditional positive regard results to deficiency of congruence. Congruence is a situation where the perception of</w:t>
      </w:r>
      <w:r>
        <w:rPr>
          <w:rFonts w:ascii="Arial" w:eastAsia="Arial" w:hAnsi="Arial" w:cs="Arial"/>
        </w:rPr>
        <w:t xml:space="preserve"> </w:t>
      </w:r>
      <w:r w:rsidR="00EE002D">
        <w:rPr>
          <w:rFonts w:ascii="Arial" w:eastAsia="Arial" w:hAnsi="Arial" w:cs="Arial"/>
        </w:rPr>
        <w:t>us</w:t>
      </w:r>
      <w:r>
        <w:rPr>
          <w:rFonts w:ascii="Arial" w:eastAsia="Arial" w:hAnsi="Arial" w:cs="Arial"/>
        </w:rPr>
        <w:t xml:space="preserve"> is </w:t>
      </w:r>
      <w:r w:rsidR="00EE002D">
        <w:rPr>
          <w:rFonts w:ascii="Arial" w:eastAsia="Arial" w:hAnsi="Arial" w:cs="Arial"/>
        </w:rPr>
        <w:t>like</w:t>
      </w:r>
      <w:r>
        <w:rPr>
          <w:rFonts w:ascii="Arial" w:eastAsia="Arial" w:hAnsi="Arial" w:cs="Arial"/>
        </w:rPr>
        <w:t xml:space="preserve"> the perception of ideal self. For instance, if we have a perception that we are failure we lack the temerity to be ourselves, which impedes our personal growth. </w:t>
      </w:r>
    </w:p>
    <w:p w14:paraId="00000048" w14:textId="67010DDC" w:rsidR="00C950B4" w:rsidRDefault="001C43D7">
      <w:pPr>
        <w:spacing w:after="0" w:line="360" w:lineRule="auto"/>
        <w:ind w:firstLine="720"/>
        <w:rPr>
          <w:rFonts w:ascii="Arial" w:eastAsia="Arial" w:hAnsi="Arial" w:cs="Arial"/>
        </w:rPr>
      </w:pPr>
      <w:r>
        <w:rPr>
          <w:rFonts w:ascii="Arial" w:eastAsia="Arial" w:hAnsi="Arial" w:cs="Arial"/>
        </w:rPr>
        <w:t xml:space="preserve">Rogers (1951) contended that there is a necessity to regard learning </w:t>
      </w:r>
      <w:r>
        <w:rPr>
          <w:rFonts w:ascii="Arial" w:eastAsia="Arial" w:hAnsi="Arial" w:cs="Arial"/>
        </w:rPr>
        <w:t xml:space="preserve">as a continuous process and we </w:t>
      </w:r>
      <w:r w:rsidR="00EE002D">
        <w:rPr>
          <w:rFonts w:ascii="Arial" w:eastAsia="Arial" w:hAnsi="Arial" w:cs="Arial"/>
        </w:rPr>
        <w:t>can attain</w:t>
      </w:r>
      <w:r>
        <w:rPr>
          <w:rFonts w:ascii="Arial" w:eastAsia="Arial" w:hAnsi="Arial" w:cs="Arial"/>
        </w:rPr>
        <w:t xml:space="preserve"> personal growth via unconditional positive regard. An impediment of this growth arises from feelings of insecurity about our potential and capability to achieve our goals. </w:t>
      </w:r>
    </w:p>
    <w:p w14:paraId="00000049" w14:textId="77777777" w:rsidR="00C950B4" w:rsidRDefault="001C43D7">
      <w:pPr>
        <w:spacing w:after="0" w:line="360" w:lineRule="auto"/>
        <w:ind w:firstLine="720"/>
        <w:rPr>
          <w:rFonts w:ascii="Arial" w:eastAsia="Arial" w:hAnsi="Arial" w:cs="Arial"/>
        </w:rPr>
      </w:pPr>
      <w:r>
        <w:rPr>
          <w:rFonts w:ascii="Arial" w:eastAsia="Arial" w:hAnsi="Arial" w:cs="Arial"/>
        </w:rPr>
        <w:t>In Person-centred care, a r</w:t>
      </w:r>
      <w:r>
        <w:rPr>
          <w:rFonts w:ascii="Arial" w:eastAsia="Arial" w:hAnsi="Arial" w:cs="Arial"/>
        </w:rPr>
        <w:t xml:space="preserve">elationship centred on the principles of care privy to compassion, coordination, personalization and enabling demands that a care giver should exercise his or her duties with diligence, empathy, respect, coordination and suffice an interactive environment </w:t>
      </w:r>
      <w:r>
        <w:rPr>
          <w:rFonts w:ascii="Arial" w:eastAsia="Arial" w:hAnsi="Arial" w:cs="Arial"/>
        </w:rPr>
        <w:t xml:space="preserve">with their patients where their needs are catered for without unwarranted judgement (Fucile, 2019). Exercising person-centred care based on these principles leads to the development of congruence where the perception of self is similar with the ideal self </w:t>
      </w:r>
      <w:r>
        <w:rPr>
          <w:rFonts w:ascii="Arial" w:eastAsia="Arial" w:hAnsi="Arial" w:cs="Arial"/>
        </w:rPr>
        <w:t>(Hoffman, 2015). The self-actualization process suffices patients with self-esteem by creating a sense of openness to new experiences and feelings which values deep social relationship with significant others.</w:t>
      </w:r>
    </w:p>
    <w:p w14:paraId="0000004A" w14:textId="0F6E925B" w:rsidR="00C950B4" w:rsidRDefault="001C43D7">
      <w:pPr>
        <w:spacing w:after="0" w:line="360" w:lineRule="auto"/>
        <w:ind w:firstLine="720"/>
        <w:rPr>
          <w:rFonts w:ascii="Arial" w:eastAsia="Arial" w:hAnsi="Arial" w:cs="Arial"/>
        </w:rPr>
      </w:pPr>
      <w:r>
        <w:rPr>
          <w:rFonts w:ascii="Arial" w:eastAsia="Arial" w:hAnsi="Arial" w:cs="Arial"/>
        </w:rPr>
        <w:t>The humanistic psychotherapy theory advanced b</w:t>
      </w:r>
      <w:r>
        <w:rPr>
          <w:rFonts w:ascii="Arial" w:eastAsia="Arial" w:hAnsi="Arial" w:cs="Arial"/>
        </w:rPr>
        <w:t>y Rogers (1951) promulgates four principles of person-centred care in line with the articulation of The Health Foundation that PCC system should be administered based on compassion, coordination, and personalisation and enabling. The first principle of PCC</w:t>
      </w:r>
      <w:r>
        <w:rPr>
          <w:rFonts w:ascii="Arial" w:eastAsia="Arial" w:hAnsi="Arial" w:cs="Arial"/>
        </w:rPr>
        <w:t xml:space="preserve"> postulates that patients should be treated with compassion. Patients lose their independence when they join a health or social care, which makes their dignity vulnerable. Person-centred care ought to provide assurance for safeguarding the dignity of the p</w:t>
      </w:r>
      <w:r>
        <w:rPr>
          <w:rFonts w:ascii="Arial" w:eastAsia="Arial" w:hAnsi="Arial" w:cs="Arial"/>
        </w:rPr>
        <w:t>atient. A PCC system enables a medical health practitioner or a caregiver to uphold the dignity of the patient by respecting their wishes and treating them with empathy. The foundation of achieving this principle is always centred on the fact that a caregi</w:t>
      </w:r>
      <w:r>
        <w:rPr>
          <w:rFonts w:ascii="Arial" w:eastAsia="Arial" w:hAnsi="Arial" w:cs="Arial"/>
        </w:rPr>
        <w:t xml:space="preserve">ver must take cognizance of the patients’ thoughts, opinions, emotions, </w:t>
      </w:r>
      <w:r w:rsidR="00EE002D">
        <w:rPr>
          <w:rFonts w:ascii="Arial" w:eastAsia="Arial" w:hAnsi="Arial" w:cs="Arial"/>
        </w:rPr>
        <w:t>values,</w:t>
      </w:r>
      <w:r>
        <w:rPr>
          <w:rFonts w:ascii="Arial" w:eastAsia="Arial" w:hAnsi="Arial" w:cs="Arial"/>
        </w:rPr>
        <w:t xml:space="preserve"> and beliefs </w:t>
      </w:r>
      <w:r w:rsidR="00887867">
        <w:rPr>
          <w:rFonts w:ascii="Arial" w:eastAsia="Arial" w:hAnsi="Arial" w:cs="Arial"/>
        </w:rPr>
        <w:t>while</w:t>
      </w:r>
      <w:r>
        <w:rPr>
          <w:rFonts w:ascii="Arial" w:eastAsia="Arial" w:hAnsi="Arial" w:cs="Arial"/>
        </w:rPr>
        <w:t xml:space="preserve"> administering treatment and care. This entails showing reverence for the patients’ personal attributes, which help them feel respected and cared for</w:t>
      </w:r>
      <w:r>
        <w:rPr>
          <w:rFonts w:ascii="Arial" w:eastAsia="Arial" w:hAnsi="Arial" w:cs="Arial"/>
        </w:rPr>
        <w:t xml:space="preserve"> despite their healthcare needs. </w:t>
      </w:r>
    </w:p>
    <w:p w14:paraId="0000004B" w14:textId="0B714B25" w:rsidR="00C950B4" w:rsidRDefault="001C43D7">
      <w:pPr>
        <w:spacing w:after="0" w:line="360" w:lineRule="auto"/>
        <w:ind w:firstLine="720"/>
        <w:rPr>
          <w:rFonts w:ascii="Arial" w:eastAsia="Arial" w:hAnsi="Arial" w:cs="Arial"/>
        </w:rPr>
      </w:pPr>
      <w:r>
        <w:rPr>
          <w:rFonts w:ascii="Arial" w:eastAsia="Arial" w:hAnsi="Arial" w:cs="Arial"/>
        </w:rPr>
        <w:t xml:space="preserve">The second principle, which constitutes one of the foundational tenets of a robust person-centred care, is coordination. </w:t>
      </w:r>
      <w:r w:rsidR="00EE002D">
        <w:rPr>
          <w:rFonts w:ascii="Arial" w:eastAsia="Arial" w:hAnsi="Arial" w:cs="Arial"/>
        </w:rPr>
        <w:t>To</w:t>
      </w:r>
      <w:r>
        <w:rPr>
          <w:rFonts w:ascii="Arial" w:eastAsia="Arial" w:hAnsi="Arial" w:cs="Arial"/>
        </w:rPr>
        <w:t xml:space="preserve"> disseminate an effective person-centred care, a </w:t>
      </w:r>
      <w:r w:rsidR="00EE002D">
        <w:rPr>
          <w:rFonts w:ascii="Arial" w:eastAsia="Arial" w:hAnsi="Arial" w:cs="Arial"/>
        </w:rPr>
        <w:t>caregiver</w:t>
      </w:r>
      <w:r>
        <w:rPr>
          <w:rFonts w:ascii="Arial" w:eastAsia="Arial" w:hAnsi="Arial" w:cs="Arial"/>
        </w:rPr>
        <w:t xml:space="preserve"> needs to coordinate their effo</w:t>
      </w:r>
      <w:r>
        <w:rPr>
          <w:rFonts w:ascii="Arial" w:eastAsia="Arial" w:hAnsi="Arial" w:cs="Arial"/>
        </w:rPr>
        <w:t xml:space="preserve">rts with other healthcare and social care service providers (Harding, 2015). It also demands the need for a carer to rebuild and understanding of patients’ individualized needs in the process of transferring a patient from one carer to another. </w:t>
      </w:r>
      <w:r w:rsidR="00EE002D">
        <w:rPr>
          <w:rFonts w:ascii="Arial" w:eastAsia="Arial" w:hAnsi="Arial" w:cs="Arial"/>
        </w:rPr>
        <w:t>To</w:t>
      </w:r>
      <w:r>
        <w:rPr>
          <w:rFonts w:ascii="Arial" w:eastAsia="Arial" w:hAnsi="Arial" w:cs="Arial"/>
        </w:rPr>
        <w:t xml:space="preserve"> achieve this, a carer needs to keep a good record of a patient’s needs before sharing it with other healthcare and social care service providers. Additionally, all carers ought to correspond with other cares on how to disseminate a person-centred care to </w:t>
      </w:r>
      <w:r>
        <w:rPr>
          <w:rFonts w:ascii="Arial" w:eastAsia="Arial" w:hAnsi="Arial" w:cs="Arial"/>
        </w:rPr>
        <w:t>patients under their care. While executing this principle through sharing of individualized personal needs of patients, maintaining confidentiality should also be a key consideration. The individualized personal needs of a patient should be used for the sp</w:t>
      </w:r>
      <w:r>
        <w:rPr>
          <w:rFonts w:ascii="Arial" w:eastAsia="Arial" w:hAnsi="Arial" w:cs="Arial"/>
        </w:rPr>
        <w:t xml:space="preserve">ecified purpose only in the realm of health and social care service provision. </w:t>
      </w:r>
    </w:p>
    <w:p w14:paraId="0000004C" w14:textId="77777777" w:rsidR="00C950B4" w:rsidRDefault="001C43D7">
      <w:pPr>
        <w:spacing w:after="0" w:line="360" w:lineRule="auto"/>
        <w:ind w:firstLine="720"/>
        <w:rPr>
          <w:rFonts w:ascii="Arial" w:eastAsia="Arial" w:hAnsi="Arial" w:cs="Arial"/>
        </w:rPr>
      </w:pPr>
      <w:r>
        <w:rPr>
          <w:rFonts w:ascii="Arial" w:eastAsia="Arial" w:hAnsi="Arial" w:cs="Arial"/>
        </w:rPr>
        <w:t xml:space="preserve">The third principle of person-centred care entails personalisation where the cares provided personalised care and treatment of a patient (Hill et al., 2010). It demands taking </w:t>
      </w:r>
      <w:r>
        <w:rPr>
          <w:rFonts w:ascii="Arial" w:eastAsia="Arial" w:hAnsi="Arial" w:cs="Arial"/>
        </w:rPr>
        <w:t>cognizance of the fact that different healthcare and social care interventions functions differently for different patients. It bolsters the narrative that what works for one patient may not work for another patient albeit suffering from the same condition</w:t>
      </w:r>
      <w:r>
        <w:rPr>
          <w:rFonts w:ascii="Arial" w:eastAsia="Arial" w:hAnsi="Arial" w:cs="Arial"/>
        </w:rPr>
        <w:t>. Therefore, it entails the necessity to tailor healthcare service provision in line with the individualised needs of a patient (Hill et al., 2010). This is because standardizing health and social care service provision across all the patients influences t</w:t>
      </w:r>
      <w:r>
        <w:rPr>
          <w:rFonts w:ascii="Arial" w:eastAsia="Arial" w:hAnsi="Arial" w:cs="Arial"/>
        </w:rPr>
        <w:t xml:space="preserve">heir ability to manage their conditions aptly. Personalisation of health and social care permits patients to maintain their sense of autonomy in the process of recovery and managing their respective conditions. </w:t>
      </w:r>
    </w:p>
    <w:p w14:paraId="0000004D" w14:textId="77777777" w:rsidR="00C950B4" w:rsidRDefault="001C43D7">
      <w:pPr>
        <w:spacing w:after="0" w:line="360" w:lineRule="auto"/>
        <w:ind w:firstLine="720"/>
        <w:rPr>
          <w:rFonts w:ascii="Arial" w:eastAsia="Arial" w:hAnsi="Arial" w:cs="Arial"/>
        </w:rPr>
      </w:pPr>
      <w:r>
        <w:rPr>
          <w:rFonts w:ascii="Arial" w:eastAsia="Arial" w:hAnsi="Arial" w:cs="Arial"/>
        </w:rPr>
        <w:t>The fourth principle of a person-centred car</w:t>
      </w:r>
      <w:r>
        <w:rPr>
          <w:rFonts w:ascii="Arial" w:eastAsia="Arial" w:hAnsi="Arial" w:cs="Arial"/>
        </w:rPr>
        <w:t>e postulates that an effective PCC should enable patients to acknowledge their capabilities and attain independence. It requires engaging patients in decision-making and assisting them in implementation of specific course of actions towards their treatment</w:t>
      </w:r>
      <w:r>
        <w:rPr>
          <w:rFonts w:ascii="Arial" w:eastAsia="Arial" w:hAnsi="Arial" w:cs="Arial"/>
        </w:rPr>
        <w:t xml:space="preserve"> and recovery process (Heaton et al., 2017). This will help them nurture their capabilities and suffice an understanding of how to cater for their needs independently. Attaining this is mutually significant for both the carer and the patient. For instance,</w:t>
      </w:r>
      <w:r>
        <w:rPr>
          <w:rFonts w:ascii="Arial" w:eastAsia="Arial" w:hAnsi="Arial" w:cs="Arial"/>
        </w:rPr>
        <w:t xml:space="preserve"> the patient will feel a great sense of control over their life with minimum dependence on the health and social care. On the other hand, it will reduce the workload associated with trivial dependencies hence creating more time for carers to focus on depen</w:t>
      </w:r>
      <w:r>
        <w:rPr>
          <w:rFonts w:ascii="Arial" w:eastAsia="Arial" w:hAnsi="Arial" w:cs="Arial"/>
        </w:rPr>
        <w:t>dencies that are more necessary. However, while fulfilling this principle, it is important to strike a balance when enabling patients attain independence for their healthcare needs. This is because attempting to compel patients to independence can make the</w:t>
      </w:r>
      <w:r>
        <w:rPr>
          <w:rFonts w:ascii="Arial" w:eastAsia="Arial" w:hAnsi="Arial" w:cs="Arial"/>
        </w:rPr>
        <w:t xml:space="preserve">m feel that the care does not want to assist them whereas too much involvement can make them overly dependent. </w:t>
      </w:r>
    </w:p>
    <w:p w14:paraId="0000004E" w14:textId="48674B71" w:rsidR="00C950B4" w:rsidRDefault="001C43D7">
      <w:pPr>
        <w:pStyle w:val="Heading1"/>
        <w:spacing w:before="0" w:line="360" w:lineRule="auto"/>
        <w:ind w:firstLine="720"/>
        <w:jc w:val="center"/>
        <w:rPr>
          <w:rFonts w:ascii="Arial" w:eastAsia="Arial" w:hAnsi="Arial" w:cs="Arial"/>
          <w:b/>
          <w:color w:val="000000"/>
          <w:sz w:val="22"/>
          <w:szCs w:val="22"/>
        </w:rPr>
      </w:pPr>
      <w:bookmarkStart w:id="2" w:name="_heading=h.1fob9te" w:colFirst="0" w:colLast="0"/>
      <w:bookmarkEnd w:id="2"/>
      <w:r>
        <w:rPr>
          <w:rFonts w:ascii="Arial" w:eastAsia="Arial" w:hAnsi="Arial" w:cs="Arial"/>
          <w:b/>
          <w:color w:val="000000"/>
          <w:sz w:val="22"/>
          <w:szCs w:val="22"/>
        </w:rPr>
        <w:t>Ethical Underpinning of Person-</w:t>
      </w:r>
      <w:r w:rsidR="00CE3D2D">
        <w:rPr>
          <w:rFonts w:ascii="Arial" w:eastAsia="Arial" w:hAnsi="Arial" w:cs="Arial"/>
          <w:b/>
          <w:color w:val="000000"/>
          <w:sz w:val="22"/>
          <w:szCs w:val="22"/>
        </w:rPr>
        <w:t>Centered</w:t>
      </w:r>
      <w:r>
        <w:rPr>
          <w:rFonts w:ascii="Arial" w:eastAsia="Arial" w:hAnsi="Arial" w:cs="Arial"/>
          <w:b/>
          <w:color w:val="000000"/>
          <w:sz w:val="22"/>
          <w:szCs w:val="22"/>
        </w:rPr>
        <w:t xml:space="preserve"> Care</w:t>
      </w:r>
    </w:p>
    <w:p w14:paraId="0000004F" w14:textId="3D96582E" w:rsidR="00C950B4" w:rsidRDefault="001C43D7">
      <w:pPr>
        <w:spacing w:after="0" w:line="360" w:lineRule="auto"/>
        <w:ind w:firstLine="720"/>
        <w:rPr>
          <w:rFonts w:ascii="Arial" w:eastAsia="Arial" w:hAnsi="Arial" w:cs="Arial"/>
        </w:rPr>
      </w:pPr>
      <w:r>
        <w:rPr>
          <w:rFonts w:ascii="Arial" w:eastAsia="Arial" w:hAnsi="Arial" w:cs="Arial"/>
        </w:rPr>
        <w:t>Ethical principles of autonomy, confidentiality, and consideration of patient’s beliefs, value syste</w:t>
      </w:r>
      <w:r>
        <w:rPr>
          <w:rFonts w:ascii="Arial" w:eastAsia="Arial" w:hAnsi="Arial" w:cs="Arial"/>
        </w:rPr>
        <w:t xml:space="preserve">m, personal preferences and lifestyles premises the foundation of person-centred care (McCormack, 2017). For instance, patients lose autonomy whenever they resort to health and social care, which places their dignity at risk. </w:t>
      </w:r>
      <w:r w:rsidR="00EE002D">
        <w:rPr>
          <w:rFonts w:ascii="Arial" w:eastAsia="Arial" w:hAnsi="Arial" w:cs="Arial"/>
        </w:rPr>
        <w:t>To</w:t>
      </w:r>
      <w:r>
        <w:rPr>
          <w:rFonts w:ascii="Arial" w:eastAsia="Arial" w:hAnsi="Arial" w:cs="Arial"/>
        </w:rPr>
        <w:t xml:space="preserve"> suffice the first </w:t>
      </w:r>
      <w:r>
        <w:rPr>
          <w:rFonts w:ascii="Arial" w:eastAsia="Arial" w:hAnsi="Arial" w:cs="Arial"/>
        </w:rPr>
        <w:t xml:space="preserve">principle of an effective person-centred care, the carer needs to treat their patients with dignity and compassion. </w:t>
      </w:r>
    </w:p>
    <w:p w14:paraId="00000050" w14:textId="77777777" w:rsidR="00C950B4" w:rsidRDefault="001C43D7">
      <w:pPr>
        <w:spacing w:after="0" w:line="360" w:lineRule="auto"/>
        <w:ind w:firstLine="720"/>
        <w:rPr>
          <w:rFonts w:ascii="Arial" w:eastAsia="Arial" w:hAnsi="Arial" w:cs="Arial"/>
        </w:rPr>
      </w:pPr>
      <w:r>
        <w:rPr>
          <w:rFonts w:ascii="Arial" w:eastAsia="Arial" w:hAnsi="Arial" w:cs="Arial"/>
        </w:rPr>
        <w:t>Whereas executing the second principle of coordination through sharing of individualized personal needs of patients, maintaining confidenti</w:t>
      </w:r>
      <w:r>
        <w:rPr>
          <w:rFonts w:ascii="Arial" w:eastAsia="Arial" w:hAnsi="Arial" w:cs="Arial"/>
        </w:rPr>
        <w:t xml:space="preserve">ality should also be a key consideration (Santana et al., 2018). The individualized personal needs of a patient should be used for the specified purpose only in the realm of health and social care service provision peculiar to a particular person. </w:t>
      </w:r>
    </w:p>
    <w:p w14:paraId="00000051" w14:textId="3054D2B6" w:rsidR="00C950B4" w:rsidRDefault="00EE002D">
      <w:pPr>
        <w:spacing w:after="0" w:line="360" w:lineRule="auto"/>
        <w:ind w:firstLine="720"/>
        <w:rPr>
          <w:rFonts w:ascii="Arial" w:eastAsia="Arial" w:hAnsi="Arial" w:cs="Arial"/>
        </w:rPr>
      </w:pPr>
      <w:r>
        <w:rPr>
          <w:rFonts w:ascii="Arial" w:eastAsia="Arial" w:hAnsi="Arial" w:cs="Arial"/>
        </w:rPr>
        <w:t>Whereas</w:t>
      </w:r>
      <w:r w:rsidR="001C43D7">
        <w:rPr>
          <w:rFonts w:ascii="Arial" w:eastAsia="Arial" w:hAnsi="Arial" w:cs="Arial"/>
        </w:rPr>
        <w:t xml:space="preserve"> a patient narrative is needful to be holistic in the sense that it needs to incorporate all aspects of a patient’s situation from physiological, </w:t>
      </w:r>
      <w:r>
        <w:rPr>
          <w:rFonts w:ascii="Arial" w:eastAsia="Arial" w:hAnsi="Arial" w:cs="Arial"/>
        </w:rPr>
        <w:t>psychological,</w:t>
      </w:r>
      <w:r w:rsidR="001C43D7">
        <w:rPr>
          <w:rFonts w:ascii="Arial" w:eastAsia="Arial" w:hAnsi="Arial" w:cs="Arial"/>
        </w:rPr>
        <w:t xml:space="preserve"> and social. Collecting personal narrative information pokes holes on the competence of carers t</w:t>
      </w:r>
      <w:r w:rsidR="001C43D7">
        <w:rPr>
          <w:rFonts w:ascii="Arial" w:eastAsia="Arial" w:hAnsi="Arial" w:cs="Arial"/>
        </w:rPr>
        <w:t xml:space="preserve">o address holistic dissemination (Santana et al., 2017). The security and handling of this information is linked to the carers’ education and staffing and healthcare resources prioritisation. </w:t>
      </w:r>
    </w:p>
    <w:p w14:paraId="00000052" w14:textId="77777777" w:rsidR="00C950B4" w:rsidRDefault="001C43D7">
      <w:pPr>
        <w:spacing w:after="0" w:line="360" w:lineRule="auto"/>
        <w:ind w:firstLine="720"/>
        <w:rPr>
          <w:rFonts w:ascii="Arial" w:eastAsia="Arial" w:hAnsi="Arial" w:cs="Arial"/>
        </w:rPr>
      </w:pPr>
      <w:r>
        <w:rPr>
          <w:rFonts w:ascii="Arial" w:eastAsia="Arial" w:hAnsi="Arial" w:cs="Arial"/>
        </w:rPr>
        <w:t>Apart from the immediate effects of patient narrative on patien</w:t>
      </w:r>
      <w:r>
        <w:rPr>
          <w:rFonts w:ascii="Arial" w:eastAsia="Arial" w:hAnsi="Arial" w:cs="Arial"/>
        </w:rPr>
        <w:t>ts’ wellbeing, it raises questions with respect to the integrity of the patients that transcends beyond the immediate context of the narrative. This is because personal narrative sometimes touches on sensitive and embarrassing moments that are not easily e</w:t>
      </w:r>
      <w:r>
        <w:rPr>
          <w:rFonts w:ascii="Arial" w:eastAsia="Arial" w:hAnsi="Arial" w:cs="Arial"/>
        </w:rPr>
        <w:t xml:space="preserve">xpressible. It is plausible presumption that patients would wish to restrain the divulgence of this sensitive information on their health. Failure to guarantee the security of this sensitive information on grounds of using it for other purposes other than </w:t>
      </w:r>
      <w:r>
        <w:rPr>
          <w:rFonts w:ascii="Arial" w:eastAsia="Arial" w:hAnsi="Arial" w:cs="Arial"/>
        </w:rPr>
        <w:t xml:space="preserve">medical grounds harms the psychological and social wellbeing of the patients and reduces the trust the patients have on carers and healthcare staffs. Maintaining confidentiality of information collected from patient narrative is primordial in promulgating </w:t>
      </w:r>
      <w:r>
        <w:rPr>
          <w:rFonts w:ascii="Arial" w:eastAsia="Arial" w:hAnsi="Arial" w:cs="Arial"/>
        </w:rPr>
        <w:t xml:space="preserve">person-centred care ethics. </w:t>
      </w:r>
    </w:p>
    <w:p w14:paraId="00000053" w14:textId="00A73CC5" w:rsidR="00C950B4" w:rsidRDefault="001C43D7">
      <w:pPr>
        <w:pStyle w:val="Heading1"/>
        <w:spacing w:before="0" w:line="360" w:lineRule="auto"/>
        <w:ind w:firstLine="720"/>
        <w:jc w:val="center"/>
        <w:rPr>
          <w:rFonts w:ascii="Arial" w:eastAsia="Arial" w:hAnsi="Arial" w:cs="Arial"/>
          <w:b/>
          <w:color w:val="000000"/>
          <w:sz w:val="22"/>
          <w:szCs w:val="22"/>
        </w:rPr>
      </w:pPr>
      <w:bookmarkStart w:id="3" w:name="_heading=h.3znysh7" w:colFirst="0" w:colLast="0"/>
      <w:bookmarkEnd w:id="3"/>
      <w:r>
        <w:rPr>
          <w:rFonts w:ascii="Arial" w:eastAsia="Arial" w:hAnsi="Arial" w:cs="Arial"/>
          <w:b/>
          <w:color w:val="000000"/>
          <w:sz w:val="22"/>
          <w:szCs w:val="22"/>
        </w:rPr>
        <w:t>Benefits and Limitation of Person-</w:t>
      </w:r>
      <w:r w:rsidR="00CE3D2D">
        <w:rPr>
          <w:rFonts w:ascii="Arial" w:eastAsia="Arial" w:hAnsi="Arial" w:cs="Arial"/>
          <w:b/>
          <w:color w:val="000000"/>
          <w:sz w:val="22"/>
          <w:szCs w:val="22"/>
        </w:rPr>
        <w:t>Centered</w:t>
      </w:r>
      <w:r>
        <w:rPr>
          <w:rFonts w:ascii="Arial" w:eastAsia="Arial" w:hAnsi="Arial" w:cs="Arial"/>
          <w:b/>
          <w:color w:val="000000"/>
          <w:sz w:val="22"/>
          <w:szCs w:val="22"/>
        </w:rPr>
        <w:t xml:space="preserve"> Care</w:t>
      </w:r>
    </w:p>
    <w:p w14:paraId="00000054" w14:textId="40E108DF" w:rsidR="00C950B4" w:rsidRDefault="001C43D7">
      <w:pPr>
        <w:spacing w:after="0" w:line="360" w:lineRule="auto"/>
        <w:ind w:firstLine="720"/>
        <w:rPr>
          <w:rFonts w:ascii="Arial" w:eastAsia="Arial" w:hAnsi="Arial" w:cs="Arial"/>
        </w:rPr>
      </w:pPr>
      <w:r>
        <w:rPr>
          <w:rFonts w:ascii="Arial" w:eastAsia="Arial" w:hAnsi="Arial" w:cs="Arial"/>
        </w:rPr>
        <w:t xml:space="preserve">It is worth noting that many patients prefer playing an active role in their health care, and there is evidence that person-centred care approaches </w:t>
      </w:r>
      <w:r w:rsidR="00EE002D">
        <w:rPr>
          <w:rFonts w:ascii="Arial" w:eastAsia="Arial" w:hAnsi="Arial" w:cs="Arial"/>
        </w:rPr>
        <w:t>promulgate</w:t>
      </w:r>
      <w:r>
        <w:rPr>
          <w:rFonts w:ascii="Arial" w:eastAsia="Arial" w:hAnsi="Arial" w:cs="Arial"/>
        </w:rPr>
        <w:t xml:space="preserve"> patient care experie</w:t>
      </w:r>
      <w:r>
        <w:rPr>
          <w:rFonts w:ascii="Arial" w:eastAsia="Arial" w:hAnsi="Arial" w:cs="Arial"/>
        </w:rPr>
        <w:t xml:space="preserve">nce, and care quality outcomes (Moore, 2021). A wide range of reasons exists to ameliorate the adoption of person-centred care approach in health and social care administration. </w:t>
      </w:r>
    </w:p>
    <w:p w14:paraId="00000055" w14:textId="65CDCBCE" w:rsidR="00C950B4" w:rsidRDefault="001C43D7">
      <w:pPr>
        <w:spacing w:after="0" w:line="360" w:lineRule="auto"/>
        <w:ind w:firstLine="720"/>
        <w:rPr>
          <w:rFonts w:ascii="Arial" w:eastAsia="Arial" w:hAnsi="Arial" w:cs="Arial"/>
        </w:rPr>
      </w:pPr>
      <w:r>
        <w:rPr>
          <w:rFonts w:ascii="Arial" w:eastAsia="Arial" w:hAnsi="Arial" w:cs="Arial"/>
        </w:rPr>
        <w:t>Person-centred care support patients with chronic health care conditions to m</w:t>
      </w:r>
      <w:r>
        <w:rPr>
          <w:rFonts w:ascii="Arial" w:eastAsia="Arial" w:hAnsi="Arial" w:cs="Arial"/>
        </w:rPr>
        <w:t>anage their health through shared decision-making and self-management strategies. Evidence exists to augment the assertion that PCC ameliorate clinical results (Fazio et al., 2018). When parties to health and social care play a collaborative role, there is</w:t>
      </w:r>
      <w:r>
        <w:rPr>
          <w:rFonts w:ascii="Arial" w:eastAsia="Arial" w:hAnsi="Arial" w:cs="Arial"/>
        </w:rPr>
        <w:t xml:space="preserve"> less likelihood for utilising in-patient hospital services on emergency basis. A self-management with shared </w:t>
      </w:r>
      <w:r w:rsidR="00EE002D">
        <w:rPr>
          <w:rFonts w:ascii="Arial" w:eastAsia="Arial" w:hAnsi="Arial" w:cs="Arial"/>
        </w:rPr>
        <w:t>decision-making</w:t>
      </w:r>
      <w:r>
        <w:rPr>
          <w:rFonts w:ascii="Arial" w:eastAsia="Arial" w:hAnsi="Arial" w:cs="Arial"/>
        </w:rPr>
        <w:t xml:space="preserve"> approach more likely results in effective treatment plans as patients are more likely to take expert recommendations and clinical </w:t>
      </w:r>
      <w:r>
        <w:rPr>
          <w:rFonts w:ascii="Arial" w:eastAsia="Arial" w:hAnsi="Arial" w:cs="Arial"/>
        </w:rPr>
        <w:t xml:space="preserve">prescriptions aptly and correctly. </w:t>
      </w:r>
    </w:p>
    <w:p w14:paraId="00000056" w14:textId="77777777" w:rsidR="00C950B4" w:rsidRDefault="001C43D7">
      <w:pPr>
        <w:spacing w:after="0" w:line="360" w:lineRule="auto"/>
        <w:ind w:firstLine="720"/>
        <w:rPr>
          <w:rFonts w:ascii="Arial" w:eastAsia="Arial" w:hAnsi="Arial" w:cs="Arial"/>
        </w:rPr>
      </w:pPr>
      <w:r>
        <w:rPr>
          <w:rFonts w:ascii="Arial" w:eastAsia="Arial" w:hAnsi="Arial" w:cs="Arial"/>
        </w:rPr>
        <w:t>Patients who have a chance and privilege for decision-making with respect to their treatment and care in collaboration with carers are more contented with their care exhibit high prevalence to selecting treatments premis</w:t>
      </w:r>
      <w:r>
        <w:rPr>
          <w:rFonts w:ascii="Arial" w:eastAsia="Arial" w:hAnsi="Arial" w:cs="Arial"/>
        </w:rPr>
        <w:t xml:space="preserve">ed on their preferences and values. They also tend to opt for effective treatments that are apt in addressing their specific health problems and are less expensive (Marchand et al., 2019). </w:t>
      </w:r>
    </w:p>
    <w:p w14:paraId="00000057" w14:textId="77777777" w:rsidR="00C950B4" w:rsidRDefault="001C43D7">
      <w:pPr>
        <w:spacing w:after="0" w:line="360" w:lineRule="auto"/>
        <w:ind w:firstLine="720"/>
        <w:rPr>
          <w:rFonts w:ascii="Arial" w:eastAsia="Arial" w:hAnsi="Arial" w:cs="Arial"/>
        </w:rPr>
      </w:pPr>
      <w:r>
        <w:rPr>
          <w:rFonts w:ascii="Arial" w:eastAsia="Arial" w:hAnsi="Arial" w:cs="Arial"/>
        </w:rPr>
        <w:t>Patients who possess the leverage of knowledge and skills of manag</w:t>
      </w:r>
      <w:r>
        <w:rPr>
          <w:rFonts w:ascii="Arial" w:eastAsia="Arial" w:hAnsi="Arial" w:cs="Arial"/>
        </w:rPr>
        <w:t xml:space="preserve">ing their health issues exhibits high likelihood of engaging in positive health behaviours which results in positive health results. </w:t>
      </w:r>
    </w:p>
    <w:p w14:paraId="00000058" w14:textId="4A981056" w:rsidR="00C950B4" w:rsidRDefault="001C43D7">
      <w:pPr>
        <w:spacing w:after="0" w:line="360" w:lineRule="auto"/>
        <w:ind w:firstLine="720"/>
        <w:rPr>
          <w:rFonts w:ascii="Arial" w:eastAsia="Arial" w:hAnsi="Arial" w:cs="Arial"/>
        </w:rPr>
      </w:pPr>
      <w:r>
        <w:rPr>
          <w:rFonts w:ascii="Arial" w:eastAsia="Arial" w:hAnsi="Arial" w:cs="Arial"/>
        </w:rPr>
        <w:t>Person-centred care is equally important for healthcare professionals and carers because as patient engagement improves, c</w:t>
      </w:r>
      <w:r>
        <w:rPr>
          <w:rFonts w:ascii="Arial" w:eastAsia="Arial" w:hAnsi="Arial" w:cs="Arial"/>
        </w:rPr>
        <w:t xml:space="preserve">arers’ performance and morale </w:t>
      </w:r>
      <w:r w:rsidR="00EE002D">
        <w:rPr>
          <w:rFonts w:ascii="Arial" w:eastAsia="Arial" w:hAnsi="Arial" w:cs="Arial"/>
        </w:rPr>
        <w:t>ameliorate</w:t>
      </w:r>
      <w:r>
        <w:rPr>
          <w:rFonts w:ascii="Arial" w:eastAsia="Arial" w:hAnsi="Arial" w:cs="Arial"/>
        </w:rPr>
        <w:t xml:space="preserve"> in commensurate measure. It also reduces the dependency rates of patients hence creating more ample time for patients with important dependency. Concisely, it augments the service delivery of carers by optimizing t</w:t>
      </w:r>
      <w:r>
        <w:rPr>
          <w:rFonts w:ascii="Arial" w:eastAsia="Arial" w:hAnsi="Arial" w:cs="Arial"/>
        </w:rPr>
        <w:t xml:space="preserve">ime and healthcare resources. </w:t>
      </w:r>
    </w:p>
    <w:p w14:paraId="00000059" w14:textId="0CBFF861" w:rsidR="00C950B4" w:rsidRDefault="001C43D7">
      <w:pPr>
        <w:spacing w:after="0" w:line="360" w:lineRule="auto"/>
        <w:ind w:firstLine="720"/>
        <w:rPr>
          <w:rFonts w:ascii="Arial" w:eastAsia="Arial" w:hAnsi="Arial" w:cs="Arial"/>
        </w:rPr>
      </w:pPr>
      <w:r>
        <w:rPr>
          <w:rFonts w:ascii="Arial" w:eastAsia="Arial" w:hAnsi="Arial" w:cs="Arial"/>
        </w:rPr>
        <w:t>However, albeit the benefits that PCC suffices, it also suffers from limitations such as taking more time to administer it (Eklund et al., 2019). Incorporating a PCC through interventions such as shared decision making have a</w:t>
      </w:r>
      <w:r>
        <w:rPr>
          <w:rFonts w:ascii="Arial" w:eastAsia="Arial" w:hAnsi="Arial" w:cs="Arial"/>
        </w:rPr>
        <w:t xml:space="preserve"> tendency of taking much more time than any </w:t>
      </w:r>
      <w:r w:rsidR="00EE002D">
        <w:rPr>
          <w:rFonts w:ascii="Arial" w:eastAsia="Arial" w:hAnsi="Arial" w:cs="Arial"/>
        </w:rPr>
        <w:t>standard-length</w:t>
      </w:r>
      <w:r>
        <w:rPr>
          <w:rFonts w:ascii="Arial" w:eastAsia="Arial" w:hAnsi="Arial" w:cs="Arial"/>
        </w:rPr>
        <w:t xml:space="preserve"> healthcare interventions. </w:t>
      </w:r>
    </w:p>
    <w:p w14:paraId="0000005A" w14:textId="254D931C" w:rsidR="00C950B4" w:rsidRDefault="001C43D7">
      <w:pPr>
        <w:spacing w:after="0" w:line="360" w:lineRule="auto"/>
        <w:ind w:firstLine="720"/>
        <w:rPr>
          <w:rFonts w:ascii="Arial" w:eastAsia="Arial" w:hAnsi="Arial" w:cs="Arial"/>
        </w:rPr>
      </w:pPr>
      <w:r>
        <w:rPr>
          <w:rFonts w:ascii="Arial" w:eastAsia="Arial" w:hAnsi="Arial" w:cs="Arial"/>
        </w:rPr>
        <w:t xml:space="preserve">Albeit the value of implementing PCC, in some situations it comes with an extra cost. This is a challenge for patients with limited budgets. The collaborative treatment </w:t>
      </w:r>
      <w:r>
        <w:rPr>
          <w:rFonts w:ascii="Arial" w:eastAsia="Arial" w:hAnsi="Arial" w:cs="Arial"/>
        </w:rPr>
        <w:t xml:space="preserve">of patients </w:t>
      </w:r>
      <w:r w:rsidR="00EE002D">
        <w:rPr>
          <w:rFonts w:ascii="Arial" w:eastAsia="Arial" w:hAnsi="Arial" w:cs="Arial"/>
        </w:rPr>
        <w:t>imposes</w:t>
      </w:r>
      <w:r>
        <w:rPr>
          <w:rFonts w:ascii="Arial" w:eastAsia="Arial" w:hAnsi="Arial" w:cs="Arial"/>
        </w:rPr>
        <w:t xml:space="preserve"> extra financial burden on patients who cannot afford the extra cost. </w:t>
      </w:r>
    </w:p>
    <w:p w14:paraId="0000005B" w14:textId="0119CB3D" w:rsidR="00C950B4" w:rsidRDefault="001C43D7">
      <w:pPr>
        <w:pStyle w:val="Heading1"/>
        <w:spacing w:before="0" w:line="360" w:lineRule="auto"/>
        <w:ind w:firstLine="720"/>
        <w:jc w:val="center"/>
        <w:rPr>
          <w:rFonts w:ascii="Arial" w:eastAsia="Arial" w:hAnsi="Arial" w:cs="Arial"/>
          <w:b/>
          <w:color w:val="000000"/>
          <w:sz w:val="22"/>
          <w:szCs w:val="22"/>
        </w:rPr>
      </w:pPr>
      <w:bookmarkStart w:id="4" w:name="_heading=h.2et92p0" w:colFirst="0" w:colLast="0"/>
      <w:bookmarkEnd w:id="4"/>
      <w:r>
        <w:rPr>
          <w:rFonts w:ascii="Arial" w:eastAsia="Arial" w:hAnsi="Arial" w:cs="Arial"/>
          <w:b/>
          <w:color w:val="000000"/>
          <w:sz w:val="22"/>
          <w:szCs w:val="22"/>
        </w:rPr>
        <w:t>Application of Person-</w:t>
      </w:r>
      <w:r w:rsidR="00CE3D2D">
        <w:rPr>
          <w:rFonts w:ascii="Arial" w:eastAsia="Arial" w:hAnsi="Arial" w:cs="Arial"/>
          <w:b/>
          <w:color w:val="000000"/>
          <w:sz w:val="22"/>
          <w:szCs w:val="22"/>
        </w:rPr>
        <w:t>Centered</w:t>
      </w:r>
      <w:r>
        <w:rPr>
          <w:rFonts w:ascii="Arial" w:eastAsia="Arial" w:hAnsi="Arial" w:cs="Arial"/>
          <w:b/>
          <w:color w:val="000000"/>
          <w:sz w:val="22"/>
          <w:szCs w:val="22"/>
        </w:rPr>
        <w:t xml:space="preserve"> Care into Practice</w:t>
      </w:r>
    </w:p>
    <w:p w14:paraId="0000005C" w14:textId="1F085E1C" w:rsidR="00C950B4" w:rsidRDefault="001C43D7">
      <w:pPr>
        <w:spacing w:after="0" w:line="360" w:lineRule="auto"/>
        <w:ind w:firstLine="720"/>
        <w:rPr>
          <w:rFonts w:ascii="Arial" w:eastAsia="Arial" w:hAnsi="Arial" w:cs="Arial"/>
        </w:rPr>
      </w:pPr>
      <w:r>
        <w:rPr>
          <w:rFonts w:ascii="Arial" w:eastAsia="Arial" w:hAnsi="Arial" w:cs="Arial"/>
        </w:rPr>
        <w:t xml:space="preserve">The process of making healthcare and social care more person-centred, </w:t>
      </w:r>
      <w:r w:rsidR="00EE002D">
        <w:rPr>
          <w:rFonts w:ascii="Arial" w:eastAsia="Arial" w:hAnsi="Arial" w:cs="Arial"/>
        </w:rPr>
        <w:t>healthcare,</w:t>
      </w:r>
      <w:r>
        <w:rPr>
          <w:rFonts w:ascii="Arial" w:eastAsia="Arial" w:hAnsi="Arial" w:cs="Arial"/>
        </w:rPr>
        <w:t xml:space="preserve"> and social care practitioners require</w:t>
      </w:r>
      <w:r>
        <w:rPr>
          <w:rFonts w:ascii="Arial" w:eastAsia="Arial" w:hAnsi="Arial" w:cs="Arial"/>
        </w:rPr>
        <w:t>s being open to a variety of initiatives and methods. For instance, person-centred care can be applied when supporting people with disabilities and long-term health care conditions, through collaborative care (Van der Meer, 2018). This entails an explorati</w:t>
      </w:r>
      <w:r>
        <w:rPr>
          <w:rFonts w:ascii="Arial" w:eastAsia="Arial" w:hAnsi="Arial" w:cs="Arial"/>
        </w:rPr>
        <w:t>on of the person’s preference, picking the appropriate preferential treatment that deems fit in serving the needs of the patient, providing support planning and shared decision making and developing an action plan that aims at achieving the targeted treatm</w:t>
      </w:r>
      <w:r>
        <w:rPr>
          <w:rFonts w:ascii="Arial" w:eastAsia="Arial" w:hAnsi="Arial" w:cs="Arial"/>
        </w:rPr>
        <w:t xml:space="preserve">ent and care outcomes. </w:t>
      </w:r>
    </w:p>
    <w:p w14:paraId="0000005D" w14:textId="77777777" w:rsidR="00C950B4" w:rsidRDefault="001C43D7">
      <w:pPr>
        <w:spacing w:after="0" w:line="360" w:lineRule="auto"/>
        <w:ind w:firstLine="720"/>
        <w:rPr>
          <w:rFonts w:ascii="Arial" w:eastAsia="Arial" w:hAnsi="Arial" w:cs="Arial"/>
        </w:rPr>
      </w:pPr>
      <w:r>
        <w:rPr>
          <w:rFonts w:ascii="Arial" w:eastAsia="Arial" w:hAnsi="Arial" w:cs="Arial"/>
        </w:rPr>
        <w:t>Person-centred care can also be put into practice through experience-based co-design. This approach involves augmenting patients’ healthcare experiences by collecting experiences of patients and carers then utilizing the information to develop best practic</w:t>
      </w:r>
      <w:r>
        <w:rPr>
          <w:rFonts w:ascii="Arial" w:eastAsia="Arial" w:hAnsi="Arial" w:cs="Arial"/>
        </w:rPr>
        <w:t xml:space="preserve">e (Ramos et al., 2020). The method assists the carers to reframe their actions in line with the patients’ perspective and working towards promulgating patients’ experiences through best collaborative approaches. </w:t>
      </w:r>
    </w:p>
    <w:p w14:paraId="0000005E" w14:textId="77777777" w:rsidR="00C950B4" w:rsidRDefault="001C43D7">
      <w:pPr>
        <w:spacing w:after="0" w:line="360" w:lineRule="auto"/>
        <w:ind w:firstLine="720"/>
        <w:rPr>
          <w:rFonts w:ascii="Arial" w:eastAsia="Arial" w:hAnsi="Arial" w:cs="Arial"/>
        </w:rPr>
      </w:pPr>
      <w:r>
        <w:rPr>
          <w:rFonts w:ascii="Arial" w:eastAsia="Arial" w:hAnsi="Arial" w:cs="Arial"/>
        </w:rPr>
        <w:t xml:space="preserve">PCC can be used in administering individualized and family-centred care. The care intervention focuses on the healthcare processes and the carers’ engagement with the individual patient and their respective families. It is an evidence-based method towards </w:t>
      </w:r>
      <w:r>
        <w:rPr>
          <w:rFonts w:ascii="Arial" w:eastAsia="Arial" w:hAnsi="Arial" w:cs="Arial"/>
        </w:rPr>
        <w:t>healthcare service provision and entails a shared vision and decision making that is apt for augmented patient experience and individual improvements. Working with both the individual the family is important in understanding a given health condition from a</w:t>
      </w:r>
      <w:r>
        <w:rPr>
          <w:rFonts w:ascii="Arial" w:eastAsia="Arial" w:hAnsi="Arial" w:cs="Arial"/>
        </w:rPr>
        <w:t xml:space="preserve"> hereditary perspective, a crucial factor in informing the development of suitable health and social care interventions. </w:t>
      </w:r>
    </w:p>
    <w:p w14:paraId="0000005F" w14:textId="34E663D3" w:rsidR="00C950B4" w:rsidRDefault="001C43D7">
      <w:pPr>
        <w:pStyle w:val="Heading1"/>
        <w:spacing w:before="0" w:line="360" w:lineRule="auto"/>
        <w:ind w:firstLine="720"/>
        <w:jc w:val="center"/>
        <w:rPr>
          <w:rFonts w:ascii="Arial" w:eastAsia="Arial" w:hAnsi="Arial" w:cs="Arial"/>
          <w:b/>
          <w:color w:val="000000"/>
          <w:sz w:val="22"/>
          <w:szCs w:val="22"/>
        </w:rPr>
      </w:pPr>
      <w:bookmarkStart w:id="5" w:name="_heading=h.tyjcwt" w:colFirst="0" w:colLast="0"/>
      <w:bookmarkEnd w:id="5"/>
      <w:r>
        <w:rPr>
          <w:rFonts w:ascii="Arial" w:eastAsia="Arial" w:hAnsi="Arial" w:cs="Arial"/>
          <w:b/>
          <w:color w:val="000000"/>
          <w:sz w:val="22"/>
          <w:szCs w:val="22"/>
        </w:rPr>
        <w:t>Recommendation for Improving Person-</w:t>
      </w:r>
      <w:r w:rsidR="00CE3D2D">
        <w:rPr>
          <w:rFonts w:ascii="Arial" w:eastAsia="Arial" w:hAnsi="Arial" w:cs="Arial"/>
          <w:b/>
          <w:color w:val="000000"/>
          <w:sz w:val="22"/>
          <w:szCs w:val="22"/>
        </w:rPr>
        <w:t>Centered</w:t>
      </w:r>
      <w:r>
        <w:rPr>
          <w:rFonts w:ascii="Arial" w:eastAsia="Arial" w:hAnsi="Arial" w:cs="Arial"/>
          <w:b/>
          <w:color w:val="000000"/>
          <w:sz w:val="22"/>
          <w:szCs w:val="22"/>
        </w:rPr>
        <w:t xml:space="preserve"> Care</w:t>
      </w:r>
    </w:p>
    <w:p w14:paraId="00000060" w14:textId="741360D9" w:rsidR="00C950B4" w:rsidRDefault="001C43D7">
      <w:pPr>
        <w:spacing w:after="0" w:line="360" w:lineRule="auto"/>
        <w:ind w:firstLine="720"/>
        <w:rPr>
          <w:rFonts w:ascii="Arial" w:eastAsia="Arial" w:hAnsi="Arial" w:cs="Arial"/>
        </w:rPr>
      </w:pPr>
      <w:r>
        <w:rPr>
          <w:rFonts w:ascii="Arial" w:eastAsia="Arial" w:hAnsi="Arial" w:cs="Arial"/>
        </w:rPr>
        <w:t>Incorporating a PCC through interventions such as shared decision making have a tende</w:t>
      </w:r>
      <w:r>
        <w:rPr>
          <w:rFonts w:ascii="Arial" w:eastAsia="Arial" w:hAnsi="Arial" w:cs="Arial"/>
        </w:rPr>
        <w:t xml:space="preserve">ncy of taking much more time than any </w:t>
      </w:r>
      <w:r w:rsidR="00EE002D">
        <w:rPr>
          <w:rFonts w:ascii="Arial" w:eastAsia="Arial" w:hAnsi="Arial" w:cs="Arial"/>
        </w:rPr>
        <w:t>standard-length</w:t>
      </w:r>
      <w:r>
        <w:rPr>
          <w:rFonts w:ascii="Arial" w:eastAsia="Arial" w:hAnsi="Arial" w:cs="Arial"/>
        </w:rPr>
        <w:t xml:space="preserve"> healthcare interventions. Time management technology should be used in managing the administration of person-centred care </w:t>
      </w:r>
      <w:r w:rsidR="00EE002D">
        <w:rPr>
          <w:rFonts w:ascii="Arial" w:eastAsia="Arial" w:hAnsi="Arial" w:cs="Arial"/>
        </w:rPr>
        <w:t>to</w:t>
      </w:r>
      <w:r>
        <w:rPr>
          <w:rFonts w:ascii="Arial" w:eastAsia="Arial" w:hAnsi="Arial" w:cs="Arial"/>
        </w:rPr>
        <w:t xml:space="preserve"> save time. For instance, online consultations should suffice for pat</w:t>
      </w:r>
      <w:r>
        <w:rPr>
          <w:rFonts w:ascii="Arial" w:eastAsia="Arial" w:hAnsi="Arial" w:cs="Arial"/>
        </w:rPr>
        <w:t>ients who do not have to visit a carer physically (Tebeje &amp; Klein, 2021). Healthcare institutions together with healthcare professionals should come up with a system where patients create individual profiles in which they are able to access various kinds o</w:t>
      </w:r>
      <w:r>
        <w:rPr>
          <w:rFonts w:ascii="Arial" w:eastAsia="Arial" w:hAnsi="Arial" w:cs="Arial"/>
        </w:rPr>
        <w:t xml:space="preserve">f health care services online without necessarily making a physical visit. Physical visits should suffice where necessary. This will save time and cost for the patients </w:t>
      </w:r>
      <w:r w:rsidR="00EE002D">
        <w:rPr>
          <w:rFonts w:ascii="Arial" w:eastAsia="Arial" w:hAnsi="Arial" w:cs="Arial"/>
        </w:rPr>
        <w:t>while</w:t>
      </w:r>
      <w:r>
        <w:rPr>
          <w:rFonts w:ascii="Arial" w:eastAsia="Arial" w:hAnsi="Arial" w:cs="Arial"/>
        </w:rPr>
        <w:t xml:space="preserve"> receiving person-centred care.</w:t>
      </w:r>
    </w:p>
    <w:p w14:paraId="00000061" w14:textId="77777777" w:rsidR="00C950B4" w:rsidRDefault="00C950B4">
      <w:pPr>
        <w:pStyle w:val="Heading1"/>
        <w:spacing w:before="0" w:line="360" w:lineRule="auto"/>
        <w:ind w:firstLine="720"/>
        <w:jc w:val="center"/>
        <w:rPr>
          <w:rFonts w:ascii="Arial" w:eastAsia="Arial" w:hAnsi="Arial" w:cs="Arial"/>
          <w:b/>
          <w:color w:val="000000"/>
          <w:sz w:val="22"/>
          <w:szCs w:val="22"/>
        </w:rPr>
      </w:pPr>
    </w:p>
    <w:p w14:paraId="00000062" w14:textId="77777777" w:rsidR="00C950B4" w:rsidRDefault="00C950B4">
      <w:pPr>
        <w:pStyle w:val="Heading1"/>
        <w:spacing w:before="0" w:line="360" w:lineRule="auto"/>
        <w:ind w:firstLine="720"/>
        <w:jc w:val="center"/>
        <w:rPr>
          <w:rFonts w:ascii="Arial" w:eastAsia="Arial" w:hAnsi="Arial" w:cs="Arial"/>
          <w:b/>
          <w:color w:val="000000"/>
          <w:sz w:val="22"/>
          <w:szCs w:val="22"/>
        </w:rPr>
      </w:pPr>
    </w:p>
    <w:p w14:paraId="00000063" w14:textId="77777777" w:rsidR="00C950B4" w:rsidRDefault="00C950B4">
      <w:pPr>
        <w:pStyle w:val="Heading1"/>
        <w:spacing w:before="0" w:line="360" w:lineRule="auto"/>
        <w:ind w:firstLine="720"/>
        <w:jc w:val="center"/>
        <w:rPr>
          <w:rFonts w:ascii="Arial" w:eastAsia="Arial" w:hAnsi="Arial" w:cs="Arial"/>
          <w:b/>
          <w:color w:val="000000"/>
          <w:sz w:val="22"/>
          <w:szCs w:val="22"/>
        </w:rPr>
      </w:pPr>
    </w:p>
    <w:p w14:paraId="00000064" w14:textId="77777777" w:rsidR="00C950B4" w:rsidRDefault="00C950B4">
      <w:pPr>
        <w:pStyle w:val="Heading1"/>
        <w:spacing w:before="0" w:line="360" w:lineRule="auto"/>
        <w:ind w:firstLine="720"/>
        <w:jc w:val="center"/>
        <w:rPr>
          <w:rFonts w:ascii="Arial" w:eastAsia="Arial" w:hAnsi="Arial" w:cs="Arial"/>
          <w:b/>
          <w:color w:val="000000"/>
          <w:sz w:val="22"/>
          <w:szCs w:val="22"/>
        </w:rPr>
      </w:pPr>
    </w:p>
    <w:p w14:paraId="00000065" w14:textId="77777777" w:rsidR="00C950B4" w:rsidRDefault="00C950B4">
      <w:pPr>
        <w:pStyle w:val="Heading1"/>
        <w:spacing w:before="0" w:line="360" w:lineRule="auto"/>
        <w:rPr>
          <w:rFonts w:ascii="Arial" w:eastAsia="Arial" w:hAnsi="Arial" w:cs="Arial"/>
          <w:b/>
          <w:color w:val="000000"/>
          <w:sz w:val="22"/>
          <w:szCs w:val="22"/>
        </w:rPr>
      </w:pPr>
    </w:p>
    <w:p w14:paraId="00000066" w14:textId="77777777" w:rsidR="00C950B4" w:rsidRDefault="00C950B4">
      <w:pPr>
        <w:pStyle w:val="Heading1"/>
        <w:spacing w:before="0" w:line="360" w:lineRule="auto"/>
        <w:rPr>
          <w:rFonts w:ascii="Arial" w:eastAsia="Arial" w:hAnsi="Arial" w:cs="Arial"/>
          <w:color w:val="000000"/>
          <w:sz w:val="22"/>
          <w:szCs w:val="22"/>
        </w:rPr>
      </w:pPr>
    </w:p>
    <w:p w14:paraId="00000067" w14:textId="77777777" w:rsidR="00C950B4" w:rsidRDefault="00C950B4">
      <w:pPr>
        <w:spacing w:after="0" w:line="360" w:lineRule="auto"/>
        <w:rPr>
          <w:rFonts w:ascii="Arial" w:eastAsia="Arial" w:hAnsi="Arial" w:cs="Arial"/>
        </w:rPr>
      </w:pPr>
    </w:p>
    <w:p w14:paraId="00000068" w14:textId="77777777" w:rsidR="00C950B4" w:rsidRDefault="00C950B4">
      <w:pPr>
        <w:spacing w:after="0" w:line="360" w:lineRule="auto"/>
        <w:rPr>
          <w:rFonts w:ascii="Arial" w:eastAsia="Arial" w:hAnsi="Arial" w:cs="Arial"/>
        </w:rPr>
      </w:pPr>
    </w:p>
    <w:p w14:paraId="00000069" w14:textId="77777777" w:rsidR="00C950B4" w:rsidRDefault="001C43D7">
      <w:pPr>
        <w:pStyle w:val="Heading1"/>
        <w:spacing w:before="0" w:line="360" w:lineRule="auto"/>
        <w:jc w:val="center"/>
        <w:rPr>
          <w:rFonts w:ascii="Arial" w:eastAsia="Arial" w:hAnsi="Arial" w:cs="Arial"/>
          <w:b/>
          <w:color w:val="000000"/>
          <w:sz w:val="22"/>
          <w:szCs w:val="22"/>
        </w:rPr>
      </w:pPr>
      <w:bookmarkStart w:id="6" w:name="_heading=h.3dy6vkm" w:colFirst="0" w:colLast="0"/>
      <w:bookmarkEnd w:id="6"/>
      <w:r>
        <w:rPr>
          <w:rFonts w:ascii="Arial" w:eastAsia="Arial" w:hAnsi="Arial" w:cs="Arial"/>
          <w:b/>
          <w:color w:val="000000"/>
          <w:sz w:val="22"/>
          <w:szCs w:val="22"/>
        </w:rPr>
        <w:t>Reference List</w:t>
      </w:r>
    </w:p>
    <w:p w14:paraId="0000006A" w14:textId="77777777" w:rsidR="00C950B4" w:rsidRDefault="001C43D7">
      <w:pPr>
        <w:spacing w:after="0" w:line="360" w:lineRule="auto"/>
        <w:ind w:left="720" w:hanging="720"/>
        <w:rPr>
          <w:rFonts w:ascii="Arial" w:eastAsia="Arial" w:hAnsi="Arial" w:cs="Arial"/>
        </w:rPr>
      </w:pPr>
      <w:r>
        <w:rPr>
          <w:rFonts w:ascii="Arial" w:eastAsia="Arial" w:hAnsi="Arial" w:cs="Arial"/>
        </w:rPr>
        <w:t>Byrne, A.L., Bal</w:t>
      </w:r>
      <w:r>
        <w:rPr>
          <w:rFonts w:ascii="Arial" w:eastAsia="Arial" w:hAnsi="Arial" w:cs="Arial"/>
        </w:rPr>
        <w:t>dwin, A. and Harvey, C., 2020. Whose centre is it anyway? Defining person-centred care in nursing: An integrative review. </w:t>
      </w:r>
      <w:r>
        <w:rPr>
          <w:rFonts w:ascii="Arial" w:eastAsia="Arial" w:hAnsi="Arial" w:cs="Arial"/>
          <w:i/>
        </w:rPr>
        <w:t>PLoS One</w:t>
      </w:r>
      <w:r>
        <w:rPr>
          <w:rFonts w:ascii="Arial" w:eastAsia="Arial" w:hAnsi="Arial" w:cs="Arial"/>
        </w:rPr>
        <w:t>, </w:t>
      </w:r>
      <w:r>
        <w:rPr>
          <w:rFonts w:ascii="Arial" w:eastAsia="Arial" w:hAnsi="Arial" w:cs="Arial"/>
          <w:i/>
        </w:rPr>
        <w:t>15</w:t>
      </w:r>
      <w:r>
        <w:rPr>
          <w:rFonts w:ascii="Arial" w:eastAsia="Arial" w:hAnsi="Arial" w:cs="Arial"/>
        </w:rPr>
        <w:t>(3), p.e0229923.</w:t>
      </w:r>
    </w:p>
    <w:p w14:paraId="0000006B" w14:textId="77777777" w:rsidR="00C950B4" w:rsidRDefault="001C43D7">
      <w:pPr>
        <w:spacing w:after="0" w:line="360" w:lineRule="auto"/>
        <w:ind w:left="720" w:hanging="720"/>
        <w:rPr>
          <w:rFonts w:ascii="Arial" w:eastAsia="Arial" w:hAnsi="Arial" w:cs="Arial"/>
        </w:rPr>
      </w:pPr>
      <w:r>
        <w:rPr>
          <w:rFonts w:ascii="Arial" w:eastAsia="Arial" w:hAnsi="Arial" w:cs="Arial"/>
        </w:rPr>
        <w:t xml:space="preserve">Care Quality Commission, 2011. The state of health care and adult social care in England: An overview of </w:t>
      </w:r>
      <w:r>
        <w:rPr>
          <w:rFonts w:ascii="Arial" w:eastAsia="Arial" w:hAnsi="Arial" w:cs="Arial"/>
        </w:rPr>
        <w:t>key themes in care in 2009/10.</w:t>
      </w:r>
    </w:p>
    <w:p w14:paraId="0000006C" w14:textId="78F3473A" w:rsidR="00C950B4" w:rsidRDefault="001C43D7">
      <w:pPr>
        <w:spacing w:after="0" w:line="360" w:lineRule="auto"/>
        <w:ind w:left="720" w:hanging="720"/>
        <w:rPr>
          <w:rFonts w:ascii="Arial" w:eastAsia="Arial" w:hAnsi="Arial" w:cs="Arial"/>
        </w:rPr>
      </w:pPr>
      <w:r>
        <w:rPr>
          <w:rFonts w:ascii="Arial" w:eastAsia="Arial" w:hAnsi="Arial" w:cs="Arial"/>
        </w:rPr>
        <w:t xml:space="preserve">Coulter, A. and Oldham, J., 2016. Person-centred care: what is it and how do we get </w:t>
      </w:r>
      <w:r w:rsidR="00EE002D">
        <w:rPr>
          <w:rFonts w:ascii="Arial" w:eastAsia="Arial" w:hAnsi="Arial" w:cs="Arial"/>
        </w:rPr>
        <w:t>there?</w:t>
      </w:r>
      <w:r>
        <w:rPr>
          <w:rFonts w:ascii="Arial" w:eastAsia="Arial" w:hAnsi="Arial" w:cs="Arial"/>
        </w:rPr>
        <w:t> </w:t>
      </w:r>
      <w:r>
        <w:rPr>
          <w:rFonts w:ascii="Arial" w:eastAsia="Arial" w:hAnsi="Arial" w:cs="Arial"/>
          <w:i/>
        </w:rPr>
        <w:t>Future hospital journal</w:t>
      </w:r>
      <w:r>
        <w:rPr>
          <w:rFonts w:ascii="Arial" w:eastAsia="Arial" w:hAnsi="Arial" w:cs="Arial"/>
        </w:rPr>
        <w:t>, </w:t>
      </w:r>
      <w:r>
        <w:rPr>
          <w:rFonts w:ascii="Arial" w:eastAsia="Arial" w:hAnsi="Arial" w:cs="Arial"/>
          <w:i/>
        </w:rPr>
        <w:t>3</w:t>
      </w:r>
      <w:r>
        <w:rPr>
          <w:rFonts w:ascii="Arial" w:eastAsia="Arial" w:hAnsi="Arial" w:cs="Arial"/>
        </w:rPr>
        <w:t>(2), p.114.</w:t>
      </w:r>
    </w:p>
    <w:p w14:paraId="0000006D" w14:textId="05907172" w:rsidR="00C950B4" w:rsidRDefault="001C43D7">
      <w:pPr>
        <w:spacing w:after="0" w:line="360" w:lineRule="auto"/>
        <w:ind w:left="720" w:hanging="720"/>
        <w:rPr>
          <w:rFonts w:ascii="Arial" w:eastAsia="Arial" w:hAnsi="Arial" w:cs="Arial"/>
        </w:rPr>
      </w:pPr>
      <w:r>
        <w:rPr>
          <w:rFonts w:ascii="Arial" w:eastAsia="Arial" w:hAnsi="Arial" w:cs="Arial"/>
        </w:rPr>
        <w:t xml:space="preserve">Eklund, J.H., Holmström, I.K., Kumlin, T., Kaminsky, E., Skoglund, K., Höglander, J., Sundler, </w:t>
      </w:r>
      <w:r>
        <w:rPr>
          <w:rFonts w:ascii="Arial" w:eastAsia="Arial" w:hAnsi="Arial" w:cs="Arial"/>
        </w:rPr>
        <w:t>A.J., Condén, E. and Meranius, M.S., 2019. “Same</w:t>
      </w:r>
      <w:r>
        <w:rPr>
          <w:rFonts w:ascii="Arial" w:eastAsia="Arial" w:hAnsi="Arial" w:cs="Arial"/>
        </w:rPr>
        <w:t xml:space="preserve"> or different?” A review of reviews of person-centered and patient-centered care. </w:t>
      </w:r>
      <w:r>
        <w:rPr>
          <w:rFonts w:ascii="Arial" w:eastAsia="Arial" w:hAnsi="Arial" w:cs="Arial"/>
          <w:i/>
        </w:rPr>
        <w:t>Patient Education and Counseling</w:t>
      </w:r>
      <w:r>
        <w:rPr>
          <w:rFonts w:ascii="Arial" w:eastAsia="Arial" w:hAnsi="Arial" w:cs="Arial"/>
        </w:rPr>
        <w:t>, </w:t>
      </w:r>
      <w:r>
        <w:rPr>
          <w:rFonts w:ascii="Arial" w:eastAsia="Arial" w:hAnsi="Arial" w:cs="Arial"/>
          <w:i/>
        </w:rPr>
        <w:t>102</w:t>
      </w:r>
      <w:r>
        <w:rPr>
          <w:rFonts w:ascii="Arial" w:eastAsia="Arial" w:hAnsi="Arial" w:cs="Arial"/>
        </w:rPr>
        <w:t>(1), pp.3-11.</w:t>
      </w:r>
    </w:p>
    <w:p w14:paraId="0000006E" w14:textId="77777777" w:rsidR="00C950B4" w:rsidRDefault="001C43D7">
      <w:pPr>
        <w:spacing w:after="0" w:line="360" w:lineRule="auto"/>
        <w:ind w:left="720" w:hanging="720"/>
        <w:rPr>
          <w:rFonts w:ascii="Arial" w:eastAsia="Arial" w:hAnsi="Arial" w:cs="Arial"/>
        </w:rPr>
      </w:pPr>
      <w:r>
        <w:rPr>
          <w:rFonts w:ascii="Arial" w:eastAsia="Arial" w:hAnsi="Arial" w:cs="Arial"/>
        </w:rPr>
        <w:t>Fazio, S., Pace, D., Flinner, J. and Kallmyer, B., 2018. The fundament</w:t>
      </w:r>
      <w:r>
        <w:rPr>
          <w:rFonts w:ascii="Arial" w:eastAsia="Arial" w:hAnsi="Arial" w:cs="Arial"/>
        </w:rPr>
        <w:t>als of person-centered care for individuals with dementia. </w:t>
      </w:r>
      <w:r>
        <w:rPr>
          <w:rFonts w:ascii="Arial" w:eastAsia="Arial" w:hAnsi="Arial" w:cs="Arial"/>
          <w:i/>
        </w:rPr>
        <w:t>The Gerontologist</w:t>
      </w:r>
      <w:r>
        <w:rPr>
          <w:rFonts w:ascii="Arial" w:eastAsia="Arial" w:hAnsi="Arial" w:cs="Arial"/>
        </w:rPr>
        <w:t>, </w:t>
      </w:r>
      <w:r>
        <w:rPr>
          <w:rFonts w:ascii="Arial" w:eastAsia="Arial" w:hAnsi="Arial" w:cs="Arial"/>
          <w:i/>
        </w:rPr>
        <w:t>58</w:t>
      </w:r>
      <w:r>
        <w:rPr>
          <w:rFonts w:ascii="Arial" w:eastAsia="Arial" w:hAnsi="Arial" w:cs="Arial"/>
        </w:rPr>
        <w:t>(suppl_1), pp.S10-S19.</w:t>
      </w:r>
    </w:p>
    <w:p w14:paraId="0000006F" w14:textId="77777777" w:rsidR="00C950B4" w:rsidRDefault="001C43D7">
      <w:pPr>
        <w:spacing w:after="0" w:line="360" w:lineRule="auto"/>
        <w:ind w:left="720" w:hanging="720"/>
        <w:rPr>
          <w:rFonts w:ascii="Arial" w:eastAsia="Arial" w:hAnsi="Arial" w:cs="Arial"/>
        </w:rPr>
      </w:pPr>
      <w:r>
        <w:rPr>
          <w:rFonts w:ascii="Arial" w:eastAsia="Arial" w:hAnsi="Arial" w:cs="Arial"/>
        </w:rPr>
        <w:t>Fucile, B., 2019. Who is on the Team? Exploring a Person-Centred Care Approach on an Interdisciplinary Healthcare Team, from the Healthcare Provider's Pe</w:t>
      </w:r>
      <w:r>
        <w:rPr>
          <w:rFonts w:ascii="Arial" w:eastAsia="Arial" w:hAnsi="Arial" w:cs="Arial"/>
        </w:rPr>
        <w:t>rspective.</w:t>
      </w:r>
    </w:p>
    <w:p w14:paraId="00000070" w14:textId="77777777" w:rsidR="00C950B4" w:rsidRDefault="001C43D7">
      <w:pPr>
        <w:spacing w:after="0" w:line="360" w:lineRule="auto"/>
        <w:ind w:left="720" w:hanging="720"/>
        <w:rPr>
          <w:rFonts w:ascii="Arial" w:eastAsia="Arial" w:hAnsi="Arial" w:cs="Arial"/>
        </w:rPr>
      </w:pPr>
      <w:r>
        <w:rPr>
          <w:rFonts w:ascii="Arial" w:eastAsia="Arial" w:hAnsi="Arial" w:cs="Arial"/>
        </w:rPr>
        <w:t>Harding, E., Wait, S. and Scrutton, J., 2015. The state of play in person-centred care. </w:t>
      </w:r>
      <w:r>
        <w:rPr>
          <w:rFonts w:ascii="Arial" w:eastAsia="Arial" w:hAnsi="Arial" w:cs="Arial"/>
          <w:i/>
        </w:rPr>
        <w:t>London, UK: The Health Policy Partnership</w:t>
      </w:r>
      <w:r>
        <w:rPr>
          <w:rFonts w:ascii="Arial" w:eastAsia="Arial" w:hAnsi="Arial" w:cs="Arial"/>
        </w:rPr>
        <w:t>.</w:t>
      </w:r>
    </w:p>
    <w:p w14:paraId="00000071" w14:textId="77777777" w:rsidR="00C950B4" w:rsidRDefault="001C43D7">
      <w:pPr>
        <w:spacing w:after="0" w:line="360" w:lineRule="auto"/>
        <w:ind w:left="720" w:hanging="720"/>
        <w:rPr>
          <w:rFonts w:ascii="Arial" w:eastAsia="Arial" w:hAnsi="Arial" w:cs="Arial"/>
        </w:rPr>
      </w:pPr>
      <w:r>
        <w:rPr>
          <w:rFonts w:ascii="Arial" w:eastAsia="Arial" w:hAnsi="Arial" w:cs="Arial"/>
        </w:rPr>
        <w:t>Heaton, J., Britten, N., Krska, J. and Reeve, J., 2017. Person-centred medicines optimisation policy in England: a</w:t>
      </w:r>
      <w:r>
        <w:rPr>
          <w:rFonts w:ascii="Arial" w:eastAsia="Arial" w:hAnsi="Arial" w:cs="Arial"/>
        </w:rPr>
        <w:t>n agenda for research on polypharmacy. </w:t>
      </w:r>
      <w:r>
        <w:rPr>
          <w:rFonts w:ascii="Arial" w:eastAsia="Arial" w:hAnsi="Arial" w:cs="Arial"/>
          <w:i/>
        </w:rPr>
        <w:t>Primary health care research &amp; development</w:t>
      </w:r>
      <w:r>
        <w:rPr>
          <w:rFonts w:ascii="Arial" w:eastAsia="Arial" w:hAnsi="Arial" w:cs="Arial"/>
        </w:rPr>
        <w:t>, </w:t>
      </w:r>
      <w:r>
        <w:rPr>
          <w:rFonts w:ascii="Arial" w:eastAsia="Arial" w:hAnsi="Arial" w:cs="Arial"/>
          <w:i/>
        </w:rPr>
        <w:t>18</w:t>
      </w:r>
      <w:r>
        <w:rPr>
          <w:rFonts w:ascii="Arial" w:eastAsia="Arial" w:hAnsi="Arial" w:cs="Arial"/>
        </w:rPr>
        <w:t>(1), pp.24-34.</w:t>
      </w:r>
    </w:p>
    <w:p w14:paraId="00000072" w14:textId="346A69A9" w:rsidR="00C950B4" w:rsidRDefault="001C43D7">
      <w:pPr>
        <w:spacing w:after="0" w:line="360" w:lineRule="auto"/>
        <w:ind w:left="720" w:hanging="720"/>
        <w:rPr>
          <w:rFonts w:ascii="Arial" w:eastAsia="Arial" w:hAnsi="Arial" w:cs="Arial"/>
        </w:rPr>
      </w:pPr>
      <w:r>
        <w:rPr>
          <w:rFonts w:ascii="Arial" w:eastAsia="Arial" w:hAnsi="Arial" w:cs="Arial"/>
        </w:rPr>
        <w:t xml:space="preserve">Hill, L., Roberts, G., Wildgoose, J., Perkins, R. and Hahn, S., 2010. Recovery and person-centred care in dementia: common purpose, common </w:t>
      </w:r>
      <w:r w:rsidR="00EE002D">
        <w:rPr>
          <w:rFonts w:ascii="Arial" w:eastAsia="Arial" w:hAnsi="Arial" w:cs="Arial"/>
        </w:rPr>
        <w:t>practice?</w:t>
      </w:r>
      <w:r>
        <w:rPr>
          <w:rFonts w:ascii="Arial" w:eastAsia="Arial" w:hAnsi="Arial" w:cs="Arial"/>
        </w:rPr>
        <w:t> </w:t>
      </w:r>
      <w:r>
        <w:rPr>
          <w:rFonts w:ascii="Arial" w:eastAsia="Arial" w:hAnsi="Arial" w:cs="Arial"/>
          <w:i/>
        </w:rPr>
        <w:t>Advanc</w:t>
      </w:r>
      <w:r>
        <w:rPr>
          <w:rFonts w:ascii="Arial" w:eastAsia="Arial" w:hAnsi="Arial" w:cs="Arial"/>
          <w:i/>
        </w:rPr>
        <w:t>es in psychiatric treatment</w:t>
      </w:r>
      <w:r>
        <w:rPr>
          <w:rFonts w:ascii="Arial" w:eastAsia="Arial" w:hAnsi="Arial" w:cs="Arial"/>
        </w:rPr>
        <w:t>, </w:t>
      </w:r>
      <w:r>
        <w:rPr>
          <w:rFonts w:ascii="Arial" w:eastAsia="Arial" w:hAnsi="Arial" w:cs="Arial"/>
          <w:i/>
        </w:rPr>
        <w:t>16</w:t>
      </w:r>
      <w:r>
        <w:rPr>
          <w:rFonts w:ascii="Arial" w:eastAsia="Arial" w:hAnsi="Arial" w:cs="Arial"/>
        </w:rPr>
        <w:t>(4), pp.288-298.</w:t>
      </w:r>
    </w:p>
    <w:p w14:paraId="00000073" w14:textId="0ABDA4A8" w:rsidR="00C950B4" w:rsidRDefault="001C43D7">
      <w:pPr>
        <w:spacing w:after="0" w:line="360" w:lineRule="auto"/>
        <w:ind w:left="720" w:hanging="720"/>
        <w:rPr>
          <w:rFonts w:ascii="Arial" w:eastAsia="Arial" w:hAnsi="Arial" w:cs="Arial"/>
        </w:rPr>
      </w:pPr>
      <w:r>
        <w:rPr>
          <w:rFonts w:ascii="Arial" w:eastAsia="Arial" w:hAnsi="Arial" w:cs="Arial"/>
        </w:rPr>
        <w:t xml:space="preserve">Hoffman, S.J. and Tan, C., 2015. Biological, </w:t>
      </w:r>
      <w:r w:rsidR="00EE002D">
        <w:rPr>
          <w:rFonts w:ascii="Arial" w:eastAsia="Arial" w:hAnsi="Arial" w:cs="Arial"/>
        </w:rPr>
        <w:t>psychological,</w:t>
      </w:r>
      <w:r>
        <w:rPr>
          <w:rFonts w:ascii="Arial" w:eastAsia="Arial" w:hAnsi="Arial" w:cs="Arial"/>
        </w:rPr>
        <w:t xml:space="preserve"> and social processes that explain celebrities’ influence on patients’ health-related behaviors. </w:t>
      </w:r>
      <w:r>
        <w:rPr>
          <w:rFonts w:ascii="Arial" w:eastAsia="Arial" w:hAnsi="Arial" w:cs="Arial"/>
          <w:i/>
        </w:rPr>
        <w:t>Archives of Public Health</w:t>
      </w:r>
      <w:r>
        <w:rPr>
          <w:rFonts w:ascii="Arial" w:eastAsia="Arial" w:hAnsi="Arial" w:cs="Arial"/>
        </w:rPr>
        <w:t>, </w:t>
      </w:r>
      <w:r>
        <w:rPr>
          <w:rFonts w:ascii="Arial" w:eastAsia="Arial" w:hAnsi="Arial" w:cs="Arial"/>
          <w:i/>
        </w:rPr>
        <w:t>73</w:t>
      </w:r>
      <w:r>
        <w:rPr>
          <w:rFonts w:ascii="Arial" w:eastAsia="Arial" w:hAnsi="Arial" w:cs="Arial"/>
        </w:rPr>
        <w:t>(1), pp.1-11.</w:t>
      </w:r>
    </w:p>
    <w:p w14:paraId="00000074" w14:textId="77777777" w:rsidR="00C950B4" w:rsidRDefault="001C43D7">
      <w:pPr>
        <w:spacing w:after="0" w:line="360" w:lineRule="auto"/>
        <w:ind w:left="720" w:hanging="720"/>
        <w:rPr>
          <w:rFonts w:ascii="Arial" w:eastAsia="Arial" w:hAnsi="Arial" w:cs="Arial"/>
        </w:rPr>
      </w:pPr>
      <w:r>
        <w:rPr>
          <w:rFonts w:ascii="Arial" w:eastAsia="Arial" w:hAnsi="Arial" w:cs="Arial"/>
        </w:rPr>
        <w:t>Jacobs, W., Amuta, A.O. and Jeon, K.C., 2017. Health information seeking in the digital age: An analysis of health information seeking behavior among US adults. </w:t>
      </w:r>
      <w:r>
        <w:rPr>
          <w:rFonts w:ascii="Arial" w:eastAsia="Arial" w:hAnsi="Arial" w:cs="Arial"/>
          <w:i/>
        </w:rPr>
        <w:t>Cogent Social Sciences</w:t>
      </w:r>
      <w:r>
        <w:rPr>
          <w:rFonts w:ascii="Arial" w:eastAsia="Arial" w:hAnsi="Arial" w:cs="Arial"/>
        </w:rPr>
        <w:t>, </w:t>
      </w:r>
      <w:r>
        <w:rPr>
          <w:rFonts w:ascii="Arial" w:eastAsia="Arial" w:hAnsi="Arial" w:cs="Arial"/>
          <w:i/>
        </w:rPr>
        <w:t>3</w:t>
      </w:r>
      <w:r>
        <w:rPr>
          <w:rFonts w:ascii="Arial" w:eastAsia="Arial" w:hAnsi="Arial" w:cs="Arial"/>
        </w:rPr>
        <w:t>(1), p.1302785.</w:t>
      </w:r>
    </w:p>
    <w:p w14:paraId="00000075" w14:textId="77777777" w:rsidR="00C950B4" w:rsidRDefault="001C43D7">
      <w:pPr>
        <w:spacing w:after="0" w:line="360" w:lineRule="auto"/>
        <w:ind w:left="720" w:hanging="720"/>
        <w:rPr>
          <w:rFonts w:ascii="Arial" w:eastAsia="Arial" w:hAnsi="Arial" w:cs="Arial"/>
        </w:rPr>
      </w:pPr>
      <w:r>
        <w:rPr>
          <w:rFonts w:ascii="Arial" w:eastAsia="Arial" w:hAnsi="Arial" w:cs="Arial"/>
        </w:rPr>
        <w:t>Langholf, V., 2011. Medical theories in Hippocrates. I</w:t>
      </w:r>
      <w:r>
        <w:rPr>
          <w:rFonts w:ascii="Arial" w:eastAsia="Arial" w:hAnsi="Arial" w:cs="Arial"/>
        </w:rPr>
        <w:t>n </w:t>
      </w:r>
      <w:r>
        <w:rPr>
          <w:rFonts w:ascii="Arial" w:eastAsia="Arial" w:hAnsi="Arial" w:cs="Arial"/>
          <w:i/>
        </w:rPr>
        <w:t>Medical Theories in Hippocrates</w:t>
      </w:r>
      <w:r>
        <w:rPr>
          <w:rFonts w:ascii="Arial" w:eastAsia="Arial" w:hAnsi="Arial" w:cs="Arial"/>
        </w:rPr>
        <w:t>. de Gruyter.</w:t>
      </w:r>
    </w:p>
    <w:p w14:paraId="00000076" w14:textId="77777777" w:rsidR="00C950B4" w:rsidRDefault="001C43D7">
      <w:pPr>
        <w:spacing w:after="0" w:line="360" w:lineRule="auto"/>
        <w:ind w:left="720" w:hanging="720"/>
        <w:rPr>
          <w:rFonts w:ascii="Arial" w:eastAsia="Arial" w:hAnsi="Arial" w:cs="Arial"/>
        </w:rPr>
      </w:pPr>
      <w:r>
        <w:rPr>
          <w:rFonts w:ascii="Arial" w:eastAsia="Arial" w:hAnsi="Arial" w:cs="Arial"/>
        </w:rPr>
        <w:t>Marchand, K., Beaumont, S., Westfall, J., MacDonald, S., Harrison, S., Marsh, D.C., Schechter, M.T. and Oviedo-Joekes, E., 2019. Conceptualizing patient-centered care for substance use disorder treatment: find</w:t>
      </w:r>
      <w:r>
        <w:rPr>
          <w:rFonts w:ascii="Arial" w:eastAsia="Arial" w:hAnsi="Arial" w:cs="Arial"/>
        </w:rPr>
        <w:t>ings from a systematic scoping review. </w:t>
      </w:r>
      <w:r>
        <w:rPr>
          <w:rFonts w:ascii="Arial" w:eastAsia="Arial" w:hAnsi="Arial" w:cs="Arial"/>
          <w:i/>
        </w:rPr>
        <w:t>Substance abuse treatment, prevention, and policy</w:t>
      </w:r>
      <w:r>
        <w:rPr>
          <w:rFonts w:ascii="Arial" w:eastAsia="Arial" w:hAnsi="Arial" w:cs="Arial"/>
        </w:rPr>
        <w:t>, </w:t>
      </w:r>
      <w:r>
        <w:rPr>
          <w:rFonts w:ascii="Arial" w:eastAsia="Arial" w:hAnsi="Arial" w:cs="Arial"/>
          <w:i/>
        </w:rPr>
        <w:t>14</w:t>
      </w:r>
      <w:r>
        <w:rPr>
          <w:rFonts w:ascii="Arial" w:eastAsia="Arial" w:hAnsi="Arial" w:cs="Arial"/>
        </w:rPr>
        <w:t>(1), pp.1-15.</w:t>
      </w:r>
    </w:p>
    <w:p w14:paraId="00000077" w14:textId="31DBAC26" w:rsidR="00C950B4" w:rsidRDefault="001C43D7">
      <w:pPr>
        <w:spacing w:after="0" w:line="360" w:lineRule="auto"/>
        <w:ind w:left="720" w:hanging="720"/>
        <w:rPr>
          <w:rFonts w:ascii="Arial" w:eastAsia="Arial" w:hAnsi="Arial" w:cs="Arial"/>
        </w:rPr>
      </w:pPr>
      <w:r>
        <w:rPr>
          <w:rFonts w:ascii="Arial" w:eastAsia="Arial" w:hAnsi="Arial" w:cs="Arial"/>
        </w:rPr>
        <w:t>McCormack, B., 2017. </w:t>
      </w:r>
      <w:r>
        <w:rPr>
          <w:rFonts w:ascii="Arial" w:eastAsia="Arial" w:hAnsi="Arial" w:cs="Arial"/>
          <w:i/>
        </w:rPr>
        <w:t xml:space="preserve">Negotiating partnerships with older people: a </w:t>
      </w:r>
      <w:r w:rsidR="00EE002D">
        <w:rPr>
          <w:rFonts w:ascii="Arial" w:eastAsia="Arial" w:hAnsi="Arial" w:cs="Arial"/>
          <w:i/>
        </w:rPr>
        <w:t>person-centred</w:t>
      </w:r>
      <w:r>
        <w:rPr>
          <w:rFonts w:ascii="Arial" w:eastAsia="Arial" w:hAnsi="Arial" w:cs="Arial"/>
          <w:i/>
        </w:rPr>
        <w:t xml:space="preserve"> approach</w:t>
      </w:r>
      <w:r>
        <w:rPr>
          <w:rFonts w:ascii="Arial" w:eastAsia="Arial" w:hAnsi="Arial" w:cs="Arial"/>
        </w:rPr>
        <w:t>. Routledge.</w:t>
      </w:r>
    </w:p>
    <w:p w14:paraId="00000078" w14:textId="77777777" w:rsidR="00C950B4" w:rsidRDefault="001C43D7">
      <w:pPr>
        <w:spacing w:after="0" w:line="360" w:lineRule="auto"/>
        <w:ind w:left="720" w:hanging="720"/>
        <w:rPr>
          <w:rFonts w:ascii="Arial" w:eastAsia="Arial" w:hAnsi="Arial" w:cs="Arial"/>
        </w:rPr>
      </w:pPr>
      <w:r>
        <w:rPr>
          <w:rFonts w:ascii="Arial" w:eastAsia="Arial" w:hAnsi="Arial" w:cs="Arial"/>
        </w:rPr>
        <w:t xml:space="preserve">Moore, H.L., Farnworth, A., Watson, R., Giles, </w:t>
      </w:r>
      <w:r>
        <w:rPr>
          <w:rFonts w:ascii="Arial" w:eastAsia="Arial" w:hAnsi="Arial" w:cs="Arial"/>
        </w:rPr>
        <w:t>K., Tomson, D. and Thomson, R.G., 2021. Inclusion of person-centred care in medical and nursing undergraduate curricula in the UK: interviews and documentary analysis. </w:t>
      </w:r>
      <w:r>
        <w:rPr>
          <w:rFonts w:ascii="Arial" w:eastAsia="Arial" w:hAnsi="Arial" w:cs="Arial"/>
          <w:i/>
        </w:rPr>
        <w:t>Patient Education and Counseling</w:t>
      </w:r>
      <w:r>
        <w:rPr>
          <w:rFonts w:ascii="Arial" w:eastAsia="Arial" w:hAnsi="Arial" w:cs="Arial"/>
        </w:rPr>
        <w:t>, </w:t>
      </w:r>
      <w:r>
        <w:rPr>
          <w:rFonts w:ascii="Arial" w:eastAsia="Arial" w:hAnsi="Arial" w:cs="Arial"/>
          <w:i/>
        </w:rPr>
        <w:t>104</w:t>
      </w:r>
      <w:r>
        <w:rPr>
          <w:rFonts w:ascii="Arial" w:eastAsia="Arial" w:hAnsi="Arial" w:cs="Arial"/>
        </w:rPr>
        <w:t>(4), pp.877-886.</w:t>
      </w:r>
    </w:p>
    <w:p w14:paraId="00000079" w14:textId="77777777" w:rsidR="00C950B4" w:rsidRDefault="001C43D7">
      <w:pPr>
        <w:spacing w:after="0" w:line="360" w:lineRule="auto"/>
        <w:ind w:left="720" w:hanging="720"/>
        <w:rPr>
          <w:rFonts w:ascii="Arial" w:eastAsia="Arial" w:hAnsi="Arial" w:cs="Arial"/>
        </w:rPr>
      </w:pPr>
      <w:r>
        <w:rPr>
          <w:rFonts w:ascii="Arial" w:eastAsia="Arial" w:hAnsi="Arial" w:cs="Arial"/>
        </w:rPr>
        <w:t>Ramos, M., Bowen, S., Wright, P.C.</w:t>
      </w:r>
      <w:r>
        <w:rPr>
          <w:rFonts w:ascii="Arial" w:eastAsia="Arial" w:hAnsi="Arial" w:cs="Arial"/>
        </w:rPr>
        <w:t>, Ferreira, M.G.G. and Forcellini, F.A., 2020. Experience based co-design in healthcare services: an analysis of projects barriers and enablers. </w:t>
      </w:r>
      <w:r>
        <w:rPr>
          <w:rFonts w:ascii="Arial" w:eastAsia="Arial" w:hAnsi="Arial" w:cs="Arial"/>
          <w:i/>
        </w:rPr>
        <w:t>Design for Health</w:t>
      </w:r>
      <w:r>
        <w:rPr>
          <w:rFonts w:ascii="Arial" w:eastAsia="Arial" w:hAnsi="Arial" w:cs="Arial"/>
        </w:rPr>
        <w:t>, </w:t>
      </w:r>
      <w:r>
        <w:rPr>
          <w:rFonts w:ascii="Arial" w:eastAsia="Arial" w:hAnsi="Arial" w:cs="Arial"/>
          <w:i/>
        </w:rPr>
        <w:t>4</w:t>
      </w:r>
      <w:r>
        <w:rPr>
          <w:rFonts w:ascii="Arial" w:eastAsia="Arial" w:hAnsi="Arial" w:cs="Arial"/>
        </w:rPr>
        <w:t>(3), pp.276-295.</w:t>
      </w:r>
    </w:p>
    <w:p w14:paraId="0000007A" w14:textId="77777777" w:rsidR="00C950B4" w:rsidRDefault="001C43D7">
      <w:pPr>
        <w:spacing w:after="0" w:line="360" w:lineRule="auto"/>
        <w:ind w:left="720" w:hanging="720"/>
        <w:rPr>
          <w:rFonts w:ascii="Arial" w:eastAsia="Arial" w:hAnsi="Arial" w:cs="Arial"/>
        </w:rPr>
      </w:pPr>
      <w:r>
        <w:rPr>
          <w:rFonts w:ascii="Arial" w:eastAsia="Arial" w:hAnsi="Arial" w:cs="Arial"/>
        </w:rPr>
        <w:t>Rogers, C.R., 1951. Studies in client-centered psychotherapy III: the case</w:t>
      </w:r>
      <w:r>
        <w:rPr>
          <w:rFonts w:ascii="Arial" w:eastAsia="Arial" w:hAnsi="Arial" w:cs="Arial"/>
        </w:rPr>
        <w:t xml:space="preserve"> of Mrs. Oak—a research analysis. </w:t>
      </w:r>
      <w:r>
        <w:rPr>
          <w:rFonts w:ascii="Arial" w:eastAsia="Arial" w:hAnsi="Arial" w:cs="Arial"/>
          <w:i/>
        </w:rPr>
        <w:t>Psychological Service Center Journal</w:t>
      </w:r>
      <w:r>
        <w:rPr>
          <w:rFonts w:ascii="Arial" w:eastAsia="Arial" w:hAnsi="Arial" w:cs="Arial"/>
        </w:rPr>
        <w:t>.</w:t>
      </w:r>
    </w:p>
    <w:p w14:paraId="0000007B" w14:textId="77777777" w:rsidR="00C950B4" w:rsidRDefault="001C43D7">
      <w:pPr>
        <w:spacing w:after="0" w:line="360" w:lineRule="auto"/>
        <w:ind w:left="720" w:hanging="720"/>
        <w:rPr>
          <w:rFonts w:ascii="Arial" w:eastAsia="Arial" w:hAnsi="Arial" w:cs="Arial"/>
        </w:rPr>
      </w:pPr>
      <w:r>
        <w:rPr>
          <w:rFonts w:ascii="Arial" w:eastAsia="Arial" w:hAnsi="Arial" w:cs="Arial"/>
        </w:rPr>
        <w:t>Santana, M.J., Manalili, K., Jolley, R.J., Zelinsky, S., Quan, H. and Lu, M., 2018. How to practice person</w:t>
      </w:r>
      <w:r>
        <w:rPr>
          <w:rFonts w:ascii="Cambria Math" w:eastAsia="Cambria Math" w:hAnsi="Cambria Math" w:cs="Cambria Math"/>
        </w:rPr>
        <w:t>‐</w:t>
      </w:r>
      <w:r>
        <w:rPr>
          <w:rFonts w:ascii="Arial" w:eastAsia="Arial" w:hAnsi="Arial" w:cs="Arial"/>
        </w:rPr>
        <w:t>centred care: A conceptual framework. </w:t>
      </w:r>
      <w:r>
        <w:rPr>
          <w:rFonts w:ascii="Arial" w:eastAsia="Arial" w:hAnsi="Arial" w:cs="Arial"/>
          <w:i/>
        </w:rPr>
        <w:t>Health Expectations</w:t>
      </w:r>
      <w:r>
        <w:rPr>
          <w:rFonts w:ascii="Arial" w:eastAsia="Arial" w:hAnsi="Arial" w:cs="Arial"/>
        </w:rPr>
        <w:t>, </w:t>
      </w:r>
      <w:r>
        <w:rPr>
          <w:rFonts w:ascii="Arial" w:eastAsia="Arial" w:hAnsi="Arial" w:cs="Arial"/>
          <w:i/>
        </w:rPr>
        <w:t>21</w:t>
      </w:r>
      <w:r>
        <w:rPr>
          <w:rFonts w:ascii="Arial" w:eastAsia="Arial" w:hAnsi="Arial" w:cs="Arial"/>
        </w:rPr>
        <w:t>(2), pp.429-440.</w:t>
      </w:r>
    </w:p>
    <w:p w14:paraId="0000007C" w14:textId="77777777" w:rsidR="00C950B4" w:rsidRDefault="001C43D7">
      <w:pPr>
        <w:spacing w:after="0" w:line="360" w:lineRule="auto"/>
        <w:ind w:left="720" w:hanging="720"/>
        <w:rPr>
          <w:rFonts w:ascii="Arial" w:eastAsia="Arial" w:hAnsi="Arial" w:cs="Arial"/>
        </w:rPr>
      </w:pPr>
      <w:r>
        <w:rPr>
          <w:rFonts w:ascii="Arial" w:eastAsia="Arial" w:hAnsi="Arial" w:cs="Arial"/>
        </w:rPr>
        <w:t>Tebeje, T.H. and Klein, J., 2021. Applications of e-health to support person-centered health care at the time of COVID-19 pandemic. </w:t>
      </w:r>
      <w:r>
        <w:rPr>
          <w:rFonts w:ascii="Arial" w:eastAsia="Arial" w:hAnsi="Arial" w:cs="Arial"/>
          <w:i/>
        </w:rPr>
        <w:t>Telemedicine and e-health</w:t>
      </w:r>
      <w:r>
        <w:rPr>
          <w:rFonts w:ascii="Arial" w:eastAsia="Arial" w:hAnsi="Arial" w:cs="Arial"/>
        </w:rPr>
        <w:t>, </w:t>
      </w:r>
      <w:r>
        <w:rPr>
          <w:rFonts w:ascii="Arial" w:eastAsia="Arial" w:hAnsi="Arial" w:cs="Arial"/>
          <w:i/>
        </w:rPr>
        <w:t>27</w:t>
      </w:r>
      <w:r>
        <w:rPr>
          <w:rFonts w:ascii="Arial" w:eastAsia="Arial" w:hAnsi="Arial" w:cs="Arial"/>
        </w:rPr>
        <w:t>(2), pp.150-158.</w:t>
      </w:r>
    </w:p>
    <w:p w14:paraId="0000007D" w14:textId="77777777" w:rsidR="00C950B4" w:rsidRDefault="001C43D7">
      <w:pPr>
        <w:spacing w:after="0" w:line="360" w:lineRule="auto"/>
        <w:ind w:left="720" w:hanging="720"/>
        <w:rPr>
          <w:rFonts w:ascii="Arial" w:eastAsia="Arial" w:hAnsi="Arial" w:cs="Arial"/>
        </w:rPr>
      </w:pPr>
      <w:bookmarkStart w:id="7" w:name="_heading=h.1t3h5sf" w:colFirst="0" w:colLast="0"/>
      <w:bookmarkEnd w:id="7"/>
      <w:r>
        <w:rPr>
          <w:rFonts w:ascii="Arial" w:eastAsia="Arial" w:hAnsi="Arial" w:cs="Arial"/>
        </w:rPr>
        <w:t xml:space="preserve">Van der Meer, L., Nieboer, A.P., Finkenflügel, H. and Cramm, J.M., 2018. The </w:t>
      </w:r>
      <w:r>
        <w:rPr>
          <w:rFonts w:ascii="Arial" w:eastAsia="Arial" w:hAnsi="Arial" w:cs="Arial"/>
        </w:rPr>
        <w:t>importance of person</w:t>
      </w:r>
      <w:r>
        <w:rPr>
          <w:rFonts w:ascii="Cambria Math" w:eastAsia="Cambria Math" w:hAnsi="Cambria Math" w:cs="Cambria Math"/>
        </w:rPr>
        <w:t>‐</w:t>
      </w:r>
      <w:r>
        <w:rPr>
          <w:rFonts w:ascii="Arial" w:eastAsia="Arial" w:hAnsi="Arial" w:cs="Arial"/>
        </w:rPr>
        <w:t>centred care and co</w:t>
      </w:r>
      <w:r>
        <w:rPr>
          <w:rFonts w:ascii="Cambria Math" w:eastAsia="Cambria Math" w:hAnsi="Cambria Math" w:cs="Cambria Math"/>
        </w:rPr>
        <w:t>‐</w:t>
      </w:r>
      <w:r>
        <w:rPr>
          <w:rFonts w:ascii="Arial" w:eastAsia="Arial" w:hAnsi="Arial" w:cs="Arial"/>
        </w:rPr>
        <w:t>creation of care for the well</w:t>
      </w:r>
      <w:r>
        <w:rPr>
          <w:rFonts w:ascii="Cambria Math" w:eastAsia="Cambria Math" w:hAnsi="Cambria Math" w:cs="Cambria Math"/>
        </w:rPr>
        <w:t>‐</w:t>
      </w:r>
      <w:r>
        <w:rPr>
          <w:rFonts w:ascii="Arial" w:eastAsia="Arial" w:hAnsi="Arial" w:cs="Arial"/>
        </w:rPr>
        <w:t>being and job satisfaction of professionals working with people with intellectual disabilities. </w:t>
      </w:r>
      <w:r>
        <w:rPr>
          <w:rFonts w:ascii="Arial" w:eastAsia="Arial" w:hAnsi="Arial" w:cs="Arial"/>
          <w:i/>
        </w:rPr>
        <w:t>Scandinavian Journal of Caring Sciences</w:t>
      </w:r>
      <w:r>
        <w:rPr>
          <w:rFonts w:ascii="Arial" w:eastAsia="Arial" w:hAnsi="Arial" w:cs="Arial"/>
        </w:rPr>
        <w:t>, </w:t>
      </w:r>
      <w:r>
        <w:rPr>
          <w:rFonts w:ascii="Arial" w:eastAsia="Arial" w:hAnsi="Arial" w:cs="Arial"/>
          <w:i/>
        </w:rPr>
        <w:t>32</w:t>
      </w:r>
      <w:r>
        <w:rPr>
          <w:rFonts w:ascii="Arial" w:eastAsia="Arial" w:hAnsi="Arial" w:cs="Arial"/>
        </w:rPr>
        <w:t>(1), pp.76-81.</w:t>
      </w:r>
    </w:p>
    <w:sectPr w:rsidR="00C950B4" w:rsidSect="001328AD">
      <w:headerReference w:type="default" r:id="rId10"/>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493CDC" w14:textId="77777777" w:rsidR="001C43D7" w:rsidRDefault="001C43D7">
      <w:pPr>
        <w:spacing w:after="0" w:line="240" w:lineRule="auto"/>
      </w:pPr>
      <w:r>
        <w:separator/>
      </w:r>
    </w:p>
  </w:endnote>
  <w:endnote w:type="continuationSeparator" w:id="0">
    <w:p w14:paraId="60A39C5C" w14:textId="77777777" w:rsidR="001C43D7" w:rsidRDefault="001C43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6FEA91" w14:textId="77777777" w:rsidR="001C43D7" w:rsidRDefault="001C43D7">
      <w:pPr>
        <w:spacing w:after="0" w:line="240" w:lineRule="auto"/>
      </w:pPr>
      <w:r>
        <w:separator/>
      </w:r>
    </w:p>
  </w:footnote>
  <w:footnote w:type="continuationSeparator" w:id="0">
    <w:p w14:paraId="40DE0E5F" w14:textId="77777777" w:rsidR="001C43D7" w:rsidRDefault="001C43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E" w14:textId="77777777" w:rsidR="00C950B4" w:rsidRDefault="001C43D7">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Pr>
        <w:rFonts w:ascii="Times New Roman" w:eastAsia="Times New Roman" w:hAnsi="Times New Roman" w:cs="Times New Roman"/>
        <w:color w:val="000000"/>
        <w:sz w:val="24"/>
        <w:szCs w:val="24"/>
      </w:rPr>
      <w:fldChar w:fldCharType="end"/>
    </w:r>
  </w:p>
  <w:p w14:paraId="0000007F" w14:textId="77777777" w:rsidR="00C950B4" w:rsidRDefault="00C950B4">
    <w:pPr>
      <w:pBdr>
        <w:top w:val="nil"/>
        <w:left w:val="nil"/>
        <w:bottom w:val="nil"/>
        <w:right w:val="nil"/>
        <w:between w:val="nil"/>
      </w:pBdr>
      <w:tabs>
        <w:tab w:val="center" w:pos="4680"/>
        <w:tab w:val="right" w:pos="9360"/>
      </w:tabs>
      <w:spacing w:after="0" w:line="240" w:lineRule="auto"/>
      <w:rPr>
        <w:rFonts w:ascii="Times New Roman" w:eastAsia="Times New Roman" w:hAnsi="Times New Roman" w:cs="Times New Roman"/>
        <w:color w:val="000000"/>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50B4"/>
    <w:rsid w:val="00117D81"/>
    <w:rsid w:val="001328AD"/>
    <w:rsid w:val="001C43D7"/>
    <w:rsid w:val="002926C0"/>
    <w:rsid w:val="005776C6"/>
    <w:rsid w:val="00720D69"/>
    <w:rsid w:val="00887867"/>
    <w:rsid w:val="00B04B6D"/>
    <w:rsid w:val="00C60AD5"/>
    <w:rsid w:val="00C950B4"/>
    <w:rsid w:val="00CE3D2D"/>
    <w:rsid w:val="00D5715D"/>
    <w:rsid w:val="00D638E7"/>
    <w:rsid w:val="00EE002D"/>
    <w:rsid w:val="00FF3A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B77D5"/>
  <w15:docId w15:val="{1493D2F7-179E-4A1C-B4DA-E49237011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7BF9"/>
  </w:style>
  <w:style w:type="paragraph" w:styleId="Heading1">
    <w:name w:val="heading 1"/>
    <w:basedOn w:val="Normal"/>
    <w:next w:val="Normal"/>
    <w:link w:val="Heading1Char"/>
    <w:uiPriority w:val="9"/>
    <w:qFormat/>
    <w:rsid w:val="007B553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E37A98"/>
    <w:pPr>
      <w:ind w:left="720"/>
      <w:contextualSpacing/>
    </w:pPr>
    <w:rPr>
      <w:lang w:val="en-US"/>
    </w:rPr>
  </w:style>
  <w:style w:type="character" w:customStyle="1" w:styleId="Heading1Char">
    <w:name w:val="Heading 1 Char"/>
    <w:basedOn w:val="DefaultParagraphFont"/>
    <w:link w:val="Heading1"/>
    <w:uiPriority w:val="9"/>
    <w:rsid w:val="007B553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B553B"/>
    <w:pPr>
      <w:outlineLvl w:val="9"/>
    </w:pPr>
  </w:style>
  <w:style w:type="paragraph" w:styleId="TOC1">
    <w:name w:val="toc 1"/>
    <w:basedOn w:val="Normal"/>
    <w:next w:val="Normal"/>
    <w:autoRedefine/>
    <w:uiPriority w:val="39"/>
    <w:unhideWhenUsed/>
    <w:rsid w:val="007B553B"/>
    <w:pPr>
      <w:spacing w:after="100"/>
    </w:pPr>
    <w:rPr>
      <w:lang w:val="en-US"/>
    </w:rPr>
  </w:style>
  <w:style w:type="character" w:styleId="Hyperlink">
    <w:name w:val="Hyperlink"/>
    <w:basedOn w:val="DefaultParagraphFont"/>
    <w:uiPriority w:val="99"/>
    <w:unhideWhenUsed/>
    <w:rsid w:val="007B553B"/>
    <w:rPr>
      <w:color w:val="0563C1" w:themeColor="hyperlink"/>
      <w:u w:val="single"/>
    </w:rPr>
  </w:style>
  <w:style w:type="paragraph" w:styleId="Header">
    <w:name w:val="header"/>
    <w:basedOn w:val="Normal"/>
    <w:link w:val="HeaderChar"/>
    <w:uiPriority w:val="99"/>
    <w:unhideWhenUsed/>
    <w:rsid w:val="00D77B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7BF9"/>
    <w:rPr>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Spacing">
    <w:name w:val="No Spacing"/>
    <w:link w:val="NoSpacingChar"/>
    <w:uiPriority w:val="1"/>
    <w:qFormat/>
    <w:rsid w:val="001328AD"/>
    <w:pPr>
      <w:spacing w:after="0"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1328AD"/>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B+G3tV281FSr4jdcKxv65Xmj06w==">AMUW2mVZzUJYRwUj3YUOVafjEfZHTENh13fzJWaSdxzmokB+V90YOdepbIfIqA0GaX4LTxLlOm9xTotVDawty050TLV2PuPI6Kfa8YSSYn5/6vAyZcBYV9c7Nsau8eE0iQCdv56UCRJ/xXD41/wIIHVrZ/CVN4xY1qx/hYr1nSfAeZAfSf6Z/7fIJlcLfuSuIm+9NvuuBngSo9IZRRv1HhnguuCHJNpeQl236T5Q5DpPdnIBovYLa8o=</go:docsCustomData>
</go:gDocsCustomXmlDataStorage>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020f20b92a3665f156ed80530e3c64e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0660ddfb70755a906355a8c8507c8377"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C9C953E-92B7-4D41-A437-BD615FEBE5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520B87E-0A2F-4CAA-9D36-6744D491F1AA}">
  <ds:schemaRefs>
    <ds:schemaRef ds:uri="http://schemas.microsoft.com/sharepoint/v3/contenttype/forms"/>
  </ds:schemaRefs>
</ds:datastoreItem>
</file>

<file path=customXml/itemProps4.xml><?xml version="1.0" encoding="utf-8"?>
<ds:datastoreItem xmlns:ds="http://schemas.openxmlformats.org/officeDocument/2006/customXml" ds:itemID="{79D79525-3D28-40D3-9D21-6B2586429EF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Pages>
  <Words>3157</Words>
  <Characters>17995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teodora nikolova;2009133@student.uwtsd.ac.uk</dc:creator>
  <cp:lastModifiedBy>Teodora Nikolova (2009133)</cp:lastModifiedBy>
  <cp:revision>14</cp:revision>
  <dcterms:created xsi:type="dcterms:W3CDTF">2022-04-20T17:38:00Z</dcterms:created>
  <dcterms:modified xsi:type="dcterms:W3CDTF">2022-04-20T18:10:00Z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