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4.11.0 -->
  <w:body>
    <w:p>
      <w:pPr>
        <w:spacing w:before="120" w:after="120"/>
        <w:jc w:val="left"/>
      </w:pPr>
      <w:r>
        <w:rPr>
          <w:b/>
          <w:bCs/>
          <w:color w:val="0F58BD"/>
        </w:rPr>
        <w:t>Flight Foods Ltd: Communication Barriers and Improvement Strategies</w:t>
      </w:r>
    </w:p>
    <w:p>
      <w:pPr>
        <w:spacing w:before="120" w:after="120"/>
        <w:jc w:val="left"/>
      </w:pPr>
    </w:p>
    <w:p>
      <w:pPr>
        <w:spacing w:before="120" w:after="120"/>
        <w:jc w:val="left"/>
      </w:pPr>
      <w:r>
        <w:rPr>
          <w:b/>
          <w:bCs/>
        </w:rPr>
        <w:t>Name: Marius Cristinel Croicu</w:t>
      </w:r>
    </w:p>
    <w:p>
      <w:pPr>
        <w:spacing w:before="120" w:after="120"/>
        <w:jc w:val="left"/>
      </w:pPr>
      <w:r>
        <w:rPr>
          <w:b/>
          <w:bCs/>
        </w:rPr>
        <w:t>Student ID:  2322337</w:t>
      </w:r>
    </w:p>
    <w:p>
      <w:pPr>
        <w:spacing w:before="120" w:after="120"/>
        <w:jc w:val="left"/>
      </w:pPr>
      <w:r>
        <w:rPr>
          <w:b/>
          <w:bCs/>
        </w:rPr>
        <w:t>Tutor: Lloyd Beharry / Fatima Hashmi</w:t>
      </w:r>
    </w:p>
    <w:p>
      <w:pPr>
        <w:spacing w:before="120" w:after="120"/>
        <w:jc w:val="left"/>
      </w:pPr>
      <w:r>
        <w:rPr>
          <w:b/>
          <w:bCs/>
        </w:rPr>
        <w:t>Module: LCLM4003 – Effective Teamworking and Communication</w:t>
      </w:r>
    </w:p>
    <w:p>
      <w:pPr>
        <w:spacing w:before="120" w:after="120"/>
        <w:jc w:val="left"/>
      </w:pPr>
      <w:r>
        <w:rPr>
          <w:b/>
          <w:bCs/>
        </w:rPr>
        <w:t>Programme: Cert HE Business Skills for the Workplace</w:t>
      </w:r>
    </w:p>
    <w:p>
      <w:pPr>
        <w:spacing w:before="120" w:after="120"/>
        <w:jc w:val="left"/>
      </w:pPr>
    </w:p>
    <w:p>
      <w:pPr>
        <w:spacing w:before="120" w:after="120"/>
        <w:jc w:val="left"/>
      </w:pPr>
      <w:r>
        <w:rPr>
          <w:b/>
          <w:bCs/>
          <w:color w:val="0F58BD"/>
        </w:rPr>
        <w:t>Slide 1 – Title Slide</w:t>
      </w:r>
    </w:p>
    <w:p>
      <w:pPr>
        <w:spacing w:before="120" w:after="120"/>
        <w:jc w:val="left"/>
      </w:pPr>
      <w:r>
        <w:rPr>
          <w:b/>
          <w:bCs/>
        </w:rPr>
        <w:t>Flight Foods Ltd: Communication Barriers and Improvement Strategies</w:t>
      </w:r>
    </w:p>
    <w:p>
      <w:pPr>
        <w:spacing w:before="120" w:after="120"/>
        <w:jc w:val="left"/>
      </w:pPr>
      <w:r>
        <w:rPr>
          <w:b/>
          <w:bCs/>
        </w:rPr>
        <w:t>This presentation analyzes communication challenges at Flight Foods Ltd, identifies root causes using communication theories, and recommends strategies for improvement.</w:t>
      </w:r>
    </w:p>
    <w:p>
      <w:pPr>
        <w:spacing w:before="120" w:after="120"/>
        <w:jc w:val="left"/>
      </w:pPr>
    </w:p>
    <w:p>
      <w:pPr>
        <w:spacing w:before="120" w:after="120"/>
        <w:jc w:val="left"/>
      </w:pPr>
      <w:r>
        <w:rPr>
          <w:b/>
          <w:bCs/>
          <w:color w:val="0F58BD"/>
        </w:rPr>
        <w:t>Slide 2 – Presentation Overview</w:t>
      </w:r>
    </w:p>
    <w:p>
      <w:pPr>
        <w:spacing w:before="120" w:after="120"/>
        <w:jc w:val="left"/>
      </w:pPr>
      <w:r>
        <w:rPr>
          <w:b/>
          <w:bCs/>
        </w:rPr>
        <w:t>1. Organisational Background</w:t>
      </w:r>
    </w:p>
    <w:p>
      <w:pPr>
        <w:spacing w:before="120" w:after="120"/>
        <w:jc w:val="left"/>
      </w:pPr>
      <w:r>
        <w:rPr>
          <w:b/>
          <w:bCs/>
        </w:rPr>
        <w:t>2. Key Communication Barriers</w:t>
      </w:r>
    </w:p>
    <w:p>
      <w:pPr>
        <w:spacing w:before="120" w:after="120"/>
        <w:jc w:val="left"/>
      </w:pPr>
      <w:r>
        <w:rPr>
          <w:b/>
          <w:bCs/>
        </w:rPr>
        <w:t>3. Application of Communication Models</w:t>
      </w:r>
    </w:p>
    <w:p>
      <w:pPr>
        <w:spacing w:before="120" w:after="120"/>
        <w:jc w:val="left"/>
      </w:pPr>
      <w:r>
        <w:rPr>
          <w:b/>
          <w:bCs/>
        </w:rPr>
        <w:t>4. Strategies</w:t>
      </w:r>
    </w:p>
    <w:p>
      <w:pPr>
        <w:spacing w:before="120" w:after="120"/>
        <w:jc w:val="left"/>
      </w:pPr>
      <w:r>
        <w:rPr>
          <w:b/>
          <w:bCs/>
        </w:rPr>
        <w:t>5. Conclusion</w:t>
      </w:r>
    </w:p>
    <w:p>
      <w:pPr>
        <w:spacing w:before="120" w:after="120"/>
        <w:jc w:val="left"/>
      </w:pPr>
      <w:r>
        <w:rPr>
          <w:b/>
          <w:bCs/>
        </w:rPr>
        <w:t>6. References</w:t>
      </w:r>
    </w:p>
    <w:p>
      <w:pPr>
        <w:spacing w:before="120" w:after="120"/>
        <w:jc w:val="left"/>
      </w:pPr>
    </w:p>
    <w:p>
      <w:pPr>
        <w:spacing w:before="120" w:after="120"/>
        <w:jc w:val="left"/>
      </w:pPr>
      <w:r>
        <w:rPr>
          <w:b/>
          <w:bCs/>
          <w:color w:val="0F58BD"/>
        </w:rPr>
        <w:t>Slide 3 – Case Background</w:t>
      </w:r>
    </w:p>
    <w:p>
      <w:pPr>
        <w:spacing w:before="120" w:after="120"/>
        <w:jc w:val="left"/>
      </w:pPr>
      <w:r>
        <w:rPr>
          <w:b/>
          <w:bCs/>
        </w:rPr>
        <w:t>Flight Foods Ltd, a mid-sized ready meal producer for airline clients, faces ongoing complaints about food quality and packaging. The 40-person workforce is culturally and generationally diverse, complicating internal communication. Floor manager Gary has Food Hygiene credentials, but communication barriers hinder his operations, resulting in lower productivity, increased safety risks, and potential regulatory issues.</w:t>
      </w:r>
    </w:p>
    <w:p>
      <w:pPr>
        <w:spacing w:before="120" w:after="120"/>
        <w:jc w:val="left"/>
      </w:pPr>
    </w:p>
    <w:p>
      <w:pPr>
        <w:spacing w:before="120" w:after="120"/>
        <w:jc w:val="left"/>
      </w:pPr>
      <w:r>
        <w:rPr>
          <w:b/>
          <w:bCs/>
          <w:color w:val="0F58BD"/>
        </w:rPr>
        <w:t>Slide 4 – Key Communication Barriers</w:t>
      </w:r>
    </w:p>
    <w:p>
      <w:pPr>
        <w:spacing w:before="120" w:after="120"/>
        <w:jc w:val="left"/>
      </w:pPr>
      <w:r>
        <w:rPr>
          <w:b/>
          <w:bCs/>
        </w:rPr>
        <w:t>• Language differences among multilingual staff</w:t>
      </w:r>
    </w:p>
    <w:p>
      <w:pPr>
        <w:spacing w:before="120" w:after="120"/>
        <w:jc w:val="left"/>
      </w:pPr>
      <w:r>
        <w:rPr>
          <w:b/>
          <w:bCs/>
        </w:rPr>
        <w:t>• Cultural dversity leading tod varied expectations• Machinery noise interfering with verbal communication• Unstructured training and unclear procedures</w:t>
      </w:r>
    </w:p>
    <w:p>
      <w:pPr>
        <w:spacing w:before="120" w:after="120"/>
        <w:jc w:val="left"/>
      </w:pPr>
      <w:r>
        <w:rPr>
          <w:b/>
          <w:bCs/>
        </w:rPr>
        <w:t>Excessive signage resulting in information overload</w:t>
      </w:r>
    </w:p>
    <w:p>
      <w:pPr>
        <w:spacing w:before="120" w:after="120"/>
        <w:jc w:val="left"/>
      </w:pPr>
      <w:r>
        <w:rPr>
          <w:b/>
          <w:bCs/>
        </w:rPr>
        <w:t>Inconsistent communication from leadership</w:t>
      </w:r>
    </w:p>
    <w:p>
      <w:pPr>
        <w:spacing w:before="120" w:after="120"/>
        <w:jc w:val="left"/>
      </w:pPr>
      <w:r>
        <w:rPr>
          <w:b/>
          <w:bCs/>
        </w:rPr>
        <w:t>• Generational differences affecting interpretation</w:t>
      </w:r>
    </w:p>
    <w:p>
      <w:pPr>
        <w:spacing w:before="120" w:after="120"/>
        <w:jc w:val="left"/>
      </w:pPr>
      <w:r>
        <w:rPr>
          <w:b/>
          <w:bCs/>
        </w:rPr>
        <w:t>• Misinterpretation of nonverbal cues</w:t>
      </w:r>
    </w:p>
    <w:p>
      <w:pPr>
        <w:spacing w:before="120" w:after="120"/>
        <w:jc w:val="left"/>
      </w:pPr>
    </w:p>
    <w:p>
      <w:pPr>
        <w:spacing w:before="120" w:after="120"/>
        <w:jc w:val="left"/>
      </w:pPr>
      <w:r>
        <w:rPr>
          <w:b/>
          <w:bCs/>
          <w:color w:val="0F58BD"/>
        </w:rPr>
        <w:t>Slide 5 – Shannon and Weaver Model</w:t>
      </w:r>
    </w:p>
    <w:p>
      <w:pPr>
        <w:spacing w:before="120" w:after="120"/>
        <w:jc w:val="left"/>
      </w:pPr>
      <w:r>
        <w:rPr>
          <w:b/>
          <w:bCs/>
        </w:rPr>
        <w:t>The Shannon and Weaver Model defines 'noise' as anything that disrupts communication, including machinery noise and language differences at Flight Foods Ltd. These factors cause misunderstandings and errors that harm efficiency and safety.</w:t>
      </w:r>
    </w:p>
    <w:p>
      <w:pPr>
        <w:spacing w:before="120" w:after="120"/>
        <w:jc w:val="left"/>
      </w:pPr>
    </w:p>
    <w:p>
      <w:pPr>
        <w:spacing w:before="120" w:after="120"/>
        <w:jc w:val="left"/>
      </w:pPr>
      <w:r>
        <w:rPr>
          <w:b/>
          <w:bCs/>
          <w:color w:val="0F58BD"/>
        </w:rPr>
        <w:t>Slide 6 – Schramm’s Circular Model</w:t>
      </w:r>
    </w:p>
    <w:p>
      <w:pPr>
        <w:spacing w:before="120" w:after="120"/>
        <w:jc w:val="left"/>
      </w:pPr>
      <w:r>
        <w:rPr>
          <w:b/>
          <w:bCs/>
        </w:rPr>
        <w:t>Schramm’s Circular Model (1954) emphasizes the importance of two-way communication and the development of shared meaning between sender and receiver. At Flight Foods Ltd, the lack of a shared cultural background, significant language barriers, and inadequate feedback mechanisms contribute to repeated errors and workplace confusion. This deficiency in interactive communication prevents management from identifying concerns promptly and implementing corrective actions. o’s</w:t>
      </w:r>
      <w:r>
        <w:rPr>
          <w:b/>
          <w:bCs/>
          <w:color w:val="0F58BD"/>
        </w:rPr>
        <w:t xml:space="preserve"> SMCR Model</w:t>
      </w:r>
    </w:p>
    <w:p>
      <w:pPr>
        <w:spacing w:before="120" w:after="120"/>
        <w:jc w:val="left"/>
      </w:pPr>
      <w:r>
        <w:rPr>
          <w:b/>
          <w:bCs/>
        </w:rPr>
        <w:t>Berlo’s SMCR Model states that communication relies on the source and receiver’s skills, attitudes, knowledge, and culture. At Flight Foods Ltd, language gaps, poor training, and inconsistent leadership hurt communication, raising risks.</w:t>
      </w:r>
    </w:p>
    <w:p>
      <w:pPr>
        <w:spacing w:before="120" w:after="120"/>
        <w:jc w:val="left"/>
      </w:pPr>
    </w:p>
    <w:p>
      <w:pPr>
        <w:spacing w:before="120" w:after="120"/>
        <w:jc w:val="left"/>
      </w:pPr>
      <w:r>
        <w:rPr>
          <w:b/>
          <w:bCs/>
          <w:color w:val="0F58BD"/>
        </w:rPr>
        <w:t>Slide 8 – Recommendations</w:t>
      </w:r>
    </w:p>
    <w:p>
      <w:pPr>
        <w:spacing w:before="120" w:after="120"/>
        <w:jc w:val="left"/>
      </w:pPr>
      <w:r>
        <w:rPr>
          <w:b/>
          <w:bCs/>
        </w:rPr>
        <w:t>1. Implement structured multilingual training in Food Hygiene and Safety</w:t>
      </w:r>
    </w:p>
    <w:p>
      <w:pPr>
        <w:spacing w:before="120" w:after="120"/>
        <w:jc w:val="left"/>
      </w:pPr>
      <w:r>
        <w:rPr>
          <w:b/>
          <w:bCs/>
        </w:rPr>
        <w:t>2. Apply visual communication methods such as pictograms and color coding. Deliver leadership training to Gary with a focus on cross-cultural competencies</w:t>
      </w:r>
    </w:p>
    <w:p>
      <w:pPr>
        <w:spacing w:before="120" w:after="120"/>
        <w:jc w:val="left"/>
      </w:pPr>
      <w:r>
        <w:rPr>
          <w:b/>
          <w:bCs/>
        </w:rPr>
        <w:t>4. Minimize noise through regular maintenance and designated briefing areas</w:t>
      </w:r>
    </w:p>
    <w:p>
      <w:pPr>
        <w:spacing w:before="120" w:after="120"/>
        <w:jc w:val="left"/>
      </w:pPr>
      <w:r>
        <w:rPr>
          <w:b/>
          <w:bCs/>
        </w:rPr>
        <w:t>5. Institute daily micro-briefings and feedback systems</w:t>
      </w:r>
    </w:p>
    <w:p>
      <w:pPr>
        <w:spacing w:before="120" w:after="120"/>
        <w:jc w:val="left"/>
      </w:pPr>
      <w:r>
        <w:rPr>
          <w:b/>
          <w:bCs/>
        </w:rPr>
        <w:t>6. Appoint team leaders representing each language group to facilitate communication</w:t>
      </w:r>
    </w:p>
    <w:p>
      <w:pPr>
        <w:spacing w:before="120" w:after="120"/>
        <w:jc w:val="left"/>
      </w:pPr>
    </w:p>
    <w:p>
      <w:pPr>
        <w:spacing w:before="120" w:after="120"/>
        <w:jc w:val="left"/>
      </w:pPr>
      <w:r>
        <w:rPr>
          <w:b/>
          <w:bCs/>
          <w:color w:val="0F58BD"/>
        </w:rPr>
        <w:t>Slide 9 – Conclusion</w:t>
      </w:r>
    </w:p>
    <w:p>
      <w:pPr>
        <w:spacing w:before="120" w:after="120"/>
        <w:jc w:val="left"/>
      </w:pPr>
      <w:r>
        <w:rPr>
          <w:b/>
          <w:bCs/>
        </w:rPr>
        <w:t>In summary, communication challenges at Flight Foods Ltd stem from linguistic diversity, cultural differences, and organizational weaknesses. Implementing structured multilingual training, adopting visual and digital communication tools, and enhancing leadership through targeted development are essential measures. These strategies are anticipated to reduce operational errors, improve regulatory compliance, and enhance the company’s performance and reputation in the airline catering sector.</w:t>
      </w:r>
    </w:p>
    <w:p>
      <w:pPr>
        <w:spacing w:before="120" w:after="120"/>
        <w:jc w:val="left"/>
      </w:pPr>
    </w:p>
    <w:p>
      <w:pPr>
        <w:spacing w:before="120" w:after="120"/>
        <w:jc w:val="left"/>
      </w:pPr>
      <w:r>
        <w:rPr>
          <w:b/>
          <w:bCs/>
          <w:color w:val="0F58BD"/>
        </w:rPr>
        <w:t>Slide 10 – References (Harvard Style)</w:t>
      </w:r>
    </w:p>
    <w:p>
      <w:pPr>
        <w:spacing w:before="120" w:after="120"/>
        <w:jc w:val="left"/>
      </w:pPr>
      <w:r>
        <w:rPr>
          <w:b/>
          <w:bCs/>
        </w:rPr>
        <w:t>Argenti, P. (2021). Corporate Communication. 8th edn. McGraw-Hill.</w:t>
      </w:r>
    </w:p>
    <w:p>
      <w:pPr>
        <w:spacing w:before="120" w:after="120"/>
        <w:jc w:val="left"/>
      </w:pPr>
      <w:r>
        <w:rPr>
          <w:b/>
          <w:bCs/>
        </w:rPr>
        <w:t>Berlo, D. (1960). The Process of Communication. Holt, Rinehart and Winston.</w:t>
      </w:r>
    </w:p>
    <w:p>
      <w:pPr>
        <w:spacing w:before="120" w:after="120"/>
        <w:jc w:val="left"/>
      </w:pPr>
      <w:r>
        <w:rPr>
          <w:b/>
          <w:bCs/>
        </w:rPr>
        <w:t>Gudykunst, W. (2018). Bridging Differences: Effective Intergroup Communication. 6th edn. Sage.</w:t>
      </w:r>
    </w:p>
    <w:p>
      <w:pPr>
        <w:spacing w:before="120" w:after="120"/>
        <w:jc w:val="left"/>
      </w:pPr>
      <w:r>
        <w:rPr>
          <w:b/>
          <w:bCs/>
        </w:rPr>
        <w:t>Shannon, C. and Weaver, W. (1949). The Mathematical Theory of Communication. University of Illinois Press.</w:t>
      </w:r>
    </w:p>
    <w:p>
      <w:pPr>
        <w:spacing w:before="120" w:after="120"/>
        <w:jc w:val="left"/>
      </w:pPr>
      <w:r>
        <w:rPr>
          <w:b/>
          <w:bCs/>
        </w:rPr>
        <w:t>Schramm, W. (1954). How Communication Works. University of Illinois Press.</w:t>
      </w:r>
    </w:p>
    <w:sectPr>
      <w:pgMar w:header="720" w:footer="72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0000"/>
  </w:rsids>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after="0"/>
      <w:outlineLvl w:val="0"/>
    </w:pPr>
    <w:rPr>
      <w:rFonts w:ascii="Times New Roman" w:eastAsia="Times New Roman" w:hAnsi="Times New Roman" w:cs="Times New Roman"/>
      <w:b/>
      <w:bCs/>
      <w:i w:val="0"/>
      <w:color w:val="2F5496" w:themeShade="BF"/>
      <w:kern w:val="36"/>
      <w:sz w:val="48"/>
      <w:szCs w:val="48"/>
    </w:rPr>
  </w:style>
  <w:style w:type="paragraph" w:styleId="Heading2">
    <w:name w:val="heading 2"/>
    <w:basedOn w:val="Normal"/>
    <w:next w:val="Normal"/>
    <w:link w:val="Heading2Char"/>
    <w:uiPriority w:val="9"/>
    <w:qFormat/>
    <w:rsid w:val="00506D7A"/>
    <w:pPr>
      <w:keepNext/>
      <w:keepLines/>
      <w:spacing w:before="40" w:after="0"/>
      <w:outlineLvl w:val="1"/>
    </w:pPr>
    <w:rPr>
      <w:rFonts w:ascii="Times New Roman" w:eastAsia="Times New Roman" w:hAnsi="Times New Roman" w:cs="Times New Roman"/>
      <w:b/>
      <w:bCs/>
      <w:i w:val="0"/>
      <w:color w:val="2F5496" w:themeShade="BF"/>
      <w:sz w:val="36"/>
      <w:szCs w:val="36"/>
    </w:rPr>
  </w:style>
  <w:style w:type="paragraph" w:styleId="Heading3">
    <w:name w:val="heading 3"/>
    <w:basedOn w:val="Normal"/>
    <w:next w:val="Normal"/>
    <w:link w:val="Heading3Char"/>
    <w:uiPriority w:val="9"/>
    <w:qFormat/>
    <w:rsid w:val="00506D7A"/>
    <w:pPr>
      <w:keepNext/>
      <w:keepLines/>
      <w:spacing w:before="40" w:after="0"/>
      <w:outlineLvl w:val="2"/>
    </w:pPr>
    <w:rPr>
      <w:rFonts w:ascii="Times New Roman" w:eastAsia="Times New Roman" w:hAnsi="Times New Roman" w:cs="Times New Roman"/>
      <w:b/>
      <w:bCs/>
      <w:i w:val="0"/>
      <w:color w:val="1F3763" w:themeShade="7F"/>
      <w:sz w:val="28"/>
      <w:szCs w:val="28"/>
    </w:rPr>
  </w:style>
  <w:style w:type="paragraph" w:styleId="Heading4">
    <w:name w:val="heading 4"/>
    <w:basedOn w:val="Normal"/>
    <w:next w:val="Normal"/>
    <w:link w:val="Heading4Char"/>
    <w:uiPriority w:val="9"/>
    <w:qFormat/>
    <w:rsid w:val="00506D7A"/>
    <w:pPr>
      <w:keepNext/>
      <w:keepLines/>
      <w:spacing w:before="40" w:after="0"/>
      <w:outlineLvl w:val="3"/>
    </w:pPr>
    <w:rPr>
      <w:rFonts w:ascii="Times New Roman" w:eastAsia="Times New Roman" w:hAnsi="Times New Roman" w:cs="Times New Roman"/>
      <w:b/>
      <w:bCs/>
      <w:i w:val="0"/>
      <w:iCs/>
      <w:color w:val="2F5496" w:themeShade="BF"/>
      <w:sz w:val="24"/>
      <w:szCs w:val="24"/>
    </w:rPr>
  </w:style>
  <w:style w:type="paragraph" w:styleId="Heading5">
    <w:name w:val="heading 5"/>
    <w:basedOn w:val="Normal"/>
    <w:next w:val="Normal"/>
    <w:link w:val="Heading5Char"/>
    <w:uiPriority w:val="9"/>
    <w:qFormat/>
    <w:rsid w:val="00506D7A"/>
    <w:pPr>
      <w:keepNext/>
      <w:keepLines/>
      <w:spacing w:before="40" w:after="0"/>
      <w:outlineLvl w:val="4"/>
    </w:pPr>
    <w:rPr>
      <w:rFonts w:ascii="Times New Roman" w:eastAsia="Times New Roman" w:hAnsi="Times New Roman" w:cs="Times New Roman"/>
      <w:b/>
      <w:bCs/>
      <w:i w:val="0"/>
      <w:color w:val="2F5496" w:themeShade="BF"/>
      <w:sz w:val="20"/>
      <w:szCs w:val="20"/>
    </w:rPr>
  </w:style>
  <w:style w:type="paragraph" w:styleId="Heading6">
    <w:name w:val="heading 6"/>
    <w:basedOn w:val="Normal"/>
    <w:next w:val="Normal"/>
    <w:link w:val="Heading6Char"/>
    <w:uiPriority w:val="9"/>
    <w:qFormat/>
    <w:rsid w:val="00506D7A"/>
    <w:pPr>
      <w:keepNext/>
      <w:keepLines/>
      <w:spacing w:before="40" w:after="0"/>
      <w:outlineLvl w:val="5"/>
    </w:pPr>
    <w:rPr>
      <w:rFonts w:ascii="Times New Roman" w:eastAsia="Times New Roman" w:hAnsi="Times New Roman" w:cs="Times New Roman"/>
      <w:b/>
      <w:bCs/>
      <w:i w:val="0"/>
      <w:color w:val="1F3763" w:themeShade="7F"/>
      <w:sz w:val="16"/>
      <w:szCs w:val="16"/>
    </w:rPr>
  </w:style>
  <w:style w:type="character" w:default="1" w:styleId="DefaultParagraphFont">
    <w:name w:val="Default Paragraph Font"/>
    <w:semiHidden/>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themeShade="BF"/>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themeShade="BF"/>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themeShade="7F"/>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themeShade="BF"/>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themeShade="BF"/>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theme" Target="theme/theme1.xml" /><Relationship Id="rId5"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otalTime>0</TotalTime>
  <Pages>0</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Flight Foods Presentation Enhanced NoNotes LowSimilarity</dc:title>
  <cp:revision>0</cp:revision>
</cp:coreProperties>
</file>