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A3E6961" w14:textId="0D17B894" w:rsidR="00B322E0" w:rsidRDefault="00BE5B82" w:rsidP="009C2D59">
      <w:pPr>
        <w:rPr>
          <w:b/>
          <w:i/>
          <w:color w:val="auto"/>
          <w:sz w:val="52"/>
          <w:szCs w:val="52"/>
        </w:rPr>
      </w:pPr>
      <w:r>
        <w:rPr>
          <w:b/>
          <w:i/>
          <w:color w:val="auto"/>
          <w:sz w:val="52"/>
          <w:szCs w:val="52"/>
        </w:rPr>
        <w:t>ILEANA CRISTINA MARIN(2314523)</w:t>
      </w:r>
    </w:p>
    <w:p w14:paraId="375D77E5" w14:textId="15860F50" w:rsidR="00B322E0" w:rsidRPr="00BE5B82" w:rsidRDefault="00BE5B82" w:rsidP="00BE5B82">
      <w:pPr>
        <w:rPr>
          <w:b/>
          <w:i/>
          <w:color w:val="auto"/>
          <w:sz w:val="52"/>
          <w:szCs w:val="52"/>
        </w:rPr>
      </w:pPr>
      <w:r>
        <w:rPr>
          <w:b/>
          <w:i/>
          <w:color w:val="auto"/>
          <w:sz w:val="52"/>
          <w:szCs w:val="52"/>
        </w:rPr>
        <w:t>Lecturer: Robert Nartowski</w:t>
      </w:r>
    </w:p>
    <w:p w14:paraId="17CD54E0" w14:textId="77777777" w:rsidR="00793373" w:rsidRPr="0043798A" w:rsidRDefault="00703F5C">
      <w:pPr>
        <w:jc w:val="center"/>
        <w:rPr>
          <w:b/>
          <w:i/>
          <w:color w:val="auto"/>
          <w:sz w:val="48"/>
          <w:szCs w:val="72"/>
        </w:rPr>
      </w:pPr>
      <w:r w:rsidRPr="0043798A">
        <w:rPr>
          <w:b/>
          <w:bCs/>
          <w:i/>
          <w:color w:val="auto"/>
          <w:sz w:val="48"/>
          <w:szCs w:val="72"/>
        </w:rPr>
        <w:t>BMHP5023 Introduction to Physiology</w:t>
      </w:r>
      <w:r w:rsidR="009C2D59" w:rsidRPr="0043798A">
        <w:rPr>
          <w:b/>
          <w:bCs/>
          <w:i/>
          <w:color w:val="auto"/>
          <w:sz w:val="48"/>
          <w:szCs w:val="72"/>
        </w:rPr>
        <w:t> </w:t>
      </w:r>
      <w:r w:rsidR="00B57A65" w:rsidRPr="0043798A">
        <w:rPr>
          <w:b/>
          <w:i/>
          <w:color w:val="auto"/>
          <w:sz w:val="48"/>
          <w:szCs w:val="72"/>
        </w:rPr>
        <w:t xml:space="preserve"> </w:t>
      </w:r>
    </w:p>
    <w:p w14:paraId="3B3DD032" w14:textId="77777777" w:rsidR="00793373" w:rsidRPr="00752C57" w:rsidRDefault="00793373">
      <w:pPr>
        <w:pStyle w:val="ContentsHeading"/>
        <w:pageBreakBefore/>
        <w:rPr>
          <w:color w:val="auto"/>
        </w:rPr>
      </w:pPr>
      <w:r w:rsidRPr="00752C57">
        <w:rPr>
          <w:color w:val="auto"/>
        </w:rPr>
        <w:lastRenderedPageBreak/>
        <w:t>Table of Contents</w:t>
      </w:r>
    </w:p>
    <w:p w14:paraId="4D68D831" w14:textId="77777777" w:rsidR="00443078" w:rsidRPr="00C753FE" w:rsidRDefault="00793373">
      <w:pPr>
        <w:pStyle w:val="TOC1"/>
        <w:rPr>
          <w:rFonts w:ascii="Calibri" w:eastAsia="Times New Roman" w:hAnsi="Calibri" w:cs="Times New Roman"/>
          <w:noProof/>
          <w:color w:val="auto"/>
          <w:lang w:eastAsia="en-GB"/>
        </w:rPr>
      </w:pPr>
      <w:r w:rsidRPr="00752C57">
        <w:rPr>
          <w:rFonts w:cs="Times New Roman"/>
          <w:color w:val="auto"/>
        </w:rPr>
        <w:fldChar w:fldCharType="begin"/>
      </w:r>
      <w:r w:rsidRPr="00752C57">
        <w:rPr>
          <w:rFonts w:cs="Times New Roman"/>
          <w:color w:val="auto"/>
        </w:rPr>
        <w:instrText xml:space="preserve"> TOC \f \o "1-9" \o "1-9" </w:instrText>
      </w:r>
      <w:r w:rsidRPr="00752C57">
        <w:rPr>
          <w:rFonts w:cs="Times New Roman"/>
          <w:color w:val="auto"/>
        </w:rPr>
        <w:fldChar w:fldCharType="separate"/>
      </w:r>
      <w:r w:rsidR="00443078">
        <w:rPr>
          <w:noProof/>
        </w:rPr>
        <w:t>Introduction</w:t>
      </w:r>
      <w:r w:rsidR="00443078">
        <w:rPr>
          <w:noProof/>
        </w:rPr>
        <w:tab/>
      </w:r>
      <w:r w:rsidR="00443078">
        <w:rPr>
          <w:noProof/>
        </w:rPr>
        <w:fldChar w:fldCharType="begin"/>
      </w:r>
      <w:r w:rsidR="00443078">
        <w:rPr>
          <w:noProof/>
        </w:rPr>
        <w:instrText xml:space="preserve"> PAGEREF _Toc222401008 \h </w:instrText>
      </w:r>
      <w:r w:rsidR="00443078">
        <w:rPr>
          <w:noProof/>
        </w:rPr>
      </w:r>
      <w:r w:rsidR="00443078">
        <w:rPr>
          <w:noProof/>
        </w:rPr>
        <w:fldChar w:fldCharType="separate"/>
      </w:r>
      <w:r w:rsidR="00443078">
        <w:rPr>
          <w:noProof/>
        </w:rPr>
        <w:t>3</w:t>
      </w:r>
      <w:r w:rsidR="00443078">
        <w:rPr>
          <w:noProof/>
        </w:rPr>
        <w:fldChar w:fldCharType="end"/>
      </w:r>
    </w:p>
    <w:p w14:paraId="4A3ABB53" w14:textId="77777777" w:rsidR="00443078" w:rsidRPr="00C753FE" w:rsidRDefault="00443078">
      <w:pPr>
        <w:pStyle w:val="TOC1"/>
        <w:rPr>
          <w:rFonts w:ascii="Calibri" w:eastAsia="Times New Roman" w:hAnsi="Calibri" w:cs="Times New Roman"/>
          <w:noProof/>
          <w:color w:val="auto"/>
          <w:lang w:eastAsia="en-GB"/>
        </w:rPr>
      </w:pPr>
      <w:r>
        <w:rPr>
          <w:noProof/>
        </w:rPr>
        <w:t>Regulation of Blood Glucose Homeostasis</w:t>
      </w:r>
      <w:r>
        <w:rPr>
          <w:noProof/>
        </w:rPr>
        <w:tab/>
      </w:r>
      <w:r>
        <w:rPr>
          <w:noProof/>
        </w:rPr>
        <w:fldChar w:fldCharType="begin"/>
      </w:r>
      <w:r>
        <w:rPr>
          <w:noProof/>
        </w:rPr>
        <w:instrText xml:space="preserve"> PAGEREF _Toc222401009 \h </w:instrText>
      </w:r>
      <w:r>
        <w:rPr>
          <w:noProof/>
        </w:rPr>
      </w:r>
      <w:r>
        <w:rPr>
          <w:noProof/>
        </w:rPr>
        <w:fldChar w:fldCharType="separate"/>
      </w:r>
      <w:r>
        <w:rPr>
          <w:noProof/>
        </w:rPr>
        <w:t>3</w:t>
      </w:r>
      <w:r>
        <w:rPr>
          <w:noProof/>
        </w:rPr>
        <w:fldChar w:fldCharType="end"/>
      </w:r>
    </w:p>
    <w:p w14:paraId="4A312BBB" w14:textId="77777777" w:rsidR="00443078" w:rsidRPr="00C753FE" w:rsidRDefault="00443078">
      <w:pPr>
        <w:pStyle w:val="TOC1"/>
        <w:rPr>
          <w:rFonts w:ascii="Calibri" w:eastAsia="Times New Roman" w:hAnsi="Calibri" w:cs="Times New Roman"/>
          <w:noProof/>
          <w:color w:val="auto"/>
          <w:lang w:eastAsia="en-GB"/>
        </w:rPr>
      </w:pPr>
      <w:r>
        <w:rPr>
          <w:noProof/>
        </w:rPr>
        <w:t>Cellular Metabolism: Oxygen and Glucose in ATP Production</w:t>
      </w:r>
      <w:r>
        <w:rPr>
          <w:noProof/>
        </w:rPr>
        <w:tab/>
      </w:r>
      <w:r>
        <w:rPr>
          <w:noProof/>
        </w:rPr>
        <w:fldChar w:fldCharType="begin"/>
      </w:r>
      <w:r>
        <w:rPr>
          <w:noProof/>
        </w:rPr>
        <w:instrText xml:space="preserve"> PAGEREF _Toc222401010 \h </w:instrText>
      </w:r>
      <w:r>
        <w:rPr>
          <w:noProof/>
        </w:rPr>
      </w:r>
      <w:r>
        <w:rPr>
          <w:noProof/>
        </w:rPr>
        <w:fldChar w:fldCharType="separate"/>
      </w:r>
      <w:r>
        <w:rPr>
          <w:noProof/>
        </w:rPr>
        <w:t>4</w:t>
      </w:r>
      <w:r>
        <w:rPr>
          <w:noProof/>
        </w:rPr>
        <w:fldChar w:fldCharType="end"/>
      </w:r>
    </w:p>
    <w:p w14:paraId="5B6770D6" w14:textId="77777777" w:rsidR="00443078" w:rsidRPr="00C753FE" w:rsidRDefault="00443078">
      <w:pPr>
        <w:pStyle w:val="TOC1"/>
        <w:rPr>
          <w:rFonts w:ascii="Calibri" w:eastAsia="Times New Roman" w:hAnsi="Calibri" w:cs="Times New Roman"/>
          <w:noProof/>
          <w:color w:val="auto"/>
          <w:lang w:eastAsia="en-GB"/>
        </w:rPr>
      </w:pPr>
      <w:r>
        <w:rPr>
          <w:noProof/>
        </w:rPr>
        <w:t>Pathophysiology of Type 2 Diabetes</w:t>
      </w:r>
      <w:r>
        <w:rPr>
          <w:noProof/>
        </w:rPr>
        <w:tab/>
      </w:r>
      <w:r>
        <w:rPr>
          <w:noProof/>
        </w:rPr>
        <w:fldChar w:fldCharType="begin"/>
      </w:r>
      <w:r>
        <w:rPr>
          <w:noProof/>
        </w:rPr>
        <w:instrText xml:space="preserve"> PAGEREF _Toc222401011 \h </w:instrText>
      </w:r>
      <w:r>
        <w:rPr>
          <w:noProof/>
        </w:rPr>
      </w:r>
      <w:r>
        <w:rPr>
          <w:noProof/>
        </w:rPr>
        <w:fldChar w:fldCharType="separate"/>
      </w:r>
      <w:r>
        <w:rPr>
          <w:noProof/>
        </w:rPr>
        <w:t>5</w:t>
      </w:r>
      <w:r>
        <w:rPr>
          <w:noProof/>
        </w:rPr>
        <w:fldChar w:fldCharType="end"/>
      </w:r>
    </w:p>
    <w:p w14:paraId="2A609BA8" w14:textId="77777777" w:rsidR="00443078" w:rsidRPr="00C753FE" w:rsidRDefault="00443078">
      <w:pPr>
        <w:pStyle w:val="TOC1"/>
        <w:rPr>
          <w:rFonts w:ascii="Calibri" w:eastAsia="Times New Roman" w:hAnsi="Calibri" w:cs="Times New Roman"/>
          <w:noProof/>
          <w:color w:val="auto"/>
          <w:lang w:eastAsia="en-GB"/>
        </w:rPr>
      </w:pPr>
      <w:r>
        <w:rPr>
          <w:noProof/>
        </w:rPr>
        <w:t>Importance of Recording and Tracking Blood Glucose</w:t>
      </w:r>
      <w:r>
        <w:rPr>
          <w:noProof/>
        </w:rPr>
        <w:tab/>
      </w:r>
      <w:r>
        <w:rPr>
          <w:noProof/>
        </w:rPr>
        <w:fldChar w:fldCharType="begin"/>
      </w:r>
      <w:r>
        <w:rPr>
          <w:noProof/>
        </w:rPr>
        <w:instrText xml:space="preserve"> PAGEREF _Toc222401012 \h </w:instrText>
      </w:r>
      <w:r>
        <w:rPr>
          <w:noProof/>
        </w:rPr>
      </w:r>
      <w:r>
        <w:rPr>
          <w:noProof/>
        </w:rPr>
        <w:fldChar w:fldCharType="separate"/>
      </w:r>
      <w:r>
        <w:rPr>
          <w:noProof/>
        </w:rPr>
        <w:t>6</w:t>
      </w:r>
      <w:r>
        <w:rPr>
          <w:noProof/>
        </w:rPr>
        <w:fldChar w:fldCharType="end"/>
      </w:r>
    </w:p>
    <w:p w14:paraId="574054AC" w14:textId="77777777" w:rsidR="00443078" w:rsidRPr="00C753FE" w:rsidRDefault="00443078">
      <w:pPr>
        <w:pStyle w:val="TOC1"/>
        <w:rPr>
          <w:rFonts w:ascii="Calibri" w:eastAsia="Times New Roman" w:hAnsi="Calibri" w:cs="Times New Roman"/>
          <w:noProof/>
          <w:color w:val="auto"/>
          <w:lang w:eastAsia="en-GB"/>
        </w:rPr>
      </w:pPr>
      <w:r>
        <w:rPr>
          <w:noProof/>
        </w:rPr>
        <w:t>Evidence-Based Lifestyle Interventions</w:t>
      </w:r>
      <w:r>
        <w:rPr>
          <w:noProof/>
        </w:rPr>
        <w:tab/>
      </w:r>
      <w:r>
        <w:rPr>
          <w:noProof/>
        </w:rPr>
        <w:fldChar w:fldCharType="begin"/>
      </w:r>
      <w:r>
        <w:rPr>
          <w:noProof/>
        </w:rPr>
        <w:instrText xml:space="preserve"> PAGEREF _Toc222401013 \h </w:instrText>
      </w:r>
      <w:r>
        <w:rPr>
          <w:noProof/>
        </w:rPr>
      </w:r>
      <w:r>
        <w:rPr>
          <w:noProof/>
        </w:rPr>
        <w:fldChar w:fldCharType="separate"/>
      </w:r>
      <w:r>
        <w:rPr>
          <w:noProof/>
        </w:rPr>
        <w:t>7</w:t>
      </w:r>
      <w:r>
        <w:rPr>
          <w:noProof/>
        </w:rPr>
        <w:fldChar w:fldCharType="end"/>
      </w:r>
    </w:p>
    <w:p w14:paraId="59FD1FC0" w14:textId="77777777" w:rsidR="00443078" w:rsidRPr="00C753FE" w:rsidRDefault="00443078">
      <w:pPr>
        <w:pStyle w:val="TOC1"/>
        <w:rPr>
          <w:rFonts w:ascii="Calibri" w:eastAsia="Times New Roman" w:hAnsi="Calibri" w:cs="Times New Roman"/>
          <w:noProof/>
          <w:color w:val="auto"/>
          <w:lang w:eastAsia="en-GB"/>
        </w:rPr>
      </w:pPr>
      <w:r>
        <w:rPr>
          <w:noProof/>
        </w:rPr>
        <w:t>CONCLUSION</w:t>
      </w:r>
      <w:r>
        <w:rPr>
          <w:noProof/>
        </w:rPr>
        <w:tab/>
      </w:r>
      <w:r>
        <w:rPr>
          <w:noProof/>
        </w:rPr>
        <w:fldChar w:fldCharType="begin"/>
      </w:r>
      <w:r>
        <w:rPr>
          <w:noProof/>
        </w:rPr>
        <w:instrText xml:space="preserve"> PAGEREF _Toc222401014 \h </w:instrText>
      </w:r>
      <w:r>
        <w:rPr>
          <w:noProof/>
        </w:rPr>
      </w:r>
      <w:r>
        <w:rPr>
          <w:noProof/>
        </w:rPr>
        <w:fldChar w:fldCharType="separate"/>
      </w:r>
      <w:r>
        <w:rPr>
          <w:noProof/>
        </w:rPr>
        <w:t>8</w:t>
      </w:r>
      <w:r>
        <w:rPr>
          <w:noProof/>
        </w:rPr>
        <w:fldChar w:fldCharType="end"/>
      </w:r>
    </w:p>
    <w:p w14:paraId="5EB7FDB6" w14:textId="77777777" w:rsidR="00443078" w:rsidRPr="00C753FE" w:rsidRDefault="00443078">
      <w:pPr>
        <w:pStyle w:val="TOC1"/>
        <w:rPr>
          <w:rFonts w:ascii="Calibri" w:eastAsia="Times New Roman" w:hAnsi="Calibri" w:cs="Times New Roman"/>
          <w:noProof/>
          <w:color w:val="auto"/>
          <w:lang w:eastAsia="en-GB"/>
        </w:rPr>
      </w:pPr>
      <w:r>
        <w:rPr>
          <w:noProof/>
        </w:rPr>
        <w:t>REFERENCES</w:t>
      </w:r>
      <w:r>
        <w:rPr>
          <w:noProof/>
        </w:rPr>
        <w:tab/>
      </w:r>
      <w:r>
        <w:rPr>
          <w:noProof/>
        </w:rPr>
        <w:fldChar w:fldCharType="begin"/>
      </w:r>
      <w:r>
        <w:rPr>
          <w:noProof/>
        </w:rPr>
        <w:instrText xml:space="preserve"> PAGEREF _Toc222401015 \h </w:instrText>
      </w:r>
      <w:r>
        <w:rPr>
          <w:noProof/>
        </w:rPr>
      </w:r>
      <w:r>
        <w:rPr>
          <w:noProof/>
        </w:rPr>
        <w:fldChar w:fldCharType="separate"/>
      </w:r>
      <w:r>
        <w:rPr>
          <w:noProof/>
        </w:rPr>
        <w:t>9</w:t>
      </w:r>
      <w:r>
        <w:rPr>
          <w:noProof/>
        </w:rPr>
        <w:fldChar w:fldCharType="end"/>
      </w:r>
    </w:p>
    <w:p w14:paraId="538D1DB6" w14:textId="77777777" w:rsidR="005901D0" w:rsidRPr="00752C57" w:rsidRDefault="00793373" w:rsidP="005901D0">
      <w:pPr>
        <w:pStyle w:val="TOC1"/>
        <w:rPr>
          <w:rFonts w:cs="Times New Roman"/>
          <w:color w:val="auto"/>
          <w:szCs w:val="24"/>
        </w:rPr>
      </w:pPr>
      <w:r w:rsidRPr="00752C57">
        <w:rPr>
          <w:rFonts w:cs="Times New Roman"/>
          <w:color w:val="auto"/>
        </w:rPr>
        <w:fldChar w:fldCharType="end"/>
      </w:r>
    </w:p>
    <w:p w14:paraId="67B9ACDA" w14:textId="77777777" w:rsidR="00793373" w:rsidRPr="00752C57" w:rsidRDefault="00793373">
      <w:pPr>
        <w:rPr>
          <w:color w:val="auto"/>
          <w:szCs w:val="24"/>
        </w:rPr>
      </w:pPr>
    </w:p>
    <w:p w14:paraId="592909F3" w14:textId="77777777" w:rsidR="00FA3835" w:rsidRPr="00752C57" w:rsidRDefault="00FA3835">
      <w:pPr>
        <w:rPr>
          <w:color w:val="auto"/>
          <w:szCs w:val="24"/>
        </w:rPr>
      </w:pPr>
    </w:p>
    <w:p w14:paraId="166F988E" w14:textId="77777777" w:rsidR="00FA3835" w:rsidRPr="00752C57" w:rsidRDefault="00FA3835">
      <w:pPr>
        <w:rPr>
          <w:color w:val="auto"/>
          <w:szCs w:val="24"/>
        </w:rPr>
      </w:pPr>
    </w:p>
    <w:p w14:paraId="523C3AEE" w14:textId="77777777" w:rsidR="0093725C" w:rsidRPr="00752C57" w:rsidRDefault="006407FE" w:rsidP="00607926">
      <w:pPr>
        <w:pStyle w:val="Heading1"/>
      </w:pPr>
      <w:r w:rsidRPr="00752C57">
        <w:br w:type="page"/>
      </w:r>
      <w:bookmarkStart w:id="0" w:name="_Toc222401008"/>
      <w:r w:rsidR="00607926" w:rsidRPr="00752C57">
        <w:lastRenderedPageBreak/>
        <w:t>Introduction</w:t>
      </w:r>
      <w:bookmarkEnd w:id="0"/>
    </w:p>
    <w:p w14:paraId="6BAD90E7" w14:textId="639BDA1F" w:rsidR="00A654E6" w:rsidRDefault="00703F5C" w:rsidP="00A654E6">
      <w:r w:rsidRPr="00703F5C">
        <w:t>Diabetes mellitus is a persistent metabolic disorder that is characteri</w:t>
      </w:r>
      <w:r w:rsidR="00A22898">
        <w:t>s</w:t>
      </w:r>
      <w:r w:rsidRPr="00703F5C">
        <w:t xml:space="preserve">ed by high </w:t>
      </w:r>
      <w:r w:rsidR="00BE5B82">
        <w:t>levels</w:t>
      </w:r>
      <w:r w:rsidRPr="00703F5C">
        <w:t xml:space="preserve"> of </w:t>
      </w:r>
      <w:r w:rsidR="00BE5B82">
        <w:t>hyperglycaemia</w:t>
      </w:r>
      <w:r w:rsidRPr="00703F5C">
        <w:t xml:space="preserve"> caused by insulin secretion flaws, insulin activity or both</w:t>
      </w:r>
      <w:r w:rsidR="00A22898">
        <w:t xml:space="preserve"> </w:t>
      </w:r>
      <w:r w:rsidR="00A22898" w:rsidRPr="00A22898">
        <w:t xml:space="preserve">(Goyal, </w:t>
      </w:r>
      <w:proofErr w:type="spellStart"/>
      <w:r w:rsidR="00A22898" w:rsidRPr="00A22898">
        <w:t>Jialal</w:t>
      </w:r>
      <w:proofErr w:type="spellEnd"/>
      <w:r w:rsidR="00A22898" w:rsidRPr="00A22898">
        <w:t xml:space="preserve"> and Singhal, 2023)</w:t>
      </w:r>
      <w:r w:rsidRPr="00703F5C">
        <w:t xml:space="preserve">. In Type 1 diabetes, the pancreatic </w:t>
      </w:r>
      <w:r w:rsidR="00A22898" w:rsidRPr="00A22898">
        <w:t>β</w:t>
      </w:r>
      <w:r w:rsidRPr="00703F5C">
        <w:t>-cells are destroyed by autoimmune processes</w:t>
      </w:r>
      <w:r w:rsidR="00BE5B82">
        <w:t>,</w:t>
      </w:r>
      <w:r w:rsidRPr="00703F5C">
        <w:t xml:space="preserve"> hence the inability to manage insulin levels</w:t>
      </w:r>
      <w:r w:rsidR="00BE5B82">
        <w:t>,</w:t>
      </w:r>
      <w:r w:rsidRPr="00703F5C">
        <w:t xml:space="preserve"> whereas in Type 2 diabetes (T2DM) the disease is most prevalent in the United Kingdom and its development is triggered by insulin resistance and the progressive dysfunction of the </w:t>
      </w:r>
      <w:r w:rsidR="00A22898" w:rsidRPr="00A22898">
        <w:t>β</w:t>
      </w:r>
      <w:r w:rsidRPr="00703F5C">
        <w:t>-cells. Recent UK statistics indicate that over 4 million individuals already have diabetes</w:t>
      </w:r>
      <w:r w:rsidR="00BE5B82">
        <w:t>,</w:t>
      </w:r>
      <w:r w:rsidRPr="00703F5C">
        <w:t xml:space="preserve"> with </w:t>
      </w:r>
      <w:r w:rsidR="00BE5B82">
        <w:t xml:space="preserve">the </w:t>
      </w:r>
      <w:r w:rsidRPr="00703F5C">
        <w:t>majority of them having T2DM</w:t>
      </w:r>
      <w:r w:rsidR="00BE5B82">
        <w:t>,</w:t>
      </w:r>
      <w:r w:rsidRPr="00703F5C">
        <w:t xml:space="preserve"> hence it is escalating a growing strain on the </w:t>
      </w:r>
      <w:r w:rsidR="00BE5B82">
        <w:t>population's</w:t>
      </w:r>
      <w:r w:rsidRPr="00703F5C">
        <w:t xml:space="preserve"> health</w:t>
      </w:r>
      <w:r w:rsidR="00A22898">
        <w:t xml:space="preserve"> </w:t>
      </w:r>
      <w:r w:rsidR="00A22898" w:rsidRPr="00A22898">
        <w:t>(NHS England, 2024)</w:t>
      </w:r>
      <w:r w:rsidRPr="00703F5C">
        <w:t>. The main pathophysiological mechanism of T2DM is the impaired glucose homeostasis by the signs of insulin disruption, reduced peripheral intake of glucose and long term hepatic glucose synthesis. The diabetes as a systemic and a metabolic disorder has an effect on the cell and vascular metabolism of energy. The knowledge of these processes in monitoring and the consequent control of the lifestyle on the part of the primary care is the primary care management of the lifestyle.</w:t>
      </w:r>
    </w:p>
    <w:p w14:paraId="7C9CE2F4" w14:textId="77777777" w:rsidR="00703F5C" w:rsidRPr="00752C57" w:rsidRDefault="00703F5C" w:rsidP="00A654E6"/>
    <w:p w14:paraId="29BBA05B" w14:textId="77777777" w:rsidR="00784EBE" w:rsidRPr="00752C57" w:rsidRDefault="00703F5C" w:rsidP="00703F5C">
      <w:pPr>
        <w:pStyle w:val="Heading1"/>
      </w:pPr>
      <w:bookmarkStart w:id="1" w:name="_Toc222401009"/>
      <w:r w:rsidRPr="00703F5C">
        <w:t>Regulation of Blood Glucose Homeostasis</w:t>
      </w:r>
      <w:bookmarkEnd w:id="1"/>
    </w:p>
    <w:p w14:paraId="1E038453" w14:textId="77777777" w:rsidR="00703F5C" w:rsidRDefault="00703F5C" w:rsidP="00703F5C">
      <w:r>
        <w:t>The effect of the endocrinological system is necessary to keep the lev</w:t>
      </w:r>
      <w:r w:rsidR="00A22898">
        <w:t>el of the pancreatic gland (4-7</w:t>
      </w:r>
      <w:r>
        <w:t>mmol/L fasting) controlled on the one hand an</w:t>
      </w:r>
      <w:r w:rsidR="00A22898">
        <w:t xml:space="preserve">d peripheral metabolic tissues </w:t>
      </w:r>
      <w:r w:rsidR="00A22898" w:rsidRPr="00A22898">
        <w:t>(Schifter, McLean and Sukumar, 2021)</w:t>
      </w:r>
      <w:r>
        <w:t xml:space="preserve">. The case of the islets of Langerhans are groups of endocrine cells found in the pancreas. On these islands, insulin which is the principal hypoglycaemic hormone is produced by the </w:t>
      </w:r>
      <w:r w:rsidR="002C28BB">
        <w:t>β-cells</w:t>
      </w:r>
      <w:r>
        <w:t xml:space="preserve"> and glucagon which is a counter-regulatory hyperglycaemic hormone is produced by the a-cells. This organised structure enables rapid hormonal responses to the changes in the circulating glucose levels.</w:t>
      </w:r>
    </w:p>
    <w:p w14:paraId="07F81FA6" w14:textId="77777777" w:rsidR="00703F5C" w:rsidRDefault="00703F5C" w:rsidP="00703F5C">
      <w:pPr>
        <w:ind w:firstLine="720"/>
      </w:pPr>
      <w:r>
        <w:t xml:space="preserve">Insulin secretions are stimulated by the consumption of glucose into pancreatic </w:t>
      </w:r>
      <w:r w:rsidR="002C28BB">
        <w:t>β-cells</w:t>
      </w:r>
      <w:r>
        <w:t xml:space="preserve"> via GLUT2 transporter. The glucose is burned up and oxidatively phosphorylated inside the cell increasing the percentage of ATP to ADP</w:t>
      </w:r>
      <w:r w:rsidR="00A22898">
        <w:t xml:space="preserve"> </w:t>
      </w:r>
      <w:r w:rsidR="00A22898" w:rsidRPr="00A22898">
        <w:t>(Bhatti et al., 2022)</w:t>
      </w:r>
      <w:r>
        <w:t>. There is high concentration of ATP which cl</w:t>
      </w:r>
      <w:r w:rsidR="00A22898">
        <w:t>oses ATP-sensitive potassium (</w:t>
      </w:r>
      <w:proofErr w:type="spellStart"/>
      <w:r w:rsidR="00A22898">
        <w:t>K</w:t>
      </w:r>
      <w:r>
        <w:t>+channels</w:t>
      </w:r>
      <w:proofErr w:type="spellEnd"/>
      <w:r>
        <w:t>) leading to membrane depolarisation. This depolarisation leads to opening of the voltage-gated calcium channels that permits the entry of calcium. High levels of intracellular calcium induce the motor discharges of insulin-saturated granules of secretions into blood. This is a regulated process which implies that insulin may be discharged as the rate based on glycaemic load.</w:t>
      </w:r>
    </w:p>
    <w:p w14:paraId="54E2DF52" w14:textId="77777777" w:rsidR="00703F5C" w:rsidRDefault="00703F5C" w:rsidP="00703F5C">
      <w:pPr>
        <w:ind w:firstLine="720"/>
      </w:pPr>
      <w:r>
        <w:lastRenderedPageBreak/>
        <w:t xml:space="preserve">Under the molecular mechanism, </w:t>
      </w:r>
      <w:r w:rsidR="00A22898">
        <w:t>the</w:t>
      </w:r>
      <w:r>
        <w:t xml:space="preserve"> insulin binds with insulin receptor, which is transmembrane tyrosine kinase receptor present in the target tissues such as skeletal muscle, liver and adipose tissue. Autophosphorylation of receptors activates intracellular signalling cascades such as phosphatidylinositol 3-kinase (PI3K) -Akt. This mechanism is triggered to cause translocation of GLUT4 transporters to the muscle and adipose tissue cell membrane that stimulates the uptake of glucose</w:t>
      </w:r>
      <w:r w:rsidR="00A22898">
        <w:t xml:space="preserve"> </w:t>
      </w:r>
      <w:r w:rsidR="00A22898" w:rsidRPr="00A22898">
        <w:t>(Gerwen, Shun-Shion and Fazakerley, 2023)</w:t>
      </w:r>
      <w:r>
        <w:t>. In liver, insulin stimulates glycogen synthesis and inhibits gluconeogenesis but in adipose tissue, insulin provokes lipogenesis and inhibits lipolysis. Taken together the above measures reduce the glucose in circulation and enhance energy storage.</w:t>
      </w:r>
    </w:p>
    <w:p w14:paraId="1E9E3996" w14:textId="77777777" w:rsidR="00F17CBC" w:rsidRDefault="00703F5C" w:rsidP="00703F5C">
      <w:pPr>
        <w:ind w:firstLine="432"/>
      </w:pPr>
      <w:r>
        <w:t>The counter-regulatory hormones are the ones that maintain the glycaemic stability during either within the fasting or during the stressing period. The hepatic glycogenolysis and gluconeogenesis stimulated by glucagon, the increased supply of glucose by cortisol and adrenaline by increasing hepatic secretion and decreasing peripheral utili</w:t>
      </w:r>
      <w:r w:rsidR="00A22898">
        <w:t>s</w:t>
      </w:r>
      <w:r>
        <w:t>ation</w:t>
      </w:r>
      <w:r w:rsidR="00A22898">
        <w:t xml:space="preserve"> </w:t>
      </w:r>
      <w:r w:rsidR="00A22898" w:rsidRPr="00A22898">
        <w:t>(Popoviciu et al., 2023)</w:t>
      </w:r>
      <w:r>
        <w:t>. The glucose homeostasis therefore becomes a negative regulatory process that is dynamic and incorporates controls of insulin and its antagonists. However, the liver and peripheral tissue sensitivity to insulin may be different and this derailment results into the acquisition of Type 2 diabetes.</w:t>
      </w:r>
    </w:p>
    <w:p w14:paraId="3713FF71" w14:textId="77777777" w:rsidR="00703F5C" w:rsidRDefault="00703F5C" w:rsidP="00607926"/>
    <w:p w14:paraId="153B64A0" w14:textId="77777777" w:rsidR="00703F5C" w:rsidRDefault="00703F5C" w:rsidP="00703F5C">
      <w:pPr>
        <w:pStyle w:val="Heading1"/>
      </w:pPr>
      <w:bookmarkStart w:id="2" w:name="_Toc222401010"/>
      <w:r>
        <w:t>Cellular Metabolism: Oxygen and Glucose in ATP Production</w:t>
      </w:r>
      <w:bookmarkEnd w:id="2"/>
    </w:p>
    <w:p w14:paraId="2290080C" w14:textId="77777777" w:rsidR="00703F5C" w:rsidRDefault="00703F5C" w:rsidP="00703F5C">
      <w:r>
        <w:t xml:space="preserve">The use of biochemical pathways regulates cellular energy production based on the interaction of the metabolism of glucose and oxygen that are tightly controlled by </w:t>
      </w:r>
      <w:proofErr w:type="spellStart"/>
      <w:r>
        <w:t>intervitrogenic</w:t>
      </w:r>
      <w:proofErr w:type="spellEnd"/>
      <w:r>
        <w:t xml:space="preserve"> lookout. Once glucose is taken up by the cells, the glucose is then undergone glycolysis in cytoplasm during which the glucose is formed into pyruvate under the assistance of the enzymes with minimal yield of yield of ATP and reduced nicotinamide adenine dinucleotide (NADH)</w:t>
      </w:r>
      <w:r w:rsidR="00A22898">
        <w:t xml:space="preserve"> </w:t>
      </w:r>
      <w:r w:rsidR="00A22898" w:rsidRPr="00A22898">
        <w:t>(Gupta and Gupta, 2021)</w:t>
      </w:r>
      <w:r>
        <w:t>. The pyruvate is transported into the mitochondria under the presence of oxygen and is converted to acetyl-CoA which results in Krebs cycle (tricarboxylic acid cycle). In this process NADH and flavin adenine dinucleotide (FADH 2) is produced which releases electrons to the electron transport chain on the inner mitochondrial membrane.</w:t>
      </w:r>
    </w:p>
    <w:p w14:paraId="0A917780" w14:textId="77777777" w:rsidR="00703F5C" w:rsidRDefault="00703F5C" w:rsidP="00703F5C">
      <w:pPr>
        <w:ind w:firstLine="720"/>
      </w:pPr>
      <w:r>
        <w:t>Oxygen is utilised as the final electron acceptor in electron transport chain. Oxidative phosphorylation helps in the transfer of electrons and the protons pumping that forms electrochemical gradient to power ATP synthase to work. This is the principal producer of cellular ATP thereby facilitating physiological processes including muscle bending, ion acquisition and biosynthesis.</w:t>
      </w:r>
    </w:p>
    <w:p w14:paraId="09A21363" w14:textId="77777777" w:rsidR="00703F5C" w:rsidRDefault="00703F5C" w:rsidP="00703F5C">
      <w:pPr>
        <w:ind w:firstLine="432"/>
      </w:pPr>
      <w:r>
        <w:lastRenderedPageBreak/>
        <w:t>The uptake of glucose in insulin sensitive tissues i.e. skeletal muscle and fatty tissue involves the necessity that the insulin mediated translocation of the GLUT4 transporters to the plasma membrane take place</w:t>
      </w:r>
      <w:r w:rsidR="00A22898">
        <w:t xml:space="preserve"> </w:t>
      </w:r>
      <w:r w:rsidR="00A22898" w:rsidRPr="00A22898">
        <w:t>(Richter, Bilan and Klip, 2025)</w:t>
      </w:r>
      <w:r>
        <w:t xml:space="preserve">. Sound endocrine signalling will therefore determine the availability of substrates to the cell in regard to the generation of ATP. Downregulation of GLUT4 translocation that prevents peripheral uptake of glucose is manifested by type 2 diabetes showing that madame poor insulin signalling decreases GLUT4 translocation. Meanwhile, hepatic insulin resistance promotes excessive gluconeogenesis even during hyperglycaemia. Massive deposits of circulating free fatty acids lead to </w:t>
      </w:r>
      <w:proofErr w:type="spellStart"/>
      <w:r>
        <w:t>lipotoxicity</w:t>
      </w:r>
      <w:proofErr w:type="spellEnd"/>
      <w:r>
        <w:t xml:space="preserve"> that exacerbates the mitochondrial activity and insulin signalling pathways yet further. It is these synergistic metabolic pathologies that remain to be the source of the chronic hyperglycaemia and deficiency in efficient cells consumption of energy.</w:t>
      </w:r>
    </w:p>
    <w:p w14:paraId="29CE850C" w14:textId="77777777" w:rsidR="00703F5C" w:rsidRDefault="00703F5C" w:rsidP="00607926"/>
    <w:p w14:paraId="72D2ED28" w14:textId="77777777" w:rsidR="00703F5C" w:rsidRDefault="00703F5C" w:rsidP="00703F5C">
      <w:pPr>
        <w:pStyle w:val="Heading1"/>
      </w:pPr>
      <w:bookmarkStart w:id="3" w:name="_Toc222401011"/>
      <w:r>
        <w:t>Pathophysiology of Type 2 Diabetes</w:t>
      </w:r>
      <w:bookmarkEnd w:id="3"/>
      <w:r>
        <w:t xml:space="preserve"> </w:t>
      </w:r>
    </w:p>
    <w:p w14:paraId="20E10288" w14:textId="77777777" w:rsidR="00703F5C" w:rsidRDefault="00703F5C" w:rsidP="00703F5C">
      <w:r>
        <w:t xml:space="preserve">Diabetes type 2 is the disease of combined insulin resistance and growing dysfunction of </w:t>
      </w:r>
      <w:r w:rsidR="002C28BB">
        <w:t>β-cells</w:t>
      </w:r>
      <w:r>
        <w:t xml:space="preserve"> pointing to the metabolic and immunological disorders. This case of insulin resistance is common in a scenario where adipose tissue (usually the visceral adipose tissue) acts out rather than passively storing the energy. Insulin receptor signalling is influenced by the presence of the microglial proinflammatory cytokines that are released by hypertrophying adipocytes and invading macrophages tumour necrosis factor- alpha (TNF- a) and interleukin- 6 (IL- 6)</w:t>
      </w:r>
      <w:r w:rsidR="00A22898">
        <w:t xml:space="preserve"> </w:t>
      </w:r>
      <w:r w:rsidR="00A22898" w:rsidRPr="00A22898">
        <w:t>(</w:t>
      </w:r>
      <w:proofErr w:type="spellStart"/>
      <w:r w:rsidR="00A22898" w:rsidRPr="00A22898">
        <w:t>Dhokte</w:t>
      </w:r>
      <w:proofErr w:type="spellEnd"/>
      <w:r w:rsidR="00A22898" w:rsidRPr="00A22898">
        <w:t xml:space="preserve"> and Czaja, 2024)</w:t>
      </w:r>
      <w:r>
        <w:t>. These inhibitors ensure phosphorylation of targets of the insulin receptor, and prevent PI3K-Akt signal to weaken the GLUT4 relocation and peripheral glucose uptake. This contributes to failure in skeletal muscle and fat tissue response to circulating insulin in a satisfactory manner.</w:t>
      </w:r>
    </w:p>
    <w:p w14:paraId="732ADD91" w14:textId="77777777" w:rsidR="00703F5C" w:rsidRDefault="00703F5C" w:rsidP="00703F5C">
      <w:pPr>
        <w:ind w:firstLine="720"/>
      </w:pPr>
      <w:r>
        <w:t xml:space="preserve">Simultaneously, metabolic stress is experienced by pancreatic </w:t>
      </w:r>
      <w:r w:rsidR="002C28BB">
        <w:t>β-cells</w:t>
      </w:r>
      <w:r>
        <w:t xml:space="preserve">. An enduring hyperglycaemia results in glucotoxicity and an excess of circulatory free fatty acids causes </w:t>
      </w:r>
      <w:proofErr w:type="spellStart"/>
      <w:r>
        <w:t>lipotoxicity</w:t>
      </w:r>
      <w:proofErr w:type="spellEnd"/>
      <w:r>
        <w:t xml:space="preserve">. An interplay of all these mechanisms leads to oxidative stress in in the </w:t>
      </w:r>
      <w:r w:rsidR="002C28BB">
        <w:t>β-cells</w:t>
      </w:r>
      <w:r>
        <w:t xml:space="preserve">, down-regulation of the insulin genes and a reduction in the secretory capacity. Although, first compensatory </w:t>
      </w:r>
      <w:proofErr w:type="spellStart"/>
      <w:r>
        <w:t>hyperinsulinaemia</w:t>
      </w:r>
      <w:proofErr w:type="spellEnd"/>
      <w:r>
        <w:t xml:space="preserve"> may successfully have a temporary survival in glycaemic regulation mode, the derivative b-cell fatigue will lead to the relative insulin deficiency.</w:t>
      </w:r>
    </w:p>
    <w:p w14:paraId="4E82EC6D" w14:textId="77777777" w:rsidR="00703F5C" w:rsidRDefault="00703F5C" w:rsidP="00703F5C">
      <w:pPr>
        <w:ind w:firstLine="720"/>
      </w:pPr>
      <w:r>
        <w:t xml:space="preserve">The systemic effect of chronic </w:t>
      </w:r>
      <w:r w:rsidR="0036336B">
        <w:t>hyperglycaemia</w:t>
      </w:r>
      <w:r>
        <w:t xml:space="preserve"> is production of advanced glycation end products (AGEs) and increase in reactive oxygen species. Endothelial cells and basement membranes are destroyed in these processes in microvascular complications such as diabetic retinopathy, nephropathy and peripheral neuropathy</w:t>
      </w:r>
      <w:r w:rsidR="0036336B">
        <w:t xml:space="preserve"> </w:t>
      </w:r>
      <w:r w:rsidR="0036336B" w:rsidRPr="0036336B">
        <w:t>(González et al., 2023)</w:t>
      </w:r>
      <w:r>
        <w:t xml:space="preserve">. Besides the microvascular tissue damage, insulin resistance is closely associated with dyslipidaemia, </w:t>
      </w:r>
      <w:r>
        <w:lastRenderedPageBreak/>
        <w:t>hypertension and central obesity, which show a high level of similarity with metabolic syndrome and considerably increase the risk factors of cardiovascular disease.</w:t>
      </w:r>
    </w:p>
    <w:p w14:paraId="0FB4E90B" w14:textId="77777777" w:rsidR="00703F5C" w:rsidRDefault="00703F5C" w:rsidP="00703F5C">
      <w:pPr>
        <w:ind w:firstLine="432"/>
      </w:pPr>
      <w:r>
        <w:t>It is worth noting that it has a heterogeneous multifactorial disease development. Though a restoration of insulin sensitivity can be achieved by weight loss and early intervention, the modern-day treatment can hardly reverse the scenario when widespread b-cell destruction has occurred and this pinpoints the significance of early diagnosis and persistent homeostasis of metabolism.</w:t>
      </w:r>
    </w:p>
    <w:p w14:paraId="2A5CFD80" w14:textId="77777777" w:rsidR="00703F5C" w:rsidRDefault="00703F5C" w:rsidP="00607926"/>
    <w:p w14:paraId="4C75DB4F" w14:textId="77777777" w:rsidR="00703F5C" w:rsidRDefault="00703F5C" w:rsidP="00703F5C">
      <w:pPr>
        <w:pStyle w:val="Heading1"/>
      </w:pPr>
      <w:bookmarkStart w:id="4" w:name="_Toc222401012"/>
      <w:r>
        <w:t>Importance of Recording and Tracking Blood Glucose</w:t>
      </w:r>
      <w:bookmarkEnd w:id="4"/>
    </w:p>
    <w:p w14:paraId="606B4E4C" w14:textId="77777777" w:rsidR="00703F5C" w:rsidRDefault="00703F5C" w:rsidP="00703F5C">
      <w:r>
        <w:t>Appropriate management of Type 2 diabetes must include a systematic record and description of glycaemic data that aids in keeping body physiologically consistent, and allows a reasonable form of clinical decision-making. Self-monitoring of blood glucose (SMBG) assists a patient to identify the nature of glycaemic pattern in a day to day basis including fasting, post-prandial sojourns, and instance of hypoglycaemia</w:t>
      </w:r>
      <w:r w:rsidR="002C28BB">
        <w:t xml:space="preserve"> </w:t>
      </w:r>
      <w:r w:rsidR="002C28BB" w:rsidRPr="002C28BB">
        <w:t>(Mathew, Tadi and Zubair, 2023)</w:t>
      </w:r>
      <w:r>
        <w:t>. Of particular importance to be known are post-prandial increases that signal the impaired uptake that is performed with the participation of insulin and increased risks to cardiovascular. Conversely, the hypoglycaemia will be revealed in a timely manner, and the alterations to the diet or pharmacology will be made to address the acute problems and improve the patient safety.</w:t>
      </w:r>
    </w:p>
    <w:p w14:paraId="0FA7A955" w14:textId="77777777" w:rsidR="00703F5C" w:rsidRDefault="00703F5C" w:rsidP="00703F5C">
      <w:pPr>
        <w:ind w:firstLine="720"/>
      </w:pPr>
      <w:r>
        <w:t>HbA1c is a longer period of glycaemic control since it is the ratio of haemoglobin which is irreversibly glycated by non-enzymatic binding of glucose in circulation. It is an indicator of the average glucose in the plasma and the recent two or three months because erythrocytes are in circulation, which is approximately 120 days. The HbA1c of 48 mmol/mol (6.5</w:t>
      </w:r>
      <w:r w:rsidR="002C28BB">
        <w:t>%</w:t>
      </w:r>
      <w:r>
        <w:t>) and above can be applied in the diagnosis of diabetes in the UK and continuing to check the target of treatment and take risks.</w:t>
      </w:r>
    </w:p>
    <w:p w14:paraId="2E17CEB0" w14:textId="77777777" w:rsidR="00703F5C" w:rsidRPr="00703F5C" w:rsidRDefault="00703F5C" w:rsidP="00703F5C">
      <w:pPr>
        <w:ind w:firstLine="432"/>
      </w:pPr>
      <w:r>
        <w:t>The information derived based on such findings can maintain an evaluation of the dose of medication, transition to insulin-approach, and the organi</w:t>
      </w:r>
      <w:r w:rsidR="002C28BB">
        <w:t>s</w:t>
      </w:r>
      <w:r>
        <w:t xml:space="preserve">ed lifestyle modifications in the general practice. However it needs critical interpretation. HbA1c does not secure the short-term swings in the </w:t>
      </w:r>
      <w:proofErr w:type="spellStart"/>
      <w:r>
        <w:t>glucaemia</w:t>
      </w:r>
      <w:proofErr w:type="spellEnd"/>
      <w:r>
        <w:t xml:space="preserve"> and might be influenced by anaemia or haemoglobinopathy</w:t>
      </w:r>
      <w:r w:rsidR="002C28BB">
        <w:t xml:space="preserve"> </w:t>
      </w:r>
      <w:r w:rsidR="002C28BB" w:rsidRPr="002C28BB">
        <w:t>(</w:t>
      </w:r>
      <w:proofErr w:type="spellStart"/>
      <w:r w:rsidR="002C28BB" w:rsidRPr="002C28BB">
        <w:t>Bwititi</w:t>
      </w:r>
      <w:proofErr w:type="spellEnd"/>
      <w:r w:rsidR="002C28BB" w:rsidRPr="002C28BB">
        <w:t xml:space="preserve"> et al., 2023)</w:t>
      </w:r>
      <w:r>
        <w:t>. Similarly, the precision of SMBG is also related to the fact that it relies on patient compliance and adequate methodology. The awareness of these limits will be effective in making sure that glycaemic monitoring is a part of the personalised care planning rather than a separate measure.</w:t>
      </w:r>
    </w:p>
    <w:p w14:paraId="6261013D" w14:textId="77777777" w:rsidR="00703F5C" w:rsidRDefault="00703F5C" w:rsidP="00607926"/>
    <w:p w14:paraId="3E79700E" w14:textId="77777777" w:rsidR="00703F5C" w:rsidRDefault="00703F5C" w:rsidP="00703F5C">
      <w:pPr>
        <w:pStyle w:val="Heading1"/>
      </w:pPr>
      <w:bookmarkStart w:id="5" w:name="_Toc222401013"/>
      <w:r>
        <w:lastRenderedPageBreak/>
        <w:t>Evidence-Based Lifestyle Interventions</w:t>
      </w:r>
      <w:bookmarkEnd w:id="5"/>
    </w:p>
    <w:p w14:paraId="53CC9C55" w14:textId="77777777" w:rsidR="00703F5C" w:rsidRDefault="00703F5C" w:rsidP="00703F5C">
      <w:r>
        <w:t xml:space="preserve">Exercising is also one of the key elements of Type 2 diabetes therapy, and there is sufficient evidence that it can make insulin-sensitive and delay the disease development. The dietary intervention should be made up of carbohydrates with low glycaemic index (GI), as it rapidly increases post-prandial glucose incretin, and hydrates pancreatic </w:t>
      </w:r>
      <w:r w:rsidR="002C28BB">
        <w:t>β-cells</w:t>
      </w:r>
      <w:r>
        <w:t xml:space="preserve"> of the stress</w:t>
      </w:r>
      <w:r w:rsidR="002C28BB">
        <w:t xml:space="preserve"> </w:t>
      </w:r>
      <w:r w:rsidR="002C28BB" w:rsidRPr="002C28BB">
        <w:t>(</w:t>
      </w:r>
      <w:proofErr w:type="spellStart"/>
      <w:r w:rsidR="002C28BB" w:rsidRPr="002C28BB">
        <w:t>Lewgood</w:t>
      </w:r>
      <w:proofErr w:type="spellEnd"/>
      <w:r w:rsidR="002C28BB" w:rsidRPr="002C28BB">
        <w:t xml:space="preserve"> et al., 2021)</w:t>
      </w:r>
      <w:r>
        <w:t>. Consumption of more diet fibre also inhibits absorption of glucose and enhances satiety that allows one to manage weight. High cohort research considers the benefit of adopting a Mediterranean diet with its high volume of whole grains, legumes, unsaturated fats, and vegetables, and has been associated with a higher degree of glycaemic control and a reduction in cardiovascular risk.</w:t>
      </w:r>
    </w:p>
    <w:p w14:paraId="6B963B26" w14:textId="77777777" w:rsidR="00703F5C" w:rsidRDefault="00703F5C" w:rsidP="00703F5C">
      <w:pPr>
        <w:ind w:firstLine="720"/>
      </w:pPr>
      <w:r>
        <w:t xml:space="preserve">Both endocrine and molecular pathways enhance insulin sensitivity with the involvement of exercise. </w:t>
      </w:r>
      <w:r w:rsidR="002C28BB">
        <w:t>I</w:t>
      </w:r>
      <w:r>
        <w:t>nsulin resistance, the activity of skeletal muscle to take up glucose by contraction induced GLUT4 translocation in the absence of insulin signalling that decreases the glucose level in the blood</w:t>
      </w:r>
      <w:r w:rsidR="002C28BB">
        <w:t xml:space="preserve"> </w:t>
      </w:r>
      <w:r w:rsidR="002C28BB" w:rsidRPr="002C28BB">
        <w:t>(Flores-</w:t>
      </w:r>
      <w:proofErr w:type="spellStart"/>
      <w:r w:rsidR="002C28BB" w:rsidRPr="002C28BB">
        <w:t>Opazo</w:t>
      </w:r>
      <w:proofErr w:type="spellEnd"/>
      <w:r w:rsidR="002C28BB" w:rsidRPr="002C28BB">
        <w:t>, McGee and Hargreaves, 2020)</w:t>
      </w:r>
      <w:r>
        <w:t xml:space="preserve">. Exercise has been noted to improve the HbA1c levels and </w:t>
      </w:r>
      <w:proofErr w:type="spellStart"/>
      <w:r>
        <w:t>Vissual</w:t>
      </w:r>
      <w:proofErr w:type="spellEnd"/>
      <w:r>
        <w:t xml:space="preserve"> adiposity in aerobic plus resistance trainings.</w:t>
      </w:r>
    </w:p>
    <w:p w14:paraId="7D680B93" w14:textId="77777777" w:rsidR="00703F5C" w:rsidRDefault="00703F5C" w:rsidP="00703F5C">
      <w:pPr>
        <w:ind w:firstLine="720"/>
      </w:pPr>
      <w:r>
        <w:t>Particularly, weight loss has been successful and causes inflammatory cytokine release and insulin receptor signalling have been detrimental because of overabundance of visceral fat. This intermediate level of weight loss effects linked to the interventions at early stages have been capable of reversing the insulin resistance and in certain cases, curing hyperglycaemia. However, sustainability is relative, and it requires an organized support.</w:t>
      </w:r>
    </w:p>
    <w:p w14:paraId="1B910077" w14:textId="77777777" w:rsidR="00703F5C" w:rsidRPr="00703F5C" w:rsidRDefault="00703F5C" w:rsidP="00703F5C">
      <w:pPr>
        <w:ind w:firstLine="432"/>
      </w:pPr>
      <w:r>
        <w:t>Quitting smoking is also most significant as being exposed to tobacco causes endothelial dysfunction and increase cardiovascular risk among a vulnerable population</w:t>
      </w:r>
      <w:r w:rsidR="00AF7380">
        <w:t xml:space="preserve"> </w:t>
      </w:r>
      <w:r w:rsidR="00AF7380" w:rsidRPr="00AF7380">
        <w:t>(Hahad et al., 2021)</w:t>
      </w:r>
      <w:r>
        <w:t>. The behavioural interventions that can be used to increase adherence include primary care-based structured education programme, digital glucose monitoring, and motivational interviewing. The physiological explanation combined with the individualised goal-setting is going to make patients understand the direct impact of the behavioural change on the molecular pathways involved in hyperglycaemia.</w:t>
      </w:r>
    </w:p>
    <w:p w14:paraId="24CB84A9" w14:textId="77777777" w:rsidR="00703F5C" w:rsidRPr="00752C57" w:rsidRDefault="00703F5C" w:rsidP="00607926"/>
    <w:p w14:paraId="2EAD2069" w14:textId="77777777" w:rsidR="00607926" w:rsidRDefault="0082293E" w:rsidP="00607926">
      <w:pPr>
        <w:pStyle w:val="Heading1"/>
      </w:pPr>
      <w:bookmarkStart w:id="6" w:name="_Toc222401014"/>
      <w:r w:rsidRPr="00752C57">
        <w:t>CONCLUSION</w:t>
      </w:r>
      <w:bookmarkEnd w:id="6"/>
    </w:p>
    <w:p w14:paraId="42C12DE4" w14:textId="77777777" w:rsidR="00703F5C" w:rsidRPr="00703F5C" w:rsidRDefault="00703F5C" w:rsidP="00703F5C">
      <w:r w:rsidRPr="00703F5C">
        <w:t xml:space="preserve">Diabetes type II is a multifactorial interdependence of an endocrine, maladaptive cellular metabolism and lifestyle factors that are subject to change. Multisystem complications as well as chronic hyperglycaemia is caused by insulin resistance and dysfunction of progressive b- cells, both of which causes a homeostatic perturbation in glucose including both at the molecular and systemic level. This implies that knowledge about physiology must be linked to </w:t>
      </w:r>
      <w:r w:rsidRPr="00703F5C">
        <w:lastRenderedPageBreak/>
        <w:t>heuristic overall monitoring procedures and behaviour change strategy that is long term as well to guarantee proper management. The recording of glycaemic data makes it easy to make changes to therapeutic interventions, and to engage the patient in the self-management process, which encourages the autonomy of primary care. However, most importantly, active early detection, and proactive lifestyle change are capable of postponing metabolic degeneration and vascular risk in the long term. Additional opportunities leading in the direction of the optimisation of individualised diabetes care are introduced by new innovations in the personalised medicine like individualised pharmacotherapy and continuous glucose technologies.</w:t>
      </w:r>
    </w:p>
    <w:p w14:paraId="080A6431" w14:textId="77777777" w:rsidR="000824D7" w:rsidRPr="00752C57" w:rsidRDefault="000824D7" w:rsidP="004A42D9"/>
    <w:p w14:paraId="11B24F8B" w14:textId="77777777" w:rsidR="0074789A" w:rsidRDefault="00E61475" w:rsidP="00073CCE">
      <w:pPr>
        <w:pStyle w:val="Heading1"/>
        <w:ind w:left="0" w:firstLine="0"/>
      </w:pPr>
      <w:r w:rsidRPr="00752C57">
        <w:br w:type="page"/>
      </w:r>
      <w:bookmarkStart w:id="7" w:name="_Toc222401015"/>
      <w:r w:rsidR="0082293E" w:rsidRPr="00752C57">
        <w:lastRenderedPageBreak/>
        <w:t>REFERENCES</w:t>
      </w:r>
      <w:bookmarkEnd w:id="7"/>
    </w:p>
    <w:p w14:paraId="00A253A1" w14:textId="77777777" w:rsidR="006A6EF1" w:rsidRPr="006A6EF1" w:rsidRDefault="006A6EF1" w:rsidP="006A6EF1">
      <w:pPr>
        <w:numPr>
          <w:ilvl w:val="0"/>
          <w:numId w:val="1"/>
        </w:numPr>
        <w:suppressAutoHyphens w:val="0"/>
        <w:spacing w:after="240" w:line="240" w:lineRule="auto"/>
        <w:rPr>
          <w:rFonts w:eastAsia="Times New Roman"/>
          <w:color w:val="auto"/>
          <w:szCs w:val="24"/>
          <w:lang w:eastAsia="en-GB"/>
        </w:rPr>
      </w:pPr>
      <w:r w:rsidRPr="006A6EF1">
        <w:rPr>
          <w:rFonts w:eastAsia="Times New Roman"/>
          <w:color w:val="auto"/>
          <w:szCs w:val="24"/>
          <w:lang w:eastAsia="en-GB"/>
        </w:rPr>
        <w:t xml:space="preserve">Bhatti, J.S., </w:t>
      </w:r>
      <w:proofErr w:type="spellStart"/>
      <w:r w:rsidRPr="006A6EF1">
        <w:rPr>
          <w:rFonts w:eastAsia="Times New Roman"/>
          <w:color w:val="auto"/>
          <w:szCs w:val="24"/>
          <w:lang w:eastAsia="en-GB"/>
        </w:rPr>
        <w:t>Sehrawat</w:t>
      </w:r>
      <w:proofErr w:type="spellEnd"/>
      <w:r w:rsidRPr="006A6EF1">
        <w:rPr>
          <w:rFonts w:eastAsia="Times New Roman"/>
          <w:color w:val="auto"/>
          <w:szCs w:val="24"/>
          <w:lang w:eastAsia="en-GB"/>
        </w:rPr>
        <w:t xml:space="preserve">, A., Mishra, J., Sidhu, I.S., Navik, U., Khullar, N., Kumar, S., Bhatti, G.K. and Reddy, P.H. (2022). Oxidative stress in the pathophysiology of type 2 diabetes and related complications: Current therapeutics strategies and future perspectives. </w:t>
      </w:r>
      <w:r w:rsidRPr="006A6EF1">
        <w:rPr>
          <w:rFonts w:eastAsia="Times New Roman"/>
          <w:i/>
          <w:iCs/>
          <w:color w:val="auto"/>
          <w:szCs w:val="24"/>
          <w:lang w:eastAsia="en-GB"/>
        </w:rPr>
        <w:t>Free Radical Biology and Medicine</w:t>
      </w:r>
      <w:r w:rsidRPr="006A6EF1">
        <w:rPr>
          <w:rFonts w:eastAsia="Times New Roman"/>
          <w:color w:val="auto"/>
          <w:szCs w:val="24"/>
          <w:lang w:eastAsia="en-GB"/>
        </w:rPr>
        <w:t xml:space="preserve">, [online] 184(0891-5849), pp.114–134. </w:t>
      </w:r>
      <w:proofErr w:type="spellStart"/>
      <w:r w:rsidRPr="006A6EF1">
        <w:rPr>
          <w:rFonts w:eastAsia="Times New Roman"/>
          <w:color w:val="auto"/>
          <w:szCs w:val="24"/>
          <w:lang w:eastAsia="en-GB"/>
        </w:rPr>
        <w:t>doi</w:t>
      </w:r>
      <w:proofErr w:type="spellEnd"/>
      <w:r w:rsidRPr="006A6EF1">
        <w:rPr>
          <w:rFonts w:eastAsia="Times New Roman"/>
          <w:color w:val="auto"/>
          <w:szCs w:val="24"/>
          <w:lang w:eastAsia="en-GB"/>
        </w:rPr>
        <w:t>:</w:t>
      </w:r>
      <w:r w:rsidR="00600772">
        <w:rPr>
          <w:rFonts w:eastAsia="Times New Roman"/>
          <w:color w:val="auto"/>
          <w:szCs w:val="24"/>
          <w:lang w:eastAsia="en-GB"/>
        </w:rPr>
        <w:t xml:space="preserve"> </w:t>
      </w:r>
      <w:hyperlink r:id="rId11" w:history="1">
        <w:r w:rsidR="00600772" w:rsidRPr="00AB5223">
          <w:rPr>
            <w:rStyle w:val="Hyperlink"/>
            <w:rFonts w:eastAsia="Times New Roman"/>
            <w:szCs w:val="24"/>
            <w:lang w:val="en-GB" w:eastAsia="en-GB" w:bidi="ar-SA"/>
          </w:rPr>
          <w:t>https://doi.org/10.1016/j.freeradbiomed.2022.03.019</w:t>
        </w:r>
      </w:hyperlink>
      <w:r w:rsidRPr="006A6EF1">
        <w:rPr>
          <w:rFonts w:eastAsia="Times New Roman"/>
          <w:color w:val="auto"/>
          <w:szCs w:val="24"/>
          <w:lang w:eastAsia="en-GB"/>
        </w:rPr>
        <w:t>.</w:t>
      </w:r>
      <w:r w:rsidR="00600772">
        <w:rPr>
          <w:rFonts w:eastAsia="Times New Roman"/>
          <w:color w:val="auto"/>
          <w:szCs w:val="24"/>
          <w:lang w:eastAsia="en-GB"/>
        </w:rPr>
        <w:t xml:space="preserve"> </w:t>
      </w:r>
    </w:p>
    <w:p w14:paraId="6E6EE994" w14:textId="77777777" w:rsidR="006A6EF1" w:rsidRPr="006A6EF1" w:rsidRDefault="006A6EF1" w:rsidP="006A6EF1">
      <w:pPr>
        <w:numPr>
          <w:ilvl w:val="0"/>
          <w:numId w:val="1"/>
        </w:numPr>
        <w:suppressAutoHyphens w:val="0"/>
        <w:spacing w:after="240" w:line="240" w:lineRule="auto"/>
        <w:rPr>
          <w:rFonts w:eastAsia="Times New Roman"/>
          <w:color w:val="auto"/>
          <w:szCs w:val="24"/>
          <w:lang w:eastAsia="en-GB"/>
        </w:rPr>
      </w:pPr>
      <w:proofErr w:type="spellStart"/>
      <w:r w:rsidRPr="006A6EF1">
        <w:rPr>
          <w:rFonts w:eastAsia="Times New Roman"/>
          <w:color w:val="auto"/>
          <w:szCs w:val="24"/>
          <w:lang w:eastAsia="en-GB"/>
        </w:rPr>
        <w:t>Bwititi</w:t>
      </w:r>
      <w:proofErr w:type="spellEnd"/>
      <w:r w:rsidRPr="006A6EF1">
        <w:rPr>
          <w:rFonts w:eastAsia="Times New Roman"/>
          <w:color w:val="auto"/>
          <w:szCs w:val="24"/>
          <w:lang w:eastAsia="en-GB"/>
        </w:rPr>
        <w:t xml:space="preserve">, P., Wang, L., Butkowski, E. and </w:t>
      </w:r>
      <w:proofErr w:type="spellStart"/>
      <w:r w:rsidRPr="006A6EF1">
        <w:rPr>
          <w:rFonts w:eastAsia="Times New Roman"/>
          <w:color w:val="auto"/>
          <w:szCs w:val="24"/>
          <w:lang w:eastAsia="en-GB"/>
        </w:rPr>
        <w:t>Nwose</w:t>
      </w:r>
      <w:proofErr w:type="spellEnd"/>
      <w:r w:rsidRPr="006A6EF1">
        <w:rPr>
          <w:rFonts w:eastAsia="Times New Roman"/>
          <w:color w:val="auto"/>
          <w:szCs w:val="24"/>
          <w:lang w:eastAsia="en-GB"/>
        </w:rPr>
        <w:t xml:space="preserve">, E.U. (2023). Impact of Anaemia on HbA1c Interpretation Among </w:t>
      </w:r>
      <w:proofErr w:type="spellStart"/>
      <w:r w:rsidRPr="006A6EF1">
        <w:rPr>
          <w:rFonts w:eastAsia="Times New Roman"/>
          <w:color w:val="auto"/>
          <w:szCs w:val="24"/>
          <w:lang w:eastAsia="en-GB"/>
        </w:rPr>
        <w:t>Normogylcaemic</w:t>
      </w:r>
      <w:proofErr w:type="spellEnd"/>
      <w:r w:rsidRPr="006A6EF1">
        <w:rPr>
          <w:rFonts w:eastAsia="Times New Roman"/>
          <w:color w:val="auto"/>
          <w:szCs w:val="24"/>
          <w:lang w:eastAsia="en-GB"/>
        </w:rPr>
        <w:t xml:space="preserve"> Individuals With Diabetes Mellitus: A Clinical Laboratory Observational Study. </w:t>
      </w:r>
      <w:r w:rsidRPr="006A6EF1">
        <w:rPr>
          <w:rFonts w:eastAsia="Times New Roman"/>
          <w:i/>
          <w:iCs/>
          <w:color w:val="auto"/>
          <w:szCs w:val="24"/>
          <w:lang w:eastAsia="en-GB"/>
        </w:rPr>
        <w:t>Cureus</w:t>
      </w:r>
      <w:r w:rsidRPr="006A6EF1">
        <w:rPr>
          <w:rFonts w:eastAsia="Times New Roman"/>
          <w:color w:val="auto"/>
          <w:szCs w:val="24"/>
          <w:lang w:eastAsia="en-GB"/>
        </w:rPr>
        <w:t xml:space="preserve">, [online] 15(12), p.e49901. </w:t>
      </w:r>
      <w:proofErr w:type="spellStart"/>
      <w:r w:rsidRPr="006A6EF1">
        <w:rPr>
          <w:rFonts w:eastAsia="Times New Roman"/>
          <w:color w:val="auto"/>
          <w:szCs w:val="24"/>
          <w:lang w:eastAsia="en-GB"/>
        </w:rPr>
        <w:t>doi</w:t>
      </w:r>
      <w:proofErr w:type="spellEnd"/>
      <w:r w:rsidRPr="006A6EF1">
        <w:rPr>
          <w:rFonts w:eastAsia="Times New Roman"/>
          <w:color w:val="auto"/>
          <w:szCs w:val="24"/>
          <w:lang w:eastAsia="en-GB"/>
        </w:rPr>
        <w:t>:</w:t>
      </w:r>
      <w:r w:rsidR="00600772">
        <w:rPr>
          <w:rFonts w:eastAsia="Times New Roman"/>
          <w:color w:val="auto"/>
          <w:szCs w:val="24"/>
          <w:lang w:eastAsia="en-GB"/>
        </w:rPr>
        <w:t xml:space="preserve"> </w:t>
      </w:r>
      <w:hyperlink r:id="rId12" w:history="1">
        <w:r w:rsidR="00600772" w:rsidRPr="00AB5223">
          <w:rPr>
            <w:rStyle w:val="Hyperlink"/>
            <w:rFonts w:eastAsia="Times New Roman"/>
            <w:szCs w:val="24"/>
            <w:lang w:val="en-GB" w:eastAsia="en-GB" w:bidi="ar-SA"/>
          </w:rPr>
          <w:t>https://doi.org/10.7759/cureus.49901</w:t>
        </w:r>
      </w:hyperlink>
      <w:r w:rsidRPr="006A6EF1">
        <w:rPr>
          <w:rFonts w:eastAsia="Times New Roman"/>
          <w:color w:val="auto"/>
          <w:szCs w:val="24"/>
          <w:lang w:eastAsia="en-GB"/>
        </w:rPr>
        <w:t>.</w:t>
      </w:r>
      <w:r w:rsidR="00600772">
        <w:rPr>
          <w:rFonts w:eastAsia="Times New Roman"/>
          <w:color w:val="auto"/>
          <w:szCs w:val="24"/>
          <w:lang w:eastAsia="en-GB"/>
        </w:rPr>
        <w:t xml:space="preserve"> </w:t>
      </w:r>
    </w:p>
    <w:p w14:paraId="3003C569" w14:textId="77777777" w:rsidR="006A6EF1" w:rsidRPr="006A6EF1" w:rsidRDefault="006A6EF1" w:rsidP="006A6EF1">
      <w:pPr>
        <w:numPr>
          <w:ilvl w:val="0"/>
          <w:numId w:val="1"/>
        </w:numPr>
        <w:suppressAutoHyphens w:val="0"/>
        <w:spacing w:after="240" w:line="240" w:lineRule="auto"/>
        <w:rPr>
          <w:rFonts w:eastAsia="Times New Roman"/>
          <w:color w:val="auto"/>
          <w:szCs w:val="24"/>
          <w:lang w:eastAsia="en-GB"/>
        </w:rPr>
      </w:pPr>
      <w:proofErr w:type="spellStart"/>
      <w:r w:rsidRPr="006A6EF1">
        <w:rPr>
          <w:rFonts w:eastAsia="Times New Roman"/>
          <w:color w:val="auto"/>
          <w:szCs w:val="24"/>
          <w:lang w:eastAsia="en-GB"/>
        </w:rPr>
        <w:t>Dhokte</w:t>
      </w:r>
      <w:proofErr w:type="spellEnd"/>
      <w:r w:rsidRPr="006A6EF1">
        <w:rPr>
          <w:rFonts w:eastAsia="Times New Roman"/>
          <w:color w:val="auto"/>
          <w:szCs w:val="24"/>
          <w:lang w:eastAsia="en-GB"/>
        </w:rPr>
        <w:t xml:space="preserve">, S. and Czaja, K. (2024). Visceral Adipose Tissue: The Hidden Culprit for Type 2 Diabetes. </w:t>
      </w:r>
      <w:r w:rsidRPr="006A6EF1">
        <w:rPr>
          <w:rFonts w:eastAsia="Times New Roman"/>
          <w:i/>
          <w:iCs/>
          <w:color w:val="auto"/>
          <w:szCs w:val="24"/>
          <w:lang w:eastAsia="en-GB"/>
        </w:rPr>
        <w:t>Nutrients</w:t>
      </w:r>
      <w:r w:rsidRPr="006A6EF1">
        <w:rPr>
          <w:rFonts w:eastAsia="Times New Roman"/>
          <w:color w:val="auto"/>
          <w:szCs w:val="24"/>
          <w:lang w:eastAsia="en-GB"/>
        </w:rPr>
        <w:t xml:space="preserve">, 16(7), pp.1015–1015. </w:t>
      </w:r>
      <w:proofErr w:type="spellStart"/>
      <w:r w:rsidRPr="006A6EF1">
        <w:rPr>
          <w:rFonts w:eastAsia="Times New Roman"/>
          <w:color w:val="auto"/>
          <w:szCs w:val="24"/>
          <w:lang w:eastAsia="en-GB"/>
        </w:rPr>
        <w:t>doi</w:t>
      </w:r>
      <w:proofErr w:type="spellEnd"/>
      <w:r w:rsidRPr="006A6EF1">
        <w:rPr>
          <w:rFonts w:eastAsia="Times New Roman"/>
          <w:color w:val="auto"/>
          <w:szCs w:val="24"/>
          <w:lang w:eastAsia="en-GB"/>
        </w:rPr>
        <w:t>:</w:t>
      </w:r>
      <w:r w:rsidR="00600772">
        <w:rPr>
          <w:rFonts w:eastAsia="Times New Roman"/>
          <w:color w:val="auto"/>
          <w:szCs w:val="24"/>
          <w:lang w:eastAsia="en-GB"/>
        </w:rPr>
        <w:t xml:space="preserve"> </w:t>
      </w:r>
      <w:hyperlink r:id="rId13" w:history="1">
        <w:r w:rsidR="00600772" w:rsidRPr="00AB5223">
          <w:rPr>
            <w:rStyle w:val="Hyperlink"/>
            <w:rFonts w:eastAsia="Times New Roman"/>
            <w:szCs w:val="24"/>
            <w:lang w:val="en-GB" w:eastAsia="en-GB" w:bidi="ar-SA"/>
          </w:rPr>
          <w:t>https://doi.org/10.3390/nu16071015</w:t>
        </w:r>
      </w:hyperlink>
      <w:r w:rsidRPr="006A6EF1">
        <w:rPr>
          <w:rFonts w:eastAsia="Times New Roman"/>
          <w:color w:val="auto"/>
          <w:szCs w:val="24"/>
          <w:lang w:eastAsia="en-GB"/>
        </w:rPr>
        <w:t>.</w:t>
      </w:r>
      <w:r w:rsidR="00600772">
        <w:rPr>
          <w:rFonts w:eastAsia="Times New Roman"/>
          <w:color w:val="auto"/>
          <w:szCs w:val="24"/>
          <w:lang w:eastAsia="en-GB"/>
        </w:rPr>
        <w:t xml:space="preserve"> </w:t>
      </w:r>
    </w:p>
    <w:p w14:paraId="1BB908B7" w14:textId="77777777" w:rsidR="006A6EF1" w:rsidRPr="006A6EF1" w:rsidRDefault="006A6EF1" w:rsidP="006A6EF1">
      <w:pPr>
        <w:numPr>
          <w:ilvl w:val="0"/>
          <w:numId w:val="1"/>
        </w:numPr>
        <w:suppressAutoHyphens w:val="0"/>
        <w:spacing w:after="240" w:line="240" w:lineRule="auto"/>
        <w:rPr>
          <w:rFonts w:eastAsia="Times New Roman"/>
          <w:color w:val="auto"/>
          <w:szCs w:val="24"/>
          <w:lang w:eastAsia="en-GB"/>
        </w:rPr>
      </w:pPr>
      <w:r w:rsidRPr="006A6EF1">
        <w:rPr>
          <w:rFonts w:eastAsia="Times New Roman"/>
          <w:color w:val="auto"/>
          <w:szCs w:val="24"/>
          <w:lang w:eastAsia="en-GB"/>
        </w:rPr>
        <w:t>Flores-</w:t>
      </w:r>
      <w:proofErr w:type="spellStart"/>
      <w:r w:rsidRPr="006A6EF1">
        <w:rPr>
          <w:rFonts w:eastAsia="Times New Roman"/>
          <w:color w:val="auto"/>
          <w:szCs w:val="24"/>
          <w:lang w:eastAsia="en-GB"/>
        </w:rPr>
        <w:t>Opazo</w:t>
      </w:r>
      <w:proofErr w:type="spellEnd"/>
      <w:r w:rsidRPr="006A6EF1">
        <w:rPr>
          <w:rFonts w:eastAsia="Times New Roman"/>
          <w:color w:val="auto"/>
          <w:szCs w:val="24"/>
          <w:lang w:eastAsia="en-GB"/>
        </w:rPr>
        <w:t xml:space="preserve">, M., McGee, S.L. and Hargreaves, M. (2020). Exercise and GLUT4. </w:t>
      </w:r>
      <w:r w:rsidRPr="006A6EF1">
        <w:rPr>
          <w:rFonts w:eastAsia="Times New Roman"/>
          <w:i/>
          <w:iCs/>
          <w:color w:val="auto"/>
          <w:szCs w:val="24"/>
          <w:lang w:eastAsia="en-GB"/>
        </w:rPr>
        <w:t>Exercise and Sport Sciences Reviews</w:t>
      </w:r>
      <w:r w:rsidRPr="006A6EF1">
        <w:rPr>
          <w:rFonts w:eastAsia="Times New Roman"/>
          <w:color w:val="auto"/>
          <w:szCs w:val="24"/>
          <w:lang w:eastAsia="en-GB"/>
        </w:rPr>
        <w:t xml:space="preserve">, 48(3), pp.110–118. </w:t>
      </w:r>
      <w:proofErr w:type="spellStart"/>
      <w:r w:rsidRPr="006A6EF1">
        <w:rPr>
          <w:rFonts w:eastAsia="Times New Roman"/>
          <w:color w:val="auto"/>
          <w:szCs w:val="24"/>
          <w:lang w:eastAsia="en-GB"/>
        </w:rPr>
        <w:t>doi</w:t>
      </w:r>
      <w:proofErr w:type="spellEnd"/>
      <w:r w:rsidRPr="006A6EF1">
        <w:rPr>
          <w:rFonts w:eastAsia="Times New Roman"/>
          <w:color w:val="auto"/>
          <w:szCs w:val="24"/>
          <w:lang w:eastAsia="en-GB"/>
        </w:rPr>
        <w:t>:</w:t>
      </w:r>
      <w:r w:rsidR="00600772">
        <w:rPr>
          <w:rFonts w:eastAsia="Times New Roman"/>
          <w:color w:val="auto"/>
          <w:szCs w:val="24"/>
          <w:lang w:eastAsia="en-GB"/>
        </w:rPr>
        <w:t xml:space="preserve"> </w:t>
      </w:r>
      <w:hyperlink r:id="rId14" w:history="1">
        <w:r w:rsidR="00600772" w:rsidRPr="00AB5223">
          <w:rPr>
            <w:rStyle w:val="Hyperlink"/>
            <w:rFonts w:eastAsia="Times New Roman"/>
            <w:szCs w:val="24"/>
            <w:lang w:val="en-GB" w:eastAsia="en-GB" w:bidi="ar-SA"/>
          </w:rPr>
          <w:t>https://doi.org/10.1249/jes.0000000000000224</w:t>
        </w:r>
      </w:hyperlink>
      <w:r w:rsidRPr="006A6EF1">
        <w:rPr>
          <w:rFonts w:eastAsia="Times New Roman"/>
          <w:color w:val="auto"/>
          <w:szCs w:val="24"/>
          <w:lang w:eastAsia="en-GB"/>
        </w:rPr>
        <w:t>.</w:t>
      </w:r>
      <w:r w:rsidR="00600772">
        <w:rPr>
          <w:rFonts w:eastAsia="Times New Roman"/>
          <w:color w:val="auto"/>
          <w:szCs w:val="24"/>
          <w:lang w:eastAsia="en-GB"/>
        </w:rPr>
        <w:t xml:space="preserve"> </w:t>
      </w:r>
    </w:p>
    <w:p w14:paraId="24901778" w14:textId="77777777" w:rsidR="006A6EF1" w:rsidRPr="006A6EF1" w:rsidRDefault="006A6EF1" w:rsidP="006A6EF1">
      <w:pPr>
        <w:numPr>
          <w:ilvl w:val="0"/>
          <w:numId w:val="1"/>
        </w:numPr>
        <w:suppressAutoHyphens w:val="0"/>
        <w:spacing w:after="240" w:line="240" w:lineRule="auto"/>
        <w:rPr>
          <w:rFonts w:eastAsia="Times New Roman"/>
          <w:color w:val="auto"/>
          <w:szCs w:val="24"/>
          <w:lang w:eastAsia="en-GB"/>
        </w:rPr>
      </w:pPr>
      <w:r w:rsidRPr="006A6EF1">
        <w:rPr>
          <w:rFonts w:eastAsia="Times New Roman"/>
          <w:color w:val="auto"/>
          <w:szCs w:val="24"/>
          <w:lang w:eastAsia="en-GB"/>
        </w:rPr>
        <w:t xml:space="preserve">Gerwen, J., Shun-Shion, A.S. and Fazakerley, D.J. (2023). Insulin Signalling and GLUT4 Trafficking in Insulin Resistance. </w:t>
      </w:r>
      <w:r w:rsidRPr="006A6EF1">
        <w:rPr>
          <w:rFonts w:eastAsia="Times New Roman"/>
          <w:i/>
          <w:iCs/>
          <w:color w:val="auto"/>
          <w:szCs w:val="24"/>
          <w:lang w:eastAsia="en-GB"/>
        </w:rPr>
        <w:t>Biochemical Society Transactions</w:t>
      </w:r>
      <w:r w:rsidRPr="006A6EF1">
        <w:rPr>
          <w:rFonts w:eastAsia="Times New Roman"/>
          <w:color w:val="auto"/>
          <w:szCs w:val="24"/>
          <w:lang w:eastAsia="en-GB"/>
        </w:rPr>
        <w:t xml:space="preserve">, [online] 51(3), pp.1057–1069. </w:t>
      </w:r>
      <w:proofErr w:type="spellStart"/>
      <w:r w:rsidRPr="006A6EF1">
        <w:rPr>
          <w:rFonts w:eastAsia="Times New Roman"/>
          <w:color w:val="auto"/>
          <w:szCs w:val="24"/>
          <w:lang w:eastAsia="en-GB"/>
        </w:rPr>
        <w:t>doi</w:t>
      </w:r>
      <w:proofErr w:type="spellEnd"/>
      <w:r w:rsidRPr="006A6EF1">
        <w:rPr>
          <w:rFonts w:eastAsia="Times New Roman"/>
          <w:color w:val="auto"/>
          <w:szCs w:val="24"/>
          <w:lang w:eastAsia="en-GB"/>
        </w:rPr>
        <w:t>:</w:t>
      </w:r>
      <w:r w:rsidR="00600772">
        <w:rPr>
          <w:rFonts w:eastAsia="Times New Roman"/>
          <w:color w:val="auto"/>
          <w:szCs w:val="24"/>
          <w:lang w:eastAsia="en-GB"/>
        </w:rPr>
        <w:t xml:space="preserve"> </w:t>
      </w:r>
      <w:hyperlink r:id="rId15" w:history="1">
        <w:r w:rsidR="00600772" w:rsidRPr="00AB5223">
          <w:rPr>
            <w:rStyle w:val="Hyperlink"/>
            <w:rFonts w:eastAsia="Times New Roman"/>
            <w:szCs w:val="24"/>
            <w:lang w:val="en-GB" w:eastAsia="en-GB" w:bidi="ar-SA"/>
          </w:rPr>
          <w:t>https://doi.org/10.1042/bst20221066</w:t>
        </w:r>
      </w:hyperlink>
      <w:r w:rsidRPr="006A6EF1">
        <w:rPr>
          <w:rFonts w:eastAsia="Times New Roman"/>
          <w:color w:val="auto"/>
          <w:szCs w:val="24"/>
          <w:lang w:eastAsia="en-GB"/>
        </w:rPr>
        <w:t>.</w:t>
      </w:r>
      <w:r w:rsidR="00600772">
        <w:rPr>
          <w:rFonts w:eastAsia="Times New Roman"/>
          <w:color w:val="auto"/>
          <w:szCs w:val="24"/>
          <w:lang w:eastAsia="en-GB"/>
        </w:rPr>
        <w:t xml:space="preserve"> </w:t>
      </w:r>
    </w:p>
    <w:p w14:paraId="46E118E8" w14:textId="77777777" w:rsidR="006A6EF1" w:rsidRPr="006A6EF1" w:rsidRDefault="006A6EF1" w:rsidP="006A6EF1">
      <w:pPr>
        <w:numPr>
          <w:ilvl w:val="0"/>
          <w:numId w:val="1"/>
        </w:numPr>
        <w:suppressAutoHyphens w:val="0"/>
        <w:spacing w:after="240" w:line="240" w:lineRule="auto"/>
        <w:rPr>
          <w:rFonts w:eastAsia="Times New Roman"/>
          <w:color w:val="auto"/>
          <w:szCs w:val="24"/>
          <w:lang w:eastAsia="en-GB"/>
        </w:rPr>
      </w:pPr>
      <w:r w:rsidRPr="006A6EF1">
        <w:rPr>
          <w:rFonts w:eastAsia="Times New Roman"/>
          <w:color w:val="auto"/>
          <w:szCs w:val="24"/>
          <w:lang w:eastAsia="en-GB"/>
        </w:rPr>
        <w:t xml:space="preserve">González, P., Lozano, P., Ros, G. and Solano, F. (2023). </w:t>
      </w:r>
      <w:proofErr w:type="spellStart"/>
      <w:r w:rsidRPr="006A6EF1">
        <w:rPr>
          <w:rFonts w:eastAsia="Times New Roman"/>
          <w:color w:val="auto"/>
          <w:szCs w:val="24"/>
          <w:lang w:eastAsia="en-GB"/>
        </w:rPr>
        <w:t>Hyperglycemia</w:t>
      </w:r>
      <w:proofErr w:type="spellEnd"/>
      <w:r w:rsidRPr="006A6EF1">
        <w:rPr>
          <w:rFonts w:eastAsia="Times New Roman"/>
          <w:color w:val="auto"/>
          <w:szCs w:val="24"/>
          <w:lang w:eastAsia="en-GB"/>
        </w:rPr>
        <w:t xml:space="preserve"> and Oxidative Stress: An Integral, Updated and Critical Overview of Their Metabolic Interconnections. </w:t>
      </w:r>
      <w:proofErr w:type="spellStart"/>
      <w:r w:rsidRPr="006A6EF1">
        <w:rPr>
          <w:rFonts w:eastAsia="Times New Roman"/>
          <w:i/>
          <w:iCs/>
          <w:color w:val="auto"/>
          <w:szCs w:val="24"/>
          <w:lang w:eastAsia="en-GB"/>
        </w:rPr>
        <w:t>Hyperglycemia</w:t>
      </w:r>
      <w:proofErr w:type="spellEnd"/>
      <w:r w:rsidRPr="006A6EF1">
        <w:rPr>
          <w:rFonts w:eastAsia="Times New Roman"/>
          <w:i/>
          <w:iCs/>
          <w:color w:val="auto"/>
          <w:szCs w:val="24"/>
          <w:lang w:eastAsia="en-GB"/>
        </w:rPr>
        <w:t xml:space="preserve"> and Oxidative Stress: An Integral, Updated and Critical Overview of Their Metabolic Interconnections</w:t>
      </w:r>
      <w:r w:rsidRPr="006A6EF1">
        <w:rPr>
          <w:rFonts w:eastAsia="Times New Roman"/>
          <w:color w:val="auto"/>
          <w:szCs w:val="24"/>
          <w:lang w:eastAsia="en-GB"/>
        </w:rPr>
        <w:t xml:space="preserve">, [online] 24(11), pp.9352–9352. </w:t>
      </w:r>
      <w:proofErr w:type="spellStart"/>
      <w:r w:rsidRPr="006A6EF1">
        <w:rPr>
          <w:rFonts w:eastAsia="Times New Roman"/>
          <w:color w:val="auto"/>
          <w:szCs w:val="24"/>
          <w:lang w:eastAsia="en-GB"/>
        </w:rPr>
        <w:t>doi</w:t>
      </w:r>
      <w:proofErr w:type="spellEnd"/>
      <w:r w:rsidRPr="006A6EF1">
        <w:rPr>
          <w:rFonts w:eastAsia="Times New Roman"/>
          <w:color w:val="auto"/>
          <w:szCs w:val="24"/>
          <w:lang w:eastAsia="en-GB"/>
        </w:rPr>
        <w:t>:</w:t>
      </w:r>
      <w:r w:rsidR="00600772">
        <w:rPr>
          <w:rFonts w:eastAsia="Times New Roman"/>
          <w:color w:val="auto"/>
          <w:szCs w:val="24"/>
          <w:lang w:eastAsia="en-GB"/>
        </w:rPr>
        <w:t xml:space="preserve"> </w:t>
      </w:r>
      <w:hyperlink r:id="rId16" w:history="1">
        <w:r w:rsidR="00600772" w:rsidRPr="00AB5223">
          <w:rPr>
            <w:rStyle w:val="Hyperlink"/>
            <w:rFonts w:eastAsia="Times New Roman"/>
            <w:szCs w:val="24"/>
            <w:lang w:val="en-GB" w:eastAsia="en-GB" w:bidi="ar-SA"/>
          </w:rPr>
          <w:t>https://doi.org/10.3390/ijms24119352</w:t>
        </w:r>
      </w:hyperlink>
      <w:r w:rsidRPr="006A6EF1">
        <w:rPr>
          <w:rFonts w:eastAsia="Times New Roman"/>
          <w:color w:val="auto"/>
          <w:szCs w:val="24"/>
          <w:lang w:eastAsia="en-GB"/>
        </w:rPr>
        <w:t>.</w:t>
      </w:r>
      <w:r w:rsidR="00600772">
        <w:rPr>
          <w:rFonts w:eastAsia="Times New Roman"/>
          <w:color w:val="auto"/>
          <w:szCs w:val="24"/>
          <w:lang w:eastAsia="en-GB"/>
        </w:rPr>
        <w:t xml:space="preserve"> </w:t>
      </w:r>
    </w:p>
    <w:p w14:paraId="44854C9B" w14:textId="77777777" w:rsidR="006A6EF1" w:rsidRPr="006A6EF1" w:rsidRDefault="006A6EF1" w:rsidP="006A6EF1">
      <w:pPr>
        <w:numPr>
          <w:ilvl w:val="0"/>
          <w:numId w:val="1"/>
        </w:numPr>
        <w:suppressAutoHyphens w:val="0"/>
        <w:spacing w:after="240" w:line="240" w:lineRule="auto"/>
        <w:rPr>
          <w:rFonts w:eastAsia="Times New Roman"/>
          <w:color w:val="auto"/>
          <w:szCs w:val="24"/>
          <w:lang w:eastAsia="en-GB"/>
        </w:rPr>
      </w:pPr>
      <w:r w:rsidRPr="006A6EF1">
        <w:rPr>
          <w:rFonts w:eastAsia="Times New Roman"/>
          <w:color w:val="auto"/>
          <w:szCs w:val="24"/>
          <w:lang w:eastAsia="en-GB"/>
        </w:rPr>
        <w:t xml:space="preserve">Goyal, R., </w:t>
      </w:r>
      <w:proofErr w:type="spellStart"/>
      <w:r w:rsidRPr="006A6EF1">
        <w:rPr>
          <w:rFonts w:eastAsia="Times New Roman"/>
          <w:color w:val="auto"/>
          <w:szCs w:val="24"/>
          <w:lang w:eastAsia="en-GB"/>
        </w:rPr>
        <w:t>Jialal</w:t>
      </w:r>
      <w:proofErr w:type="spellEnd"/>
      <w:r w:rsidRPr="006A6EF1">
        <w:rPr>
          <w:rFonts w:eastAsia="Times New Roman"/>
          <w:color w:val="auto"/>
          <w:szCs w:val="24"/>
          <w:lang w:eastAsia="en-GB"/>
        </w:rPr>
        <w:t xml:space="preserve">, I. and Singhal, M. (2023). </w:t>
      </w:r>
      <w:r w:rsidRPr="006A6EF1">
        <w:rPr>
          <w:rFonts w:eastAsia="Times New Roman"/>
          <w:i/>
          <w:iCs/>
          <w:color w:val="auto"/>
          <w:szCs w:val="24"/>
          <w:lang w:eastAsia="en-GB"/>
        </w:rPr>
        <w:t>Type 2 diabetes</w:t>
      </w:r>
      <w:r w:rsidRPr="006A6EF1">
        <w:rPr>
          <w:rFonts w:eastAsia="Times New Roman"/>
          <w:color w:val="auto"/>
          <w:szCs w:val="24"/>
          <w:lang w:eastAsia="en-GB"/>
        </w:rPr>
        <w:t xml:space="preserve">. [online] National </w:t>
      </w:r>
      <w:proofErr w:type="spellStart"/>
      <w:r w:rsidRPr="006A6EF1">
        <w:rPr>
          <w:rFonts w:eastAsia="Times New Roman"/>
          <w:color w:val="auto"/>
          <w:szCs w:val="24"/>
          <w:lang w:eastAsia="en-GB"/>
        </w:rPr>
        <w:t>Center</w:t>
      </w:r>
      <w:proofErr w:type="spellEnd"/>
      <w:r w:rsidRPr="006A6EF1">
        <w:rPr>
          <w:rFonts w:eastAsia="Times New Roman"/>
          <w:color w:val="auto"/>
          <w:szCs w:val="24"/>
          <w:lang w:eastAsia="en-GB"/>
        </w:rPr>
        <w:t xml:space="preserve"> for Biotechnology Information. Available at: </w:t>
      </w:r>
      <w:hyperlink r:id="rId17" w:history="1">
        <w:r w:rsidR="00600772" w:rsidRPr="00AB5223">
          <w:rPr>
            <w:rStyle w:val="Hyperlink"/>
            <w:rFonts w:eastAsia="Times New Roman"/>
            <w:szCs w:val="24"/>
            <w:lang w:val="en-GB" w:eastAsia="en-GB" w:bidi="ar-SA"/>
          </w:rPr>
          <w:t>https://www.ncbi.nlm.nih.gov/books/NBK513253/</w:t>
        </w:r>
      </w:hyperlink>
      <w:r w:rsidRPr="006A6EF1">
        <w:rPr>
          <w:rFonts w:eastAsia="Times New Roman"/>
          <w:color w:val="auto"/>
          <w:szCs w:val="24"/>
          <w:lang w:eastAsia="en-GB"/>
        </w:rPr>
        <w:t>.</w:t>
      </w:r>
      <w:r w:rsidR="00600772">
        <w:rPr>
          <w:rFonts w:eastAsia="Times New Roman"/>
          <w:color w:val="auto"/>
          <w:szCs w:val="24"/>
          <w:lang w:eastAsia="en-GB"/>
        </w:rPr>
        <w:t xml:space="preserve"> </w:t>
      </w:r>
    </w:p>
    <w:p w14:paraId="48D8A55C" w14:textId="77777777" w:rsidR="006A6EF1" w:rsidRPr="006A6EF1" w:rsidRDefault="006A6EF1" w:rsidP="006A6EF1">
      <w:pPr>
        <w:numPr>
          <w:ilvl w:val="0"/>
          <w:numId w:val="1"/>
        </w:numPr>
        <w:suppressAutoHyphens w:val="0"/>
        <w:spacing w:after="240" w:line="240" w:lineRule="auto"/>
        <w:rPr>
          <w:rFonts w:eastAsia="Times New Roman"/>
          <w:color w:val="auto"/>
          <w:szCs w:val="24"/>
          <w:lang w:eastAsia="en-GB"/>
        </w:rPr>
      </w:pPr>
      <w:r w:rsidRPr="006A6EF1">
        <w:rPr>
          <w:rFonts w:eastAsia="Times New Roman"/>
          <w:color w:val="auto"/>
          <w:szCs w:val="24"/>
          <w:lang w:eastAsia="en-GB"/>
        </w:rPr>
        <w:t xml:space="preserve">Gupta, R. and Gupta, N. (2021). Glycolysis and Gluconeogenesis. </w:t>
      </w:r>
      <w:r w:rsidRPr="006A6EF1">
        <w:rPr>
          <w:rFonts w:eastAsia="Times New Roman"/>
          <w:i/>
          <w:iCs/>
          <w:color w:val="auto"/>
          <w:szCs w:val="24"/>
          <w:lang w:eastAsia="en-GB"/>
        </w:rPr>
        <w:t>Fundamentals of Bacterial Physiology and Metabolism</w:t>
      </w:r>
      <w:r w:rsidRPr="006A6EF1">
        <w:rPr>
          <w:rFonts w:eastAsia="Times New Roman"/>
          <w:color w:val="auto"/>
          <w:szCs w:val="24"/>
          <w:lang w:eastAsia="en-GB"/>
        </w:rPr>
        <w:t xml:space="preserve">, pp.267–287. </w:t>
      </w:r>
      <w:proofErr w:type="spellStart"/>
      <w:r w:rsidRPr="006A6EF1">
        <w:rPr>
          <w:rFonts w:eastAsia="Times New Roman"/>
          <w:color w:val="auto"/>
          <w:szCs w:val="24"/>
          <w:lang w:eastAsia="en-GB"/>
        </w:rPr>
        <w:t>doi</w:t>
      </w:r>
      <w:proofErr w:type="spellEnd"/>
      <w:r w:rsidRPr="006A6EF1">
        <w:rPr>
          <w:rFonts w:eastAsia="Times New Roman"/>
          <w:color w:val="auto"/>
          <w:szCs w:val="24"/>
          <w:lang w:eastAsia="en-GB"/>
        </w:rPr>
        <w:t>:</w:t>
      </w:r>
      <w:r w:rsidR="00600772">
        <w:rPr>
          <w:rFonts w:eastAsia="Times New Roman"/>
          <w:color w:val="auto"/>
          <w:szCs w:val="24"/>
          <w:lang w:eastAsia="en-GB"/>
        </w:rPr>
        <w:t xml:space="preserve"> </w:t>
      </w:r>
      <w:hyperlink r:id="rId18" w:history="1">
        <w:r w:rsidR="00600772" w:rsidRPr="00AB5223">
          <w:rPr>
            <w:rStyle w:val="Hyperlink"/>
            <w:rFonts w:eastAsia="Times New Roman"/>
            <w:szCs w:val="24"/>
            <w:lang w:val="en-GB" w:eastAsia="en-GB" w:bidi="ar-SA"/>
          </w:rPr>
          <w:t>https://doi.org/10.1007/978-981-16-0723-3_9</w:t>
        </w:r>
      </w:hyperlink>
      <w:r w:rsidRPr="006A6EF1">
        <w:rPr>
          <w:rFonts w:eastAsia="Times New Roman"/>
          <w:color w:val="auto"/>
          <w:szCs w:val="24"/>
          <w:lang w:eastAsia="en-GB"/>
        </w:rPr>
        <w:t>.</w:t>
      </w:r>
      <w:r w:rsidR="00600772">
        <w:rPr>
          <w:rFonts w:eastAsia="Times New Roman"/>
          <w:color w:val="auto"/>
          <w:szCs w:val="24"/>
          <w:lang w:eastAsia="en-GB"/>
        </w:rPr>
        <w:t xml:space="preserve"> </w:t>
      </w:r>
    </w:p>
    <w:p w14:paraId="3A4C861A" w14:textId="77777777" w:rsidR="006A6EF1" w:rsidRPr="006A6EF1" w:rsidRDefault="006A6EF1" w:rsidP="006A6EF1">
      <w:pPr>
        <w:numPr>
          <w:ilvl w:val="0"/>
          <w:numId w:val="1"/>
        </w:numPr>
        <w:suppressAutoHyphens w:val="0"/>
        <w:spacing w:after="240" w:line="240" w:lineRule="auto"/>
        <w:rPr>
          <w:rFonts w:eastAsia="Times New Roman"/>
          <w:color w:val="auto"/>
          <w:szCs w:val="24"/>
          <w:lang w:eastAsia="en-GB"/>
        </w:rPr>
      </w:pPr>
      <w:r w:rsidRPr="006A6EF1">
        <w:rPr>
          <w:rFonts w:eastAsia="Times New Roman"/>
          <w:color w:val="auto"/>
          <w:szCs w:val="24"/>
          <w:lang w:eastAsia="en-GB"/>
        </w:rPr>
        <w:t xml:space="preserve">Hahad, O., Arnold, N., Prochaska, J.H., Panova-Noeva, M., Schulz, A., Lackner, K.J., Pfeiffer, N., Schmidtmann, I., Michal, M., Beutel, M., Wild, P.S., Keaney, J.F., Daiber, A. and </w:t>
      </w:r>
      <w:proofErr w:type="spellStart"/>
      <w:r w:rsidRPr="006A6EF1">
        <w:rPr>
          <w:rFonts w:eastAsia="Times New Roman"/>
          <w:color w:val="auto"/>
          <w:szCs w:val="24"/>
          <w:lang w:eastAsia="en-GB"/>
        </w:rPr>
        <w:t>Münzel</w:t>
      </w:r>
      <w:proofErr w:type="spellEnd"/>
      <w:r w:rsidRPr="006A6EF1">
        <w:rPr>
          <w:rFonts w:eastAsia="Times New Roman"/>
          <w:color w:val="auto"/>
          <w:szCs w:val="24"/>
          <w:lang w:eastAsia="en-GB"/>
        </w:rPr>
        <w:t xml:space="preserve">, T. (2021). Cigarette Smoking Is Related to Endothelial Dysfunction of Resistance, but Not Conduit Arteries in the General Population—Results From the Gutenberg Health Study. </w:t>
      </w:r>
      <w:r w:rsidRPr="006A6EF1">
        <w:rPr>
          <w:rFonts w:eastAsia="Times New Roman"/>
          <w:i/>
          <w:iCs/>
          <w:color w:val="auto"/>
          <w:szCs w:val="24"/>
          <w:lang w:eastAsia="en-GB"/>
        </w:rPr>
        <w:t>Frontiers in Cardiovascular Medicine</w:t>
      </w:r>
      <w:r w:rsidRPr="006A6EF1">
        <w:rPr>
          <w:rFonts w:eastAsia="Times New Roman"/>
          <w:color w:val="auto"/>
          <w:szCs w:val="24"/>
          <w:lang w:eastAsia="en-GB"/>
        </w:rPr>
        <w:t xml:space="preserve">, 8. </w:t>
      </w:r>
      <w:proofErr w:type="spellStart"/>
      <w:r w:rsidRPr="006A6EF1">
        <w:rPr>
          <w:rFonts w:eastAsia="Times New Roman"/>
          <w:color w:val="auto"/>
          <w:szCs w:val="24"/>
          <w:lang w:eastAsia="en-GB"/>
        </w:rPr>
        <w:t>doi</w:t>
      </w:r>
      <w:proofErr w:type="spellEnd"/>
      <w:r w:rsidRPr="006A6EF1">
        <w:rPr>
          <w:rFonts w:eastAsia="Times New Roman"/>
          <w:color w:val="auto"/>
          <w:szCs w:val="24"/>
          <w:lang w:eastAsia="en-GB"/>
        </w:rPr>
        <w:t>:</w:t>
      </w:r>
      <w:r w:rsidR="00600772">
        <w:rPr>
          <w:rFonts w:eastAsia="Times New Roman"/>
          <w:color w:val="auto"/>
          <w:szCs w:val="24"/>
          <w:lang w:eastAsia="en-GB"/>
        </w:rPr>
        <w:t xml:space="preserve"> </w:t>
      </w:r>
      <w:hyperlink r:id="rId19" w:history="1">
        <w:r w:rsidR="00600772" w:rsidRPr="00AB5223">
          <w:rPr>
            <w:rStyle w:val="Hyperlink"/>
            <w:rFonts w:eastAsia="Times New Roman"/>
            <w:szCs w:val="24"/>
            <w:lang w:val="en-GB" w:eastAsia="en-GB" w:bidi="ar-SA"/>
          </w:rPr>
          <w:t>https://doi.org/10.3389/fcvm.2021.674622</w:t>
        </w:r>
      </w:hyperlink>
      <w:r w:rsidRPr="006A6EF1">
        <w:rPr>
          <w:rFonts w:eastAsia="Times New Roman"/>
          <w:color w:val="auto"/>
          <w:szCs w:val="24"/>
          <w:lang w:eastAsia="en-GB"/>
        </w:rPr>
        <w:t>.</w:t>
      </w:r>
      <w:r w:rsidR="00600772">
        <w:rPr>
          <w:rFonts w:eastAsia="Times New Roman"/>
          <w:color w:val="auto"/>
          <w:szCs w:val="24"/>
          <w:lang w:eastAsia="en-GB"/>
        </w:rPr>
        <w:t xml:space="preserve"> </w:t>
      </w:r>
    </w:p>
    <w:p w14:paraId="24C15875" w14:textId="77777777" w:rsidR="006A6EF1" w:rsidRPr="006A6EF1" w:rsidRDefault="006A6EF1" w:rsidP="006A6EF1">
      <w:pPr>
        <w:numPr>
          <w:ilvl w:val="0"/>
          <w:numId w:val="1"/>
        </w:numPr>
        <w:suppressAutoHyphens w:val="0"/>
        <w:spacing w:after="240" w:line="240" w:lineRule="auto"/>
        <w:rPr>
          <w:rFonts w:eastAsia="Times New Roman"/>
          <w:color w:val="auto"/>
          <w:szCs w:val="24"/>
          <w:lang w:eastAsia="en-GB"/>
        </w:rPr>
      </w:pPr>
      <w:proofErr w:type="spellStart"/>
      <w:r w:rsidRPr="006A6EF1">
        <w:rPr>
          <w:rFonts w:eastAsia="Times New Roman"/>
          <w:color w:val="auto"/>
          <w:szCs w:val="24"/>
          <w:lang w:eastAsia="en-GB"/>
        </w:rPr>
        <w:t>Lewgood</w:t>
      </w:r>
      <w:proofErr w:type="spellEnd"/>
      <w:r w:rsidRPr="006A6EF1">
        <w:rPr>
          <w:rFonts w:eastAsia="Times New Roman"/>
          <w:color w:val="auto"/>
          <w:szCs w:val="24"/>
          <w:lang w:eastAsia="en-GB"/>
        </w:rPr>
        <w:t xml:space="preserve">, J., Oliveira, B., </w:t>
      </w:r>
      <w:proofErr w:type="spellStart"/>
      <w:r w:rsidRPr="006A6EF1">
        <w:rPr>
          <w:rFonts w:eastAsia="Times New Roman"/>
          <w:color w:val="auto"/>
          <w:szCs w:val="24"/>
          <w:lang w:eastAsia="en-GB"/>
        </w:rPr>
        <w:t>Korzepa</w:t>
      </w:r>
      <w:proofErr w:type="spellEnd"/>
      <w:r w:rsidRPr="006A6EF1">
        <w:rPr>
          <w:rFonts w:eastAsia="Times New Roman"/>
          <w:color w:val="auto"/>
          <w:szCs w:val="24"/>
          <w:lang w:eastAsia="en-GB"/>
        </w:rPr>
        <w:t xml:space="preserve">, M., Forbes, S.C., Little, J.P., Breen, L., Bailie, R. and Candow, D.G. (2021). Efficacy of Dietary and Supplementation Interventions for Individuals with Type 2 Diabetes. </w:t>
      </w:r>
      <w:r w:rsidRPr="006A6EF1">
        <w:rPr>
          <w:rFonts w:eastAsia="Times New Roman"/>
          <w:i/>
          <w:iCs/>
          <w:color w:val="auto"/>
          <w:szCs w:val="24"/>
          <w:lang w:eastAsia="en-GB"/>
        </w:rPr>
        <w:t>Nutrients</w:t>
      </w:r>
      <w:r w:rsidRPr="006A6EF1">
        <w:rPr>
          <w:rFonts w:eastAsia="Times New Roman"/>
          <w:color w:val="auto"/>
          <w:szCs w:val="24"/>
          <w:lang w:eastAsia="en-GB"/>
        </w:rPr>
        <w:t xml:space="preserve">, 13(7), p.2378. </w:t>
      </w:r>
      <w:proofErr w:type="spellStart"/>
      <w:r w:rsidRPr="006A6EF1">
        <w:rPr>
          <w:rFonts w:eastAsia="Times New Roman"/>
          <w:color w:val="auto"/>
          <w:szCs w:val="24"/>
          <w:lang w:eastAsia="en-GB"/>
        </w:rPr>
        <w:t>doi</w:t>
      </w:r>
      <w:proofErr w:type="spellEnd"/>
      <w:r w:rsidRPr="006A6EF1">
        <w:rPr>
          <w:rFonts w:eastAsia="Times New Roman"/>
          <w:color w:val="auto"/>
          <w:szCs w:val="24"/>
          <w:lang w:eastAsia="en-GB"/>
        </w:rPr>
        <w:t>:</w:t>
      </w:r>
      <w:r w:rsidR="00600772">
        <w:rPr>
          <w:rFonts w:eastAsia="Times New Roman"/>
          <w:color w:val="auto"/>
          <w:szCs w:val="24"/>
          <w:lang w:eastAsia="en-GB"/>
        </w:rPr>
        <w:t xml:space="preserve"> </w:t>
      </w:r>
      <w:hyperlink r:id="rId20" w:history="1">
        <w:r w:rsidR="00600772" w:rsidRPr="00AB5223">
          <w:rPr>
            <w:rStyle w:val="Hyperlink"/>
            <w:rFonts w:eastAsia="Times New Roman"/>
            <w:szCs w:val="24"/>
            <w:lang w:val="en-GB" w:eastAsia="en-GB" w:bidi="ar-SA"/>
          </w:rPr>
          <w:t>https://doi.org/10.3390/nu13072378</w:t>
        </w:r>
      </w:hyperlink>
      <w:r w:rsidRPr="006A6EF1">
        <w:rPr>
          <w:rFonts w:eastAsia="Times New Roman"/>
          <w:color w:val="auto"/>
          <w:szCs w:val="24"/>
          <w:lang w:eastAsia="en-GB"/>
        </w:rPr>
        <w:t>.</w:t>
      </w:r>
      <w:r w:rsidR="00600772">
        <w:rPr>
          <w:rFonts w:eastAsia="Times New Roman"/>
          <w:color w:val="auto"/>
          <w:szCs w:val="24"/>
          <w:lang w:eastAsia="en-GB"/>
        </w:rPr>
        <w:t xml:space="preserve"> </w:t>
      </w:r>
    </w:p>
    <w:p w14:paraId="286B3F25" w14:textId="77777777" w:rsidR="006A6EF1" w:rsidRPr="006A6EF1" w:rsidRDefault="006A6EF1" w:rsidP="006A6EF1">
      <w:pPr>
        <w:numPr>
          <w:ilvl w:val="0"/>
          <w:numId w:val="1"/>
        </w:numPr>
        <w:suppressAutoHyphens w:val="0"/>
        <w:spacing w:after="240" w:line="240" w:lineRule="auto"/>
        <w:rPr>
          <w:rFonts w:eastAsia="Times New Roman"/>
          <w:color w:val="auto"/>
          <w:szCs w:val="24"/>
          <w:lang w:eastAsia="en-GB"/>
        </w:rPr>
      </w:pPr>
      <w:r w:rsidRPr="006A6EF1">
        <w:rPr>
          <w:rFonts w:eastAsia="Times New Roman"/>
          <w:color w:val="auto"/>
          <w:szCs w:val="24"/>
          <w:lang w:eastAsia="en-GB"/>
        </w:rPr>
        <w:t xml:space="preserve">Mathew, T.K., Tadi, P. and Zubair, M. (2023). </w:t>
      </w:r>
      <w:r w:rsidRPr="006A6EF1">
        <w:rPr>
          <w:rFonts w:eastAsia="Times New Roman"/>
          <w:i/>
          <w:iCs/>
          <w:color w:val="auto"/>
          <w:szCs w:val="24"/>
          <w:lang w:eastAsia="en-GB"/>
        </w:rPr>
        <w:t>Blood Glucose Monitoring</w:t>
      </w:r>
      <w:r w:rsidRPr="006A6EF1">
        <w:rPr>
          <w:rFonts w:eastAsia="Times New Roman"/>
          <w:color w:val="auto"/>
          <w:szCs w:val="24"/>
          <w:lang w:eastAsia="en-GB"/>
        </w:rPr>
        <w:t xml:space="preserve">. [online] National Library of Medicine. Available at: </w:t>
      </w:r>
      <w:hyperlink r:id="rId21" w:history="1">
        <w:r w:rsidR="00600772" w:rsidRPr="00AB5223">
          <w:rPr>
            <w:rStyle w:val="Hyperlink"/>
            <w:rFonts w:eastAsia="Times New Roman"/>
            <w:szCs w:val="24"/>
            <w:lang w:val="en-GB" w:eastAsia="en-GB" w:bidi="ar-SA"/>
          </w:rPr>
          <w:t>https://www.ncbi.nlm.nih.gov/books/NBK555976/</w:t>
        </w:r>
      </w:hyperlink>
      <w:r w:rsidRPr="006A6EF1">
        <w:rPr>
          <w:rFonts w:eastAsia="Times New Roman"/>
          <w:color w:val="auto"/>
          <w:szCs w:val="24"/>
          <w:lang w:eastAsia="en-GB"/>
        </w:rPr>
        <w:t>.</w:t>
      </w:r>
      <w:r w:rsidR="00600772">
        <w:rPr>
          <w:rFonts w:eastAsia="Times New Roman"/>
          <w:color w:val="auto"/>
          <w:szCs w:val="24"/>
          <w:lang w:eastAsia="en-GB"/>
        </w:rPr>
        <w:t xml:space="preserve"> </w:t>
      </w:r>
    </w:p>
    <w:p w14:paraId="35624296" w14:textId="77777777" w:rsidR="006A6EF1" w:rsidRPr="006A6EF1" w:rsidRDefault="006A6EF1" w:rsidP="006A6EF1">
      <w:pPr>
        <w:numPr>
          <w:ilvl w:val="0"/>
          <w:numId w:val="1"/>
        </w:numPr>
        <w:suppressAutoHyphens w:val="0"/>
        <w:spacing w:after="240" w:line="240" w:lineRule="auto"/>
        <w:rPr>
          <w:rFonts w:eastAsia="Times New Roman"/>
          <w:color w:val="auto"/>
          <w:szCs w:val="24"/>
          <w:lang w:eastAsia="en-GB"/>
        </w:rPr>
      </w:pPr>
      <w:r w:rsidRPr="006A6EF1">
        <w:rPr>
          <w:rFonts w:eastAsia="Times New Roman"/>
          <w:color w:val="auto"/>
          <w:szCs w:val="24"/>
          <w:lang w:eastAsia="en-GB"/>
        </w:rPr>
        <w:lastRenderedPageBreak/>
        <w:t xml:space="preserve">NHS England (2024). </w:t>
      </w:r>
      <w:r w:rsidRPr="006A6EF1">
        <w:rPr>
          <w:rFonts w:eastAsia="Times New Roman"/>
          <w:i/>
          <w:iCs/>
          <w:color w:val="auto"/>
          <w:szCs w:val="24"/>
          <w:lang w:eastAsia="en-GB"/>
        </w:rPr>
        <w:t>NHS Identifies over Half a Million More People at Risk of Type 2 Diabetes in a Year</w:t>
      </w:r>
      <w:r w:rsidRPr="006A6EF1">
        <w:rPr>
          <w:rFonts w:eastAsia="Times New Roman"/>
          <w:color w:val="auto"/>
          <w:szCs w:val="24"/>
          <w:lang w:eastAsia="en-GB"/>
        </w:rPr>
        <w:t xml:space="preserve">. [online] www.england.nhs.uk. Available at: </w:t>
      </w:r>
      <w:hyperlink r:id="rId22" w:history="1">
        <w:r w:rsidR="00600772" w:rsidRPr="00AB5223">
          <w:rPr>
            <w:rStyle w:val="Hyperlink"/>
            <w:rFonts w:eastAsia="Times New Roman"/>
            <w:szCs w:val="24"/>
            <w:lang w:val="en-GB" w:eastAsia="en-GB" w:bidi="ar-SA"/>
          </w:rPr>
          <w:t>https://www.england.nhs.uk/2024/06/nhs-identifies-over-half-a-million-more-people-at-risk-of-type-2-diabetes-in-a-year/</w:t>
        </w:r>
      </w:hyperlink>
      <w:r w:rsidRPr="006A6EF1">
        <w:rPr>
          <w:rFonts w:eastAsia="Times New Roman"/>
          <w:color w:val="auto"/>
          <w:szCs w:val="24"/>
          <w:lang w:eastAsia="en-GB"/>
        </w:rPr>
        <w:t>.</w:t>
      </w:r>
      <w:r w:rsidR="00600772">
        <w:rPr>
          <w:rFonts w:eastAsia="Times New Roman"/>
          <w:color w:val="auto"/>
          <w:szCs w:val="24"/>
          <w:lang w:eastAsia="en-GB"/>
        </w:rPr>
        <w:t xml:space="preserve"> </w:t>
      </w:r>
    </w:p>
    <w:p w14:paraId="15A14DA9" w14:textId="77777777" w:rsidR="006A6EF1" w:rsidRPr="006A6EF1" w:rsidRDefault="006A6EF1" w:rsidP="006A6EF1">
      <w:pPr>
        <w:numPr>
          <w:ilvl w:val="0"/>
          <w:numId w:val="1"/>
        </w:numPr>
        <w:suppressAutoHyphens w:val="0"/>
        <w:spacing w:after="240" w:line="240" w:lineRule="auto"/>
        <w:rPr>
          <w:rFonts w:eastAsia="Times New Roman"/>
          <w:color w:val="auto"/>
          <w:szCs w:val="24"/>
          <w:lang w:eastAsia="en-GB"/>
        </w:rPr>
      </w:pPr>
      <w:r w:rsidRPr="006A6EF1">
        <w:rPr>
          <w:rFonts w:eastAsia="Times New Roman"/>
          <w:color w:val="auto"/>
          <w:szCs w:val="24"/>
          <w:lang w:eastAsia="en-GB"/>
        </w:rPr>
        <w:t xml:space="preserve">Popoviciu, M.S., Paduraru, L., </w:t>
      </w:r>
      <w:proofErr w:type="spellStart"/>
      <w:r w:rsidRPr="006A6EF1">
        <w:rPr>
          <w:rFonts w:eastAsia="Times New Roman"/>
          <w:color w:val="auto"/>
          <w:szCs w:val="24"/>
          <w:lang w:eastAsia="en-GB"/>
        </w:rPr>
        <w:t>Nutas</w:t>
      </w:r>
      <w:proofErr w:type="spellEnd"/>
      <w:r w:rsidRPr="006A6EF1">
        <w:rPr>
          <w:rFonts w:eastAsia="Times New Roman"/>
          <w:color w:val="auto"/>
          <w:szCs w:val="24"/>
          <w:lang w:eastAsia="en-GB"/>
        </w:rPr>
        <w:t xml:space="preserve">, R.M., </w:t>
      </w:r>
      <w:proofErr w:type="spellStart"/>
      <w:r w:rsidRPr="006A6EF1">
        <w:rPr>
          <w:rFonts w:eastAsia="Times New Roman"/>
          <w:color w:val="auto"/>
          <w:szCs w:val="24"/>
          <w:lang w:eastAsia="en-GB"/>
        </w:rPr>
        <w:t>Ujoc</w:t>
      </w:r>
      <w:proofErr w:type="spellEnd"/>
      <w:r w:rsidRPr="006A6EF1">
        <w:rPr>
          <w:rFonts w:eastAsia="Times New Roman"/>
          <w:color w:val="auto"/>
          <w:szCs w:val="24"/>
          <w:lang w:eastAsia="en-GB"/>
        </w:rPr>
        <w:t xml:space="preserve">, A.M., Yahya, G., Metwally, K. and </w:t>
      </w:r>
      <w:proofErr w:type="spellStart"/>
      <w:r w:rsidRPr="006A6EF1">
        <w:rPr>
          <w:rFonts w:eastAsia="Times New Roman"/>
          <w:color w:val="auto"/>
          <w:szCs w:val="24"/>
          <w:lang w:eastAsia="en-GB"/>
        </w:rPr>
        <w:t>Cavalu</w:t>
      </w:r>
      <w:proofErr w:type="spellEnd"/>
      <w:r w:rsidRPr="006A6EF1">
        <w:rPr>
          <w:rFonts w:eastAsia="Times New Roman"/>
          <w:color w:val="auto"/>
          <w:szCs w:val="24"/>
          <w:lang w:eastAsia="en-GB"/>
        </w:rPr>
        <w:t xml:space="preserve">, S. (2023). Diabetes Mellitus Secondary to Endocrine Diseases: An Update of Diagnostic and Treatment Particularities. </w:t>
      </w:r>
      <w:r w:rsidRPr="006A6EF1">
        <w:rPr>
          <w:rFonts w:eastAsia="Times New Roman"/>
          <w:i/>
          <w:iCs/>
          <w:color w:val="auto"/>
          <w:szCs w:val="24"/>
          <w:lang w:eastAsia="en-GB"/>
        </w:rPr>
        <w:t>International Journal of Molecular Sciences</w:t>
      </w:r>
      <w:r w:rsidRPr="006A6EF1">
        <w:rPr>
          <w:rFonts w:eastAsia="Times New Roman"/>
          <w:color w:val="auto"/>
          <w:szCs w:val="24"/>
          <w:lang w:eastAsia="en-GB"/>
        </w:rPr>
        <w:t xml:space="preserve">, [online] 24(16), p.12676. </w:t>
      </w:r>
      <w:proofErr w:type="spellStart"/>
      <w:r w:rsidRPr="006A6EF1">
        <w:rPr>
          <w:rFonts w:eastAsia="Times New Roman"/>
          <w:color w:val="auto"/>
          <w:szCs w:val="24"/>
          <w:lang w:eastAsia="en-GB"/>
        </w:rPr>
        <w:t>doi</w:t>
      </w:r>
      <w:proofErr w:type="spellEnd"/>
      <w:r w:rsidRPr="006A6EF1">
        <w:rPr>
          <w:rFonts w:eastAsia="Times New Roman"/>
          <w:color w:val="auto"/>
          <w:szCs w:val="24"/>
          <w:lang w:eastAsia="en-GB"/>
        </w:rPr>
        <w:t>:</w:t>
      </w:r>
      <w:r w:rsidR="00600772">
        <w:rPr>
          <w:rFonts w:eastAsia="Times New Roman"/>
          <w:color w:val="auto"/>
          <w:szCs w:val="24"/>
          <w:lang w:eastAsia="en-GB"/>
        </w:rPr>
        <w:t xml:space="preserve"> </w:t>
      </w:r>
      <w:hyperlink r:id="rId23" w:history="1">
        <w:r w:rsidR="00600772" w:rsidRPr="00AB5223">
          <w:rPr>
            <w:rStyle w:val="Hyperlink"/>
            <w:rFonts w:eastAsia="Times New Roman"/>
            <w:szCs w:val="24"/>
            <w:lang w:val="en-GB" w:eastAsia="en-GB" w:bidi="ar-SA"/>
          </w:rPr>
          <w:t>https://doi.org/10.3390/ijms241612676</w:t>
        </w:r>
      </w:hyperlink>
      <w:r w:rsidRPr="006A6EF1">
        <w:rPr>
          <w:rFonts w:eastAsia="Times New Roman"/>
          <w:color w:val="auto"/>
          <w:szCs w:val="24"/>
          <w:lang w:eastAsia="en-GB"/>
        </w:rPr>
        <w:t>.</w:t>
      </w:r>
      <w:r w:rsidR="00600772">
        <w:rPr>
          <w:rFonts w:eastAsia="Times New Roman"/>
          <w:color w:val="auto"/>
          <w:szCs w:val="24"/>
          <w:lang w:eastAsia="en-GB"/>
        </w:rPr>
        <w:t xml:space="preserve"> </w:t>
      </w:r>
    </w:p>
    <w:p w14:paraId="682D05B6" w14:textId="77777777" w:rsidR="006A6EF1" w:rsidRPr="006A6EF1" w:rsidRDefault="006A6EF1" w:rsidP="006A6EF1">
      <w:pPr>
        <w:numPr>
          <w:ilvl w:val="0"/>
          <w:numId w:val="1"/>
        </w:numPr>
        <w:suppressAutoHyphens w:val="0"/>
        <w:spacing w:after="240" w:line="240" w:lineRule="auto"/>
        <w:rPr>
          <w:rFonts w:eastAsia="Times New Roman"/>
          <w:color w:val="auto"/>
          <w:szCs w:val="24"/>
          <w:lang w:eastAsia="en-GB"/>
        </w:rPr>
      </w:pPr>
      <w:r w:rsidRPr="006A6EF1">
        <w:rPr>
          <w:rFonts w:eastAsia="Times New Roman"/>
          <w:color w:val="auto"/>
          <w:szCs w:val="24"/>
          <w:lang w:eastAsia="en-GB"/>
        </w:rPr>
        <w:t xml:space="preserve">Richter, E.A., Bilan, P.J. and Klip, A. (2025). A Comprehensive View of Muscle Glucose Uptake: Regulation by Insulin, Contractile Activity and Exercise. </w:t>
      </w:r>
      <w:r w:rsidRPr="006A6EF1">
        <w:rPr>
          <w:rFonts w:eastAsia="Times New Roman"/>
          <w:i/>
          <w:iCs/>
          <w:color w:val="auto"/>
          <w:szCs w:val="24"/>
          <w:lang w:eastAsia="en-GB"/>
        </w:rPr>
        <w:t>Physiological reviews</w:t>
      </w:r>
      <w:r w:rsidRPr="006A6EF1">
        <w:rPr>
          <w:rFonts w:eastAsia="Times New Roman"/>
          <w:color w:val="auto"/>
          <w:szCs w:val="24"/>
          <w:lang w:eastAsia="en-GB"/>
        </w:rPr>
        <w:t xml:space="preserve">, [online] p.10.1152/physrev.00033.2024. </w:t>
      </w:r>
      <w:proofErr w:type="spellStart"/>
      <w:r w:rsidRPr="006A6EF1">
        <w:rPr>
          <w:rFonts w:eastAsia="Times New Roman"/>
          <w:color w:val="auto"/>
          <w:szCs w:val="24"/>
          <w:lang w:eastAsia="en-GB"/>
        </w:rPr>
        <w:t>doi</w:t>
      </w:r>
      <w:proofErr w:type="spellEnd"/>
      <w:r w:rsidRPr="006A6EF1">
        <w:rPr>
          <w:rFonts w:eastAsia="Times New Roman"/>
          <w:color w:val="auto"/>
          <w:szCs w:val="24"/>
          <w:lang w:eastAsia="en-GB"/>
        </w:rPr>
        <w:t>:</w:t>
      </w:r>
      <w:r w:rsidR="00600772">
        <w:rPr>
          <w:rFonts w:eastAsia="Times New Roman"/>
          <w:color w:val="auto"/>
          <w:szCs w:val="24"/>
          <w:lang w:eastAsia="en-GB"/>
        </w:rPr>
        <w:t xml:space="preserve"> </w:t>
      </w:r>
      <w:hyperlink r:id="rId24" w:history="1">
        <w:r w:rsidR="00600772" w:rsidRPr="00AB5223">
          <w:rPr>
            <w:rStyle w:val="Hyperlink"/>
            <w:rFonts w:eastAsia="Times New Roman"/>
            <w:szCs w:val="24"/>
            <w:lang w:val="en-GB" w:eastAsia="en-GB" w:bidi="ar-SA"/>
          </w:rPr>
          <w:t>https://doi.org/10.1152/physrev.00033.2024</w:t>
        </w:r>
      </w:hyperlink>
      <w:r w:rsidRPr="006A6EF1">
        <w:rPr>
          <w:rFonts w:eastAsia="Times New Roman"/>
          <w:color w:val="auto"/>
          <w:szCs w:val="24"/>
          <w:lang w:eastAsia="en-GB"/>
        </w:rPr>
        <w:t>.</w:t>
      </w:r>
      <w:r w:rsidR="00600772">
        <w:rPr>
          <w:rFonts w:eastAsia="Times New Roman"/>
          <w:color w:val="auto"/>
          <w:szCs w:val="24"/>
          <w:lang w:eastAsia="en-GB"/>
        </w:rPr>
        <w:t xml:space="preserve"> </w:t>
      </w:r>
    </w:p>
    <w:p w14:paraId="22411599" w14:textId="77777777" w:rsidR="006A6EF1" w:rsidRPr="006A6EF1" w:rsidRDefault="006A6EF1" w:rsidP="006A6EF1">
      <w:pPr>
        <w:numPr>
          <w:ilvl w:val="0"/>
          <w:numId w:val="1"/>
        </w:numPr>
        <w:suppressAutoHyphens w:val="0"/>
        <w:spacing w:after="240" w:line="240" w:lineRule="auto"/>
        <w:rPr>
          <w:rFonts w:eastAsia="Times New Roman"/>
          <w:color w:val="auto"/>
          <w:szCs w:val="24"/>
          <w:lang w:eastAsia="en-GB"/>
        </w:rPr>
      </w:pPr>
      <w:r w:rsidRPr="006A6EF1">
        <w:rPr>
          <w:rFonts w:eastAsia="Times New Roman"/>
          <w:color w:val="auto"/>
          <w:szCs w:val="24"/>
          <w:lang w:eastAsia="en-GB"/>
        </w:rPr>
        <w:t xml:space="preserve">Schifter, M., McLean, M. and Sukumar, S. (2021). Disorders of the Endocrine System and of Metabolism. </w:t>
      </w:r>
      <w:r w:rsidRPr="006A6EF1">
        <w:rPr>
          <w:rFonts w:eastAsia="Times New Roman"/>
          <w:i/>
          <w:iCs/>
          <w:color w:val="auto"/>
          <w:szCs w:val="24"/>
          <w:lang w:eastAsia="en-GB"/>
        </w:rPr>
        <w:t>Burket’s Oral Medicine</w:t>
      </w:r>
      <w:r w:rsidRPr="006A6EF1">
        <w:rPr>
          <w:rFonts w:eastAsia="Times New Roman"/>
          <w:color w:val="auto"/>
          <w:szCs w:val="24"/>
          <w:lang w:eastAsia="en-GB"/>
        </w:rPr>
        <w:t xml:space="preserve">, pp.817–902. </w:t>
      </w:r>
      <w:proofErr w:type="spellStart"/>
      <w:r w:rsidRPr="006A6EF1">
        <w:rPr>
          <w:rFonts w:eastAsia="Times New Roman"/>
          <w:color w:val="auto"/>
          <w:szCs w:val="24"/>
          <w:lang w:eastAsia="en-GB"/>
        </w:rPr>
        <w:t>doi</w:t>
      </w:r>
      <w:proofErr w:type="spellEnd"/>
      <w:r w:rsidRPr="006A6EF1">
        <w:rPr>
          <w:rFonts w:eastAsia="Times New Roman"/>
          <w:color w:val="auto"/>
          <w:szCs w:val="24"/>
          <w:lang w:eastAsia="en-GB"/>
        </w:rPr>
        <w:t>:</w:t>
      </w:r>
      <w:r w:rsidR="00600772">
        <w:rPr>
          <w:rFonts w:eastAsia="Times New Roman"/>
          <w:color w:val="auto"/>
          <w:szCs w:val="24"/>
          <w:lang w:eastAsia="en-GB"/>
        </w:rPr>
        <w:t xml:space="preserve"> </w:t>
      </w:r>
      <w:hyperlink r:id="rId25" w:history="1">
        <w:r w:rsidR="00600772" w:rsidRPr="00AB5223">
          <w:rPr>
            <w:rStyle w:val="Hyperlink"/>
            <w:rFonts w:eastAsia="Times New Roman"/>
            <w:szCs w:val="24"/>
            <w:lang w:val="en-GB" w:eastAsia="en-GB" w:bidi="ar-SA"/>
          </w:rPr>
          <w:t>https://doi.org/10.1002/9781119597797.ch22</w:t>
        </w:r>
      </w:hyperlink>
      <w:r w:rsidRPr="006A6EF1">
        <w:rPr>
          <w:rFonts w:eastAsia="Times New Roman"/>
          <w:color w:val="auto"/>
          <w:szCs w:val="24"/>
          <w:lang w:eastAsia="en-GB"/>
        </w:rPr>
        <w:t>.</w:t>
      </w:r>
      <w:r w:rsidR="00600772">
        <w:rPr>
          <w:rFonts w:eastAsia="Times New Roman"/>
          <w:color w:val="auto"/>
          <w:szCs w:val="24"/>
          <w:lang w:eastAsia="en-GB"/>
        </w:rPr>
        <w:t xml:space="preserve"> </w:t>
      </w:r>
    </w:p>
    <w:p w14:paraId="35E65970" w14:textId="77777777" w:rsidR="00AF7380" w:rsidRPr="00AF7380" w:rsidRDefault="00AF7380" w:rsidP="00AF7380"/>
    <w:sectPr w:rsidR="00AF7380" w:rsidRPr="00AF7380">
      <w:footerReference w:type="default" r:id="rId26"/>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EB62B" w14:textId="77777777" w:rsidR="00AC0FFE" w:rsidRDefault="00AC0FFE" w:rsidP="00A87747">
      <w:pPr>
        <w:spacing w:line="240" w:lineRule="auto"/>
      </w:pPr>
      <w:r>
        <w:separator/>
      </w:r>
    </w:p>
  </w:endnote>
  <w:endnote w:type="continuationSeparator" w:id="0">
    <w:p w14:paraId="1FACED19" w14:textId="77777777" w:rsidR="00AC0FFE" w:rsidRDefault="00AC0FFE" w:rsidP="00A87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charset w:val="80"/>
    <w:family w:val="auto"/>
    <w:pitch w:val="variable"/>
  </w:font>
  <w:font w:name="OpenSymbol">
    <w:altName w:val="Arial Unicode MS"/>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jaVu Sans">
    <w:altName w:val="Yu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charset w:val="80"/>
    <w:family w:val="auto"/>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B5CD1" w14:textId="77777777" w:rsidR="00A87747" w:rsidRDefault="00A87747">
    <w:pPr>
      <w:pStyle w:val="Footer"/>
      <w:jc w:val="center"/>
    </w:pPr>
    <w:r>
      <w:fldChar w:fldCharType="begin"/>
    </w:r>
    <w:r>
      <w:instrText xml:space="preserve"> PAGE   \* MERGEFORMAT </w:instrText>
    </w:r>
    <w:r>
      <w:fldChar w:fldCharType="separate"/>
    </w:r>
    <w:r w:rsidR="0043798A">
      <w:rPr>
        <w:noProof/>
      </w:rPr>
      <w:t>2</w:t>
    </w:r>
    <w:r>
      <w:rPr>
        <w:noProof/>
      </w:rPr>
      <w:fldChar w:fldCharType="end"/>
    </w:r>
  </w:p>
  <w:p w14:paraId="0E1467AA" w14:textId="77777777" w:rsidR="00A87747" w:rsidRDefault="00A87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03247" w14:textId="77777777" w:rsidR="00AC0FFE" w:rsidRDefault="00AC0FFE" w:rsidP="00A87747">
      <w:pPr>
        <w:spacing w:line="240" w:lineRule="auto"/>
      </w:pPr>
      <w:r>
        <w:separator/>
      </w:r>
    </w:p>
  </w:footnote>
  <w:footnote w:type="continuationSeparator" w:id="0">
    <w:p w14:paraId="5752BF54" w14:textId="77777777" w:rsidR="00AC0FFE" w:rsidRDefault="00AC0FFE" w:rsidP="00A877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34712"/>
    <w:multiLevelType w:val="hybridMultilevel"/>
    <w:tmpl w:val="83C8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6880234">
    <w:abstractNumId w:val="0"/>
  </w:num>
  <w:num w:numId="2" w16cid:durableId="956988540">
    <w:abstractNumId w:val="1"/>
  </w:num>
  <w:num w:numId="3" w16cid:durableId="1718243174">
    <w:abstractNumId w:val="10"/>
  </w:num>
  <w:num w:numId="4" w16cid:durableId="1017653674">
    <w:abstractNumId w:val="24"/>
  </w:num>
  <w:num w:numId="5" w16cid:durableId="715859221">
    <w:abstractNumId w:val="9"/>
  </w:num>
  <w:num w:numId="6" w16cid:durableId="1118449558">
    <w:abstractNumId w:val="23"/>
  </w:num>
  <w:num w:numId="7" w16cid:durableId="1089156725">
    <w:abstractNumId w:val="27"/>
  </w:num>
  <w:num w:numId="8" w16cid:durableId="1521818074">
    <w:abstractNumId w:val="19"/>
  </w:num>
  <w:num w:numId="9" w16cid:durableId="1870142093">
    <w:abstractNumId w:val="6"/>
  </w:num>
  <w:num w:numId="10" w16cid:durableId="975646739">
    <w:abstractNumId w:val="16"/>
  </w:num>
  <w:num w:numId="11" w16cid:durableId="129832150">
    <w:abstractNumId w:val="20"/>
  </w:num>
  <w:num w:numId="12" w16cid:durableId="2056002802">
    <w:abstractNumId w:val="11"/>
  </w:num>
  <w:num w:numId="13" w16cid:durableId="773676074">
    <w:abstractNumId w:val="4"/>
  </w:num>
  <w:num w:numId="14" w16cid:durableId="1915896113">
    <w:abstractNumId w:val="17"/>
  </w:num>
  <w:num w:numId="15" w16cid:durableId="1086193677">
    <w:abstractNumId w:val="5"/>
  </w:num>
  <w:num w:numId="16" w16cid:durableId="602342054">
    <w:abstractNumId w:val="22"/>
  </w:num>
  <w:num w:numId="17" w16cid:durableId="1061757871">
    <w:abstractNumId w:val="3"/>
  </w:num>
  <w:num w:numId="18" w16cid:durableId="834145865">
    <w:abstractNumId w:val="18"/>
  </w:num>
  <w:num w:numId="19" w16cid:durableId="858661569">
    <w:abstractNumId w:val="2"/>
  </w:num>
  <w:num w:numId="20" w16cid:durableId="88553066">
    <w:abstractNumId w:val="26"/>
  </w:num>
  <w:num w:numId="21" w16cid:durableId="1218978841">
    <w:abstractNumId w:val="13"/>
  </w:num>
  <w:num w:numId="22" w16cid:durableId="42409266">
    <w:abstractNumId w:val="12"/>
  </w:num>
  <w:num w:numId="23" w16cid:durableId="1363480410">
    <w:abstractNumId w:val="25"/>
  </w:num>
  <w:num w:numId="24" w16cid:durableId="545802557">
    <w:abstractNumId w:val="28"/>
  </w:num>
  <w:num w:numId="25" w16cid:durableId="1770001639">
    <w:abstractNumId w:val="7"/>
  </w:num>
  <w:num w:numId="26" w16cid:durableId="294140999">
    <w:abstractNumId w:val="15"/>
  </w:num>
  <w:num w:numId="27" w16cid:durableId="746148134">
    <w:abstractNumId w:val="14"/>
  </w:num>
  <w:num w:numId="28" w16cid:durableId="1571041350">
    <w:abstractNumId w:val="21"/>
  </w:num>
  <w:num w:numId="29" w16cid:durableId="445545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EyNbcwNTM0BXKMLJV0lIJTi4sz8/NACgwNagHjVD2ZLQAAAA=="/>
  </w:docVars>
  <w:rsids>
    <w:rsidRoot w:val="008D09FF"/>
    <w:rsid w:val="000143B4"/>
    <w:rsid w:val="000157F7"/>
    <w:rsid w:val="000169FC"/>
    <w:rsid w:val="00026F62"/>
    <w:rsid w:val="0003210E"/>
    <w:rsid w:val="00032F27"/>
    <w:rsid w:val="00033E1E"/>
    <w:rsid w:val="00043DD1"/>
    <w:rsid w:val="00044E03"/>
    <w:rsid w:val="00051B13"/>
    <w:rsid w:val="0005499F"/>
    <w:rsid w:val="00073CCE"/>
    <w:rsid w:val="00077B6D"/>
    <w:rsid w:val="000824D7"/>
    <w:rsid w:val="0009752E"/>
    <w:rsid w:val="000A0300"/>
    <w:rsid w:val="000A2736"/>
    <w:rsid w:val="000A693F"/>
    <w:rsid w:val="000B55F1"/>
    <w:rsid w:val="000B7C25"/>
    <w:rsid w:val="000C54FA"/>
    <w:rsid w:val="000D13F2"/>
    <w:rsid w:val="000D1E89"/>
    <w:rsid w:val="000D5F91"/>
    <w:rsid w:val="000E3657"/>
    <w:rsid w:val="000E5B1D"/>
    <w:rsid w:val="000E7C63"/>
    <w:rsid w:val="000F7A29"/>
    <w:rsid w:val="0010080F"/>
    <w:rsid w:val="001127EC"/>
    <w:rsid w:val="00115FA2"/>
    <w:rsid w:val="0011725C"/>
    <w:rsid w:val="0012311E"/>
    <w:rsid w:val="00124129"/>
    <w:rsid w:val="00131CE2"/>
    <w:rsid w:val="00135FA8"/>
    <w:rsid w:val="0014081F"/>
    <w:rsid w:val="0014236D"/>
    <w:rsid w:val="001543C4"/>
    <w:rsid w:val="00155DFF"/>
    <w:rsid w:val="00171AB7"/>
    <w:rsid w:val="001959E7"/>
    <w:rsid w:val="001A2386"/>
    <w:rsid w:val="001A6CE4"/>
    <w:rsid w:val="001B148D"/>
    <w:rsid w:val="001B293F"/>
    <w:rsid w:val="001B2B71"/>
    <w:rsid w:val="001B3DA5"/>
    <w:rsid w:val="001C4B30"/>
    <w:rsid w:val="001C6C19"/>
    <w:rsid w:val="001C7C69"/>
    <w:rsid w:val="001D1CAC"/>
    <w:rsid w:val="001D2906"/>
    <w:rsid w:val="001D46FF"/>
    <w:rsid w:val="001F2F9D"/>
    <w:rsid w:val="002037AB"/>
    <w:rsid w:val="00203ADA"/>
    <w:rsid w:val="00207BF7"/>
    <w:rsid w:val="0021152B"/>
    <w:rsid w:val="00214B85"/>
    <w:rsid w:val="002157B6"/>
    <w:rsid w:val="00245957"/>
    <w:rsid w:val="00245FD9"/>
    <w:rsid w:val="0024714F"/>
    <w:rsid w:val="00251842"/>
    <w:rsid w:val="00255300"/>
    <w:rsid w:val="00267D0D"/>
    <w:rsid w:val="00273F83"/>
    <w:rsid w:val="002923C2"/>
    <w:rsid w:val="0029461D"/>
    <w:rsid w:val="002A218E"/>
    <w:rsid w:val="002B1C88"/>
    <w:rsid w:val="002B6D16"/>
    <w:rsid w:val="002C28BB"/>
    <w:rsid w:val="002C58C6"/>
    <w:rsid w:val="002C5976"/>
    <w:rsid w:val="002C5AFE"/>
    <w:rsid w:val="002C5DF6"/>
    <w:rsid w:val="002D5608"/>
    <w:rsid w:val="002E2445"/>
    <w:rsid w:val="002F3715"/>
    <w:rsid w:val="002F4C8F"/>
    <w:rsid w:val="00306373"/>
    <w:rsid w:val="003347F4"/>
    <w:rsid w:val="003407C3"/>
    <w:rsid w:val="00341F1F"/>
    <w:rsid w:val="00352949"/>
    <w:rsid w:val="00354A83"/>
    <w:rsid w:val="003559FD"/>
    <w:rsid w:val="00355AA6"/>
    <w:rsid w:val="0035740A"/>
    <w:rsid w:val="0036336B"/>
    <w:rsid w:val="00363625"/>
    <w:rsid w:val="003644F3"/>
    <w:rsid w:val="00371215"/>
    <w:rsid w:val="0037352A"/>
    <w:rsid w:val="00377720"/>
    <w:rsid w:val="00380505"/>
    <w:rsid w:val="00390787"/>
    <w:rsid w:val="003915E6"/>
    <w:rsid w:val="003A21CE"/>
    <w:rsid w:val="003B2223"/>
    <w:rsid w:val="003D2B08"/>
    <w:rsid w:val="003D6472"/>
    <w:rsid w:val="003E3CE3"/>
    <w:rsid w:val="003F321A"/>
    <w:rsid w:val="003F58CF"/>
    <w:rsid w:val="003F652C"/>
    <w:rsid w:val="003F6A34"/>
    <w:rsid w:val="004001C6"/>
    <w:rsid w:val="0040516B"/>
    <w:rsid w:val="00406F8A"/>
    <w:rsid w:val="004118BC"/>
    <w:rsid w:val="00412D04"/>
    <w:rsid w:val="00426EFB"/>
    <w:rsid w:val="004275E6"/>
    <w:rsid w:val="00430271"/>
    <w:rsid w:val="0043392D"/>
    <w:rsid w:val="00435F23"/>
    <w:rsid w:val="0043798A"/>
    <w:rsid w:val="00443078"/>
    <w:rsid w:val="00454D5E"/>
    <w:rsid w:val="00455304"/>
    <w:rsid w:val="00460545"/>
    <w:rsid w:val="0046208D"/>
    <w:rsid w:val="0047293C"/>
    <w:rsid w:val="00480840"/>
    <w:rsid w:val="004836C4"/>
    <w:rsid w:val="0049537E"/>
    <w:rsid w:val="00496C57"/>
    <w:rsid w:val="004A17F2"/>
    <w:rsid w:val="004A42D9"/>
    <w:rsid w:val="004A6F78"/>
    <w:rsid w:val="004A78C8"/>
    <w:rsid w:val="004B2DC1"/>
    <w:rsid w:val="004B6253"/>
    <w:rsid w:val="004B637E"/>
    <w:rsid w:val="004D5B16"/>
    <w:rsid w:val="004D5BFC"/>
    <w:rsid w:val="004E44CC"/>
    <w:rsid w:val="004F372C"/>
    <w:rsid w:val="00500202"/>
    <w:rsid w:val="005007FB"/>
    <w:rsid w:val="005025FB"/>
    <w:rsid w:val="0050612C"/>
    <w:rsid w:val="00514B64"/>
    <w:rsid w:val="00514C27"/>
    <w:rsid w:val="005244D0"/>
    <w:rsid w:val="00526156"/>
    <w:rsid w:val="00526B25"/>
    <w:rsid w:val="00531793"/>
    <w:rsid w:val="005363C9"/>
    <w:rsid w:val="00545BE1"/>
    <w:rsid w:val="005466F4"/>
    <w:rsid w:val="00556141"/>
    <w:rsid w:val="005575BB"/>
    <w:rsid w:val="00560446"/>
    <w:rsid w:val="00563005"/>
    <w:rsid w:val="00565E1A"/>
    <w:rsid w:val="00572E0C"/>
    <w:rsid w:val="00583DDF"/>
    <w:rsid w:val="005901D0"/>
    <w:rsid w:val="00591D3F"/>
    <w:rsid w:val="00592304"/>
    <w:rsid w:val="005955CD"/>
    <w:rsid w:val="005978A5"/>
    <w:rsid w:val="00597C27"/>
    <w:rsid w:val="005A4881"/>
    <w:rsid w:val="005B1D0F"/>
    <w:rsid w:val="005B3892"/>
    <w:rsid w:val="005C2B38"/>
    <w:rsid w:val="005C6F1F"/>
    <w:rsid w:val="005C729D"/>
    <w:rsid w:val="005C740A"/>
    <w:rsid w:val="005D49B9"/>
    <w:rsid w:val="005E1177"/>
    <w:rsid w:val="005F292C"/>
    <w:rsid w:val="00600772"/>
    <w:rsid w:val="0060463A"/>
    <w:rsid w:val="00607926"/>
    <w:rsid w:val="0061173B"/>
    <w:rsid w:val="006150FE"/>
    <w:rsid w:val="00615B24"/>
    <w:rsid w:val="00621B9C"/>
    <w:rsid w:val="006237FB"/>
    <w:rsid w:val="006302B6"/>
    <w:rsid w:val="006407FE"/>
    <w:rsid w:val="006438EC"/>
    <w:rsid w:val="006475FF"/>
    <w:rsid w:val="00654A6E"/>
    <w:rsid w:val="00661773"/>
    <w:rsid w:val="0066496D"/>
    <w:rsid w:val="00671F66"/>
    <w:rsid w:val="00674A76"/>
    <w:rsid w:val="00682A76"/>
    <w:rsid w:val="00682D74"/>
    <w:rsid w:val="00684916"/>
    <w:rsid w:val="006948E8"/>
    <w:rsid w:val="00697727"/>
    <w:rsid w:val="006A6EF1"/>
    <w:rsid w:val="006A724A"/>
    <w:rsid w:val="006B65D2"/>
    <w:rsid w:val="006C51DB"/>
    <w:rsid w:val="006C5469"/>
    <w:rsid w:val="006C5728"/>
    <w:rsid w:val="006D07E0"/>
    <w:rsid w:val="006D6837"/>
    <w:rsid w:val="006D7C5E"/>
    <w:rsid w:val="006E177F"/>
    <w:rsid w:val="00703F5C"/>
    <w:rsid w:val="00705F33"/>
    <w:rsid w:val="007130F3"/>
    <w:rsid w:val="00720A6F"/>
    <w:rsid w:val="0072548E"/>
    <w:rsid w:val="00732B9B"/>
    <w:rsid w:val="00746466"/>
    <w:rsid w:val="0074789A"/>
    <w:rsid w:val="007515C4"/>
    <w:rsid w:val="00752C57"/>
    <w:rsid w:val="0075424F"/>
    <w:rsid w:val="00755616"/>
    <w:rsid w:val="00755E7B"/>
    <w:rsid w:val="007626C2"/>
    <w:rsid w:val="00764092"/>
    <w:rsid w:val="00772400"/>
    <w:rsid w:val="007739F9"/>
    <w:rsid w:val="00777727"/>
    <w:rsid w:val="00781B1F"/>
    <w:rsid w:val="007847BC"/>
    <w:rsid w:val="00784EBE"/>
    <w:rsid w:val="00793373"/>
    <w:rsid w:val="00796A0C"/>
    <w:rsid w:val="007B6BA5"/>
    <w:rsid w:val="007C0686"/>
    <w:rsid w:val="007C1004"/>
    <w:rsid w:val="007C3193"/>
    <w:rsid w:val="007D0A05"/>
    <w:rsid w:val="007D1B17"/>
    <w:rsid w:val="007D4E7D"/>
    <w:rsid w:val="007D6079"/>
    <w:rsid w:val="007E5D62"/>
    <w:rsid w:val="007E61B3"/>
    <w:rsid w:val="007E79B8"/>
    <w:rsid w:val="007F543B"/>
    <w:rsid w:val="007F5B80"/>
    <w:rsid w:val="007F654B"/>
    <w:rsid w:val="00814EE5"/>
    <w:rsid w:val="0082293E"/>
    <w:rsid w:val="0083045C"/>
    <w:rsid w:val="0083094A"/>
    <w:rsid w:val="008309B1"/>
    <w:rsid w:val="00831ABD"/>
    <w:rsid w:val="00841350"/>
    <w:rsid w:val="00853117"/>
    <w:rsid w:val="008645D9"/>
    <w:rsid w:val="0087207B"/>
    <w:rsid w:val="00872FDC"/>
    <w:rsid w:val="00884801"/>
    <w:rsid w:val="008934D6"/>
    <w:rsid w:val="008A4FEE"/>
    <w:rsid w:val="008A5AAC"/>
    <w:rsid w:val="008B1D5E"/>
    <w:rsid w:val="008B6785"/>
    <w:rsid w:val="008C4464"/>
    <w:rsid w:val="008C5894"/>
    <w:rsid w:val="008D09FF"/>
    <w:rsid w:val="008E6B1D"/>
    <w:rsid w:val="008F29E6"/>
    <w:rsid w:val="00900DD5"/>
    <w:rsid w:val="009022FD"/>
    <w:rsid w:val="0090744C"/>
    <w:rsid w:val="009125AD"/>
    <w:rsid w:val="00913FA1"/>
    <w:rsid w:val="00914249"/>
    <w:rsid w:val="009172DB"/>
    <w:rsid w:val="00924407"/>
    <w:rsid w:val="0093137C"/>
    <w:rsid w:val="00932737"/>
    <w:rsid w:val="0093725C"/>
    <w:rsid w:val="00941F56"/>
    <w:rsid w:val="0094548E"/>
    <w:rsid w:val="00956173"/>
    <w:rsid w:val="009561AE"/>
    <w:rsid w:val="00957CD0"/>
    <w:rsid w:val="00963740"/>
    <w:rsid w:val="00964B2F"/>
    <w:rsid w:val="00970C40"/>
    <w:rsid w:val="00975F56"/>
    <w:rsid w:val="009812B8"/>
    <w:rsid w:val="00982038"/>
    <w:rsid w:val="00991B22"/>
    <w:rsid w:val="00993BA5"/>
    <w:rsid w:val="009A205A"/>
    <w:rsid w:val="009A2AD5"/>
    <w:rsid w:val="009B08FC"/>
    <w:rsid w:val="009B0B1B"/>
    <w:rsid w:val="009B2391"/>
    <w:rsid w:val="009B53D8"/>
    <w:rsid w:val="009C2D59"/>
    <w:rsid w:val="009D18F1"/>
    <w:rsid w:val="009D1961"/>
    <w:rsid w:val="009D507B"/>
    <w:rsid w:val="009D7AE7"/>
    <w:rsid w:val="009E0198"/>
    <w:rsid w:val="009E22EF"/>
    <w:rsid w:val="009E31A5"/>
    <w:rsid w:val="009F0254"/>
    <w:rsid w:val="00A008EC"/>
    <w:rsid w:val="00A0522A"/>
    <w:rsid w:val="00A06682"/>
    <w:rsid w:val="00A22898"/>
    <w:rsid w:val="00A2542B"/>
    <w:rsid w:val="00A31089"/>
    <w:rsid w:val="00A60F2E"/>
    <w:rsid w:val="00A62491"/>
    <w:rsid w:val="00A630B9"/>
    <w:rsid w:val="00A654E6"/>
    <w:rsid w:val="00A7011E"/>
    <w:rsid w:val="00A70CE1"/>
    <w:rsid w:val="00A73945"/>
    <w:rsid w:val="00A75675"/>
    <w:rsid w:val="00A801A0"/>
    <w:rsid w:val="00A82125"/>
    <w:rsid w:val="00A87747"/>
    <w:rsid w:val="00A90D99"/>
    <w:rsid w:val="00A9411B"/>
    <w:rsid w:val="00A954C7"/>
    <w:rsid w:val="00A97BE1"/>
    <w:rsid w:val="00AA470E"/>
    <w:rsid w:val="00AA58A1"/>
    <w:rsid w:val="00AB326F"/>
    <w:rsid w:val="00AB5583"/>
    <w:rsid w:val="00AB5B5E"/>
    <w:rsid w:val="00AB73A8"/>
    <w:rsid w:val="00AC0FFE"/>
    <w:rsid w:val="00AC3A95"/>
    <w:rsid w:val="00AC52A2"/>
    <w:rsid w:val="00AD0E28"/>
    <w:rsid w:val="00AD2CBF"/>
    <w:rsid w:val="00AD2D58"/>
    <w:rsid w:val="00AD58AA"/>
    <w:rsid w:val="00AD7F58"/>
    <w:rsid w:val="00AE6BC8"/>
    <w:rsid w:val="00AF1F9B"/>
    <w:rsid w:val="00AF526C"/>
    <w:rsid w:val="00AF6143"/>
    <w:rsid w:val="00AF7380"/>
    <w:rsid w:val="00B01FD5"/>
    <w:rsid w:val="00B024B4"/>
    <w:rsid w:val="00B026C3"/>
    <w:rsid w:val="00B06232"/>
    <w:rsid w:val="00B07228"/>
    <w:rsid w:val="00B07373"/>
    <w:rsid w:val="00B10DA3"/>
    <w:rsid w:val="00B14771"/>
    <w:rsid w:val="00B179C2"/>
    <w:rsid w:val="00B17B92"/>
    <w:rsid w:val="00B20612"/>
    <w:rsid w:val="00B24C3C"/>
    <w:rsid w:val="00B2519F"/>
    <w:rsid w:val="00B313E9"/>
    <w:rsid w:val="00B31E9D"/>
    <w:rsid w:val="00B3225F"/>
    <w:rsid w:val="00B322E0"/>
    <w:rsid w:val="00B34CA4"/>
    <w:rsid w:val="00B462F2"/>
    <w:rsid w:val="00B465CF"/>
    <w:rsid w:val="00B46E41"/>
    <w:rsid w:val="00B51613"/>
    <w:rsid w:val="00B56352"/>
    <w:rsid w:val="00B57A65"/>
    <w:rsid w:val="00B61DB0"/>
    <w:rsid w:val="00B61FED"/>
    <w:rsid w:val="00B671A3"/>
    <w:rsid w:val="00B7065F"/>
    <w:rsid w:val="00B71230"/>
    <w:rsid w:val="00B74848"/>
    <w:rsid w:val="00B87943"/>
    <w:rsid w:val="00B91486"/>
    <w:rsid w:val="00B97BB3"/>
    <w:rsid w:val="00BA2FDA"/>
    <w:rsid w:val="00BA45F5"/>
    <w:rsid w:val="00BA67AD"/>
    <w:rsid w:val="00BC3B3A"/>
    <w:rsid w:val="00BD180E"/>
    <w:rsid w:val="00BD411F"/>
    <w:rsid w:val="00BE5B82"/>
    <w:rsid w:val="00BE6EAE"/>
    <w:rsid w:val="00BF4E4E"/>
    <w:rsid w:val="00BF5CCF"/>
    <w:rsid w:val="00BF6034"/>
    <w:rsid w:val="00C00C12"/>
    <w:rsid w:val="00C106CE"/>
    <w:rsid w:val="00C14BE6"/>
    <w:rsid w:val="00C24BF1"/>
    <w:rsid w:val="00C41329"/>
    <w:rsid w:val="00C42CEC"/>
    <w:rsid w:val="00C433FF"/>
    <w:rsid w:val="00C47BCC"/>
    <w:rsid w:val="00C52007"/>
    <w:rsid w:val="00C53CCD"/>
    <w:rsid w:val="00C57D30"/>
    <w:rsid w:val="00C66F95"/>
    <w:rsid w:val="00C73ADD"/>
    <w:rsid w:val="00C74D7D"/>
    <w:rsid w:val="00C753FE"/>
    <w:rsid w:val="00C8669D"/>
    <w:rsid w:val="00C8743A"/>
    <w:rsid w:val="00C919FB"/>
    <w:rsid w:val="00CA59F2"/>
    <w:rsid w:val="00CC3413"/>
    <w:rsid w:val="00CC671B"/>
    <w:rsid w:val="00CD2539"/>
    <w:rsid w:val="00CE4E4E"/>
    <w:rsid w:val="00CE5BDB"/>
    <w:rsid w:val="00CF15D8"/>
    <w:rsid w:val="00CF5F42"/>
    <w:rsid w:val="00D20ECD"/>
    <w:rsid w:val="00D2166C"/>
    <w:rsid w:val="00D23569"/>
    <w:rsid w:val="00D30910"/>
    <w:rsid w:val="00D35421"/>
    <w:rsid w:val="00D4151E"/>
    <w:rsid w:val="00D43FCE"/>
    <w:rsid w:val="00D444CD"/>
    <w:rsid w:val="00D50037"/>
    <w:rsid w:val="00D73C7F"/>
    <w:rsid w:val="00D81130"/>
    <w:rsid w:val="00D942AF"/>
    <w:rsid w:val="00D9463B"/>
    <w:rsid w:val="00DA3189"/>
    <w:rsid w:val="00DA3A21"/>
    <w:rsid w:val="00DA5D0B"/>
    <w:rsid w:val="00DB19D0"/>
    <w:rsid w:val="00DB5216"/>
    <w:rsid w:val="00DC13DA"/>
    <w:rsid w:val="00DC49BD"/>
    <w:rsid w:val="00DC5F06"/>
    <w:rsid w:val="00DD45E3"/>
    <w:rsid w:val="00DD6A76"/>
    <w:rsid w:val="00DE0958"/>
    <w:rsid w:val="00DE64C4"/>
    <w:rsid w:val="00DF037E"/>
    <w:rsid w:val="00DF2060"/>
    <w:rsid w:val="00DF6304"/>
    <w:rsid w:val="00E000B9"/>
    <w:rsid w:val="00E039C5"/>
    <w:rsid w:val="00E03A4B"/>
    <w:rsid w:val="00E27145"/>
    <w:rsid w:val="00E315EE"/>
    <w:rsid w:val="00E37264"/>
    <w:rsid w:val="00E41AB6"/>
    <w:rsid w:val="00E5396E"/>
    <w:rsid w:val="00E61475"/>
    <w:rsid w:val="00E62EF6"/>
    <w:rsid w:val="00E71F36"/>
    <w:rsid w:val="00E811C1"/>
    <w:rsid w:val="00E859FA"/>
    <w:rsid w:val="00E85B3F"/>
    <w:rsid w:val="00E90A5A"/>
    <w:rsid w:val="00E928CA"/>
    <w:rsid w:val="00E94410"/>
    <w:rsid w:val="00E9780D"/>
    <w:rsid w:val="00EA0745"/>
    <w:rsid w:val="00EA2106"/>
    <w:rsid w:val="00EA7C96"/>
    <w:rsid w:val="00EB02D9"/>
    <w:rsid w:val="00EB0C0B"/>
    <w:rsid w:val="00EB32F9"/>
    <w:rsid w:val="00EB6093"/>
    <w:rsid w:val="00EC3B38"/>
    <w:rsid w:val="00EC3CED"/>
    <w:rsid w:val="00EC74AE"/>
    <w:rsid w:val="00ED6A6B"/>
    <w:rsid w:val="00EE04C1"/>
    <w:rsid w:val="00EE2BBA"/>
    <w:rsid w:val="00EE58F1"/>
    <w:rsid w:val="00EF0350"/>
    <w:rsid w:val="00F05440"/>
    <w:rsid w:val="00F10C64"/>
    <w:rsid w:val="00F16569"/>
    <w:rsid w:val="00F17CBC"/>
    <w:rsid w:val="00F31831"/>
    <w:rsid w:val="00F320B3"/>
    <w:rsid w:val="00F35020"/>
    <w:rsid w:val="00F42555"/>
    <w:rsid w:val="00F52B0E"/>
    <w:rsid w:val="00F71CCB"/>
    <w:rsid w:val="00FA1905"/>
    <w:rsid w:val="00FA3835"/>
    <w:rsid w:val="00FB012C"/>
    <w:rsid w:val="00FB44DD"/>
    <w:rsid w:val="00FB5913"/>
    <w:rsid w:val="00FB636C"/>
    <w:rsid w:val="00FD08F7"/>
    <w:rsid w:val="00FE007F"/>
    <w:rsid w:val="00FE1106"/>
    <w:rsid w:val="00FE22D5"/>
    <w:rsid w:val="00FE2AD0"/>
    <w:rsid w:val="00FE3A7A"/>
    <w:rsid w:val="00FE5D8F"/>
    <w:rsid w:val="00FF574F"/>
    <w:rsid w:val="00FF5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357F6D2"/>
  <w15:chartTrackingRefBased/>
  <w15:docId w15:val="{47E78C7E-F93C-4423-A88C-35405AB0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906"/>
    <w:pPr>
      <w:suppressAutoHyphens/>
      <w:spacing w:line="360" w:lineRule="auto"/>
      <w:jc w:val="both"/>
    </w:pPr>
    <w:rPr>
      <w:rFonts w:ascii="Arial" w:eastAsia="Calibri" w:hAnsi="Arial"/>
      <w:color w:val="000000"/>
      <w:sz w:val="22"/>
      <w:szCs w:val="22"/>
      <w:lang w:eastAsia="ar-SA"/>
    </w:rPr>
  </w:style>
  <w:style w:type="paragraph" w:styleId="Heading1">
    <w:name w:val="heading 1"/>
    <w:basedOn w:val="Normal"/>
    <w:next w:val="Normal"/>
    <w:qFormat/>
    <w:rsid w:val="001D2906"/>
    <w:pPr>
      <w:keepNext/>
      <w:keepLines/>
      <w:numPr>
        <w:numId w:val="1"/>
      </w:numPr>
      <w:spacing w:before="113"/>
      <w:outlineLvl w:val="0"/>
    </w:pPr>
    <w:rPr>
      <w:rFonts w:eastAsia="Times New Roman"/>
      <w:b/>
      <w:bCs/>
      <w:szCs w:val="28"/>
    </w:rPr>
  </w:style>
  <w:style w:type="paragraph" w:styleId="Heading2">
    <w:name w:val="heading 2"/>
    <w:basedOn w:val="Normal"/>
    <w:next w:val="Normal"/>
    <w:qFormat/>
    <w:pPr>
      <w:keepNext/>
      <w:keepLines/>
      <w:numPr>
        <w:ilvl w:val="1"/>
        <w:numId w:val="1"/>
      </w:numPr>
      <w:spacing w:before="113"/>
      <w:outlineLvl w:val="1"/>
    </w:pPr>
    <w:rPr>
      <w:rFonts w:ascii="Times New Roman" w:eastAsia="Times New Roman" w:hAnsi="Times New Roman"/>
      <w:bCs/>
      <w:sz w:val="24"/>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styleId="DefaultParagraphFont0">
    <w:name w:val="Default Paragraph Font"/>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eastAsia="Droid Sans"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rFonts w:ascii="Times New Roman" w:hAnsi="Times New Roman"/>
      <w:sz w:val="24"/>
      <w:szCs w:val="24"/>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454D5E"/>
    <w:rPr>
      <w:i/>
      <w:iCs/>
    </w:rPr>
  </w:style>
  <w:style w:type="paragraph" w:customStyle="1" w:styleId="Default">
    <w:name w:val="Default"/>
    <w:rsid w:val="003407C3"/>
    <w:pPr>
      <w:autoSpaceDE w:val="0"/>
      <w:autoSpaceDN w:val="0"/>
      <w:adjustRightInd w:val="0"/>
    </w:pPr>
    <w:rPr>
      <w:rFonts w:ascii="Arial" w:hAnsi="Arial" w:cs="Arial"/>
      <w:color w:val="000000"/>
      <w:sz w:val="24"/>
      <w:szCs w:val="24"/>
      <w:lang w:val="en-IN" w:eastAsia="en-IN"/>
    </w:rPr>
  </w:style>
  <w:style w:type="character" w:styleId="UnresolvedMention">
    <w:name w:val="Unresolved Mention"/>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30094238">
      <w:bodyDiv w:val="1"/>
      <w:marLeft w:val="0"/>
      <w:marRight w:val="0"/>
      <w:marTop w:val="0"/>
      <w:marBottom w:val="0"/>
      <w:divBdr>
        <w:top w:val="none" w:sz="0" w:space="0" w:color="auto"/>
        <w:left w:val="none" w:sz="0" w:space="0" w:color="auto"/>
        <w:bottom w:val="none" w:sz="0" w:space="0" w:color="auto"/>
        <w:right w:val="none" w:sz="0" w:space="0" w:color="auto"/>
      </w:divBdr>
      <w:divsChild>
        <w:div w:id="1894582680">
          <w:marLeft w:val="0"/>
          <w:marRight w:val="0"/>
          <w:marTop w:val="0"/>
          <w:marBottom w:val="0"/>
          <w:divBdr>
            <w:top w:val="none" w:sz="0" w:space="0" w:color="auto"/>
            <w:left w:val="none" w:sz="0" w:space="0" w:color="auto"/>
            <w:bottom w:val="none" w:sz="0" w:space="0" w:color="auto"/>
            <w:right w:val="none" w:sz="0" w:space="0" w:color="auto"/>
          </w:divBdr>
        </w:div>
      </w:divsChild>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3390/nu16071015" TargetMode="External"/><Relationship Id="rId18" Type="http://schemas.openxmlformats.org/officeDocument/2006/relationships/hyperlink" Target="https://doi.org/10.1007/978-981-16-0723-3_9"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ncbi.nlm.nih.gov/books/NBK555976/" TargetMode="External"/><Relationship Id="rId7" Type="http://schemas.openxmlformats.org/officeDocument/2006/relationships/settings" Target="settings.xml"/><Relationship Id="rId12" Type="http://schemas.openxmlformats.org/officeDocument/2006/relationships/hyperlink" Target="https://doi.org/10.7759/cureus.49901" TargetMode="External"/><Relationship Id="rId17" Type="http://schemas.openxmlformats.org/officeDocument/2006/relationships/hyperlink" Target="https://www.ncbi.nlm.nih.gov/books/NBK513253/" TargetMode="External"/><Relationship Id="rId25" Type="http://schemas.openxmlformats.org/officeDocument/2006/relationships/hyperlink" Target="https://doi.org/10.1002/9781119597797.ch22" TargetMode="External"/><Relationship Id="rId2" Type="http://schemas.openxmlformats.org/officeDocument/2006/relationships/customXml" Target="../customXml/item2.xml"/><Relationship Id="rId16" Type="http://schemas.openxmlformats.org/officeDocument/2006/relationships/hyperlink" Target="https://doi.org/10.3390/ijms24119352" TargetMode="External"/><Relationship Id="rId20" Type="http://schemas.openxmlformats.org/officeDocument/2006/relationships/hyperlink" Target="https://doi.org/10.3390/nu1307237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j.freeradbiomed.2022.03.019" TargetMode="External"/><Relationship Id="rId24" Type="http://schemas.openxmlformats.org/officeDocument/2006/relationships/hyperlink" Target="https://doi.org/10.1152/physrev.00033.2024" TargetMode="External"/><Relationship Id="rId5" Type="http://schemas.openxmlformats.org/officeDocument/2006/relationships/numbering" Target="numbering.xml"/><Relationship Id="rId15" Type="http://schemas.openxmlformats.org/officeDocument/2006/relationships/hyperlink" Target="https://doi.org/10.1042/bst20221066" TargetMode="External"/><Relationship Id="rId23" Type="http://schemas.openxmlformats.org/officeDocument/2006/relationships/hyperlink" Target="https://doi.org/10.3390/ijms241612676"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3389/fcvm.2021.6746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249/jes.0000000000000224" TargetMode="External"/><Relationship Id="rId22" Type="http://schemas.openxmlformats.org/officeDocument/2006/relationships/hyperlink" Target="https://www.england.nhs.uk/2024/06/nhs-identifies-over-half-a-million-more-people-at-risk-of-type-2-diabetes-in-a-yea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6" ma:contentTypeDescription="Create a new document." ma:contentTypeScope="" ma:versionID="eb3fdbadfecb7132f60cdc100b940351">
  <xsd:schema xmlns:xsd="http://www.w3.org/2001/XMLSchema" xmlns:xs="http://www.w3.org/2001/XMLSchema" xmlns:p="http://schemas.microsoft.com/office/2006/metadata/properties" xmlns:ns3="ad7316b1-23f1-480c-8fa6-cbf037f4db9c" targetNamespace="http://schemas.microsoft.com/office/2006/metadata/properties" ma:root="true" ma:fieldsID="fecd5b0f0352ae3875e8c92a39b7bbf3"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559FD29C-B429-440A-AFAF-E743E421F87F}">
  <ds:schemaRefs>
    <ds:schemaRef ds:uri="http://schemas.openxmlformats.org/officeDocument/2006/bibliography"/>
  </ds:schemaRefs>
</ds:datastoreItem>
</file>

<file path=customXml/itemProps2.xml><?xml version="1.0" encoding="utf-8"?>
<ds:datastoreItem xmlns:ds="http://schemas.openxmlformats.org/officeDocument/2006/customXml" ds:itemID="{7A020705-2E76-41C5-8524-2686E43BD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8977DD-68D3-4B8E-BDCC-0D351526E685}">
  <ds:schemaRefs>
    <ds:schemaRef ds:uri="http://schemas.microsoft.com/sharepoint/v3/contenttype/forms"/>
  </ds:schemaRefs>
</ds:datastoreItem>
</file>

<file path=customXml/itemProps4.xml><?xml version="1.0" encoding="utf-8"?>
<ds:datastoreItem xmlns:ds="http://schemas.openxmlformats.org/officeDocument/2006/customXml" ds:itemID="{5A9FE13C-8B3E-4A58-BBF5-D13EBB9CD154}">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2958</Words>
  <Characters>16864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19783</CharactersWithSpaces>
  <SharedDoc>false</SharedDoc>
  <HLinks>
    <vt:vector size="90" baseType="variant">
      <vt:variant>
        <vt:i4>7012409</vt:i4>
      </vt:variant>
      <vt:variant>
        <vt:i4>69</vt:i4>
      </vt:variant>
      <vt:variant>
        <vt:i4>0</vt:i4>
      </vt:variant>
      <vt:variant>
        <vt:i4>5</vt:i4>
      </vt:variant>
      <vt:variant>
        <vt:lpwstr>https://doi.org/10.1002/9781119597797.ch22</vt:lpwstr>
      </vt:variant>
      <vt:variant>
        <vt:lpwstr/>
      </vt:variant>
      <vt:variant>
        <vt:i4>7274599</vt:i4>
      </vt:variant>
      <vt:variant>
        <vt:i4>66</vt:i4>
      </vt:variant>
      <vt:variant>
        <vt:i4>0</vt:i4>
      </vt:variant>
      <vt:variant>
        <vt:i4>5</vt:i4>
      </vt:variant>
      <vt:variant>
        <vt:lpwstr>https://doi.org/10.1152/physrev.00033.2024</vt:lpwstr>
      </vt:variant>
      <vt:variant>
        <vt:lpwstr/>
      </vt:variant>
      <vt:variant>
        <vt:i4>393305</vt:i4>
      </vt:variant>
      <vt:variant>
        <vt:i4>63</vt:i4>
      </vt:variant>
      <vt:variant>
        <vt:i4>0</vt:i4>
      </vt:variant>
      <vt:variant>
        <vt:i4>5</vt:i4>
      </vt:variant>
      <vt:variant>
        <vt:lpwstr>https://doi.org/10.3390/ijms241612676</vt:lpwstr>
      </vt:variant>
      <vt:variant>
        <vt:lpwstr/>
      </vt:variant>
      <vt:variant>
        <vt:i4>3014719</vt:i4>
      </vt:variant>
      <vt:variant>
        <vt:i4>60</vt:i4>
      </vt:variant>
      <vt:variant>
        <vt:i4>0</vt:i4>
      </vt:variant>
      <vt:variant>
        <vt:i4>5</vt:i4>
      </vt:variant>
      <vt:variant>
        <vt:lpwstr>https://www.england.nhs.uk/2024/06/nhs-identifies-over-half-a-million-more-people-at-risk-of-type-2-diabetes-in-a-year/</vt:lpwstr>
      </vt:variant>
      <vt:variant>
        <vt:lpwstr/>
      </vt:variant>
      <vt:variant>
        <vt:i4>1507417</vt:i4>
      </vt:variant>
      <vt:variant>
        <vt:i4>57</vt:i4>
      </vt:variant>
      <vt:variant>
        <vt:i4>0</vt:i4>
      </vt:variant>
      <vt:variant>
        <vt:i4>5</vt:i4>
      </vt:variant>
      <vt:variant>
        <vt:lpwstr>https://www.ncbi.nlm.nih.gov/books/NBK555976/</vt:lpwstr>
      </vt:variant>
      <vt:variant>
        <vt:lpwstr/>
      </vt:variant>
      <vt:variant>
        <vt:i4>6422579</vt:i4>
      </vt:variant>
      <vt:variant>
        <vt:i4>54</vt:i4>
      </vt:variant>
      <vt:variant>
        <vt:i4>0</vt:i4>
      </vt:variant>
      <vt:variant>
        <vt:i4>5</vt:i4>
      </vt:variant>
      <vt:variant>
        <vt:lpwstr>https://doi.org/10.3390/nu13072378</vt:lpwstr>
      </vt:variant>
      <vt:variant>
        <vt:lpwstr/>
      </vt:variant>
      <vt:variant>
        <vt:i4>655455</vt:i4>
      </vt:variant>
      <vt:variant>
        <vt:i4>51</vt:i4>
      </vt:variant>
      <vt:variant>
        <vt:i4>0</vt:i4>
      </vt:variant>
      <vt:variant>
        <vt:i4>5</vt:i4>
      </vt:variant>
      <vt:variant>
        <vt:lpwstr>https://doi.org/10.3389/fcvm.2021.674622</vt:lpwstr>
      </vt:variant>
      <vt:variant>
        <vt:lpwstr/>
      </vt:variant>
      <vt:variant>
        <vt:i4>5898367</vt:i4>
      </vt:variant>
      <vt:variant>
        <vt:i4>48</vt:i4>
      </vt:variant>
      <vt:variant>
        <vt:i4>0</vt:i4>
      </vt:variant>
      <vt:variant>
        <vt:i4>5</vt:i4>
      </vt:variant>
      <vt:variant>
        <vt:lpwstr>https://doi.org/10.1007/978-981-16-0723-3_9</vt:lpwstr>
      </vt:variant>
      <vt:variant>
        <vt:lpwstr/>
      </vt:variant>
      <vt:variant>
        <vt:i4>1900637</vt:i4>
      </vt:variant>
      <vt:variant>
        <vt:i4>45</vt:i4>
      </vt:variant>
      <vt:variant>
        <vt:i4>0</vt:i4>
      </vt:variant>
      <vt:variant>
        <vt:i4>5</vt:i4>
      </vt:variant>
      <vt:variant>
        <vt:lpwstr>https://www.ncbi.nlm.nih.gov/books/NBK513253/</vt:lpwstr>
      </vt:variant>
      <vt:variant>
        <vt:lpwstr/>
      </vt:variant>
      <vt:variant>
        <vt:i4>327762</vt:i4>
      </vt:variant>
      <vt:variant>
        <vt:i4>42</vt:i4>
      </vt:variant>
      <vt:variant>
        <vt:i4>0</vt:i4>
      </vt:variant>
      <vt:variant>
        <vt:i4>5</vt:i4>
      </vt:variant>
      <vt:variant>
        <vt:lpwstr>https://doi.org/10.3390/ijms24119352</vt:lpwstr>
      </vt:variant>
      <vt:variant>
        <vt:lpwstr/>
      </vt:variant>
      <vt:variant>
        <vt:i4>6488188</vt:i4>
      </vt:variant>
      <vt:variant>
        <vt:i4>39</vt:i4>
      </vt:variant>
      <vt:variant>
        <vt:i4>0</vt:i4>
      </vt:variant>
      <vt:variant>
        <vt:i4>5</vt:i4>
      </vt:variant>
      <vt:variant>
        <vt:lpwstr>https://doi.org/10.1042/bst20221066</vt:lpwstr>
      </vt:variant>
      <vt:variant>
        <vt:lpwstr/>
      </vt:variant>
      <vt:variant>
        <vt:i4>5898314</vt:i4>
      </vt:variant>
      <vt:variant>
        <vt:i4>36</vt:i4>
      </vt:variant>
      <vt:variant>
        <vt:i4>0</vt:i4>
      </vt:variant>
      <vt:variant>
        <vt:i4>5</vt:i4>
      </vt:variant>
      <vt:variant>
        <vt:lpwstr>https://doi.org/10.1249/jes.0000000000000224</vt:lpwstr>
      </vt:variant>
      <vt:variant>
        <vt:lpwstr/>
      </vt:variant>
      <vt:variant>
        <vt:i4>6881334</vt:i4>
      </vt:variant>
      <vt:variant>
        <vt:i4>33</vt:i4>
      </vt:variant>
      <vt:variant>
        <vt:i4>0</vt:i4>
      </vt:variant>
      <vt:variant>
        <vt:i4>5</vt:i4>
      </vt:variant>
      <vt:variant>
        <vt:lpwstr>https://doi.org/10.3390/nu16071015</vt:lpwstr>
      </vt:variant>
      <vt:variant>
        <vt:lpwstr/>
      </vt:variant>
      <vt:variant>
        <vt:i4>5177367</vt:i4>
      </vt:variant>
      <vt:variant>
        <vt:i4>30</vt:i4>
      </vt:variant>
      <vt:variant>
        <vt:i4>0</vt:i4>
      </vt:variant>
      <vt:variant>
        <vt:i4>5</vt:i4>
      </vt:variant>
      <vt:variant>
        <vt:lpwstr>https://doi.org/10.7759/cureus.49901</vt:lpwstr>
      </vt:variant>
      <vt:variant>
        <vt:lpwstr/>
      </vt:variant>
      <vt:variant>
        <vt:i4>2162798</vt:i4>
      </vt:variant>
      <vt:variant>
        <vt:i4>27</vt:i4>
      </vt:variant>
      <vt:variant>
        <vt:i4>0</vt:i4>
      </vt:variant>
      <vt:variant>
        <vt:i4>5</vt:i4>
      </vt:variant>
      <vt:variant>
        <vt:lpwstr>https://doi.org/10.1016/j.freeradbiomed.2022.03.019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Ileana Cristina Marin (2314523)</cp:lastModifiedBy>
  <cp:revision>2</cp:revision>
  <cp:lastPrinted>1601-01-01T00:00:00Z</cp:lastPrinted>
  <dcterms:created xsi:type="dcterms:W3CDTF">2026-02-23T09:40:00Z</dcterms:created>
  <dcterms:modified xsi:type="dcterms:W3CDTF">2026-02-23T09:40:00Z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f4ec1ae5-babf-4baa-bc72-114edb12380d</vt:lpwstr>
  </property>
  <property fmtid="{D5CDD505-2E9C-101B-9397-08002B2CF9AE}" pid="3" name="ContentTypeId">
    <vt:lpwstr>0x01010096C48B67E562FF45ADD1FE43E2BC7706</vt:lpwstr>
  </property>
</Properties>
</file>