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19B615" w14:textId="08B3CFA3" w:rsidR="004A4E9A" w:rsidRDefault="00056B94" w:rsidP="00056B94">
      <w:pPr>
        <w:pStyle w:val="Heading3"/>
      </w:pPr>
      <w:r>
        <w:t xml:space="preserve">                             </w:t>
      </w:r>
      <w:r w:rsidR="00E12BBE" w:rsidRPr="00E12BBE">
        <w:t>Programme: BA (Hons) Business Management</w:t>
      </w:r>
      <w:r>
        <w:t xml:space="preserve">  </w:t>
      </w:r>
    </w:p>
    <w:p w14:paraId="13E872BC" w14:textId="1F13F652" w:rsidR="00E12BBE" w:rsidRDefault="00E12BBE" w:rsidP="00E63950">
      <w:pPr>
        <w:pStyle w:val="Heading3"/>
      </w:pPr>
      <w:r>
        <w:t xml:space="preserve">                              </w:t>
      </w:r>
      <w:r w:rsidR="00E63950">
        <w:t>Prin</w:t>
      </w:r>
      <w:r w:rsidR="008D0AD3">
        <w:t>ciples of Human Resources Management</w:t>
      </w:r>
    </w:p>
    <w:p w14:paraId="59A0A7BB" w14:textId="77777777" w:rsidR="008D0AD3" w:rsidRDefault="008D0AD3" w:rsidP="008D0AD3"/>
    <w:p w14:paraId="1FD60539" w14:textId="77777777" w:rsidR="008D0AD3" w:rsidRDefault="008D0AD3" w:rsidP="008D0AD3"/>
    <w:p w14:paraId="5527A1D5" w14:textId="48253705" w:rsidR="008D0AD3" w:rsidRDefault="008D0AD3" w:rsidP="008D0AD3">
      <w:r>
        <w:t xml:space="preserve">                      </w:t>
      </w:r>
    </w:p>
    <w:p w14:paraId="6B0A592D" w14:textId="77777777" w:rsidR="00F239F0" w:rsidRDefault="008D0AD3" w:rsidP="00F239F0">
      <w:r>
        <w:t xml:space="preserve">                                       </w:t>
      </w:r>
      <w:r w:rsidR="00F239F0">
        <w:t xml:space="preserve">            Student Name: Gina Nicoleta Raducan</w:t>
      </w:r>
    </w:p>
    <w:p w14:paraId="070C143A" w14:textId="77777777" w:rsidR="00F239F0" w:rsidRDefault="00F239F0" w:rsidP="00F239F0"/>
    <w:p w14:paraId="1C7FF89E" w14:textId="17BE0824" w:rsidR="008D0AD3" w:rsidRDefault="00F239F0" w:rsidP="00F239F0">
      <w:r>
        <w:t xml:space="preserve">                                                                     Student ID: 2232821</w:t>
      </w:r>
    </w:p>
    <w:p w14:paraId="079AC22F" w14:textId="77777777" w:rsidR="00F239F0" w:rsidRDefault="00F239F0" w:rsidP="00F239F0"/>
    <w:p w14:paraId="598E7041" w14:textId="029D2B34" w:rsidR="00F239F0" w:rsidRPr="00FE1C81" w:rsidRDefault="00C22E32" w:rsidP="00F239F0">
      <w:pPr>
        <w:rPr>
          <w:rFonts w:ascii="Arial" w:hAnsi="Arial" w:cs="Arial"/>
        </w:rPr>
      </w:pPr>
      <w:r w:rsidRPr="00FE1C81">
        <w:rPr>
          <w:rFonts w:ascii="Arial" w:hAnsi="Arial" w:cs="Arial"/>
        </w:rPr>
        <w:t xml:space="preserve">Table of Contents </w:t>
      </w:r>
    </w:p>
    <w:p w14:paraId="2718D451" w14:textId="6449ADB1" w:rsidR="00C22E32" w:rsidRPr="00FE1C81" w:rsidRDefault="00165487" w:rsidP="00165487">
      <w:pPr>
        <w:pStyle w:val="ListParagraph"/>
        <w:numPr>
          <w:ilvl w:val="0"/>
          <w:numId w:val="1"/>
        </w:numPr>
        <w:rPr>
          <w:rFonts w:ascii="Arial" w:hAnsi="Arial" w:cs="Arial"/>
        </w:rPr>
      </w:pPr>
      <w:r w:rsidRPr="00FE1C81">
        <w:rPr>
          <w:rFonts w:ascii="Arial" w:hAnsi="Arial" w:cs="Arial"/>
        </w:rPr>
        <w:t>Introduction</w:t>
      </w:r>
    </w:p>
    <w:p w14:paraId="0B95ADAD" w14:textId="06CA792D" w:rsidR="00165487" w:rsidRPr="00FE1C81" w:rsidRDefault="00165487" w:rsidP="00165487">
      <w:pPr>
        <w:pStyle w:val="ListParagraph"/>
        <w:numPr>
          <w:ilvl w:val="0"/>
          <w:numId w:val="1"/>
        </w:numPr>
        <w:rPr>
          <w:rFonts w:ascii="Arial" w:hAnsi="Arial" w:cs="Arial"/>
        </w:rPr>
      </w:pPr>
      <w:r w:rsidRPr="00FE1C81">
        <w:rPr>
          <w:rFonts w:ascii="Arial" w:hAnsi="Arial" w:cs="Arial"/>
        </w:rPr>
        <w:t xml:space="preserve">Internal and </w:t>
      </w:r>
      <w:r w:rsidR="00C7720C" w:rsidRPr="00FE1C81">
        <w:rPr>
          <w:rFonts w:ascii="Arial" w:hAnsi="Arial" w:cs="Arial"/>
        </w:rPr>
        <w:t>External Environment</w:t>
      </w:r>
    </w:p>
    <w:p w14:paraId="68BB5C11" w14:textId="00C911B0" w:rsidR="00C7720C" w:rsidRPr="00FE1C81" w:rsidRDefault="00C7720C" w:rsidP="00165487">
      <w:pPr>
        <w:pStyle w:val="ListParagraph"/>
        <w:numPr>
          <w:ilvl w:val="0"/>
          <w:numId w:val="1"/>
        </w:numPr>
        <w:rPr>
          <w:rFonts w:ascii="Arial" w:hAnsi="Arial" w:cs="Arial"/>
        </w:rPr>
      </w:pPr>
      <w:r w:rsidRPr="00FE1C81">
        <w:rPr>
          <w:rFonts w:ascii="Arial" w:hAnsi="Arial" w:cs="Arial"/>
        </w:rPr>
        <w:t xml:space="preserve">Organisation </w:t>
      </w:r>
      <w:r w:rsidR="00D17978" w:rsidRPr="00FE1C81">
        <w:rPr>
          <w:rFonts w:ascii="Arial" w:hAnsi="Arial" w:cs="Arial"/>
        </w:rPr>
        <w:t>Application</w:t>
      </w:r>
    </w:p>
    <w:p w14:paraId="0529E190" w14:textId="6479883B" w:rsidR="00D17978" w:rsidRPr="00FE1C81" w:rsidRDefault="00D17978" w:rsidP="00165487">
      <w:pPr>
        <w:pStyle w:val="ListParagraph"/>
        <w:numPr>
          <w:ilvl w:val="0"/>
          <w:numId w:val="1"/>
        </w:numPr>
        <w:rPr>
          <w:rFonts w:ascii="Arial" w:hAnsi="Arial" w:cs="Arial"/>
        </w:rPr>
      </w:pPr>
      <w:r w:rsidRPr="00FE1C81">
        <w:rPr>
          <w:rFonts w:ascii="Arial" w:hAnsi="Arial" w:cs="Arial"/>
        </w:rPr>
        <w:t xml:space="preserve">Application of the PASTLE Model </w:t>
      </w:r>
    </w:p>
    <w:p w14:paraId="41514A3D" w14:textId="32BC3107" w:rsidR="00D17978" w:rsidRPr="00FE1C81" w:rsidRDefault="00D17978" w:rsidP="00165487">
      <w:pPr>
        <w:pStyle w:val="ListParagraph"/>
        <w:numPr>
          <w:ilvl w:val="0"/>
          <w:numId w:val="1"/>
        </w:numPr>
        <w:rPr>
          <w:rFonts w:ascii="Arial" w:hAnsi="Arial" w:cs="Arial"/>
        </w:rPr>
      </w:pPr>
      <w:r w:rsidRPr="00FE1C81">
        <w:rPr>
          <w:rFonts w:ascii="Arial" w:hAnsi="Arial" w:cs="Arial"/>
        </w:rPr>
        <w:t>Conclu</w:t>
      </w:r>
      <w:r w:rsidR="00587313" w:rsidRPr="00FE1C81">
        <w:rPr>
          <w:rFonts w:ascii="Arial" w:hAnsi="Arial" w:cs="Arial"/>
        </w:rPr>
        <w:t>sion</w:t>
      </w:r>
    </w:p>
    <w:p w14:paraId="52A07AC4" w14:textId="471FE28A" w:rsidR="00587313" w:rsidRPr="00FE1C81" w:rsidRDefault="00587313" w:rsidP="00165487">
      <w:pPr>
        <w:pStyle w:val="ListParagraph"/>
        <w:numPr>
          <w:ilvl w:val="0"/>
          <w:numId w:val="1"/>
        </w:numPr>
        <w:rPr>
          <w:rFonts w:ascii="Arial" w:hAnsi="Arial" w:cs="Arial"/>
        </w:rPr>
      </w:pPr>
      <w:r w:rsidRPr="00FE1C81">
        <w:rPr>
          <w:rFonts w:ascii="Arial" w:hAnsi="Arial" w:cs="Arial"/>
        </w:rPr>
        <w:t>Reference</w:t>
      </w:r>
    </w:p>
    <w:p w14:paraId="6EC5B0B7" w14:textId="77777777" w:rsidR="00587313" w:rsidRPr="00FE1C81" w:rsidRDefault="00587313" w:rsidP="00587313">
      <w:pPr>
        <w:rPr>
          <w:rFonts w:ascii="Arial" w:hAnsi="Arial" w:cs="Arial"/>
        </w:rPr>
      </w:pPr>
    </w:p>
    <w:p w14:paraId="16927342" w14:textId="77777777" w:rsidR="00587313" w:rsidRPr="00FE1C81" w:rsidRDefault="00587313" w:rsidP="00587313">
      <w:pPr>
        <w:rPr>
          <w:rFonts w:ascii="Arial" w:hAnsi="Arial" w:cs="Arial"/>
        </w:rPr>
      </w:pPr>
    </w:p>
    <w:p w14:paraId="71BFF863" w14:textId="77777777" w:rsidR="00587313" w:rsidRPr="00FE1C81" w:rsidRDefault="00587313" w:rsidP="00587313">
      <w:pPr>
        <w:rPr>
          <w:rFonts w:ascii="Arial" w:hAnsi="Arial" w:cs="Arial"/>
          <w:sz w:val="24"/>
          <w:szCs w:val="24"/>
        </w:rPr>
      </w:pPr>
    </w:p>
    <w:p w14:paraId="3F6EAE4E" w14:textId="77777777" w:rsidR="002C566D" w:rsidRPr="00FE1C81" w:rsidRDefault="002C566D" w:rsidP="002C566D">
      <w:pPr>
        <w:pStyle w:val="Title"/>
        <w:rPr>
          <w:rFonts w:ascii="Arial" w:hAnsi="Arial" w:cs="Arial"/>
          <w:sz w:val="24"/>
          <w:szCs w:val="24"/>
        </w:rPr>
      </w:pPr>
      <w:r w:rsidRPr="00FE1C81">
        <w:rPr>
          <w:rFonts w:ascii="Arial" w:hAnsi="Arial" w:cs="Arial"/>
          <w:sz w:val="24"/>
          <w:szCs w:val="24"/>
        </w:rPr>
        <w:t>The Influence of Environmental Factors on the Effectiveness of Human Resource Management in Global Organisations:</w:t>
      </w:r>
    </w:p>
    <w:p w14:paraId="26A92619" w14:textId="1421C1D4" w:rsidR="00587313" w:rsidRPr="00FE1C81" w:rsidRDefault="002C566D" w:rsidP="002C566D">
      <w:pPr>
        <w:pStyle w:val="Title"/>
        <w:rPr>
          <w:rFonts w:ascii="Arial" w:hAnsi="Arial" w:cs="Arial"/>
          <w:sz w:val="24"/>
          <w:szCs w:val="24"/>
        </w:rPr>
      </w:pPr>
      <w:r w:rsidRPr="00FE1C81">
        <w:rPr>
          <w:rFonts w:ascii="Arial" w:hAnsi="Arial" w:cs="Arial"/>
          <w:sz w:val="24"/>
          <w:szCs w:val="24"/>
        </w:rPr>
        <w:t>A PESTLE Analysis of Unilever</w:t>
      </w:r>
    </w:p>
    <w:p w14:paraId="7DD45258" w14:textId="77777777" w:rsidR="00780100" w:rsidRPr="00FE1C81" w:rsidRDefault="00780100" w:rsidP="00780100">
      <w:pPr>
        <w:rPr>
          <w:rFonts w:ascii="Arial" w:hAnsi="Arial" w:cs="Arial"/>
          <w:b/>
          <w:bCs/>
        </w:rPr>
      </w:pPr>
    </w:p>
    <w:p w14:paraId="14E825D2" w14:textId="61A69698" w:rsidR="00780100" w:rsidRPr="00FE1C81" w:rsidRDefault="00C90F41" w:rsidP="00780100">
      <w:pPr>
        <w:rPr>
          <w:rFonts w:ascii="Arial" w:hAnsi="Arial" w:cs="Arial"/>
          <w:b/>
          <w:bCs/>
          <w:sz w:val="24"/>
          <w:szCs w:val="24"/>
        </w:rPr>
      </w:pPr>
      <w:r w:rsidRPr="00FE1C81">
        <w:rPr>
          <w:rFonts w:ascii="Arial" w:hAnsi="Arial" w:cs="Arial"/>
          <w:b/>
          <w:bCs/>
          <w:sz w:val="24"/>
          <w:szCs w:val="24"/>
        </w:rPr>
        <w:t xml:space="preserve">        </w:t>
      </w:r>
      <w:r w:rsidR="00FE1C81">
        <w:rPr>
          <w:rFonts w:ascii="Arial" w:hAnsi="Arial" w:cs="Arial"/>
          <w:b/>
          <w:bCs/>
          <w:sz w:val="24"/>
          <w:szCs w:val="24"/>
        </w:rPr>
        <w:t xml:space="preserve"> I.</w:t>
      </w:r>
      <w:r w:rsidRPr="00FE1C81">
        <w:rPr>
          <w:rFonts w:ascii="Arial" w:hAnsi="Arial" w:cs="Arial"/>
          <w:b/>
          <w:bCs/>
          <w:sz w:val="24"/>
          <w:szCs w:val="24"/>
        </w:rPr>
        <w:t xml:space="preserve">      </w:t>
      </w:r>
      <w:r w:rsidR="00780100" w:rsidRPr="00FE1C81">
        <w:rPr>
          <w:rFonts w:ascii="Arial" w:hAnsi="Arial" w:cs="Arial"/>
          <w:b/>
          <w:bCs/>
          <w:sz w:val="24"/>
          <w:szCs w:val="24"/>
        </w:rPr>
        <w:t xml:space="preserve">Introduction </w:t>
      </w:r>
    </w:p>
    <w:p w14:paraId="313B1155" w14:textId="5E504E36" w:rsidR="00780100" w:rsidRPr="00FE1C81" w:rsidRDefault="00C90F41" w:rsidP="00780100">
      <w:pPr>
        <w:rPr>
          <w:rFonts w:ascii="Arial" w:hAnsi="Arial" w:cs="Arial"/>
        </w:rPr>
      </w:pPr>
      <w:r w:rsidRPr="00FE1C81">
        <w:rPr>
          <w:rFonts w:ascii="Arial" w:hAnsi="Arial" w:cs="Arial"/>
        </w:rPr>
        <w:t>From an administrative support role, human resource management (HRM) has developed into a strategic tool that helps businesses achieve long-term success.  HR managers in modern businesses are required to handle people as well as efficiently handle the complexity and unpredictability of their surroundings. Organisational capability is generated and sustained through core HR functions like hiring and selection, training and development, performance management, and employee relations.  These functions promote worker flexibility, long-term organisational resilience, and strategic alignment when properly built (Armstrong, 2020).</w:t>
      </w:r>
    </w:p>
    <w:p w14:paraId="783F6442" w14:textId="77777777" w:rsidR="006A1042" w:rsidRPr="00FE1C81" w:rsidRDefault="006A1042" w:rsidP="006A1042">
      <w:pPr>
        <w:rPr>
          <w:rFonts w:ascii="Arial" w:hAnsi="Arial" w:cs="Arial"/>
        </w:rPr>
      </w:pPr>
      <w:r w:rsidRPr="00FE1C81">
        <w:rPr>
          <w:rFonts w:ascii="Arial" w:hAnsi="Arial" w:cs="Arial"/>
        </w:rPr>
        <w:t xml:space="preserve">However, factors that transcend organisational borders influence HR managers' efficacy for multinational corporations.  The practical implementation of HR systems is influenced by </w:t>
      </w:r>
      <w:proofErr w:type="gramStart"/>
      <w:r w:rsidRPr="00FE1C81">
        <w:rPr>
          <w:rFonts w:ascii="Arial" w:hAnsi="Arial" w:cs="Arial"/>
        </w:rPr>
        <w:t>a number of</w:t>
      </w:r>
      <w:proofErr w:type="gramEnd"/>
      <w:r w:rsidRPr="00FE1C81">
        <w:rPr>
          <w:rFonts w:ascii="Arial" w:hAnsi="Arial" w:cs="Arial"/>
        </w:rPr>
        <w:t xml:space="preserve"> factors, including political regulation, economic instability, sociocultural variety, technology advancement, legal frameworks, and environmental expectations (Brewster, Sparrow, and Vernon, 2016).  The complexity of HR decision-making in international corporations is increased by these demands, which differ greatly between national contexts.</w:t>
      </w:r>
    </w:p>
    <w:p w14:paraId="787BDAC8" w14:textId="32F62FCA" w:rsidR="00C90F41" w:rsidRPr="00FE1C81" w:rsidRDefault="006A1042" w:rsidP="006A1042">
      <w:pPr>
        <w:rPr>
          <w:rFonts w:ascii="Arial" w:hAnsi="Arial" w:cs="Arial"/>
        </w:rPr>
      </w:pPr>
      <w:r w:rsidRPr="00FE1C81">
        <w:rPr>
          <w:rFonts w:ascii="Arial" w:hAnsi="Arial" w:cs="Arial"/>
        </w:rPr>
        <w:lastRenderedPageBreak/>
        <w:t>The degree to which environmental factors affect HR managers' efficacy in a worldwide organisational setting is critically examined in this report.  The PESTLE framework is used as an analytical tool to investigate how managerial effectiveness and HR practices are influenced by macroenvironmental factors.  Before examining the consequences for HR managers working in dynamic global environments, the analysis is applied to Unilever, a multinational corporation with large foreign activities.</w:t>
      </w:r>
    </w:p>
    <w:p w14:paraId="624DB3E4" w14:textId="77777777" w:rsidR="00C90F41" w:rsidRPr="00FE1C81" w:rsidRDefault="00C90F41" w:rsidP="00780100">
      <w:pPr>
        <w:rPr>
          <w:rFonts w:ascii="Arial" w:hAnsi="Arial" w:cs="Arial"/>
          <w:b/>
          <w:bCs/>
          <w:sz w:val="24"/>
          <w:szCs w:val="24"/>
        </w:rPr>
      </w:pPr>
    </w:p>
    <w:p w14:paraId="63D24124" w14:textId="496AF89D" w:rsidR="00252EB7" w:rsidRPr="00FE1C81" w:rsidRDefault="00252EB7" w:rsidP="00252EB7">
      <w:pPr>
        <w:rPr>
          <w:rFonts w:ascii="Arial" w:hAnsi="Arial" w:cs="Arial"/>
          <w:b/>
          <w:bCs/>
          <w:sz w:val="24"/>
          <w:szCs w:val="24"/>
        </w:rPr>
      </w:pPr>
      <w:r w:rsidRPr="00FE1C81">
        <w:rPr>
          <w:rFonts w:ascii="Arial" w:hAnsi="Arial" w:cs="Arial"/>
          <w:b/>
          <w:bCs/>
          <w:sz w:val="24"/>
          <w:szCs w:val="24"/>
        </w:rPr>
        <w:t xml:space="preserve">    </w:t>
      </w:r>
      <w:r w:rsidR="00FE1C81">
        <w:rPr>
          <w:rFonts w:ascii="Arial" w:hAnsi="Arial" w:cs="Arial"/>
          <w:b/>
          <w:bCs/>
          <w:sz w:val="24"/>
          <w:szCs w:val="24"/>
        </w:rPr>
        <w:t xml:space="preserve">   II    </w:t>
      </w:r>
      <w:r w:rsidRPr="00FE1C81">
        <w:rPr>
          <w:rFonts w:ascii="Arial" w:hAnsi="Arial" w:cs="Arial"/>
          <w:b/>
          <w:bCs/>
          <w:sz w:val="24"/>
          <w:szCs w:val="24"/>
        </w:rPr>
        <w:t xml:space="preserve">   Internal and External Environment</w:t>
      </w:r>
    </w:p>
    <w:p w14:paraId="427108D2" w14:textId="77777777" w:rsidR="00252EB7" w:rsidRPr="00FE1C81" w:rsidRDefault="00252EB7" w:rsidP="00252EB7">
      <w:pPr>
        <w:rPr>
          <w:rFonts w:ascii="Arial" w:hAnsi="Arial" w:cs="Arial"/>
          <w:b/>
          <w:bCs/>
          <w:sz w:val="24"/>
          <w:szCs w:val="24"/>
        </w:rPr>
      </w:pPr>
    </w:p>
    <w:p w14:paraId="43A5DF8B" w14:textId="77777777" w:rsidR="00D0769C" w:rsidRPr="00FE1C81" w:rsidRDefault="00D0769C" w:rsidP="00D0769C">
      <w:pPr>
        <w:rPr>
          <w:rFonts w:ascii="Arial" w:hAnsi="Arial" w:cs="Arial"/>
        </w:rPr>
      </w:pPr>
      <w:r w:rsidRPr="00FE1C81">
        <w:rPr>
          <w:rFonts w:ascii="Arial" w:hAnsi="Arial" w:cs="Arial"/>
        </w:rPr>
        <w:t>Evaluating the design and implementation of Human Resource Management (HRM) systems within businesses requires an understanding of the internal and external business environment. The PESTLE model, which looks at the Political, Economic, Social, Technological, Legal, and Environmental elements that affect organisational operations, is one popular paradigm for assessing the external business environment (Johnson, Scholes, and Whittington, 2020).  The approach is especially pertinent to HRM since many HR practices and policies are influenced by external factors.</w:t>
      </w:r>
    </w:p>
    <w:p w14:paraId="4D7DAE90" w14:textId="77777777" w:rsidR="00D0769C" w:rsidRPr="00FE1C81" w:rsidRDefault="00D0769C" w:rsidP="00D0769C">
      <w:pPr>
        <w:rPr>
          <w:rFonts w:ascii="Arial" w:hAnsi="Arial" w:cs="Arial"/>
        </w:rPr>
      </w:pPr>
      <w:r w:rsidRPr="00FE1C81">
        <w:rPr>
          <w:rFonts w:ascii="Arial" w:hAnsi="Arial" w:cs="Arial"/>
        </w:rPr>
        <w:t>The PESTLE model is useful because it offers a methodical and organised way to find macroenvironmental factors that either limit or facilitate managerial decision-making.  By identifying changes in labour laws, demographic trends, economic situations, and technological advancements, the framework aids HR managers in strategic workforce planning (Armstrong, 2020). For instance, hiring, selection, and employee relations are directly impacted by political and legal variables like immigration laws or employment law reforms.  Reward management, training investment, and retention tactics are influenced by economic variables, such as inflation and labour market competitiveness.  The PESTLE model allows HR managers to take a proactive rather than reactive strategy by encouraging organisations to anticipate such developments.</w:t>
      </w:r>
    </w:p>
    <w:p w14:paraId="699EA6B2" w14:textId="77777777" w:rsidR="00D0769C" w:rsidRPr="00FE1C81" w:rsidRDefault="00D0769C" w:rsidP="00D0769C">
      <w:pPr>
        <w:rPr>
          <w:rFonts w:ascii="Arial" w:hAnsi="Arial" w:cs="Arial"/>
        </w:rPr>
      </w:pPr>
      <w:r w:rsidRPr="00FE1C81">
        <w:rPr>
          <w:rFonts w:ascii="Arial" w:hAnsi="Arial" w:cs="Arial"/>
        </w:rPr>
        <w:t>The PESTLE approach has drawbacks despite its benefits.  It ignores internal organisational elements that could mitigate the effects of external pressures, such as organisational culture, leadership capacity, and available resources, and instead concentrates solely on the macroenvironment (Torrington et al., 2020). Furthermore, managers must use discretion to decide which environmental aspects are most important because the model does not prioritise them.  Environmental influences frequently interact in practice; for example, technical developments may simultaneously produce legal and societal issues.  Therefore, critical interpretation rather than descriptive application is what makes the PESTLE model effective.</w:t>
      </w:r>
    </w:p>
    <w:p w14:paraId="066DF972" w14:textId="77777777" w:rsidR="00D0769C" w:rsidRPr="00FE1C81" w:rsidRDefault="00D0769C" w:rsidP="00D0769C">
      <w:pPr>
        <w:rPr>
          <w:rFonts w:ascii="Arial" w:hAnsi="Arial" w:cs="Arial"/>
        </w:rPr>
      </w:pPr>
    </w:p>
    <w:p w14:paraId="44074AC7" w14:textId="5EEB283B" w:rsidR="00D0769C" w:rsidRPr="00FE1C81" w:rsidRDefault="00D0769C" w:rsidP="00D0769C">
      <w:pPr>
        <w:rPr>
          <w:rFonts w:ascii="Arial" w:hAnsi="Arial" w:cs="Arial"/>
        </w:rPr>
      </w:pPr>
      <w:r w:rsidRPr="00FE1C81">
        <w:rPr>
          <w:rFonts w:ascii="Arial" w:hAnsi="Arial" w:cs="Arial"/>
        </w:rPr>
        <w:t xml:space="preserve">Important HR functions are directly and significantly impacted by environmental factors found using the PESTLE framework.  Economic factors, labour market availability, and regulatory requirements pertaining to equality and fair work practices all have an impact on recruitment and selection (Marchington et al., 2021).  HR managers must make investments in ongoing education and the development of digital capabilities since training and development are influenced by technological advancements and skill shortages. Social and cultural norms have an impact on performance management systems since different national contexts may have different leadership philosophies, feedback methods, and performance standards.  Political and legal elements, including as trade union rules, health and safety laws, and employee rights frameworks, have a significant impact on employee interactions </w:t>
      </w:r>
      <w:r w:rsidRPr="00FE1C81">
        <w:rPr>
          <w:rFonts w:ascii="Arial" w:hAnsi="Arial" w:cs="Arial"/>
        </w:rPr>
        <w:lastRenderedPageBreak/>
        <w:t>(Armstrong, 2020). Furthermore, environmental concerns increasingly shape HR practices through sustainability initiatives, ethical employment standards, and employer branding strategies (CIPD, 2023).</w:t>
      </w:r>
    </w:p>
    <w:p w14:paraId="66CC8F41" w14:textId="77777777" w:rsidR="00D0769C" w:rsidRPr="00FE1C81" w:rsidRDefault="00D0769C" w:rsidP="00D0769C">
      <w:pPr>
        <w:rPr>
          <w:rFonts w:ascii="Arial" w:hAnsi="Arial" w:cs="Arial"/>
        </w:rPr>
      </w:pPr>
    </w:p>
    <w:p w14:paraId="158EC05F" w14:textId="50A09E15" w:rsidR="00D0769C" w:rsidRPr="00FE1C81" w:rsidRDefault="00D0769C" w:rsidP="00D0769C">
      <w:pPr>
        <w:rPr>
          <w:rFonts w:ascii="Arial" w:hAnsi="Arial" w:cs="Arial"/>
        </w:rPr>
      </w:pPr>
      <w:r w:rsidRPr="00FE1C81">
        <w:rPr>
          <w:rFonts w:ascii="Arial" w:hAnsi="Arial" w:cs="Arial"/>
        </w:rPr>
        <w:t>Overall, the PESTLE model provides HR managers with a valuable framework for understanding how external environmental forces shape HR practices and influence managerial effectiveness. When applied critically, the model supports informed decision-making and the development of HR systems that align with organisational objectives while responding to dynamic environmental conditions.</w:t>
      </w:r>
    </w:p>
    <w:p w14:paraId="3D73E9F4" w14:textId="77777777" w:rsidR="00BB570C" w:rsidRPr="00FE1C81" w:rsidRDefault="00BB570C" w:rsidP="00252EB7">
      <w:pPr>
        <w:rPr>
          <w:rFonts w:ascii="Arial" w:hAnsi="Arial" w:cs="Arial"/>
          <w:b/>
          <w:bCs/>
        </w:rPr>
      </w:pPr>
    </w:p>
    <w:p w14:paraId="46379A97" w14:textId="77777777" w:rsidR="00FE1C81" w:rsidRPr="00FE1C81" w:rsidRDefault="00FE1C81" w:rsidP="00252EB7">
      <w:pPr>
        <w:rPr>
          <w:rFonts w:ascii="Arial" w:hAnsi="Arial" w:cs="Arial"/>
          <w:b/>
          <w:bCs/>
          <w:sz w:val="24"/>
          <w:szCs w:val="24"/>
        </w:rPr>
      </w:pPr>
    </w:p>
    <w:p w14:paraId="5795E2A9" w14:textId="5E7B4B73" w:rsidR="00FE1C81" w:rsidRPr="00FE1C81" w:rsidRDefault="00FE1C81" w:rsidP="00FE1C81">
      <w:pPr>
        <w:rPr>
          <w:rFonts w:ascii="Arial" w:hAnsi="Arial" w:cs="Arial"/>
        </w:rPr>
      </w:pPr>
      <w:r w:rsidRPr="00FE1C81">
        <w:rPr>
          <w:rFonts w:ascii="Arial" w:hAnsi="Arial" w:cs="Arial"/>
          <w:b/>
          <w:bCs/>
          <w:sz w:val="24"/>
          <w:szCs w:val="24"/>
        </w:rPr>
        <w:t xml:space="preserve">          III   Organisation Application</w:t>
      </w:r>
      <w:r w:rsidRPr="00FE1C81">
        <w:rPr>
          <w:rFonts w:ascii="Arial" w:hAnsi="Arial" w:cs="Arial"/>
          <w:b/>
          <w:bCs/>
        </w:rPr>
        <w:t xml:space="preserve"> </w:t>
      </w:r>
    </w:p>
    <w:p w14:paraId="2C25406B" w14:textId="77777777" w:rsidR="00FE1C81" w:rsidRPr="00FE1C81" w:rsidRDefault="00FE1C81" w:rsidP="00FE1C81">
      <w:pPr>
        <w:rPr>
          <w:rFonts w:ascii="Arial" w:hAnsi="Arial" w:cs="Arial"/>
        </w:rPr>
      </w:pPr>
    </w:p>
    <w:p w14:paraId="2C25063D" w14:textId="77777777" w:rsidR="00FE1C81" w:rsidRPr="00FE1C81" w:rsidRDefault="00FE1C81" w:rsidP="00FE1C81">
      <w:pPr>
        <w:rPr>
          <w:rFonts w:ascii="Arial" w:hAnsi="Arial" w:cs="Arial"/>
        </w:rPr>
      </w:pPr>
      <w:r w:rsidRPr="00FE1C81">
        <w:rPr>
          <w:rFonts w:ascii="Arial" w:hAnsi="Arial" w:cs="Arial"/>
        </w:rPr>
        <w:t>Unilever is a multinational consumer goods organisation with operations in over 190 countries and a workforce representing a wide range of national, cultural, and institutional contexts (Unilever, 2024). The organisation’s global portfolio includes food and beverage products, personal care, and household goods, positioning Unilever as one of the world’s largest fast-moving consumer goods companies. Its extensive international presence requires the organisation to operate across diverse political, economic, and legal environments, making effective Human Resource Management (HRM) a critical component of organisational success. The scale and complexity of Unilever’s global operations necessitate HR systems that are both strategically aligned with corporate objectives and sufficiently flexible to accommodate local market conditions (Brewster, Sparrow and Vernon, 2016).</w:t>
      </w:r>
    </w:p>
    <w:p w14:paraId="236D22EF" w14:textId="77777777" w:rsidR="00FE1C81" w:rsidRPr="00FE1C81" w:rsidRDefault="00FE1C81" w:rsidP="00FE1C81">
      <w:pPr>
        <w:rPr>
          <w:rFonts w:ascii="Arial" w:hAnsi="Arial" w:cs="Arial"/>
        </w:rPr>
      </w:pPr>
    </w:p>
    <w:p w14:paraId="503E71CD" w14:textId="2CE1FD52" w:rsidR="00FE1C81" w:rsidRDefault="00FE1C81" w:rsidP="00FE1C81">
      <w:pPr>
        <w:rPr>
          <w:rFonts w:ascii="Arial" w:hAnsi="Arial" w:cs="Arial"/>
        </w:rPr>
      </w:pPr>
      <w:r w:rsidRPr="00FE1C81">
        <w:rPr>
          <w:rFonts w:ascii="Arial" w:hAnsi="Arial" w:cs="Arial"/>
        </w:rPr>
        <w:t>Unilever adopts a strategic approach to HRM that emphasises talent attraction, capability development, performance alignment, and employee engagement across its global workforce. Recruitment and selection practices focus on employer branding and diversity, supported by global graduate programmes and digital recruitment platforms designed to attract talent from different regions (Unilever, 2024). Training and development initiatives prioritise leadership development, continuous learning, and future skills, enabling employees to adapt to technological and market changes. Performance management systems are designed to align individual objectives with organisational strategy while promoting regular feedback and employee development rather than solely performance appraisal outcomes (Armstrong, 2020). Employee relations are managed through engagement surveys, communication forums, and adherence to local employment legislation, ensuring consistency with organisational values while respecting national regulatory and cultural differences (CIPD, 2023).</w:t>
      </w:r>
    </w:p>
    <w:p w14:paraId="57A42F34" w14:textId="77777777" w:rsidR="00FE1C81" w:rsidRDefault="00FE1C81" w:rsidP="00FE1C81">
      <w:pPr>
        <w:rPr>
          <w:rFonts w:ascii="Arial" w:hAnsi="Arial" w:cs="Arial"/>
        </w:rPr>
      </w:pPr>
    </w:p>
    <w:p w14:paraId="1AA7A695" w14:textId="77777777" w:rsidR="00FE1C81" w:rsidRPr="00FE1C81" w:rsidRDefault="00FE1C81" w:rsidP="00FE1C81">
      <w:pPr>
        <w:rPr>
          <w:rFonts w:ascii="Arial" w:hAnsi="Arial" w:cs="Arial"/>
          <w:b/>
          <w:bCs/>
        </w:rPr>
      </w:pPr>
    </w:p>
    <w:p w14:paraId="43296E47" w14:textId="3E4A78F3" w:rsidR="00FE1C81" w:rsidRPr="00FE1C81" w:rsidRDefault="00FE1C81" w:rsidP="00FE1C81">
      <w:pPr>
        <w:rPr>
          <w:rFonts w:ascii="Arial" w:hAnsi="Arial" w:cs="Arial"/>
          <w:b/>
          <w:bCs/>
          <w:sz w:val="24"/>
          <w:szCs w:val="24"/>
        </w:rPr>
      </w:pPr>
      <w:r w:rsidRPr="00FE1C81">
        <w:rPr>
          <w:rFonts w:ascii="Arial" w:hAnsi="Arial" w:cs="Arial"/>
          <w:b/>
          <w:bCs/>
          <w:sz w:val="24"/>
          <w:szCs w:val="24"/>
        </w:rPr>
        <w:t xml:space="preserve">         IV       Application of the PESTLE Model </w:t>
      </w:r>
    </w:p>
    <w:p w14:paraId="27785F41" w14:textId="77777777" w:rsidR="00FE1C81" w:rsidRPr="00FE1C81" w:rsidRDefault="00FE1C81" w:rsidP="00FE1C81">
      <w:pPr>
        <w:rPr>
          <w:rFonts w:ascii="Arial" w:hAnsi="Arial" w:cs="Arial"/>
          <w:sz w:val="24"/>
          <w:szCs w:val="24"/>
        </w:rPr>
      </w:pPr>
    </w:p>
    <w:p w14:paraId="4FEB02B3" w14:textId="77777777" w:rsidR="00FE1C81" w:rsidRPr="00FE1C81" w:rsidRDefault="00FE1C81" w:rsidP="00FE1C81">
      <w:pPr>
        <w:rPr>
          <w:rFonts w:ascii="Arial" w:hAnsi="Arial" w:cs="Arial"/>
        </w:rPr>
      </w:pPr>
      <w:r w:rsidRPr="00FE1C81">
        <w:rPr>
          <w:rFonts w:ascii="Arial" w:hAnsi="Arial" w:cs="Arial"/>
        </w:rPr>
        <w:lastRenderedPageBreak/>
        <w:t>A thorough framework for assessing how macroenvironmental elements affect the efficacy of human resource management (HRM) in multinational corporations is offered by the PESTLE model.  Political, economic, social, technological, legal, and environmental factors all influence how Unilever designs and implements HR procedures throughout its international operations.  The ability of HR managers to promote corporate goals while upholding consistency and fairness across various national contexts is strongly impacted by these environmental influences.</w:t>
      </w:r>
    </w:p>
    <w:p w14:paraId="05D36ED0" w14:textId="77777777" w:rsidR="00FE1C81" w:rsidRPr="00FE1C81" w:rsidRDefault="00FE1C81" w:rsidP="00FE1C81">
      <w:pPr>
        <w:rPr>
          <w:rFonts w:ascii="Arial" w:hAnsi="Arial" w:cs="Arial"/>
        </w:rPr>
      </w:pPr>
      <w:r w:rsidRPr="00FE1C81">
        <w:rPr>
          <w:rFonts w:ascii="Arial" w:hAnsi="Arial" w:cs="Arial"/>
        </w:rPr>
        <w:t xml:space="preserve">Unilever's HR procedures are heavily impacted by political and legal considerations.  Recruitment practices, contractual agreements, working hours, employee perks, and termination procedures are all impacted by the wide variations in employment laws between nations.  HR managers work in highly regulated workplace environments with formal consultation obligations, equality laws, and robust employee protection in nations like the United Kingdom.  Because of this, HR managers </w:t>
      </w:r>
      <w:proofErr w:type="gramStart"/>
      <w:r w:rsidRPr="00FE1C81">
        <w:rPr>
          <w:rFonts w:ascii="Arial" w:hAnsi="Arial" w:cs="Arial"/>
        </w:rPr>
        <w:t>have to</w:t>
      </w:r>
      <w:proofErr w:type="gramEnd"/>
      <w:r w:rsidRPr="00FE1C81">
        <w:rPr>
          <w:rFonts w:ascii="Arial" w:hAnsi="Arial" w:cs="Arial"/>
        </w:rPr>
        <w:t xml:space="preserve"> give compliance, paperwork, and employee relations </w:t>
      </w:r>
      <w:proofErr w:type="gramStart"/>
      <w:r w:rsidRPr="00FE1C81">
        <w:rPr>
          <w:rFonts w:ascii="Arial" w:hAnsi="Arial" w:cs="Arial"/>
        </w:rPr>
        <w:t>first priority</w:t>
      </w:r>
      <w:proofErr w:type="gramEnd"/>
      <w:r w:rsidRPr="00FE1C81">
        <w:rPr>
          <w:rFonts w:ascii="Arial" w:hAnsi="Arial" w:cs="Arial"/>
        </w:rPr>
        <w:t>. This can restrict managerial freedom but increase employee trust and organisational legitimacy (Armstrong, 2020</w:t>
      </w:r>
      <w:proofErr w:type="gramStart"/>
      <w:r w:rsidRPr="00FE1C81">
        <w:rPr>
          <w:rFonts w:ascii="Arial" w:hAnsi="Arial" w:cs="Arial"/>
        </w:rPr>
        <w:t>).In</w:t>
      </w:r>
      <w:proofErr w:type="gramEnd"/>
      <w:r w:rsidRPr="00FE1C81">
        <w:rPr>
          <w:rFonts w:ascii="Arial" w:hAnsi="Arial" w:cs="Arial"/>
        </w:rPr>
        <w:t xml:space="preserve"> contrast, in emerging economies such as India, labour markets are more </w:t>
      </w:r>
      <w:proofErr w:type="gramStart"/>
      <w:r w:rsidRPr="00FE1C81">
        <w:rPr>
          <w:rFonts w:ascii="Arial" w:hAnsi="Arial" w:cs="Arial"/>
        </w:rPr>
        <w:t>fragmented</w:t>
      </w:r>
      <w:proofErr w:type="gramEnd"/>
      <w:r w:rsidRPr="00FE1C81">
        <w:rPr>
          <w:rFonts w:ascii="Arial" w:hAnsi="Arial" w:cs="Arial"/>
        </w:rPr>
        <w:t xml:space="preserve"> and employment regulations may be less consistently enforced. While this can provide greater flexibility in workforce management, HR managers must also navigate cultural expectations and informal employment practices, </w:t>
      </w:r>
    </w:p>
    <w:p w14:paraId="1B4ED69D" w14:textId="77777777" w:rsidR="00FE1C81" w:rsidRPr="00FE1C81" w:rsidRDefault="00FE1C81" w:rsidP="00FE1C81">
      <w:pPr>
        <w:rPr>
          <w:rFonts w:ascii="Arial" w:hAnsi="Arial" w:cs="Arial"/>
        </w:rPr>
      </w:pPr>
      <w:r w:rsidRPr="00FE1C81">
        <w:rPr>
          <w:rFonts w:ascii="Arial" w:hAnsi="Arial" w:cs="Arial"/>
        </w:rPr>
        <w:t>increasing the complexity of HR decision-making (Brewster, Sparrow and Vernon, 2016).</w:t>
      </w:r>
    </w:p>
    <w:p w14:paraId="3A8C0F97" w14:textId="77777777" w:rsidR="00FE1C81" w:rsidRPr="00FE1C81" w:rsidRDefault="00FE1C81" w:rsidP="00FE1C81">
      <w:pPr>
        <w:rPr>
          <w:rFonts w:ascii="Arial" w:hAnsi="Arial" w:cs="Arial"/>
        </w:rPr>
      </w:pPr>
      <w:r w:rsidRPr="00FE1C81">
        <w:rPr>
          <w:rFonts w:ascii="Arial" w:hAnsi="Arial" w:cs="Arial"/>
        </w:rPr>
        <w:t xml:space="preserve">The efficacy of HR managers at Unilever is also influenced by economic issues.  Opportunities for workforce growth, talent development, and leadership pipeline development have been made possible by economic progress in emerging markets.  On the other hand, economic instability in developed economies could call for cost-cutting strategies like hiring freezes, reorganisations, or lower training expenditures.  </w:t>
      </w:r>
      <w:proofErr w:type="gramStart"/>
      <w:r w:rsidRPr="00FE1C81">
        <w:rPr>
          <w:rFonts w:ascii="Arial" w:hAnsi="Arial" w:cs="Arial"/>
        </w:rPr>
        <w:t>In order to</w:t>
      </w:r>
      <w:proofErr w:type="gramEnd"/>
      <w:r w:rsidRPr="00FE1C81">
        <w:rPr>
          <w:rFonts w:ascii="Arial" w:hAnsi="Arial" w:cs="Arial"/>
        </w:rPr>
        <w:t xml:space="preserve"> maintain competitive and equitable pay structures across regions, HR managers must strike a balance between local economic conditions and the organization's global reward philosophy (Marchington et al., 2021</w:t>
      </w:r>
      <w:proofErr w:type="gramStart"/>
      <w:r w:rsidRPr="00FE1C81">
        <w:rPr>
          <w:rFonts w:ascii="Arial" w:hAnsi="Arial" w:cs="Arial"/>
        </w:rPr>
        <w:t>).Economic</w:t>
      </w:r>
      <w:proofErr w:type="gramEnd"/>
      <w:r w:rsidRPr="00FE1C81">
        <w:rPr>
          <w:rFonts w:ascii="Arial" w:hAnsi="Arial" w:cs="Arial"/>
        </w:rPr>
        <w:t xml:space="preserve"> disparities between countries also require differentiated benefits and compensation strategies to reflect local living standards and labour market expectations.</w:t>
      </w:r>
    </w:p>
    <w:p w14:paraId="2A3EE36E" w14:textId="77777777" w:rsidR="00FE1C81" w:rsidRPr="00FE1C81" w:rsidRDefault="00FE1C81" w:rsidP="00FE1C81">
      <w:pPr>
        <w:rPr>
          <w:rFonts w:ascii="Arial" w:hAnsi="Arial" w:cs="Arial"/>
        </w:rPr>
      </w:pPr>
      <w:r w:rsidRPr="00FE1C81">
        <w:rPr>
          <w:rFonts w:ascii="Arial" w:hAnsi="Arial" w:cs="Arial"/>
        </w:rPr>
        <w:t>At Unilever, social and cultural elements have a significant impact on HR procedures and managerial efficacy.  Cultural values have an impact on performance management techniques, employee motivation, communication strategies, and leadership philosophies.  Collaboration, relational leadership, and group-based rewards may be more successful in inspiring workers in collectivist societies like India.  On the other hand, individual accountability and performance-based awards are frequently given more weight in individualistic societies like the UK (Brewster, Sparrow, and Vernon, 2016).  To guarantee that hiring standards, leadership development initiatives, and performance management systems are in line with local employee expectations, HR managers must thereby exhibit cultural competence.</w:t>
      </w:r>
    </w:p>
    <w:p w14:paraId="49B1BB39" w14:textId="77777777" w:rsidR="00FE1C81" w:rsidRPr="00FE1C81" w:rsidRDefault="00FE1C81" w:rsidP="00FE1C81">
      <w:pPr>
        <w:rPr>
          <w:rFonts w:ascii="Arial" w:hAnsi="Arial" w:cs="Arial"/>
        </w:rPr>
      </w:pPr>
      <w:r w:rsidRPr="00FE1C81">
        <w:rPr>
          <w:rFonts w:ascii="Arial" w:hAnsi="Arial" w:cs="Arial"/>
        </w:rPr>
        <w:t xml:space="preserve">HRM at Unilever has been progressively impacted by technological variables, which have an impact on hiring, training, and performance management.  To improve productivity and facilitate data-driven decision-making, the company makes use of online learning platforms, digital recruitment platforms, and HR analytics. Although these technologies enhance uniformity among international operations, they also provide difficulties for HR managers, such as employee reluctance to technological change, digital skill gaps, and privacy and data protection concerns (Torrington et al., 2020).  The ability of HR managers to assist staff </w:t>
      </w:r>
      <w:r w:rsidRPr="00FE1C81">
        <w:rPr>
          <w:rFonts w:ascii="Arial" w:hAnsi="Arial" w:cs="Arial"/>
        </w:rPr>
        <w:lastRenderedPageBreak/>
        <w:t>members with technology changes while guaranteeing adherence to national data protection laws determines how effective they are.</w:t>
      </w:r>
    </w:p>
    <w:p w14:paraId="426848C2" w14:textId="77777777" w:rsidR="00FE1C81" w:rsidRPr="00FE1C81" w:rsidRDefault="00FE1C81" w:rsidP="00FE1C81">
      <w:pPr>
        <w:rPr>
          <w:rFonts w:ascii="Arial" w:hAnsi="Arial" w:cs="Arial"/>
        </w:rPr>
      </w:pPr>
      <w:r w:rsidRPr="00FE1C81">
        <w:rPr>
          <w:rFonts w:ascii="Arial" w:hAnsi="Arial" w:cs="Arial"/>
        </w:rPr>
        <w:t>Because of Unilever's strong commitment to sustainability, environmental considerations have become increasingly important in determining HR policies.  Organisational culture, employee engagement, and employer branding are all impacted by Unilever's environmental approach. Incorporating sustainability values into HR policy, training initiatives, and performance goals is a major responsibility of HR managers.  However, because environmental awareness, legal requirements, and public expectations vary greatly between regions, the effects of environmental activities fluctuate between nations (CIPD, 2023).</w:t>
      </w:r>
    </w:p>
    <w:p w14:paraId="37140D1C" w14:textId="35BC0628" w:rsidR="00FE1C81" w:rsidRDefault="00FE1C81" w:rsidP="00FE1C81">
      <w:pPr>
        <w:rPr>
          <w:rFonts w:ascii="Arial" w:hAnsi="Arial" w:cs="Arial"/>
        </w:rPr>
      </w:pPr>
      <w:r w:rsidRPr="00FE1C81">
        <w:rPr>
          <w:rFonts w:ascii="Arial" w:hAnsi="Arial" w:cs="Arial"/>
        </w:rPr>
        <w:t>Overall, the PESTLE model's application shows how macroenvironmental factors that differ depending on the country have a significant impact on HR managers' efficacy at Unilever. Instead of using standardised global procedures, HR managers must adopt adaptable, context-sensitive approaches due to variations in legislative frameworks, economic realities, cultural norms, and technology infrastructure.  Thus, a key factor in determining HR performance in multinational corporations is the capacity to strike a balance between local responsiveness and global consistency.  HR managers may better anticipate environmental difficulties and create HR systems that support organisational goals in diverse and dynamic contexts by critically applying the PESTLE model.</w:t>
      </w:r>
    </w:p>
    <w:p w14:paraId="34F32023" w14:textId="77777777" w:rsidR="00FE1C81" w:rsidRDefault="00FE1C81" w:rsidP="00FE1C81">
      <w:pPr>
        <w:rPr>
          <w:rFonts w:ascii="Arial" w:hAnsi="Arial" w:cs="Arial"/>
        </w:rPr>
      </w:pPr>
    </w:p>
    <w:p w14:paraId="10EE7B17" w14:textId="77777777" w:rsidR="00FE1C81" w:rsidRDefault="00FE1C81" w:rsidP="00FE1C81">
      <w:pPr>
        <w:rPr>
          <w:rFonts w:ascii="Arial" w:hAnsi="Arial" w:cs="Arial"/>
        </w:rPr>
      </w:pPr>
    </w:p>
    <w:p w14:paraId="7352BC99" w14:textId="77777777" w:rsidR="00FE1C81" w:rsidRPr="00FE1C81" w:rsidRDefault="00FE1C81" w:rsidP="00FE1C81">
      <w:pPr>
        <w:rPr>
          <w:rFonts w:ascii="Arial" w:hAnsi="Arial" w:cs="Arial"/>
          <w:sz w:val="24"/>
          <w:szCs w:val="24"/>
        </w:rPr>
      </w:pPr>
    </w:p>
    <w:p w14:paraId="6A8CAC61" w14:textId="361BF568" w:rsidR="00FE1C81" w:rsidRPr="00FE1C81" w:rsidRDefault="00FE1C81" w:rsidP="00FE1C81">
      <w:pPr>
        <w:rPr>
          <w:rFonts w:ascii="Arial" w:hAnsi="Arial" w:cs="Arial"/>
          <w:b/>
          <w:bCs/>
          <w:sz w:val="24"/>
          <w:szCs w:val="24"/>
        </w:rPr>
      </w:pPr>
      <w:r w:rsidRPr="00FE1C81">
        <w:rPr>
          <w:rFonts w:ascii="Arial" w:hAnsi="Arial" w:cs="Arial"/>
          <w:b/>
          <w:bCs/>
          <w:sz w:val="24"/>
          <w:szCs w:val="24"/>
        </w:rPr>
        <w:t xml:space="preserve">         V       Conclusion </w:t>
      </w:r>
    </w:p>
    <w:p w14:paraId="31BDEFCA" w14:textId="77777777" w:rsidR="00FE1C81" w:rsidRPr="00FE1C81" w:rsidRDefault="00FE1C81" w:rsidP="00FE1C81">
      <w:pPr>
        <w:rPr>
          <w:rFonts w:ascii="Arial" w:hAnsi="Arial" w:cs="Arial"/>
        </w:rPr>
      </w:pPr>
    </w:p>
    <w:p w14:paraId="5EA4D719" w14:textId="77777777" w:rsidR="00FE1C81" w:rsidRPr="00FE1C81" w:rsidRDefault="00FE1C81" w:rsidP="00FE1C81">
      <w:pPr>
        <w:rPr>
          <w:rFonts w:ascii="Arial" w:hAnsi="Arial" w:cs="Arial"/>
        </w:rPr>
      </w:pPr>
      <w:r w:rsidRPr="00FE1C81">
        <w:rPr>
          <w:rFonts w:ascii="Arial" w:hAnsi="Arial" w:cs="Arial"/>
        </w:rPr>
        <w:t xml:space="preserve">Using the PESTLE model and Unilever as a case study, this paper has critically investigated how internal and external environmental factors affect the efficacy of human resource management (HRM) inside multinational businesses.  The investigation showed that although fundamental HR functions—such as employee interactions, performance management, training and development, and recruitment and selection—are crucial to organisational effectiveness, they are also greatly influenced by macroenvironmental factors.  The PESTLE framework was applied to show how the design and execution of HR practices across national settings are influenced by a variety of factors, including political and legal regulations, economic situations, sociocultural differences, technology improvements, and environmental </w:t>
      </w:r>
      <w:proofErr w:type="spellStart"/>
      <w:r w:rsidRPr="00FE1C81">
        <w:rPr>
          <w:rFonts w:ascii="Arial" w:hAnsi="Arial" w:cs="Arial"/>
        </w:rPr>
        <w:t>expectations.For</w:t>
      </w:r>
      <w:proofErr w:type="spellEnd"/>
      <w:r w:rsidRPr="00FE1C81">
        <w:rPr>
          <w:rFonts w:ascii="Arial" w:hAnsi="Arial" w:cs="Arial"/>
        </w:rPr>
        <w:t xml:space="preserve"> HR managers operating in multinational organisations, the ability to understand and respond to these environmental pressures is therefore essential to maintaining managerial effectiveness and organisational performance.</w:t>
      </w:r>
    </w:p>
    <w:p w14:paraId="74DCB531" w14:textId="77777777" w:rsidR="00FE1C81" w:rsidRPr="00FE1C81" w:rsidRDefault="00FE1C81" w:rsidP="00FE1C81">
      <w:pPr>
        <w:rPr>
          <w:rFonts w:ascii="Arial" w:hAnsi="Arial" w:cs="Arial"/>
        </w:rPr>
      </w:pPr>
      <w:r w:rsidRPr="00FE1C81">
        <w:rPr>
          <w:rFonts w:ascii="Arial" w:hAnsi="Arial" w:cs="Arial"/>
        </w:rPr>
        <w:t>The study also showed that businesses are not always affected by environmental influences because HR managers must modify HR procedures in accordance with national variations in legislative frameworks, economic development, and cultural norms.  The Unilever case highlighted the difficulties in striking a balance between local responsiveness and global consistency, underscoring the significance of contextual awareness and adaptability in multinational HRM.</w:t>
      </w:r>
    </w:p>
    <w:p w14:paraId="31BA3F3F" w14:textId="33B41563" w:rsidR="00FE1C81" w:rsidRDefault="00FE1C81" w:rsidP="00FE1C81">
      <w:pPr>
        <w:rPr>
          <w:rFonts w:ascii="Arial" w:hAnsi="Arial" w:cs="Arial"/>
        </w:rPr>
      </w:pPr>
      <w:r w:rsidRPr="00FE1C81">
        <w:rPr>
          <w:rFonts w:ascii="Arial" w:hAnsi="Arial" w:cs="Arial"/>
        </w:rPr>
        <w:t xml:space="preserve">In the future, rapid technological progress, changing labour expectations, and increased regulatory and sustainability constraints will probably have HR managers in multinational corporations deal with more complexity.  HR managers will need to develop new skills while tackling ethical and data protection issues due to digital transformation, remote employment, </w:t>
      </w:r>
      <w:r w:rsidRPr="00FE1C81">
        <w:rPr>
          <w:rFonts w:ascii="Arial" w:hAnsi="Arial" w:cs="Arial"/>
        </w:rPr>
        <w:lastRenderedPageBreak/>
        <w:t>and the increasing use of HR analytics.  Employer branding and HR practices will also be further shaped by the growing emphasis on environmental, social, and governance (ESG) norms.  In an increasingly dynamic global business environment, HR managers must take a strategic, forward-thinking, and culturally aware approach to stay effective. They must also constantly monitor environmental change and build HR systems that support long-term organisational objectives</w:t>
      </w:r>
      <w:r>
        <w:rPr>
          <w:rFonts w:ascii="Arial" w:hAnsi="Arial" w:cs="Arial"/>
        </w:rPr>
        <w:t>.</w:t>
      </w:r>
    </w:p>
    <w:p w14:paraId="37EAAF6D" w14:textId="2369326A" w:rsidR="00FE1C81" w:rsidRDefault="00FE1C81" w:rsidP="00FE1C81">
      <w:pPr>
        <w:rPr>
          <w:rFonts w:ascii="Arial" w:hAnsi="Arial" w:cs="Arial"/>
        </w:rPr>
      </w:pPr>
      <w:r>
        <w:rPr>
          <w:rFonts w:ascii="Arial" w:hAnsi="Arial" w:cs="Arial"/>
        </w:rPr>
        <w:t xml:space="preserve">             </w:t>
      </w:r>
    </w:p>
    <w:p w14:paraId="7BD1E49D" w14:textId="77777777" w:rsidR="00FE1C81" w:rsidRPr="00084EA8" w:rsidRDefault="00FE1C81" w:rsidP="00FE1C81">
      <w:pPr>
        <w:rPr>
          <w:rFonts w:ascii="Arial" w:hAnsi="Arial" w:cs="Arial"/>
          <w:b/>
          <w:bCs/>
          <w:sz w:val="24"/>
          <w:szCs w:val="24"/>
        </w:rPr>
      </w:pPr>
    </w:p>
    <w:p w14:paraId="2AD01891" w14:textId="77777777" w:rsidR="00FE1C81" w:rsidRPr="00084EA8" w:rsidRDefault="00FE1C81" w:rsidP="00FE1C81">
      <w:pPr>
        <w:rPr>
          <w:rFonts w:ascii="Arial" w:hAnsi="Arial" w:cs="Arial"/>
          <w:b/>
          <w:bCs/>
          <w:sz w:val="24"/>
          <w:szCs w:val="24"/>
        </w:rPr>
      </w:pPr>
    </w:p>
    <w:p w14:paraId="3CE076DD" w14:textId="45A677FC" w:rsidR="00FE1C81" w:rsidRDefault="00084EA8" w:rsidP="00FE1C81">
      <w:pPr>
        <w:rPr>
          <w:rFonts w:ascii="Arial" w:hAnsi="Arial" w:cs="Arial"/>
          <w:b/>
          <w:bCs/>
          <w:sz w:val="24"/>
          <w:szCs w:val="24"/>
        </w:rPr>
      </w:pPr>
      <w:r>
        <w:rPr>
          <w:rFonts w:ascii="Arial" w:hAnsi="Arial" w:cs="Arial"/>
          <w:b/>
          <w:bCs/>
          <w:sz w:val="24"/>
          <w:szCs w:val="24"/>
        </w:rPr>
        <w:t xml:space="preserve">        </w:t>
      </w:r>
      <w:r w:rsidR="00FE1C81" w:rsidRPr="00084EA8">
        <w:rPr>
          <w:rFonts w:ascii="Arial" w:hAnsi="Arial" w:cs="Arial"/>
          <w:b/>
          <w:bCs/>
          <w:sz w:val="24"/>
          <w:szCs w:val="24"/>
        </w:rPr>
        <w:t>VI Reference</w:t>
      </w:r>
    </w:p>
    <w:p w14:paraId="5EE2398F" w14:textId="77777777" w:rsidR="00084EA8" w:rsidRPr="00084EA8" w:rsidRDefault="00084EA8" w:rsidP="00FE1C81">
      <w:pPr>
        <w:rPr>
          <w:rFonts w:ascii="Arial" w:hAnsi="Arial" w:cs="Arial"/>
        </w:rPr>
      </w:pPr>
    </w:p>
    <w:p w14:paraId="395717D2" w14:textId="474B793F" w:rsidR="00084EA8" w:rsidRPr="00084EA8" w:rsidRDefault="00084EA8" w:rsidP="00084EA8">
      <w:pPr>
        <w:rPr>
          <w:rFonts w:ascii="Arial" w:hAnsi="Arial" w:cs="Arial"/>
        </w:rPr>
      </w:pPr>
      <w:r w:rsidRPr="00084EA8">
        <w:rPr>
          <w:rFonts w:ascii="Arial" w:hAnsi="Arial" w:cs="Arial"/>
        </w:rPr>
        <w:t xml:space="preserve">Armstrong, M. (2020) Armstrong’s Handbook of Human Resource Management Practice. 15th </w:t>
      </w:r>
      <w:proofErr w:type="spellStart"/>
      <w:r w:rsidRPr="00084EA8">
        <w:rPr>
          <w:rFonts w:ascii="Arial" w:hAnsi="Arial" w:cs="Arial"/>
        </w:rPr>
        <w:t>edn</w:t>
      </w:r>
      <w:proofErr w:type="spellEnd"/>
      <w:r w:rsidRPr="00084EA8">
        <w:rPr>
          <w:rFonts w:ascii="Arial" w:hAnsi="Arial" w:cs="Arial"/>
        </w:rPr>
        <w:t>. London: Kogan Page.</w:t>
      </w:r>
    </w:p>
    <w:p w14:paraId="08494173" w14:textId="35773D7B" w:rsidR="00084EA8" w:rsidRPr="00084EA8" w:rsidRDefault="00084EA8" w:rsidP="00084EA8">
      <w:pPr>
        <w:rPr>
          <w:rFonts w:ascii="Arial" w:hAnsi="Arial" w:cs="Arial"/>
        </w:rPr>
      </w:pPr>
      <w:r w:rsidRPr="00084EA8">
        <w:rPr>
          <w:rFonts w:ascii="Arial" w:hAnsi="Arial" w:cs="Arial"/>
        </w:rPr>
        <w:t xml:space="preserve">Brewster, C., Sparrow, P. and Vernon, G. (2016) </w:t>
      </w:r>
      <w:r w:rsidRPr="00084EA8">
        <w:rPr>
          <w:rFonts w:ascii="Arial" w:hAnsi="Arial" w:cs="Arial"/>
          <w:i/>
          <w:iCs/>
        </w:rPr>
        <w:t>International Human Resource Management</w:t>
      </w:r>
      <w:r w:rsidRPr="00084EA8">
        <w:rPr>
          <w:rFonts w:ascii="Arial" w:hAnsi="Arial" w:cs="Arial"/>
        </w:rPr>
        <w:t xml:space="preserve">. 4th </w:t>
      </w:r>
      <w:proofErr w:type="spellStart"/>
      <w:r w:rsidRPr="00084EA8">
        <w:rPr>
          <w:rFonts w:ascii="Arial" w:hAnsi="Arial" w:cs="Arial"/>
        </w:rPr>
        <w:t>edn</w:t>
      </w:r>
      <w:proofErr w:type="spellEnd"/>
      <w:r w:rsidRPr="00084EA8">
        <w:rPr>
          <w:rFonts w:ascii="Arial" w:hAnsi="Arial" w:cs="Arial"/>
        </w:rPr>
        <w:t>. London: Chartered Institute of Personnel and Development.</w:t>
      </w:r>
    </w:p>
    <w:p w14:paraId="7BBACDBD" w14:textId="3A7E581F" w:rsidR="00084EA8" w:rsidRPr="00084EA8" w:rsidRDefault="00084EA8" w:rsidP="00084EA8">
      <w:pPr>
        <w:rPr>
          <w:rFonts w:ascii="Arial" w:hAnsi="Arial" w:cs="Arial"/>
        </w:rPr>
      </w:pPr>
      <w:r w:rsidRPr="00084EA8">
        <w:rPr>
          <w:rFonts w:ascii="Arial" w:hAnsi="Arial" w:cs="Arial"/>
        </w:rPr>
        <w:t>CIPD (2023</w:t>
      </w:r>
      <w:r w:rsidRPr="00084EA8">
        <w:rPr>
          <w:rFonts w:ascii="Arial" w:hAnsi="Arial" w:cs="Arial"/>
          <w:i/>
          <w:iCs/>
        </w:rPr>
        <w:t>) Global Human Resource Management</w:t>
      </w:r>
      <w:r w:rsidRPr="00084EA8">
        <w:rPr>
          <w:rFonts w:ascii="Arial" w:hAnsi="Arial" w:cs="Arial"/>
        </w:rPr>
        <w:t>. Available at: https://www.cipd.org (Accessed: 10 December 2025).</w:t>
      </w:r>
    </w:p>
    <w:p w14:paraId="1D8EACF7" w14:textId="1C077F32" w:rsidR="00084EA8" w:rsidRPr="00084EA8" w:rsidRDefault="00084EA8" w:rsidP="00084EA8">
      <w:pPr>
        <w:rPr>
          <w:rFonts w:ascii="Arial" w:hAnsi="Arial" w:cs="Arial"/>
        </w:rPr>
      </w:pPr>
      <w:r w:rsidRPr="00084EA8">
        <w:rPr>
          <w:rFonts w:ascii="Arial" w:hAnsi="Arial" w:cs="Arial"/>
        </w:rPr>
        <w:t>Johnson, G., Scholes, K. and Whittington, R. (2020</w:t>
      </w:r>
      <w:r w:rsidRPr="00084EA8">
        <w:rPr>
          <w:rFonts w:ascii="Arial" w:hAnsi="Arial" w:cs="Arial"/>
          <w:i/>
          <w:iCs/>
        </w:rPr>
        <w:t>) Exploring Strategy</w:t>
      </w:r>
      <w:r w:rsidRPr="00084EA8">
        <w:rPr>
          <w:rFonts w:ascii="Arial" w:hAnsi="Arial" w:cs="Arial"/>
        </w:rPr>
        <w:t xml:space="preserve">. 12th </w:t>
      </w:r>
      <w:proofErr w:type="spellStart"/>
      <w:r w:rsidRPr="00084EA8">
        <w:rPr>
          <w:rFonts w:ascii="Arial" w:hAnsi="Arial" w:cs="Arial"/>
        </w:rPr>
        <w:t>edn</w:t>
      </w:r>
      <w:proofErr w:type="spellEnd"/>
      <w:r w:rsidRPr="00084EA8">
        <w:rPr>
          <w:rFonts w:ascii="Arial" w:hAnsi="Arial" w:cs="Arial"/>
        </w:rPr>
        <w:t>. Harlow: Pearson Education.</w:t>
      </w:r>
    </w:p>
    <w:p w14:paraId="3DE74C0D" w14:textId="66A76426" w:rsidR="00084EA8" w:rsidRPr="00084EA8" w:rsidRDefault="00084EA8" w:rsidP="00084EA8">
      <w:pPr>
        <w:rPr>
          <w:rFonts w:ascii="Arial" w:hAnsi="Arial" w:cs="Arial"/>
        </w:rPr>
      </w:pPr>
      <w:r w:rsidRPr="00084EA8">
        <w:rPr>
          <w:rFonts w:ascii="Arial" w:hAnsi="Arial" w:cs="Arial"/>
        </w:rPr>
        <w:t xml:space="preserve">Marchington, M., Wilkinson, A., Donnelly, R. and </w:t>
      </w:r>
      <w:proofErr w:type="spellStart"/>
      <w:r w:rsidRPr="00084EA8">
        <w:rPr>
          <w:rFonts w:ascii="Arial" w:hAnsi="Arial" w:cs="Arial"/>
        </w:rPr>
        <w:t>Kynighou</w:t>
      </w:r>
      <w:proofErr w:type="spellEnd"/>
      <w:r w:rsidRPr="00084EA8">
        <w:rPr>
          <w:rFonts w:ascii="Arial" w:hAnsi="Arial" w:cs="Arial"/>
        </w:rPr>
        <w:t>, A. (2021</w:t>
      </w:r>
      <w:r w:rsidRPr="00084EA8">
        <w:rPr>
          <w:rFonts w:ascii="Arial" w:hAnsi="Arial" w:cs="Arial"/>
          <w:i/>
          <w:iCs/>
        </w:rPr>
        <w:t>) Human Resource Management at Work</w:t>
      </w:r>
      <w:r w:rsidRPr="00084EA8">
        <w:rPr>
          <w:rFonts w:ascii="Arial" w:hAnsi="Arial" w:cs="Arial"/>
        </w:rPr>
        <w:t xml:space="preserve">. 7th </w:t>
      </w:r>
      <w:proofErr w:type="spellStart"/>
      <w:r w:rsidRPr="00084EA8">
        <w:rPr>
          <w:rFonts w:ascii="Arial" w:hAnsi="Arial" w:cs="Arial"/>
        </w:rPr>
        <w:t>edn</w:t>
      </w:r>
      <w:proofErr w:type="spellEnd"/>
      <w:r w:rsidRPr="00084EA8">
        <w:rPr>
          <w:rFonts w:ascii="Arial" w:hAnsi="Arial" w:cs="Arial"/>
        </w:rPr>
        <w:t>. London: Kogan Page.</w:t>
      </w:r>
    </w:p>
    <w:p w14:paraId="3481027A" w14:textId="3EB9EE7B" w:rsidR="00084EA8" w:rsidRPr="00084EA8" w:rsidRDefault="00084EA8" w:rsidP="00084EA8">
      <w:pPr>
        <w:rPr>
          <w:rFonts w:ascii="Arial" w:hAnsi="Arial" w:cs="Arial"/>
        </w:rPr>
      </w:pPr>
      <w:r w:rsidRPr="00084EA8">
        <w:rPr>
          <w:rFonts w:ascii="Arial" w:hAnsi="Arial" w:cs="Arial"/>
        </w:rPr>
        <w:t>Torrington, D., Hall, L., Taylor, S. and Atkinson, C. (</w:t>
      </w:r>
      <w:r w:rsidRPr="00084EA8">
        <w:rPr>
          <w:rFonts w:ascii="Arial" w:hAnsi="Arial" w:cs="Arial"/>
          <w:i/>
          <w:iCs/>
        </w:rPr>
        <w:t>2020) Human Resource Management</w:t>
      </w:r>
      <w:r w:rsidRPr="00084EA8">
        <w:rPr>
          <w:rFonts w:ascii="Arial" w:hAnsi="Arial" w:cs="Arial"/>
        </w:rPr>
        <w:t xml:space="preserve">. 11th </w:t>
      </w:r>
      <w:proofErr w:type="spellStart"/>
      <w:r w:rsidRPr="00084EA8">
        <w:rPr>
          <w:rFonts w:ascii="Arial" w:hAnsi="Arial" w:cs="Arial"/>
        </w:rPr>
        <w:t>edn</w:t>
      </w:r>
      <w:proofErr w:type="spellEnd"/>
      <w:r w:rsidRPr="00084EA8">
        <w:rPr>
          <w:rFonts w:ascii="Arial" w:hAnsi="Arial" w:cs="Arial"/>
        </w:rPr>
        <w:t>. Harlow: Pearson Education.</w:t>
      </w:r>
    </w:p>
    <w:p w14:paraId="17838711" w14:textId="5448C648" w:rsidR="00084EA8" w:rsidRPr="00084EA8" w:rsidRDefault="00084EA8" w:rsidP="00084EA8">
      <w:pPr>
        <w:rPr>
          <w:rFonts w:ascii="Arial" w:hAnsi="Arial" w:cs="Arial"/>
        </w:rPr>
      </w:pPr>
      <w:r w:rsidRPr="00084EA8">
        <w:rPr>
          <w:rFonts w:ascii="Arial" w:hAnsi="Arial" w:cs="Arial"/>
        </w:rPr>
        <w:t>Unilever (2024</w:t>
      </w:r>
      <w:r w:rsidRPr="00084EA8">
        <w:rPr>
          <w:rFonts w:ascii="Arial" w:hAnsi="Arial" w:cs="Arial"/>
          <w:i/>
          <w:iCs/>
        </w:rPr>
        <w:t>) Annual Report and Accounts</w:t>
      </w:r>
      <w:r w:rsidRPr="00084EA8">
        <w:rPr>
          <w:rFonts w:ascii="Arial" w:hAnsi="Arial" w:cs="Arial"/>
        </w:rPr>
        <w:t>. Available at: https://www.unilever.com (Accessed: 10 December 2025).</w:t>
      </w:r>
    </w:p>
    <w:sectPr w:rsidR="00084EA8" w:rsidRPr="00084E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DD6C9D"/>
    <w:multiLevelType w:val="hybridMultilevel"/>
    <w:tmpl w:val="151428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47195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A97"/>
    <w:rsid w:val="00056B94"/>
    <w:rsid w:val="00084EA8"/>
    <w:rsid w:val="00165487"/>
    <w:rsid w:val="00252EB7"/>
    <w:rsid w:val="00261B86"/>
    <w:rsid w:val="0029029A"/>
    <w:rsid w:val="002C566D"/>
    <w:rsid w:val="004309C5"/>
    <w:rsid w:val="004A4E9A"/>
    <w:rsid w:val="004D624A"/>
    <w:rsid w:val="00587313"/>
    <w:rsid w:val="006A1042"/>
    <w:rsid w:val="006A6A97"/>
    <w:rsid w:val="006B0DDC"/>
    <w:rsid w:val="00780100"/>
    <w:rsid w:val="008B119C"/>
    <w:rsid w:val="008D0AD3"/>
    <w:rsid w:val="00B83F74"/>
    <w:rsid w:val="00BB570C"/>
    <w:rsid w:val="00C22E32"/>
    <w:rsid w:val="00C36322"/>
    <w:rsid w:val="00C7720C"/>
    <w:rsid w:val="00C90F41"/>
    <w:rsid w:val="00D0769C"/>
    <w:rsid w:val="00D17978"/>
    <w:rsid w:val="00E12BBE"/>
    <w:rsid w:val="00E3789F"/>
    <w:rsid w:val="00E63950"/>
    <w:rsid w:val="00F239F0"/>
    <w:rsid w:val="00F85A66"/>
    <w:rsid w:val="00FE1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0DEFE"/>
  <w15:chartTrackingRefBased/>
  <w15:docId w15:val="{E23A8E71-21BE-4517-94FF-27F7F8DBE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6A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A6A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A6A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6A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6A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6A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6A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6A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6A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6A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A6A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A6A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6A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6A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6A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6A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6A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6A97"/>
    <w:rPr>
      <w:rFonts w:eastAsiaTheme="majorEastAsia" w:cstheme="majorBidi"/>
      <w:color w:val="272727" w:themeColor="text1" w:themeTint="D8"/>
    </w:rPr>
  </w:style>
  <w:style w:type="paragraph" w:styleId="Title">
    <w:name w:val="Title"/>
    <w:basedOn w:val="Normal"/>
    <w:next w:val="Normal"/>
    <w:link w:val="TitleChar"/>
    <w:uiPriority w:val="10"/>
    <w:qFormat/>
    <w:rsid w:val="006A6A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6A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6A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6A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6A97"/>
    <w:pPr>
      <w:spacing w:before="160"/>
      <w:jc w:val="center"/>
    </w:pPr>
    <w:rPr>
      <w:i/>
      <w:iCs/>
      <w:color w:val="404040" w:themeColor="text1" w:themeTint="BF"/>
    </w:rPr>
  </w:style>
  <w:style w:type="character" w:customStyle="1" w:styleId="QuoteChar">
    <w:name w:val="Quote Char"/>
    <w:basedOn w:val="DefaultParagraphFont"/>
    <w:link w:val="Quote"/>
    <w:uiPriority w:val="29"/>
    <w:rsid w:val="006A6A97"/>
    <w:rPr>
      <w:i/>
      <w:iCs/>
      <w:color w:val="404040" w:themeColor="text1" w:themeTint="BF"/>
    </w:rPr>
  </w:style>
  <w:style w:type="paragraph" w:styleId="ListParagraph">
    <w:name w:val="List Paragraph"/>
    <w:basedOn w:val="Normal"/>
    <w:uiPriority w:val="34"/>
    <w:qFormat/>
    <w:rsid w:val="006A6A97"/>
    <w:pPr>
      <w:ind w:left="720"/>
      <w:contextualSpacing/>
    </w:pPr>
  </w:style>
  <w:style w:type="character" w:styleId="IntenseEmphasis">
    <w:name w:val="Intense Emphasis"/>
    <w:basedOn w:val="DefaultParagraphFont"/>
    <w:uiPriority w:val="21"/>
    <w:qFormat/>
    <w:rsid w:val="006A6A97"/>
    <w:rPr>
      <w:i/>
      <w:iCs/>
      <w:color w:val="0F4761" w:themeColor="accent1" w:themeShade="BF"/>
    </w:rPr>
  </w:style>
  <w:style w:type="paragraph" w:styleId="IntenseQuote">
    <w:name w:val="Intense Quote"/>
    <w:basedOn w:val="Normal"/>
    <w:next w:val="Normal"/>
    <w:link w:val="IntenseQuoteChar"/>
    <w:uiPriority w:val="30"/>
    <w:qFormat/>
    <w:rsid w:val="006A6A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6A97"/>
    <w:rPr>
      <w:i/>
      <w:iCs/>
      <w:color w:val="0F4761" w:themeColor="accent1" w:themeShade="BF"/>
    </w:rPr>
  </w:style>
  <w:style w:type="character" w:styleId="IntenseReference">
    <w:name w:val="Intense Reference"/>
    <w:basedOn w:val="DefaultParagraphFont"/>
    <w:uiPriority w:val="32"/>
    <w:qFormat/>
    <w:rsid w:val="006A6A9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2477</Words>
  <Characters>14125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 Raducan</dc:creator>
  <cp:keywords/>
  <dc:description/>
  <cp:lastModifiedBy>Gina Raducan</cp:lastModifiedBy>
  <cp:revision>2</cp:revision>
  <dcterms:created xsi:type="dcterms:W3CDTF">2025-12-16T23:52:00Z</dcterms:created>
  <dcterms:modified xsi:type="dcterms:W3CDTF">2025-12-16T23:52:00Z</dcterms:modified>
</cp:coreProperties>
</file>