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ntTable.xml" ContentType="application/vnd.openxmlformats-officedocument.wordprocessingml.fontTable+xml"/>
  <Override PartName="/word/numbering.xml" ContentType="application/vnd.openxmlformats-officedocument.wordprocessingml.numbering+xml"/>
  <Override PartName="/word/footer1.xml" ContentType="application/vnd.openxmlformats-officedocument.wordprocessingml.footer+xml"/>
  <Override PartName="/word/settings.xml" ContentType="application/vnd.openxmlformats-officedocument.wordprocessingml.settings+xml"/>
  <Override PartName="/word/header3.xml" ContentType="application/vnd.openxmlformats-officedocument.wordprocessingml.header+xml"/>
  <Override PartName="/word/styles.xml" ContentType="application/vnd.openxmlformats-officedocument.wordprocessingml.styles+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bidi w:val="0"/>
        <w:spacing w:lineRule="auto" w:line="276" w:before="0" w:after="200"/>
        <w:jc w:val="center"/>
        <w:rPr>
          <w:rFonts w:ascii="Arial" w:hAnsi="Arial"/>
          <w:sz w:val="24"/>
          <w:szCs w:val="24"/>
        </w:rPr>
      </w:pPr>
      <w:r>
        <w:rPr>
          <w:rFonts w:eastAsia="Times New Roman" w:cs="Times New Roman"/>
          <w:b/>
          <w:sz w:val="24"/>
          <w:szCs w:val="24"/>
        </w:rPr>
        <w:t>Assessment component 1: Individual report</w:t>
      </w:r>
    </w:p>
    <w:p>
      <w:pPr>
        <w:pStyle w:val="Normal"/>
        <w:spacing w:lineRule="auto" w:line="276" w:before="0" w:after="200"/>
        <w:jc w:val="center"/>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Student Name : </w:t>
      </w:r>
      <w:r>
        <w:rPr>
          <w:rFonts w:eastAsia="Times New Roman" w:cs="Times New Roman"/>
          <w:b w:val="false"/>
          <w:bCs w:val="false"/>
          <w:sz w:val="24"/>
          <w:szCs w:val="24"/>
        </w:rPr>
        <w:t>Dipak Modhavadiya</w:t>
      </w:r>
    </w:p>
    <w:p>
      <w:pPr>
        <w:pStyle w:val="Normal"/>
        <w:bidi w:val="0"/>
        <w:spacing w:lineRule="auto" w:line="276" w:before="0" w:after="200"/>
        <w:jc w:val="center"/>
        <w:rPr>
          <w:rFonts w:ascii="Arial" w:hAnsi="Arial"/>
          <w:sz w:val="24"/>
          <w:szCs w:val="24"/>
        </w:rPr>
      </w:pPr>
      <w:r>
        <w:rPr>
          <w:rFonts w:eastAsia="Times New Roman" w:cs="Times New Roman"/>
          <w:b/>
          <w:sz w:val="24"/>
          <w:szCs w:val="24"/>
        </w:rPr>
        <w:t xml:space="preserve">Student ID : </w:t>
      </w:r>
      <w:r>
        <w:rPr>
          <w:rFonts w:eastAsia="Times New Roman" w:cs="Times New Roman"/>
          <w:b w:val="false"/>
          <w:bCs w:val="false"/>
          <w:sz w:val="24"/>
          <w:szCs w:val="24"/>
        </w:rPr>
        <w:t>2506701</w:t>
      </w:r>
    </w:p>
    <w:p>
      <w:pPr>
        <w:pStyle w:val="Normal"/>
        <w:bidi w:val="0"/>
        <w:spacing w:lineRule="auto" w:line="276" w:before="0" w:after="200"/>
        <w:jc w:val="center"/>
        <w:rPr>
          <w:rFonts w:ascii="Arial" w:hAnsi="Arial"/>
          <w:sz w:val="24"/>
          <w:szCs w:val="24"/>
        </w:rPr>
      </w:pPr>
      <w:r>
        <w:rPr>
          <w:rFonts w:eastAsia="Times New Roman" w:cs="Times New Roman"/>
          <w:b/>
          <w:sz w:val="24"/>
          <w:szCs w:val="24"/>
        </w:rPr>
        <w:t>Module Name:</w:t>
      </w:r>
      <w:r>
        <w:rPr>
          <w:rFonts w:eastAsia="Times New Roman" w:cs="Times New Roman"/>
          <w:b w:val="false"/>
          <w:bCs w:val="false"/>
          <w:sz w:val="24"/>
          <w:szCs w:val="24"/>
        </w:rPr>
        <w:t xml:space="preserve"> International Business Concepts</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Module Code: </w:t>
      </w:r>
      <w:r>
        <w:rPr>
          <w:rFonts w:eastAsia="Times New Roman" w:cs="Times New Roman"/>
          <w:b w:val="false"/>
          <w:bCs w:val="false"/>
          <w:sz w:val="24"/>
          <w:szCs w:val="24"/>
        </w:rPr>
        <w:t>LCMB7034</w:t>
      </w:r>
    </w:p>
    <w:p>
      <w:pPr>
        <w:pStyle w:val="Normal"/>
        <w:spacing w:lineRule="auto" w:line="276" w:before="0" w:after="200"/>
        <w:jc w:val="center"/>
        <w:rPr>
          <w:rFonts w:ascii="Arial" w:hAnsi="Arial"/>
          <w:sz w:val="24"/>
          <w:szCs w:val="24"/>
        </w:rPr>
      </w:pPr>
      <w:r>
        <w:rPr>
          <w:rFonts w:eastAsia="Times New Roman" w:cs="Times New Roman"/>
          <w:b/>
          <w:sz w:val="24"/>
          <w:szCs w:val="24"/>
        </w:rPr>
        <w:t>Lecturere’s Name:</w:t>
      </w:r>
      <w:r>
        <w:rPr>
          <w:sz w:val="24"/>
          <w:szCs w:val="24"/>
        </w:rPr>
        <w:t xml:space="preserve"> Akshay Narayan </w:t>
      </w:r>
    </w:p>
    <w:p>
      <w:pPr>
        <w:pStyle w:val="Normal"/>
        <w:spacing w:lineRule="auto" w:line="276" w:before="0" w:after="200"/>
        <w:jc w:val="center"/>
        <w:rPr>
          <w:rFonts w:ascii="Arial" w:hAnsi="Arial"/>
          <w:sz w:val="24"/>
          <w:szCs w:val="24"/>
        </w:rPr>
      </w:pPr>
      <w:r>
        <w:rPr>
          <w:rFonts w:eastAsia="Times New Roman" w:cs="Times New Roman"/>
          <w:b/>
          <w:sz w:val="24"/>
          <w:szCs w:val="24"/>
        </w:rPr>
        <w:t xml:space="preserve">Word Count : </w:t>
      </w:r>
      <w:r>
        <w:rPr>
          <w:sz w:val="24"/>
          <w:szCs w:val="24"/>
        </w:rPr>
        <w:t xml:space="preserve">5000 words (± 10%) </w:t>
      </w:r>
    </w:p>
    <w:p>
      <w:pPr>
        <w:pStyle w:val="Normal"/>
        <w:spacing w:lineRule="auto" w:line="276" w:before="0" w:after="200"/>
        <w:jc w:val="center"/>
        <w:rPr>
          <w:rFonts w:ascii="Arial" w:hAnsi="Arial"/>
          <w:sz w:val="24"/>
          <w:szCs w:val="24"/>
        </w:rPr>
      </w:pPr>
      <w:r>
        <w:rPr>
          <w:rFonts w:eastAsia="Times New Roman" w:cs="Times New Roman"/>
          <w:b w:val="false"/>
          <w:bCs w:val="false"/>
          <w:sz w:val="24"/>
          <w:szCs w:val="24"/>
        </w:rPr>
        <w:t>Term 2</w:t>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p>
    <w:p>
      <w:pPr>
        <w:pStyle w:val="Normal"/>
        <w:spacing w:lineRule="auto" w:line="360" w:before="0" w:after="200"/>
        <w:jc w:val="both"/>
        <w:rPr>
          <w:rFonts w:ascii="Arial" w:hAnsi="Arial" w:eastAsia="Times New Roman" w:cs="Times New Roman"/>
          <w:b/>
          <w:sz w:val="24"/>
          <w:szCs w:val="24"/>
        </w:rPr>
      </w:pPr>
      <w:r>
        <w:rPr>
          <w:rFonts w:eastAsia="Times New Roman" w:cs="Times New Roman"/>
          <w:b/>
          <w:sz w:val="24"/>
          <w:szCs w:val="24"/>
        </w:rPr>
      </w:r>
      <w:r>
        <w:br w:type="page"/>
      </w:r>
    </w:p>
    <w:p>
      <w:pPr>
        <w:pStyle w:val="Normal"/>
        <w:spacing w:lineRule="auto" w:line="360" w:before="0" w:after="200"/>
        <w:jc w:val="center"/>
        <w:rPr>
          <w:rFonts w:ascii="Arial" w:hAnsi="Arial"/>
          <w:sz w:val="24"/>
          <w:szCs w:val="24"/>
        </w:rPr>
      </w:pPr>
      <w:r>
        <w:rPr>
          <w:rFonts w:eastAsia="Times New Roman" w:cs="Times New Roman"/>
          <w:b/>
          <w:sz w:val="24"/>
          <w:szCs w:val="24"/>
        </w:rPr>
        <w:t>Table of contents</w:t>
      </w:r>
    </w:p>
    <w:sdt>
      <w:sdtPr>
        <w:docPartObj>
          <w:docPartGallery w:val="Table of Contents"/>
          <w:docPartUnique w:val="true"/>
        </w:docPartObj>
      </w:sdtPr>
      <w:sdtContent>
        <w:p>
          <w:pPr>
            <w:pStyle w:val="Normal11"/>
            <w:tabs>
              <w:tab w:val="clear" w:pos="720"/>
              <w:tab w:val="right" w:pos="9350" w:leader="dot"/>
            </w:tabs>
            <w:spacing w:lineRule="auto" w:line="360" w:before="0" w:after="100"/>
            <w:jc w:val="both"/>
            <w:rPr>
              <w:color w:val="000000"/>
              <w:sz w:val="24"/>
              <w:szCs w:val="24"/>
              <w:lang w:val="en-GB"/>
            </w:rPr>
          </w:pPr>
          <w:r>
            <w:fldChar w:fldCharType="begin"/>
          </w:r>
          <w:r>
            <w:rPr>
              <w:rStyle w:val="IndexLink"/>
              <w:vanish w:val="false"/>
              <w:webHidden/>
              <w:color w:val="000000"/>
              <w:sz w:val="24"/>
              <w:szCs w:val="24"/>
              <w:lang w:val="en-GB"/>
            </w:rPr>
            <w:instrText xml:space="preserve"> TOC \z \o "1-9" \u \t "heading 1,1,heading 2,2,heading 3,3,heading 4,4,heading 5,5,heading 6,6" \h</w:instrText>
          </w:r>
          <w:r>
            <w:rPr>
              <w:rStyle w:val="IndexLink"/>
              <w:vanish w:val="false"/>
              <w:webHidden/>
              <w:color w:val="000000"/>
              <w:sz w:val="24"/>
              <w:szCs w:val="24"/>
              <w:lang w:val="en-GB"/>
            </w:rPr>
            <w:fldChar w:fldCharType="separate"/>
          </w:r>
          <w:hyperlink w:anchor="_heading=h.23tgpdk0faao">
            <w:r>
              <w:rPr>
                <w:rStyle w:val="IndexLink"/>
                <w:vanish w:val="false"/>
                <w:webHidden/>
                <w:color w:val="000000"/>
                <w:sz w:val="24"/>
                <w:szCs w:val="24"/>
                <w:lang w:val="en-GB"/>
              </w:rPr>
              <w:t xml:space="preserve">Section 1: Industry and company analysis …………………………………………….... </w:t>
            </w:r>
          </w:hyperlink>
          <w:r>
            <w:rPr>
              <w:color w:val="000000"/>
              <w:sz w:val="24"/>
              <w:szCs w:val="24"/>
              <w:lang w:val="en-GB"/>
            </w:rPr>
            <w:t>3</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ntzrut26mc3g">
            <w:r>
              <w:rPr>
                <w:rStyle w:val="IndexLink"/>
                <w:vanish w:val="false"/>
                <w:webHidden/>
                <w:color w:val="000000"/>
                <w:sz w:val="24"/>
                <w:szCs w:val="24"/>
                <w:lang w:val="en-GB"/>
              </w:rPr>
              <w:t xml:space="preserve">1. Introduction to the report ………………………………………….……………….  </w:t>
            </w:r>
          </w:hyperlink>
          <w:r>
            <w:rPr>
              <w:color w:val="000000"/>
              <w:sz w:val="24"/>
              <w:szCs w:val="24"/>
              <w:lang w:val="en-GB"/>
            </w:rPr>
            <w:t>3</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wc075hldb4ve">
            <w:r>
              <w:rPr>
                <w:rStyle w:val="IndexLink"/>
                <w:vanish w:val="false"/>
                <w:webHidden/>
                <w:color w:val="000000"/>
                <w:sz w:val="24"/>
                <w:szCs w:val="24"/>
                <w:lang w:val="en-GB"/>
              </w:rPr>
              <w:t>2. Industry and Country Overview ……………………………………………………. 4</w:t>
            </w:r>
          </w:hyperlink>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tultvegvrez5">
            <w:r>
              <w:rPr>
                <w:rStyle w:val="IndexLink"/>
                <w:vanish w:val="false"/>
                <w:webHidden/>
                <w:color w:val="000000"/>
                <w:sz w:val="24"/>
                <w:szCs w:val="24"/>
                <w:lang w:val="en-GB"/>
              </w:rPr>
              <w:t xml:space="preserve">3. Michael Porter’s Diamond Model of National Advantage ………………………... </w:t>
            </w:r>
          </w:hyperlink>
          <w:r>
            <w:rPr>
              <w:color w:val="000000"/>
              <w:sz w:val="24"/>
              <w:szCs w:val="24"/>
              <w:lang w:val="en-GB"/>
            </w:rPr>
            <w:t>10</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e8aimxcb9j6b">
            <w:r>
              <w:rPr>
                <w:rStyle w:val="IndexLink"/>
                <w:vanish w:val="false"/>
                <w:webHidden/>
                <w:color w:val="000000"/>
                <w:sz w:val="24"/>
                <w:szCs w:val="24"/>
                <w:lang w:val="en-GB"/>
              </w:rPr>
              <w:t xml:space="preserve">4. One of the major foreign MNCs/TNCs operating in the country-industry pair …… </w:t>
            </w:r>
          </w:hyperlink>
          <w:r>
            <w:rPr>
              <w:color w:val="000000"/>
              <w:sz w:val="24"/>
              <w:szCs w:val="24"/>
              <w:lang w:val="en-GB"/>
            </w:rPr>
            <w:t>15</w:t>
          </w:r>
        </w:p>
        <w:p>
          <w:pPr>
            <w:pStyle w:val="Normal11"/>
            <w:tabs>
              <w:tab w:val="clear" w:pos="720"/>
              <w:tab w:val="right" w:pos="9350" w:leader="dot"/>
            </w:tabs>
            <w:spacing w:lineRule="auto" w:line="360" w:before="0" w:after="100"/>
            <w:ind w:start="220"/>
            <w:jc w:val="both"/>
            <w:rPr>
              <w:color w:val="000000"/>
              <w:sz w:val="24"/>
              <w:szCs w:val="24"/>
              <w:lang w:val="en-GB"/>
            </w:rPr>
          </w:pPr>
          <w:r>
            <w:rPr>
              <w:color w:val="000000"/>
              <w:sz w:val="24"/>
              <w:szCs w:val="24"/>
              <w:lang w:val="en-GB"/>
            </w:rPr>
            <w:t xml:space="preserve">    </w:t>
          </w:r>
          <w:r>
            <w:rPr>
              <w:color w:val="000000"/>
              <w:sz w:val="24"/>
              <w:szCs w:val="24"/>
              <w:lang w:val="en-GB"/>
            </w:rPr>
            <w:t>Cultural Framework: Hofstede’s Dimensions ……………………………………… 22</w:t>
          </w:r>
        </w:p>
        <w:p>
          <w:pPr>
            <w:pStyle w:val="Normal11"/>
            <w:tabs>
              <w:tab w:val="clear" w:pos="720"/>
              <w:tab w:val="right" w:pos="9350" w:leader="dot"/>
            </w:tabs>
            <w:spacing w:lineRule="auto" w:line="360" w:before="0" w:after="100"/>
            <w:ind w:start="220"/>
            <w:jc w:val="both"/>
            <w:rPr>
              <w:color w:val="000000"/>
              <w:sz w:val="24"/>
              <w:szCs w:val="24"/>
              <w:lang w:val="en-GB"/>
            </w:rPr>
          </w:pPr>
          <w:hyperlink w:anchor="_heading=h.a96r9wgnxjjq">
            <w:r>
              <w:rPr>
                <w:rStyle w:val="IndexLink"/>
                <w:vanish w:val="false"/>
                <w:webHidden/>
                <w:color w:val="000000"/>
                <w:sz w:val="24"/>
                <w:szCs w:val="24"/>
                <w:lang w:val="en-GB"/>
              </w:rPr>
              <w:t>5. Conclusion to the report ……………………………………………………………</w:t>
            </w:r>
          </w:hyperlink>
          <w:r>
            <w:rPr>
              <w:color w:val="000000"/>
              <w:sz w:val="24"/>
              <w:szCs w:val="24"/>
              <w:lang w:val="en-GB"/>
            </w:rPr>
            <w:t>.. 24</w:t>
          </w:r>
        </w:p>
        <w:p>
          <w:pPr>
            <w:pStyle w:val="Normal11"/>
            <w:tabs>
              <w:tab w:val="clear" w:pos="720"/>
              <w:tab w:val="right" w:pos="9350" w:leader="dot"/>
            </w:tabs>
            <w:spacing w:lineRule="auto" w:line="360" w:before="0" w:after="100"/>
            <w:jc w:val="both"/>
            <w:rPr>
              <w:color w:val="000000"/>
              <w:sz w:val="24"/>
              <w:szCs w:val="24"/>
              <w:lang w:val="en-GB"/>
            </w:rPr>
          </w:pPr>
          <w:hyperlink w:anchor="_heading=h.p1je4oq0evuy">
            <w:r>
              <w:rPr>
                <w:rStyle w:val="IndexLink"/>
                <w:vanish w:val="false"/>
                <w:webHidden/>
                <w:color w:val="000000"/>
                <w:sz w:val="24"/>
                <w:szCs w:val="24"/>
                <w:lang w:val="en-GB"/>
              </w:rPr>
              <w:t xml:space="preserve">Section 2: Reflection  …………………………………………………………..……….. </w:t>
            </w:r>
            <w:r>
              <w:rPr>
                <w:rStyle w:val="IndexLink"/>
                <w:color w:val="000000"/>
                <w:sz w:val="24"/>
                <w:szCs w:val="24"/>
                <w:lang w:val="en-GB"/>
              </w:rPr>
              <w:t>2</w:t>
            </w:r>
          </w:hyperlink>
          <w:r>
            <w:rPr>
              <w:color w:val="000000"/>
              <w:sz w:val="24"/>
              <w:szCs w:val="24"/>
              <w:lang w:val="en-GB"/>
            </w:rPr>
            <w:t>6</w:t>
          </w:r>
        </w:p>
        <w:p>
          <w:pPr>
            <w:pStyle w:val="Normal11"/>
            <w:tabs>
              <w:tab w:val="clear" w:pos="720"/>
              <w:tab w:val="right" w:pos="9350" w:leader="dot"/>
            </w:tabs>
            <w:spacing w:lineRule="auto" w:line="360" w:before="0" w:after="100"/>
            <w:jc w:val="both"/>
            <w:rPr>
              <w:color w:val="000000"/>
              <w:sz w:val="24"/>
              <w:szCs w:val="24"/>
              <w:lang w:val="en-GB"/>
            </w:rPr>
          </w:pPr>
          <w:hyperlink w:anchor="_heading=h.9awbb0qu0ons">
            <w:r>
              <w:rPr>
                <w:rStyle w:val="IndexLink"/>
                <w:rFonts w:eastAsia="Times New Roman" w:cs="Times New Roman"/>
                <w:b w:val="false"/>
                <w:i w:val="false"/>
                <w:caps w:val="false"/>
                <w:smallCaps w:val="false"/>
                <w:strike w:val="false"/>
                <w:dstrike w:val="false"/>
                <w:vanish w:val="false"/>
                <w:webHidden/>
                <w:color w:val="000000"/>
                <w:position w:val="0"/>
                <w:sz w:val="24"/>
                <w:szCs w:val="24"/>
                <w:u w:val="none"/>
                <w:shd w:fill="auto" w:val="clear"/>
                <w:vertAlign w:val="baseline"/>
                <w:lang w:val="en-GB"/>
              </w:rPr>
              <w:t>References ……………………………………………………………………………….</w:t>
            </w:r>
          </w:hyperlink>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t xml:space="preserve"> 30</w:t>
          </w:r>
          <w:r>
            <w:rPr>
              <w:rFonts w:eastAsia="Times New Roman" w:cs="Times New Roman"/>
              <w:b w:val="false"/>
              <w:i w:val="false"/>
              <w:caps w:val="false"/>
              <w:smallCaps w:val="false"/>
              <w:strike w:val="false"/>
              <w:dstrike w:val="false"/>
              <w:vanish w:val="false"/>
              <w:color w:val="000000"/>
              <w:position w:val="0"/>
              <w:sz w:val="24"/>
              <w:szCs w:val="24"/>
              <w:u w:val="none"/>
              <w:shd w:fill="auto" w:val="clear"/>
              <w:vertAlign w:val="baseline"/>
              <w:lang w:val="en-GB"/>
            </w:rPr>
            <w:fldChar w:fldCharType="end"/>
          </w:r>
        </w:p>
      </w:sdtContent>
    </w:sdt>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p>
    <w:p>
      <w:pPr>
        <w:pStyle w:val="Normal"/>
        <w:spacing w:lineRule="auto" w:line="360" w:before="0" w:after="200"/>
        <w:jc w:val="both"/>
        <w:rPr>
          <w:rFonts w:ascii="Arial" w:hAnsi="Arial"/>
          <w:sz w:val="24"/>
          <w:szCs w:val="24"/>
        </w:rPr>
      </w:pPr>
      <w:r>
        <w:rPr>
          <w:sz w:val="24"/>
          <w:szCs w:val="24"/>
        </w:rPr>
      </w:r>
      <w:r>
        <w:br w:type="page"/>
      </w:r>
    </w:p>
    <w:p>
      <w:pPr>
        <w:pStyle w:val="Heading1"/>
        <w:spacing w:lineRule="auto" w:line="360" w:before="0" w:after="200"/>
        <w:jc w:val="both"/>
        <w:rPr>
          <w:rFonts w:ascii="Arial" w:hAnsi="Arial"/>
          <w:sz w:val="24"/>
          <w:szCs w:val="24"/>
        </w:rPr>
      </w:pPr>
      <w:r>
        <w:rPr>
          <w:rFonts w:ascii="Arial" w:hAnsi="Arial"/>
          <w:sz w:val="24"/>
          <w:szCs w:val="24"/>
        </w:rPr>
        <w:t>0.0. Introduction</w:t>
      </w:r>
    </w:p>
    <w:p>
      <w:pPr>
        <w:pStyle w:val="normal2"/>
        <w:pageBreakBefore w:val="false"/>
        <w:widowControl/>
        <w:bidi w:val="0"/>
        <w:spacing w:lineRule="auto" w:line="360" w:before="0" w:after="200"/>
        <w:ind w:hanging="0" w:start="0" w:end="0"/>
        <w:jc w:val="both"/>
        <w:rPr>
          <w:rFonts w:ascii="Arial" w:hAnsi="Arial" w:eastAsia="Arial" w:cs="Arial"/>
          <w:b w:val="false"/>
          <w:i w:val="false"/>
          <w:caps w:val="false"/>
          <w:smallCaps w:val="false"/>
          <w:strike w:val="false"/>
          <w:dstrike w:val="false"/>
          <w:color w:val="000000"/>
          <w:sz w:val="24"/>
          <w:szCs w:val="24"/>
          <w:u w:val="none"/>
          <w:shd w:fill="auto" w:val="clear"/>
        </w:rPr>
      </w:pPr>
      <w:r>
        <w:rPr>
          <w:rFonts w:eastAsia="Arial" w:cs="Arial" w:ascii="Arial" w:hAnsi="Arial"/>
          <w:b w:val="false"/>
          <w:i w:val="false"/>
          <w:caps w:val="false"/>
          <w:smallCaps w:val="false"/>
          <w:strike w:val="false"/>
          <w:dstrike w:val="false"/>
          <w:color w:val="000000"/>
          <w:sz w:val="24"/>
          <w:szCs w:val="24"/>
          <w:u w:val="none"/>
          <w:shd w:fill="auto" w:val="clear"/>
        </w:rPr>
        <w:tab/>
        <w:t xml:space="preserve"> With an estimated production of 248 million tonnes in the 2024-25 fiscal year, India is world's largest producer and consumer of milk (The Times of India, 2025). It has an unique, highly localized market that is primarily driven by cooperative structures and a massive smallholder farmer base. Dairy sector has continuous relevancy in rural development and larger macroeconomic stability of India. Roughly 80% of nations’ milk is handled by unorganized local vendors – who dominate this market. Apart from that, the sector has other severe constraints :  low per-animal yields, fragmented rural supply chains (Kotak Mutual Fund, 2026). Despite this strong competition, Indian dairy sector is highly attractive to multinational corporations because of urbanization, rapidly growing middle class. As a consequence,  consumer demand is shifting more towards value-added products from organized sectors such as branded yogurts and specialized nutrition. These VADPs account for 30-40% of total dairy market value (Kotak Mutual Fund, 2026). This report critically analyzes Indian Dairy Sector and evaluates it’s global competitiveness through the use of developed frameworks like Porter’s Diamond Model and Hofstede’s cultural dimensions. Then the report strategically assesses the market attractiveness for Nestlé India - a major foreign multinational conglomerate operating in complex Indian dairy landscape. Kolb’s reflective cycles have been used to complete the reflective task, which is crucial to develop broader understanding of what has been improved and what areas need still need improvement for future academic writings.</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34" behindDoc="0" locked="0" layoutInCell="0" allowOverlap="1">
            <wp:simplePos x="0" y="0"/>
            <wp:positionH relativeFrom="column">
              <wp:align>center</wp:align>
            </wp:positionH>
            <wp:positionV relativeFrom="paragraph">
              <wp:posOffset>635</wp:posOffset>
            </wp:positionV>
            <wp:extent cx="5731510" cy="3284220"/>
            <wp:effectExtent l="0" t="0" r="0" b="0"/>
            <wp:wrapTopAndBottom/>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5731510" cy="3284220"/>
                    </a:xfrm>
                    <a:prstGeom prst="rect">
                      <a:avLst/>
                    </a:prstGeom>
                    <a:noFill/>
                  </pic:spPr>
                </pic:pic>
              </a:graphicData>
            </a:graphic>
          </wp:anchor>
        </w:drawing>
      </w:r>
      <w:r>
        <w:rPr>
          <w:rFonts w:eastAsia="Times New Roman" w:cs="Times New Roman"/>
          <w:b w:val="false"/>
          <w:bCs w:val="false"/>
          <w:sz w:val="24"/>
          <w:szCs w:val="24"/>
        </w:rPr>
        <w:t xml:space="preserve">(Source: </w:t>
      </w:r>
      <w:hyperlink r:id="rId3">
        <w:r>
          <w:rPr>
            <w:rStyle w:val="Hyperlink"/>
            <w:rFonts w:eastAsia="Times New Roman" w:cs="Times New Roman"/>
            <w:b w:val="false"/>
            <w:bCs w:val="false"/>
            <w:sz w:val="24"/>
            <w:szCs w:val="24"/>
          </w:rPr>
          <w:t>https://www.kotakmf.com/Information/blogs/india-dairy-industry-overview</w:t>
        </w:r>
      </w:hyperlink>
      <w:r>
        <w:rPr>
          <w:rFonts w:eastAsia="Times New Roman" w:cs="Times New Roman"/>
          <w:b w:val="false"/>
          <w:bCs w:val="false"/>
          <w:sz w:val="24"/>
          <w:szCs w:val="24"/>
        </w:rPr>
        <w:t xml:space="preserve"> )</w:t>
      </w:r>
    </w:p>
    <w:p>
      <w:pPr>
        <w:pStyle w:val="Heading1"/>
        <w:spacing w:lineRule="auto" w:line="360" w:before="0" w:after="200"/>
        <w:jc w:val="both"/>
        <w:rPr>
          <w:rFonts w:ascii="Arial" w:hAnsi="Arial"/>
          <w:sz w:val="24"/>
          <w:szCs w:val="24"/>
        </w:rPr>
      </w:pPr>
      <w:r>
        <w:rPr>
          <w:rFonts w:ascii="Arial" w:hAnsi="Arial"/>
          <w:sz w:val="24"/>
          <w:szCs w:val="24"/>
        </w:rPr>
        <w:t>1.0. Dairy Industry</w:t>
      </w:r>
      <w:r>
        <w:rPr>
          <w:rFonts w:ascii="Arial" w:hAnsi="Arial"/>
          <w:b/>
          <w:bCs/>
          <w:sz w:val="24"/>
          <w:szCs w:val="24"/>
        </w:rPr>
        <w:t xml:space="preserve"> in India Overview</w:t>
      </w:r>
    </w:p>
    <w:p>
      <w:pPr>
        <w:pStyle w:val="Heading2"/>
        <w:spacing w:lineRule="auto" w:line="360" w:before="0" w:after="200"/>
        <w:jc w:val="both"/>
        <w:rPr>
          <w:rFonts w:ascii="Arial" w:hAnsi="Arial"/>
          <w:sz w:val="24"/>
          <w:szCs w:val="24"/>
        </w:rPr>
      </w:pPr>
      <w:r>
        <w:rPr>
          <w:rFonts w:ascii="Arial" w:hAnsi="Arial"/>
          <w:sz w:val="24"/>
          <w:szCs w:val="24"/>
        </w:rPr>
        <w:t>1.1  Size, Scope, and Economic Importance</w:t>
      </w:r>
    </w:p>
    <w:p>
      <w:pPr>
        <w:pStyle w:val="Normal"/>
        <w:spacing w:lineRule="auto" w:line="360" w:before="0" w:after="200"/>
        <w:jc w:val="both"/>
        <w:rPr>
          <w:rFonts w:ascii="Arial" w:hAnsi="Arial"/>
          <w:sz w:val="24"/>
          <w:szCs w:val="24"/>
        </w:rPr>
      </w:pPr>
      <w:r>
        <w:rPr>
          <w:sz w:val="24"/>
          <w:szCs w:val="24"/>
        </w:rPr>
        <w:t>Roughly a quarter of global dairy production comes from Indian dairy industry. It operates on an unprecedented scale and contributes approximately 4% to 5% to India's total GDP and accounts for nearly 25% of the Indian agricultural GDP (Brickwork Ratings, 2025). Dairy sector has a massive macroeconomic significance in Indian Economy; In 2025 the industry was valued at INR 21 trillion in 2025 and is projected to grow at approximately 11.8% to 12.35% CAGR till 2031.</w:t>
      </w:r>
    </w:p>
    <w:p>
      <w:pPr>
        <w:pStyle w:val="Normal"/>
        <w:spacing w:lineRule="auto" w:line="360" w:before="0" w:after="200"/>
        <w:jc w:val="center"/>
        <w:rPr>
          <w:rFonts w:ascii="Arial" w:hAnsi="Arial"/>
          <w:sz w:val="24"/>
          <w:szCs w:val="24"/>
        </w:rPr>
      </w:pPr>
      <w:r>
        <w:drawing>
          <wp:anchor distT="0" distB="0" distL="0" distR="0" simplePos="0" relativeHeight="38" behindDoc="0" locked="0" layoutInCell="0" allowOverlap="1">
            <wp:simplePos x="0" y="0"/>
            <wp:positionH relativeFrom="column">
              <wp:align>center</wp:align>
            </wp:positionH>
            <wp:positionV relativeFrom="paragraph">
              <wp:posOffset>635</wp:posOffset>
            </wp:positionV>
            <wp:extent cx="5731510" cy="3068955"/>
            <wp:effectExtent l="0" t="0" r="0" b="0"/>
            <wp:wrapSquare wrapText="largest"/>
            <wp:docPr id="2"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
                    <pic:cNvPicPr>
                      <a:picLocks noChangeAspect="1" noChangeArrowheads="1"/>
                    </pic:cNvPicPr>
                  </pic:nvPicPr>
                  <pic:blipFill>
                    <a:blip r:embed="rId4"/>
                    <a:stretch>
                      <a:fillRect/>
                    </a:stretch>
                  </pic:blipFill>
                  <pic:spPr bwMode="auto">
                    <a:xfrm>
                      <a:off x="0" y="0"/>
                      <a:ext cx="5731510" cy="3068955"/>
                    </a:xfrm>
                    <a:prstGeom prst="rect">
                      <a:avLst/>
                    </a:prstGeom>
                    <a:noFill/>
                  </pic:spPr>
                </pic:pic>
              </a:graphicData>
            </a:graphic>
          </wp:anchor>
        </w:drawing>
      </w:r>
      <w:r>
        <w:rPr>
          <w:sz w:val="22"/>
          <w:szCs w:val="22"/>
        </w:rPr>
        <w:t xml:space="preserve">(Source: </w:t>
      </w:r>
      <w:hyperlink r:id="rId5">
        <w:r>
          <w:rPr>
            <w:rStyle w:val="Hyperlink"/>
            <w:sz w:val="22"/>
            <w:szCs w:val="22"/>
          </w:rPr>
          <w:t>https://www.mordorintelligence.com/industry-reports/india-dairy-market</w:t>
        </w:r>
      </w:hyperlink>
      <w:r>
        <w:rPr>
          <w:sz w:val="22"/>
          <w:szCs w:val="22"/>
        </w:rPr>
        <w:t xml:space="preserve"> )</w:t>
      </w:r>
    </w:p>
    <w:p>
      <w:pPr>
        <w:pStyle w:val="Normal"/>
        <w:spacing w:lineRule="auto" w:line="360" w:before="0" w:after="200"/>
        <w:jc w:val="both"/>
        <w:rPr>
          <w:rFonts w:ascii="Arial" w:hAnsi="Arial"/>
          <w:sz w:val="24"/>
          <w:szCs w:val="24"/>
        </w:rPr>
      </w:pPr>
      <w:r>
        <w:rPr>
          <w:sz w:val="24"/>
          <w:szCs w:val="24"/>
        </w:rPr>
        <w:t>Beyond the economy, the dairy sector is deeply intertwined with India's social fabric. As a result of massively successful ‘Operation Flood’ in 1970-72 and the ongoing ‘White Revolution 2.0'  of late 2024, the industry currently relies on a decentralized production model (PIB, 2025). The milk production is mainly dominated by small and marginal farmers, who typically owns just one or two animals. This model has strong and deep rural reach and it is a critical driver of women's employment in the agricultural sector (Brickwork Ratings, 2025).</w:t>
      </w:r>
    </w:p>
    <w:p>
      <w:pPr>
        <w:pStyle w:val="Normal"/>
        <w:bidi w:val="0"/>
        <w:spacing w:lineRule="auto" w:line="360" w:before="0" w:after="200"/>
        <w:jc w:val="center"/>
        <w:rPr>
          <w:rFonts w:ascii="Arial" w:hAnsi="Arial"/>
          <w:sz w:val="24"/>
          <w:szCs w:val="24"/>
        </w:rPr>
      </w:pPr>
      <w:r>
        <w:drawing>
          <wp:anchor distT="0" distB="0" distL="0" distR="0" simplePos="0" relativeHeight="35" behindDoc="0" locked="0" layoutInCell="0" allowOverlap="1">
            <wp:simplePos x="0" y="0"/>
            <wp:positionH relativeFrom="column">
              <wp:align>center</wp:align>
            </wp:positionH>
            <wp:positionV relativeFrom="paragraph">
              <wp:posOffset>635</wp:posOffset>
            </wp:positionV>
            <wp:extent cx="5731510" cy="4445635"/>
            <wp:effectExtent l="0" t="0" r="0" b="0"/>
            <wp:wrapSquare wrapText="largest"/>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6"/>
                    <a:stretch>
                      <a:fillRect/>
                    </a:stretch>
                  </pic:blipFill>
                  <pic:spPr bwMode="auto">
                    <a:xfrm>
                      <a:off x="0" y="0"/>
                      <a:ext cx="5731510" cy="4445635"/>
                    </a:xfrm>
                    <a:prstGeom prst="rect">
                      <a:avLst/>
                    </a:prstGeom>
                    <a:noFill/>
                  </pic:spPr>
                </pic:pic>
              </a:graphicData>
            </a:graphic>
          </wp:anchor>
        </w:drawing>
      </w:r>
      <w:r>
        <w:rPr>
          <w:sz w:val="24"/>
          <w:szCs w:val="24"/>
        </w:rPr>
        <w:t xml:space="preserve">(Source: </w:t>
      </w:r>
      <w:hyperlink r:id="rId7">
        <w:r>
          <w:rPr>
            <w:rStyle w:val="Hyperlink"/>
            <w:sz w:val="24"/>
            <w:szCs w:val="24"/>
          </w:rPr>
          <w:t>https://www.kotakmf.com/Information/blogs/india-dairy-industry-overview</w:t>
        </w:r>
      </w:hyperlink>
      <w:r>
        <w:rPr>
          <w:sz w:val="24"/>
          <w:szCs w:val="24"/>
        </w:rPr>
        <w:t xml:space="preserv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industry is structured in 2 bifurcations :</w:t>
      </w:r>
    </w:p>
    <w:p>
      <w:pPr>
        <w:pStyle w:val="Normal"/>
        <w:numPr>
          <w:ilvl w:val="0"/>
          <w:numId w:val="1"/>
        </w:numPr>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t>The traditional sector:</w:t>
      </w:r>
      <w:r>
        <w:rPr>
          <w:rFonts w:eastAsia="Times New Roman" w:cs="Times New Roman"/>
          <w:b w:val="false"/>
          <w:bCs w:val="false"/>
          <w:sz w:val="24"/>
          <w:szCs w:val="24"/>
        </w:rPr>
        <w:t xml:space="preserve"> which is unorganized and  comprises of local vendors and largly self-consumption; this sector still handles an estimated 80% of the milk supply of the entire nation.</w:t>
      </w:r>
    </w:p>
    <w:p>
      <w:pPr>
        <w:pStyle w:val="Normal"/>
        <w:numPr>
          <w:ilvl w:val="0"/>
          <w:numId w:val="1"/>
        </w:numPr>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bCs/>
          <w:sz w:val="24"/>
          <w:szCs w:val="24"/>
        </w:rPr>
        <w:t>The formal Sector:</w:t>
      </w:r>
      <w:r>
        <w:rPr>
          <w:rFonts w:eastAsia="Times New Roman" w:cs="Times New Roman"/>
          <w:b w:val="false"/>
          <w:bCs w:val="false"/>
          <w:sz w:val="24"/>
          <w:szCs w:val="24"/>
        </w:rPr>
        <w:t xml:space="preserve"> Which is organized and handles only 20% of the milk supply and mainly focuses on VADPs rather than raw milk.</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However, recent changes like rapid urbanization, rising purchasing power and general population becoming health conscious have introduced fundamental change in the overall environment. Consumers are increasingly transitioning away from raw milk based organized sector and toward the organized sector's Value-Added Dairy Products (VADP) such as packaged paneer, probiotic curds and cheese (MoFPI, 2025). This transition presents immense growth potential for formal market players and multinational corporations (USDA/FAS, 2025).</w:t>
      </w:r>
    </w:p>
    <w:p>
      <w:pPr>
        <w:pStyle w:val="Normal"/>
        <w:bidi w:val="0"/>
        <w:spacing w:lineRule="auto" w:line="360" w:before="0" w:after="200"/>
        <w:jc w:val="center"/>
        <w:rPr>
          <w:rFonts w:ascii="Arial" w:hAnsi="Arial" w:eastAsia="Times New Roman" w:cs="Times New Roman"/>
          <w:b w:val="false"/>
          <w:bCs w:val="false"/>
          <w:sz w:val="22"/>
          <w:szCs w:val="22"/>
        </w:rPr>
      </w:pPr>
      <w:r>
        <w:drawing>
          <wp:anchor distT="0" distB="0" distL="0" distR="0" simplePos="0" relativeHeight="42" behindDoc="0" locked="0" layoutInCell="0" allowOverlap="1">
            <wp:simplePos x="0" y="0"/>
            <wp:positionH relativeFrom="column">
              <wp:align>center</wp:align>
            </wp:positionH>
            <wp:positionV relativeFrom="paragraph">
              <wp:posOffset>635</wp:posOffset>
            </wp:positionV>
            <wp:extent cx="5120640" cy="2931160"/>
            <wp:effectExtent l="0" t="0" r="0" b="0"/>
            <wp:wrapSquare wrapText="largest"/>
            <wp:docPr id="4" name="Imag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1"/>
                    <pic:cNvPicPr>
                      <a:picLocks noChangeAspect="1" noChangeArrowheads="1"/>
                    </pic:cNvPicPr>
                  </pic:nvPicPr>
                  <pic:blipFill>
                    <a:blip r:embed="rId8"/>
                    <a:stretch>
                      <a:fillRect/>
                    </a:stretch>
                  </pic:blipFill>
                  <pic:spPr bwMode="auto">
                    <a:xfrm>
                      <a:off x="0" y="0"/>
                      <a:ext cx="5120640" cy="2931160"/>
                    </a:xfrm>
                    <a:prstGeom prst="rect">
                      <a:avLst/>
                    </a:prstGeom>
                    <a:noFill/>
                  </pic:spPr>
                </pic:pic>
              </a:graphicData>
            </a:graphic>
          </wp:anchor>
        </w:drawing>
      </w:r>
      <w:r>
        <w:rPr>
          <w:rFonts w:eastAsia="Times New Roman" w:cs="Times New Roman"/>
          <w:b w:val="false"/>
          <w:bCs w:val="false"/>
          <w:sz w:val="20"/>
          <w:szCs w:val="20"/>
        </w:rPr>
        <w:t xml:space="preserve">(Source: </w:t>
      </w:r>
      <w:hyperlink r:id="rId9">
        <w:r>
          <w:rPr>
            <w:rStyle w:val="Hyperlink"/>
            <w:rFonts w:eastAsia="Times New Roman" w:cs="Times New Roman"/>
            <w:b w:val="false"/>
            <w:bCs w:val="false"/>
            <w:sz w:val="20"/>
            <w:szCs w:val="20"/>
          </w:rPr>
          <w:t>https://www.coherentmarketinsights.com/market-insight/dairy-products-market-5036</w:t>
        </w:r>
      </w:hyperlink>
      <w:r>
        <w:rPr>
          <w:rFonts w:eastAsia="Times New Roman" w:cs="Times New Roman"/>
          <w:b w:val="false"/>
          <w:bCs w:val="false"/>
          <w:sz w:val="20"/>
          <w:szCs w:val="20"/>
        </w:rPr>
        <w:t xml:space="preserve"> )</w:t>
      </w:r>
    </w:p>
    <w:p>
      <w:pPr>
        <w:pStyle w:val="Heading2"/>
        <w:rPr>
          <w:rFonts w:ascii="arial" w:hAnsi="arial"/>
        </w:rPr>
      </w:pPr>
      <w:r>
        <w:rPr>
          <w:rFonts w:ascii="arial" w:hAnsi="arial"/>
        </w:rPr>
      </w:r>
    </w:p>
    <w:p>
      <w:pPr>
        <w:pStyle w:val="Heading2"/>
        <w:rPr>
          <w:rFonts w:ascii="arial" w:hAnsi="arial"/>
        </w:rPr>
      </w:pPr>
      <w:r>
        <w:rPr>
          <w:rFonts w:ascii="arial" w:hAnsi="arial"/>
        </w:rPr>
        <w:t>1.2 Major Players and Relative Positioning</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competitive landscape of the Indian dairy sector is highly complex. There are deeply entrenched and politically supported entities and profit-driven corporate enterprises (Mordor Intelligence, 2026). Major players in Indian dairy industry can be categorized on the bases of their three distinct operational models: cooperatives, private domestic firms and foreign multinational corporations (MNCs).</w:t>
      </w:r>
    </w:p>
    <w:p>
      <w:pPr>
        <w:pStyle w:val="Normal"/>
        <w:spacing w:lineRule="auto" w:line="360" w:before="0" w:after="200"/>
        <w:jc w:val="center"/>
        <w:rPr>
          <w:rFonts w:ascii="Arial" w:hAnsi="Arial"/>
          <w:sz w:val="24"/>
          <w:szCs w:val="24"/>
        </w:rPr>
      </w:pPr>
      <w:r>
        <w:drawing>
          <wp:anchor distT="0" distB="0" distL="0" distR="0" simplePos="0" relativeHeight="39" behindDoc="0" locked="0" layoutInCell="0" allowOverlap="1">
            <wp:simplePos x="0" y="0"/>
            <wp:positionH relativeFrom="column">
              <wp:align>center</wp:align>
            </wp:positionH>
            <wp:positionV relativeFrom="paragraph">
              <wp:posOffset>635</wp:posOffset>
            </wp:positionV>
            <wp:extent cx="4523740" cy="1904365"/>
            <wp:effectExtent l="0" t="0" r="0" b="0"/>
            <wp:wrapTopAndBottom/>
            <wp:docPr id="5"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8"/>
                    <pic:cNvPicPr>
                      <a:picLocks noChangeAspect="1" noChangeArrowheads="1"/>
                    </pic:cNvPicPr>
                  </pic:nvPicPr>
                  <pic:blipFill>
                    <a:blip r:embed="rId10"/>
                    <a:stretch>
                      <a:fillRect/>
                    </a:stretch>
                  </pic:blipFill>
                  <pic:spPr bwMode="auto">
                    <a:xfrm>
                      <a:off x="0" y="0"/>
                      <a:ext cx="4523740" cy="1904365"/>
                    </a:xfrm>
                    <a:prstGeom prst="rect">
                      <a:avLst/>
                    </a:prstGeom>
                    <a:noFill/>
                  </pic:spPr>
                </pic:pic>
              </a:graphicData>
            </a:graphic>
          </wp:anchor>
        </w:drawing>
      </w:r>
      <w:r>
        <w:rPr>
          <w:sz w:val="22"/>
          <w:szCs w:val="22"/>
        </w:rPr>
        <w:t xml:space="preserve">(Source: </w:t>
      </w:r>
      <w:hyperlink r:id="rId11">
        <w:r>
          <w:rPr>
            <w:rStyle w:val="Hyperlink"/>
            <w:sz w:val="22"/>
            <w:szCs w:val="22"/>
          </w:rPr>
          <w:t>https://www.mordorintelligence.com/industry-reports/india-dairy-market</w:t>
        </w:r>
      </w:hyperlink>
      <w:r>
        <w:rPr>
          <w:sz w:val="22"/>
          <w:szCs w:val="22"/>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 The Cooperatives (The Socio-Economic Model)</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sector is overwhelmingly dominated by this massive state-level cooperatives. Among them the operator of Amul brand - ‘Gujarat Cooperative Milk Marketing Federation (GCMMF)’ is the undisputed market leader alongside other regional giants like Mother Dairy (Scribd, 2023). These cooperatives do not operate on a traditional profit-maximization model of the west; instead, they operate on razor-thin margins with primary strategic objective of farmer welfare and maximizing milk procurement from rural networks (Scribd, 2023). By operating on the same model and achieving unparallel economies of scale with massive turnover of ₹1 lakh crore (USD 13.3 billion) in 2025 (Scribd, 2023). Their core strategy focuses heavily on mass-market penetration, making them virtually unbeatable in the high-volume liquid milk segment.</w:t>
      </w:r>
    </w:p>
    <w:p>
      <w:pPr>
        <w:pStyle w:val="Normal"/>
        <w:bidi w:val="0"/>
        <w:spacing w:lineRule="auto" w:line="360" w:before="0" w:after="200"/>
        <w:jc w:val="both"/>
        <w:rPr>
          <w:rFonts w:ascii="Arial" w:hAnsi="Arial" w:eastAsia="Times New Roman" w:cs="Times New Roman"/>
          <w:b w:val="false"/>
          <w:bCs w:val="false"/>
          <w:sz w:val="24"/>
          <w:szCs w:val="24"/>
        </w:rPr>
      </w:pPr>
      <w:r>
        <w:drawing>
          <wp:anchor distT="0" distB="0" distL="0" distR="0" simplePos="0" relativeHeight="36" behindDoc="0" locked="0" layoutInCell="0" allowOverlap="1">
            <wp:simplePos x="0" y="0"/>
            <wp:positionH relativeFrom="column">
              <wp:align>center</wp:align>
            </wp:positionH>
            <wp:positionV relativeFrom="paragraph">
              <wp:posOffset>635</wp:posOffset>
            </wp:positionV>
            <wp:extent cx="5731510" cy="4607560"/>
            <wp:effectExtent l="0" t="0" r="0" b="0"/>
            <wp:wrapTopAndBottom/>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a:blip r:embed="rId12"/>
                    <a:stretch>
                      <a:fillRect/>
                    </a:stretch>
                  </pic:blipFill>
                  <pic:spPr bwMode="auto">
                    <a:xfrm>
                      <a:off x="0" y="0"/>
                      <a:ext cx="5731510" cy="4607560"/>
                    </a:xfrm>
                    <a:prstGeom prst="rect">
                      <a:avLst/>
                    </a:prstGeom>
                    <a:noFill/>
                  </pic:spPr>
                </pic:pic>
              </a:graphicData>
            </a:graphic>
          </wp:anchor>
        </w:drawing>
      </w:r>
      <w:r>
        <w:rPr>
          <w:rFonts w:eastAsia="Times New Roman" w:cs="Times New Roman"/>
          <w:b w:val="false"/>
          <w:bCs w:val="false"/>
          <w:sz w:val="24"/>
          <w:szCs w:val="24"/>
        </w:rPr>
        <w:t xml:space="preserve">(Source: </w:t>
      </w:r>
      <w:hyperlink r:id="rId13">
        <w:r>
          <w:rPr>
            <w:rStyle w:val="Hyperlink"/>
            <w:rFonts w:eastAsia="Times New Roman" w:cs="Times New Roman"/>
            <w:b w:val="false"/>
            <w:bCs w:val="false"/>
            <w:sz w:val="24"/>
            <w:szCs w:val="24"/>
          </w:rPr>
          <w:t>https://www.kotakmf.com/Information/blogs/india-dairy-industry-overview</w:t>
        </w:r>
      </w:hyperlink>
      <w:r>
        <w:rPr>
          <w:rFonts w:eastAsia="Times New Roman" w:cs="Times New Roman"/>
          <w:b w:val="false"/>
          <w:bCs w:val="false"/>
          <w:sz w:val="24"/>
          <w:szCs w:val="24"/>
        </w:rPr>
        <w:t>)</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 Private Domestic Firms (The Efficiency Model)</w:t>
      </w:r>
    </w:p>
    <w:p>
      <w:pPr>
        <w:pStyle w:val="Normal"/>
        <w:bidi w:val="0"/>
        <w:spacing w:lineRule="auto" w:line="360" w:before="0" w:after="200"/>
        <w:jc w:val="both"/>
        <w:rPr>
          <w:rFonts w:ascii="Arial" w:hAnsi="Arial"/>
          <w:sz w:val="24"/>
          <w:szCs w:val="24"/>
        </w:rPr>
      </w:pPr>
      <w:r>
        <w:rPr>
          <w:rFonts w:eastAsia="Times New Roman" w:cs="Times New Roman"/>
          <w:b w:val="false"/>
          <w:bCs w:val="false"/>
          <w:sz w:val="24"/>
          <w:szCs w:val="24"/>
        </w:rPr>
        <w:t>Occupying the middle ground are private Indian enterprises like Hatsun Agro Product Ltd. - the largest private sector dairy in the country (CRISIL, 2024; StockAxis, 2020). Unlike many private firms, Hatsun does not rely on intermediaries for the milk procurement, instead they directly procure from a sprawling network of nearly 400,000 farmers via 10,000 milk banks. This ensures both quality control and lower procurement costs (CRISIL, 2024; StockAxis, 2020). Hatsun’s unique strategic positioning provides best of both worlds : the grassroots trust associated with cooperatives and the supply-chain efficiency of corporate entities. On the other side, Hatsun has heavily invested in an exclusive Business-to-Consumer (B2C) model. Hatsun derives 30 – 43% of it’s revenue from value added products using this distribution network. Focusing on value added products (like Arun Icecreams and Hatsun Curd) insulate hatsun from low margins of raw milk (CRISIL, 2024; StockAxis, 2020).</w:t>
      </w:r>
    </w:p>
    <w:p>
      <w:pPr>
        <w:pStyle w:val="Normal"/>
        <w:spacing w:lineRule="auto" w:line="360" w:before="0" w:after="200"/>
        <w:jc w:val="center"/>
        <w:rPr>
          <w:rFonts w:ascii="Arial" w:hAnsi="Arial"/>
          <w:sz w:val="24"/>
          <w:szCs w:val="24"/>
        </w:rPr>
      </w:pPr>
      <w:r>
        <w:drawing>
          <wp:anchor distT="0" distB="0" distL="0" distR="0" simplePos="0" relativeHeight="40" behindDoc="0" locked="0" layoutInCell="0" allowOverlap="1">
            <wp:simplePos x="0" y="0"/>
            <wp:positionH relativeFrom="column">
              <wp:align>center</wp:align>
            </wp:positionH>
            <wp:positionV relativeFrom="paragraph">
              <wp:posOffset>635</wp:posOffset>
            </wp:positionV>
            <wp:extent cx="5731510" cy="3258185"/>
            <wp:effectExtent l="0" t="0" r="0" b="0"/>
            <wp:wrapTopAndBottom/>
            <wp:docPr id="7" name="Imag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9"/>
                    <pic:cNvPicPr>
                      <a:picLocks noChangeAspect="1" noChangeArrowheads="1"/>
                    </pic:cNvPicPr>
                  </pic:nvPicPr>
                  <pic:blipFill>
                    <a:blip r:embed="rId14"/>
                    <a:stretch>
                      <a:fillRect/>
                    </a:stretch>
                  </pic:blipFill>
                  <pic:spPr bwMode="auto">
                    <a:xfrm>
                      <a:off x="0" y="0"/>
                      <a:ext cx="5731510" cy="3258185"/>
                    </a:xfrm>
                    <a:prstGeom prst="rect">
                      <a:avLst/>
                    </a:prstGeom>
                    <a:noFill/>
                  </pic:spPr>
                </pic:pic>
              </a:graphicData>
            </a:graphic>
          </wp:anchor>
        </w:drawing>
      </w:r>
      <w:r>
        <w:rPr>
          <w:sz w:val="20"/>
          <w:szCs w:val="20"/>
        </w:rPr>
        <w:t xml:space="preserve">(Source: </w:t>
      </w:r>
      <w:hyperlink r:id="rId15">
        <w:r>
          <w:rPr>
            <w:rStyle w:val="Hyperlink"/>
            <w:sz w:val="20"/>
            <w:szCs w:val="20"/>
          </w:rPr>
          <w:t>https://stockaxis.com/Research-Reports/Hatsun-Agro-Products-Ltd-MB-08-09-2020.html</w:t>
        </w:r>
      </w:hyperlink>
      <w:r>
        <w:rPr>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iii) Foreign MNCs (The Premiumization Model)</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Foreign multinationals, such as Nestlé India and the French dairy giant Lactalis also operate in this market. Their strategy is ‘premiumization of milk’ as they can not compete with these cooperatives on volume and vast scale of raw milk procurement from rural India (SlideServe, 2014; Scribd, 2023). Nestlé strategically positions itself in the highly highly lucrative and rapidly growing VADP segment by focusing on infant nutrition, specialized yogurts, fortified milk and branded condensed milk (Mordor Intelligence, 2026). These categories are growing at the annual rate of 20% to 25% (SlideServe, 2014). This shows that while the Indian market is fiercely competitive, there is ample strategic room for a multinationals like Nestlé to thrive using an innovation-driven VADP strategy.</w:t>
      </w:r>
    </w:p>
    <w:p>
      <w:pPr>
        <w:pStyle w:val="Normal"/>
        <w:bidi w:val="0"/>
        <w:spacing w:lineRule="auto" w:line="360" w:before="0" w:after="200"/>
        <w:jc w:val="center"/>
        <w:rPr>
          <w:rFonts w:ascii="Arial" w:hAnsi="Arial" w:eastAsia="Times New Roman" w:cs="Times New Roman"/>
          <w:b w:val="false"/>
          <w:bCs w:val="false"/>
          <w:sz w:val="20"/>
          <w:szCs w:val="20"/>
        </w:rPr>
      </w:pPr>
      <w:r>
        <w:drawing>
          <wp:anchor distT="0" distB="0" distL="0" distR="0" simplePos="0" relativeHeight="37" behindDoc="0" locked="0" layoutInCell="0" allowOverlap="1">
            <wp:simplePos x="0" y="0"/>
            <wp:positionH relativeFrom="column">
              <wp:align>center</wp:align>
            </wp:positionH>
            <wp:positionV relativeFrom="paragraph">
              <wp:posOffset>635</wp:posOffset>
            </wp:positionV>
            <wp:extent cx="4917440" cy="2747645"/>
            <wp:effectExtent l="0" t="0" r="0" b="0"/>
            <wp:wrapTopAndBottom/>
            <wp:docPr id="8"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
                    <pic:cNvPicPr>
                      <a:picLocks noChangeAspect="1" noChangeArrowheads="1"/>
                    </pic:cNvPicPr>
                  </pic:nvPicPr>
                  <pic:blipFill>
                    <a:blip r:embed="rId16"/>
                    <a:stretch>
                      <a:fillRect/>
                    </a:stretch>
                  </pic:blipFill>
                  <pic:spPr bwMode="auto">
                    <a:xfrm>
                      <a:off x="0" y="0"/>
                      <a:ext cx="4917440" cy="2747645"/>
                    </a:xfrm>
                    <a:prstGeom prst="rect">
                      <a:avLst/>
                    </a:prstGeom>
                    <a:noFill/>
                  </pic:spPr>
                </pic:pic>
              </a:graphicData>
            </a:graphic>
          </wp:anchor>
        </w:drawing>
      </w:r>
      <w:r>
        <w:rPr>
          <w:rFonts w:eastAsia="Times New Roman" w:cs="Times New Roman"/>
          <w:b w:val="false"/>
          <w:bCs w:val="false"/>
          <w:sz w:val="20"/>
          <w:szCs w:val="20"/>
        </w:rPr>
        <w:t>(Source: https://www.brickworkratings.com/Research/Dairy_Sector_Report_23Apr2025.pdf)</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Heading2"/>
        <w:rPr>
          <w:rFonts w:ascii="arial" w:hAnsi="arial"/>
        </w:rPr>
      </w:pPr>
      <w:r>
        <w:rPr>
          <w:rFonts w:ascii="arial" w:hAnsi="arial"/>
        </w:rPr>
      </w:r>
    </w:p>
    <w:p>
      <w:pPr>
        <w:pStyle w:val="Normal"/>
        <w:rPr>
          <w:rFonts w:ascii="arial" w:hAnsi="arial"/>
        </w:rPr>
      </w:pPr>
      <w:r>
        <w:rPr>
          <w:rFonts w:ascii="arial" w:hAnsi="arial"/>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3. Porter’s Diamond Model of National Advantage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Michael Porter’s Diamond Model (1990) can be used as an analytical framework to critically evaluate the global competitiveness of the Indian dairy industry and the strategic environment. According to this Diamond model, presence of some specific elements  improve the ability of the country to achieve a global market presence. This report discusses those four core determinants : factor conditions, demand conditions, related and supporting industries and firm strategy, structure and rivalry to demonstrate attractiveness of Indian dairy market. Beyond the four pillars, the report also demonstrates how the government is deeply interrelated with these aspects.</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41" behindDoc="0" locked="0" layoutInCell="0" allowOverlap="1">
            <wp:simplePos x="0" y="0"/>
            <wp:positionH relativeFrom="column">
              <wp:align>center</wp:align>
            </wp:positionH>
            <wp:positionV relativeFrom="paragraph">
              <wp:posOffset>635</wp:posOffset>
            </wp:positionV>
            <wp:extent cx="4137660" cy="3456940"/>
            <wp:effectExtent l="0" t="0" r="0" b="0"/>
            <wp:wrapTopAndBottom/>
            <wp:docPr id="9" name="Imag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10"/>
                    <pic:cNvPicPr>
                      <a:picLocks noChangeAspect="1" noChangeArrowheads="1"/>
                    </pic:cNvPicPr>
                  </pic:nvPicPr>
                  <pic:blipFill>
                    <a:blip r:embed="rId17"/>
                    <a:stretch>
                      <a:fillRect/>
                    </a:stretch>
                  </pic:blipFill>
                  <pic:spPr bwMode="auto">
                    <a:xfrm>
                      <a:off x="0" y="0"/>
                      <a:ext cx="4137660" cy="3456940"/>
                    </a:xfrm>
                    <a:prstGeom prst="rect">
                      <a:avLst/>
                    </a:prstGeom>
                    <a:noFill/>
                  </pic:spPr>
                </pic:pic>
              </a:graphicData>
            </a:graphic>
          </wp:anchor>
        </w:drawing>
      </w:r>
      <w:r>
        <w:rPr>
          <w:rFonts w:eastAsia="Times New Roman" w:cs="Times New Roman"/>
          <w:b w:val="false"/>
          <w:bCs w:val="false"/>
          <w:sz w:val="20"/>
          <w:szCs w:val="20"/>
        </w:rPr>
        <w:t xml:space="preserve">(Source: </w:t>
      </w:r>
      <w:hyperlink r:id="rId18">
        <w:r>
          <w:rPr>
            <w:rStyle w:val="Hyperlink"/>
            <w:rFonts w:eastAsia="Times New Roman" w:cs="Times New Roman"/>
            <w:b w:val="false"/>
            <w:bCs w:val="false"/>
            <w:sz w:val="20"/>
            <w:szCs w:val="20"/>
          </w:rPr>
          <w:t>https://drvidyahattangadi.com/what-is-porters-diamond-model/</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 Factor Conditions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Factor conditions includes a nation's position in factors of production : such as agricultural infrastructure or skilled labor; The Indian dairy sector shows a stark contrast between the quantity and quality of its factor conditions (Kabilai Farm, 2026).</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Quantitatively India has an advantage : India has world’s largest bovine population of more than 307 million animals and abundant low-cost rural labor to support it(Kabilai Farm, 2026). However, the quality suffers because these basic factors are critically underdeveloped. Per animal mil yeild is approximately 5 liters per day in india, which is significatly lower when compared to united nations (28 to 33 liters) and even global average of 7 liters (ResearchGate, 2026). This productivity gap becomes more severe because of highly fragmented landholdings and persistent shortage of high quality cattle feed and advanced genetic breeding infrastructure (ResearchGate, 2026; Kabilai Farm, 2026). Most of the 80 million dairy farmers own just one or two animals. Hence, while the sheer volume of basic factors provides domestic scale, the lack of advanced factor conditions severely hampers India's cost competitiveness on the global export stage.</w:t>
      </w:r>
    </w:p>
    <w:p>
      <w:pPr>
        <w:pStyle w:val="Normal"/>
        <w:bidi w:val="0"/>
        <w:spacing w:lineRule="auto" w:line="360" w:before="0" w:after="200"/>
        <w:jc w:val="center"/>
        <w:rPr>
          <w:rFonts w:eastAsia="Times New Roman" w:cs="Times New Roman"/>
          <w:b w:val="false"/>
          <w:bCs w:val="false"/>
          <w:sz w:val="20"/>
          <w:szCs w:val="20"/>
        </w:rPr>
      </w:pPr>
      <w:r>
        <w:drawing>
          <wp:anchor distT="0" distB="0" distL="0" distR="0" simplePos="0" relativeHeight="48" behindDoc="0" locked="0" layoutInCell="0" allowOverlap="1">
            <wp:simplePos x="0" y="0"/>
            <wp:positionH relativeFrom="column">
              <wp:align>center</wp:align>
            </wp:positionH>
            <wp:positionV relativeFrom="paragraph">
              <wp:posOffset>635</wp:posOffset>
            </wp:positionV>
            <wp:extent cx="5527675" cy="3108960"/>
            <wp:effectExtent l="0" t="0" r="0" b="0"/>
            <wp:wrapTopAndBottom/>
            <wp:docPr id="10" name="Image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7"/>
                    <pic:cNvPicPr>
                      <a:picLocks noChangeAspect="1" noChangeArrowheads="1"/>
                    </pic:cNvPicPr>
                  </pic:nvPicPr>
                  <pic:blipFill>
                    <a:blip r:embed="rId19"/>
                    <a:stretch>
                      <a:fillRect/>
                    </a:stretch>
                  </pic:blipFill>
                  <pic:spPr bwMode="auto">
                    <a:xfrm>
                      <a:off x="0" y="0"/>
                      <a:ext cx="5527675" cy="3108960"/>
                    </a:xfrm>
                    <a:prstGeom prst="rect">
                      <a:avLst/>
                    </a:prstGeom>
                    <a:noFill/>
                  </pic:spPr>
                </pic:pic>
              </a:graphicData>
            </a:graphic>
          </wp:anchor>
        </w:drawing>
      </w:r>
      <w:r>
        <w:rPr>
          <w:rFonts w:eastAsia="Times New Roman" w:cs="Times New Roman"/>
          <w:b w:val="false"/>
          <w:bCs w:val="false"/>
          <w:sz w:val="20"/>
          <w:szCs w:val="20"/>
        </w:rPr>
        <w:t xml:space="preserve">(Source: </w:t>
      </w:r>
      <w:hyperlink r:id="rId20">
        <w:r>
          <w:rPr>
            <w:rStyle w:val="Hyperlink"/>
            <w:rFonts w:eastAsia="Times New Roman" w:cs="Times New Roman"/>
            <w:b w:val="false"/>
            <w:bCs w:val="false"/>
            <w:sz w:val="20"/>
            <w:szCs w:val="20"/>
          </w:rPr>
          <w:t>https://www.imarcgroup.com/dairy-industry-in-india</w:t>
        </w:r>
      </w:hyperlink>
      <w:r>
        <w:rPr>
          <w:rFonts w:eastAsia="Times New Roman" w:cs="Times New Roman"/>
          <w:b w:val="false"/>
          <w:bCs w:val="false"/>
          <w:sz w:val="20"/>
          <w:szCs w:val="20"/>
        </w:rPr>
        <w:t xml:space="preserve"> )</w:t>
      </w:r>
    </w:p>
    <w:p>
      <w:pPr>
        <w:pStyle w:val="Normal"/>
        <w:bidi w:val="0"/>
        <w:spacing w:lineRule="auto" w:line="360" w:before="0" w:after="200"/>
        <w:jc w:val="center"/>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 Demand Conditions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Demand conditions describe the nature of home-market demand for the industry's product. Here multinational corporations directly benefit becase this colossal market is going through a massive structural transformation (Research and Markets, 2025). India has 394 grams/day of per capita milk consumption, which is significantly higher than global average. The demand for raw milk accounts for 65% of overall product segment (IMARC Group, 2025). Domestic demand for high margin VADPs is rising and dairy processors are forced to innovate and adapt advance processing technologies to setisfy it – this presents a massive opportunity for MNCs (IMARC Group, 2025; Coherent Market Insights, 2026).</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44" behindDoc="0" locked="0" layoutInCell="0" allowOverlap="1">
            <wp:simplePos x="0" y="0"/>
            <wp:positionH relativeFrom="column">
              <wp:align>center</wp:align>
            </wp:positionH>
            <wp:positionV relativeFrom="paragraph">
              <wp:posOffset>635</wp:posOffset>
            </wp:positionV>
            <wp:extent cx="5302250" cy="2796540"/>
            <wp:effectExtent l="0" t="0" r="0" b="0"/>
            <wp:wrapTopAndBottom/>
            <wp:docPr id="11" name="Imag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4"/>
                    <pic:cNvPicPr>
                      <a:picLocks noChangeAspect="1" noChangeArrowheads="1"/>
                    </pic:cNvPicPr>
                  </pic:nvPicPr>
                  <pic:blipFill>
                    <a:blip r:embed="rId21"/>
                    <a:stretch>
                      <a:fillRect/>
                    </a:stretch>
                  </pic:blipFill>
                  <pic:spPr bwMode="auto">
                    <a:xfrm>
                      <a:off x="0" y="0"/>
                      <a:ext cx="5302250" cy="2796540"/>
                    </a:xfrm>
                    <a:prstGeom prst="rect">
                      <a:avLst/>
                    </a:prstGeom>
                    <a:noFill/>
                  </pic:spPr>
                </pic:pic>
              </a:graphicData>
            </a:graphic>
          </wp:anchor>
        </w:drawing>
      </w:r>
      <w:r>
        <w:rPr>
          <w:rFonts w:eastAsia="Times New Roman" w:cs="Times New Roman"/>
          <w:b w:val="false"/>
          <w:bCs w:val="false"/>
          <w:sz w:val="24"/>
          <w:szCs w:val="24"/>
        </w:rPr>
        <w:t xml:space="preserve">(Source: </w:t>
      </w:r>
      <w:hyperlink r:id="rId22">
        <w:r>
          <w:rPr>
            <w:rStyle w:val="Hyperlink"/>
            <w:rFonts w:eastAsia="Times New Roman" w:cs="Times New Roman"/>
            <w:b w:val="false"/>
            <w:bCs w:val="false"/>
            <w:sz w:val="24"/>
            <w:szCs w:val="24"/>
          </w:rPr>
          <w:t>https://www.fortunebusinessinsights.com/india-dairy-market-107416</w:t>
        </w:r>
      </w:hyperlink>
      <w:r>
        <w:rPr>
          <w:rFonts w:eastAsia="Times New Roman" w:cs="Times New Roman"/>
          <w:b w:val="false"/>
          <w:bCs w:val="false"/>
          <w:sz w:val="24"/>
          <w:szCs w:val="24"/>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iii) Related and Supporting Industries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National advantage can be determined by the presence or absencec of upstream and downstream industries that strengthen a particular industry. This is the weakest link in the indian dairy sector because of the absence of cruicial supporting industries such as cold chain logistics and specialized packaging. India’s 60% of the cold chain capacity is concentrated in just 10 major cities, leaving vast agricultural areas underserved and leading to higher spoilage rates (IMARC Group, 2026). According to Ministry of Food Processing Industries (MoFPI), less than 20% of the total milk produced passes through a cold chain. This also limits the reach of short shelf life Value added dairy products. Nevertheless, this vulnerability has accelerated India’s dynamic agri-tech startup ecosystem. The sector is rapidly adopting of the Internet of Things (IoT) for real-time monitoring, automated milking systems and solar integrated cold storage solutions. These  infrastructure adoption is heavily backed by government through  PM Kisan SAMPADA Yojana and other such initiatives (IMARC Group, 2026; Kabilai Farm, 2026). These investments are resolgin the infrastructure bottlenecks aand slowly modernizing India’s dairy supply chain that can support dairy portfolios of premium MNCs.</w:t>
      </w:r>
    </w:p>
    <w:p>
      <w:pPr>
        <w:pStyle w:val="Normal"/>
        <w:bidi w:val="0"/>
        <w:spacing w:lineRule="auto" w:line="360" w:before="0" w:after="200"/>
        <w:jc w:val="center"/>
        <w:rPr>
          <w:rFonts w:ascii="Arial" w:hAnsi="Arial" w:eastAsia="Times New Roman" w:cs="Times New Roman"/>
          <w:b w:val="false"/>
          <w:bCs w:val="false"/>
          <w:sz w:val="20"/>
          <w:szCs w:val="20"/>
        </w:rPr>
      </w:pPr>
      <w:r>
        <w:drawing>
          <wp:anchor distT="0" distB="0" distL="0" distR="0" simplePos="0" relativeHeight="46" behindDoc="0" locked="0" layoutInCell="0" allowOverlap="1">
            <wp:simplePos x="0" y="0"/>
            <wp:positionH relativeFrom="column">
              <wp:align>center</wp:align>
            </wp:positionH>
            <wp:positionV relativeFrom="paragraph">
              <wp:posOffset>635</wp:posOffset>
            </wp:positionV>
            <wp:extent cx="5352415" cy="3010535"/>
            <wp:effectExtent l="0" t="0" r="0" b="0"/>
            <wp:wrapTopAndBottom/>
            <wp:docPr id="12" name="Imag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6"/>
                    <pic:cNvPicPr>
                      <a:picLocks noChangeAspect="1" noChangeArrowheads="1"/>
                    </pic:cNvPicPr>
                  </pic:nvPicPr>
                  <pic:blipFill>
                    <a:blip r:embed="rId23"/>
                    <a:stretch>
                      <a:fillRect/>
                    </a:stretch>
                  </pic:blipFill>
                  <pic:spPr bwMode="auto">
                    <a:xfrm>
                      <a:off x="0" y="0"/>
                      <a:ext cx="5352415" cy="3010535"/>
                    </a:xfrm>
                    <a:prstGeom prst="rect">
                      <a:avLst/>
                    </a:prstGeom>
                    <a:noFill/>
                  </pic:spPr>
                </pic:pic>
              </a:graphicData>
            </a:graphic>
          </wp:anchor>
        </w:drawing>
      </w:r>
      <w:r>
        <w:rPr>
          <w:rFonts w:eastAsia="Times New Roman" w:cs="Times New Roman"/>
          <w:b w:val="false"/>
          <w:bCs w:val="false"/>
          <w:sz w:val="20"/>
          <w:szCs w:val="20"/>
        </w:rPr>
        <w:t xml:space="preserve">(Source: </w:t>
      </w:r>
      <w:hyperlink r:id="rId24">
        <w:r>
          <w:rPr>
            <w:rStyle w:val="Hyperlink"/>
            <w:rFonts w:eastAsia="Times New Roman" w:cs="Times New Roman"/>
            <w:b w:val="false"/>
            <w:bCs w:val="false"/>
            <w:sz w:val="20"/>
            <w:szCs w:val="20"/>
          </w:rPr>
          <w:t>https://www.imarcgroup.com/dairy-industry-in-india</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val="false"/>
          <w:bCs w:val="false"/>
          <w:sz w:val="22"/>
          <w:szCs w:val="22"/>
        </w:rPr>
      </w:pPr>
      <w:r>
        <w:rPr>
          <w:rFonts w:eastAsia="Times New Roman" w:cs="Times New Roman"/>
          <w:b w:val="false"/>
          <w:bCs w:val="false"/>
          <w:sz w:val="22"/>
          <w:szCs w:val="22"/>
        </w:rPr>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iv) Firm Strategy, Structure, and Rivalry (including Government)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Indian dairy market presents unique and structurally asymmetric rivalry for foreign MNCs where profit-driven foreign MNCs must compete directly against massive cooperatives like Amul, whose primary objective is rural socio-economic welfare and maximum milk procurement rather than pure corporate profit maximization (Kabilai Farm, 2026). As a result, MNCs are forced to avoid volume-based price wars and compete purely on product differentiation and premiumization. Here Porter's external modifier of Government plays a Crucial protectionist role in this rivalry because the Indian government views dairy as a critical pillar of rural employment and heavily shields it’s domestic producers from external shocks through tariffs. India maintains some of the highest agricultural import tariffs globally with an average Most Favored Nation (MFN) tariff hovering around 15.9% to and excluding it’s dairy concessions from major Free Trade Agreements (IISS, 2026). It creates a defensive barrier around local industry via subsidies and initiates mentioned earlier (Kabilai Farm, 2026; PIB, 2025) Foreign MNCs like Nestle can not rely on cheap dairy imports in heavily regulated environment like this, hence it must make capital investment to build indigenous supply chain domesticly.</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50" behindDoc="0" locked="0" layoutInCell="0" allowOverlap="1">
            <wp:simplePos x="0" y="0"/>
            <wp:positionH relativeFrom="column">
              <wp:align>center</wp:align>
            </wp:positionH>
            <wp:positionV relativeFrom="paragraph">
              <wp:posOffset>635</wp:posOffset>
            </wp:positionV>
            <wp:extent cx="5594350" cy="5984240"/>
            <wp:effectExtent l="0" t="0" r="0" b="0"/>
            <wp:wrapTopAndBottom/>
            <wp:docPr id="13" name="Imag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18"/>
                    <pic:cNvPicPr>
                      <a:picLocks noChangeAspect="1" noChangeArrowheads="1"/>
                    </pic:cNvPicPr>
                  </pic:nvPicPr>
                  <pic:blipFill>
                    <a:blip r:embed="rId25"/>
                    <a:stretch>
                      <a:fillRect/>
                    </a:stretch>
                  </pic:blipFill>
                  <pic:spPr bwMode="auto">
                    <a:xfrm>
                      <a:off x="0" y="0"/>
                      <a:ext cx="5594350" cy="5984240"/>
                    </a:xfrm>
                    <a:prstGeom prst="rect">
                      <a:avLst/>
                    </a:prstGeom>
                    <a:noFill/>
                  </pic:spPr>
                </pic:pic>
              </a:graphicData>
            </a:graphic>
          </wp:anchor>
        </w:drawing>
      </w:r>
      <w:r>
        <w:rPr>
          <w:rFonts w:eastAsia="Times New Roman" w:cs="Times New Roman"/>
          <w:b w:val="false"/>
          <w:bCs w:val="false"/>
          <w:sz w:val="20"/>
          <w:szCs w:val="20"/>
        </w:rPr>
        <w:t xml:space="preserve">(Source: </w:t>
      </w:r>
      <w:hyperlink r:id="rId26">
        <w:r>
          <w:rPr>
            <w:rStyle w:val="Hyperlink"/>
            <w:rFonts w:eastAsia="Times New Roman" w:cs="Times New Roman"/>
            <w:b w:val="false"/>
            <w:bCs w:val="false"/>
            <w:sz w:val="20"/>
            <w:szCs w:val="20"/>
          </w:rPr>
          <w:t>https://www.imarcgroup.com/dairy-industry-in-india</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4. Foreign MNC Analysis: Nestlé in India</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Introduction to Nestlé's Dairy Strategy</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Nestlé has been operating in Indian dairy industry from 1961 after it’s first manufacturing facility in Moga, Punjab (Nestlé India, 2026). Nestlé developed the "Moga Model" based on the creating shared value philosophy – which was an agricultural extension initiative that transformed the regional milk economy. Nestlé established direct and reliable procurement networks and also educated the farmers (Nestlé India, 2026). However, Nestlé soon recognized that domestic players are deeply entrenched with these rural procurement hirarchies and it can no longer compete with them purely on basic fluid milk volume. So,  Nestlé  aggressively shifted its core focus toward premium Value-Added Dairy Products like specialized infant nutrition, probiotic yogurts (e.g., Nestlé a+) and fortified dairy (ICICI Direct, 2025). Nestlé strategically exploits the rising health conscious consumers and urban Indian middle class by continuously innovating in high-margin categories. Which inturn ensures a robust profitability amidst intense domestic competition (Nestlé India, 2026).</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45" behindDoc="0" locked="0" layoutInCell="0" allowOverlap="1">
            <wp:simplePos x="0" y="0"/>
            <wp:positionH relativeFrom="column">
              <wp:align>center</wp:align>
            </wp:positionH>
            <wp:positionV relativeFrom="paragraph">
              <wp:posOffset>635</wp:posOffset>
            </wp:positionV>
            <wp:extent cx="4773930" cy="2685415"/>
            <wp:effectExtent l="0" t="0" r="0" b="0"/>
            <wp:wrapTopAndBottom/>
            <wp:docPr id="14" name="Imag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5"/>
                    <pic:cNvPicPr>
                      <a:picLocks noChangeAspect="1" noChangeArrowheads="1"/>
                    </pic:cNvPicPr>
                  </pic:nvPicPr>
                  <pic:blipFill>
                    <a:blip r:embed="rId27"/>
                    <a:stretch>
                      <a:fillRect/>
                    </a:stretch>
                  </pic:blipFill>
                  <pic:spPr bwMode="auto">
                    <a:xfrm>
                      <a:off x="0" y="0"/>
                      <a:ext cx="4773930" cy="2685415"/>
                    </a:xfrm>
                    <a:prstGeom prst="rect">
                      <a:avLst/>
                    </a:prstGeom>
                    <a:noFill/>
                  </pic:spPr>
                </pic:pic>
              </a:graphicData>
            </a:graphic>
          </wp:anchor>
        </w:drawing>
      </w:r>
      <w:r>
        <w:rPr>
          <w:rFonts w:eastAsia="Times New Roman" w:cs="Times New Roman"/>
          <w:b w:val="false"/>
          <w:bCs w:val="false"/>
          <w:sz w:val="20"/>
          <w:szCs w:val="20"/>
        </w:rPr>
        <w:t xml:space="preserve">(Source: </w:t>
      </w:r>
      <w:hyperlink r:id="rId28">
        <w:r>
          <w:rPr>
            <w:rStyle w:val="Hyperlink"/>
            <w:rFonts w:eastAsia="Times New Roman" w:cs="Times New Roman"/>
            <w:b w:val="false"/>
            <w:bCs w:val="false"/>
            <w:sz w:val="20"/>
            <w:szCs w:val="20"/>
          </w:rPr>
          <w:t>https://www.imarcgroup.com/dairy-industry-in-india</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To develop deeper understanding of the context and further evaluate the macro-environmental factors, this report uses PESTLE analysis framework to analyze their impact on Nestlé’s operational strategy.</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51" behindDoc="0" locked="0" layoutInCell="0" allowOverlap="1">
            <wp:simplePos x="0" y="0"/>
            <wp:positionH relativeFrom="column">
              <wp:align>center</wp:align>
            </wp:positionH>
            <wp:positionV relativeFrom="paragraph">
              <wp:posOffset>635</wp:posOffset>
            </wp:positionV>
            <wp:extent cx="5731510" cy="3818255"/>
            <wp:effectExtent l="0" t="0" r="0" b="0"/>
            <wp:wrapTopAndBottom/>
            <wp:docPr id="15" name="Image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19"/>
                    <pic:cNvPicPr>
                      <a:picLocks noChangeAspect="1" noChangeArrowheads="1"/>
                    </pic:cNvPicPr>
                  </pic:nvPicPr>
                  <pic:blipFill>
                    <a:blip r:embed="rId29"/>
                    <a:stretch>
                      <a:fillRect/>
                    </a:stretch>
                  </pic:blipFill>
                  <pic:spPr bwMode="auto">
                    <a:xfrm>
                      <a:off x="0" y="0"/>
                      <a:ext cx="5731510" cy="3818255"/>
                    </a:xfrm>
                    <a:prstGeom prst="rect">
                      <a:avLst/>
                    </a:prstGeom>
                    <a:noFill/>
                  </pic:spPr>
                </pic:pic>
              </a:graphicData>
            </a:graphic>
          </wp:anchor>
        </w:drawing>
      </w:r>
      <w:r>
        <w:rPr>
          <w:rFonts w:eastAsia="Times New Roman" w:cs="Times New Roman"/>
          <w:b w:val="false"/>
          <w:bCs w:val="false"/>
          <w:sz w:val="20"/>
          <w:szCs w:val="20"/>
        </w:rPr>
        <w:t xml:space="preserve">(Source: </w:t>
      </w:r>
      <w:r>
        <w:fldChar w:fldCharType="begin"/>
      </w:r>
      <w:r>
        <w:rPr>
          <w:rStyle w:val="Hyperlink"/>
          <w:rFonts w:eastAsia="Times New Roman" w:cs="Times New Roman"/>
          <w:b w:val="false"/>
          <w:bCs w:val="false"/>
          <w:sz w:val="20"/>
          <w:szCs w:val="20"/>
        </w:rPr>
        <w:instrText xml:space="preserve"> HYPERLINK "https://www.freepik.com/free-vector/pestel-infographic-design-template_29760082.htm" \l "fromView=keyword&amp;page=1&amp;position=0&amp;uuid=ebdb6d8e-11ec-4524-804c-9dc12ec42ddb&amp;query=Pestle+analysis+diagram"</w:instrText>
      </w:r>
      <w:r>
        <w:rPr>
          <w:rStyle w:val="Hyperlink"/>
          <w:rFonts w:eastAsia="Times New Roman" w:cs="Times New Roman"/>
          <w:b w:val="false"/>
          <w:bCs w:val="false"/>
          <w:sz w:val="20"/>
          <w:szCs w:val="20"/>
        </w:rPr>
        <w:fldChar w:fldCharType="separate"/>
      </w:r>
      <w:r>
        <w:rPr>
          <w:rStyle w:val="Hyperlink"/>
          <w:rFonts w:eastAsia="Times New Roman" w:cs="Times New Roman"/>
          <w:b w:val="false"/>
          <w:bCs w:val="false"/>
          <w:sz w:val="20"/>
          <w:szCs w:val="20"/>
        </w:rPr>
        <w:t>https://www.freepik.com/free-vector/pestel-infographic-design-template_29760082.htm#fromView=keyword&amp;page=1&amp;position=0&amp;uuid=ebdb6d8e-11ec-4524-804c-9dc12ec42ddb&amp;query=Pestle+analysis+diagram</w:t>
      </w:r>
      <w:r>
        <w:rPr>
          <w:rStyle w:val="Hyperlink"/>
          <w:rFonts w:eastAsia="Times New Roman" w:cs="Times New Roman"/>
          <w:b w:val="false"/>
          <w:bCs w:val="false"/>
          <w:sz w:val="20"/>
          <w:szCs w:val="20"/>
        </w:rPr>
        <w:fldChar w:fldCharType="end"/>
      </w:r>
      <w:r>
        <w:rPr>
          <w:rFonts w:eastAsia="Times New Roman" w:cs="Times New Roman"/>
          <w:b w:val="false"/>
          <w:bCs w:val="false"/>
          <w:sz w:val="20"/>
          <w:szCs w:val="20"/>
        </w:rPr>
        <w:t xml:space="preserve"> )</w:t>
      </w:r>
    </w:p>
    <w:p>
      <w:pPr>
        <w:pStyle w:val="Normal"/>
        <w:bidi w:val="0"/>
        <w:spacing w:lineRule="auto" w:line="360" w:before="0" w:after="200"/>
        <w:jc w:val="both"/>
        <w:rPr>
          <w:rFonts w:ascii="Arial" w:hAnsi="Arial" w:eastAsia="Times New Roman" w:cs="Times New Roman"/>
          <w:b/>
          <w:bCs/>
          <w:sz w:val="24"/>
          <w:szCs w:val="24"/>
        </w:rPr>
      </w:pPr>
      <w:r>
        <w:rPr>
          <w:rFonts w:eastAsia="Times New Roman" w:cs="Times New Roman"/>
          <w:b/>
          <w:bCs/>
          <w:sz w:val="24"/>
          <w:szCs w:val="24"/>
        </w:rPr>
        <w:t>Political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Indian government heavily intervenes and protects it’s dairy sector to safeguard the livelihoods of it’s 80 million rural farmers. It imposes high import terrifs on dairy products to shield it’s farmers from cheap international competition (USDA/FAS, 2025).The Union Budget of 2025–26 allocated ₹48.4 billion in allocation for the Department of Animal Husbandry and Dairying (DAHD) which is 7% increase. Cruicially, these resources are funneling into government-backed cooperatives and initiatives like "White Revolution 2.0" (USDA/FAS, 2025). This political environment creates barrier for entery as foreign MNC like  Nestlé can not compete with government backed domestic cooperatives for raw milk collection and it can not import either. Instead, it must navigate a politically sensitive, localized procurement network while competing against state-subsidized cooperatives like Amul, which has structural advantages.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drawing>
          <wp:anchor distT="0" distB="0" distL="0" distR="0" simplePos="0" relativeHeight="53" behindDoc="0" locked="0" layoutInCell="0" allowOverlap="1">
            <wp:simplePos x="0" y="0"/>
            <wp:positionH relativeFrom="column">
              <wp:align>center</wp:align>
            </wp:positionH>
            <wp:positionV relativeFrom="paragraph">
              <wp:posOffset>635</wp:posOffset>
            </wp:positionV>
            <wp:extent cx="5731510" cy="3256280"/>
            <wp:effectExtent l="0" t="0" r="0" b="0"/>
            <wp:wrapTopAndBottom/>
            <wp:docPr id="16" name="Image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21"/>
                    <pic:cNvPicPr>
                      <a:picLocks noChangeAspect="1" noChangeArrowheads="1"/>
                    </pic:cNvPicPr>
                  </pic:nvPicPr>
                  <pic:blipFill>
                    <a:blip r:embed="rId30"/>
                    <a:stretch>
                      <a:fillRect/>
                    </a:stretch>
                  </pic:blipFill>
                  <pic:spPr bwMode="auto">
                    <a:xfrm>
                      <a:off x="0" y="0"/>
                      <a:ext cx="5731510" cy="3256280"/>
                    </a:xfrm>
                    <a:prstGeom prst="rect">
                      <a:avLst/>
                    </a:prstGeom>
                    <a:noFill/>
                  </pic:spPr>
                </pic:pic>
              </a:graphicData>
            </a:graphic>
          </wp:anchor>
        </w:drawing>
      </w:r>
    </w:p>
    <w:p>
      <w:pPr>
        <w:pStyle w:val="Normal"/>
        <w:bidi w:val="0"/>
        <w:spacing w:lineRule="auto" w:line="360" w:before="0" w:after="200"/>
        <w:jc w:val="center"/>
        <w:rPr>
          <w:rFonts w:ascii="Arial" w:hAnsi="Arial" w:eastAsia="Times New Roman" w:cs="Times New Roman"/>
          <w:b w:val="false"/>
          <w:bCs w:val="false"/>
          <w:sz w:val="24"/>
          <w:szCs w:val="24"/>
        </w:rPr>
      </w:pPr>
      <w:r>
        <w:rPr>
          <w:rFonts w:eastAsia="Times New Roman" w:cs="Times New Roman"/>
          <w:b w:val="false"/>
          <w:bCs w:val="false"/>
          <w:sz w:val="20"/>
          <w:szCs w:val="20"/>
        </w:rPr>
        <w:t xml:space="preserve">(Source: </w:t>
      </w:r>
      <w:hyperlink r:id="rId31">
        <w:r>
          <w:rPr>
            <w:rStyle w:val="Hyperlink"/>
            <w:rFonts w:eastAsia="Times New Roman" w:cs="Times New Roman"/>
            <w:b w:val="false"/>
            <w:bCs w:val="false"/>
            <w:sz w:val="20"/>
            <w:szCs w:val="20"/>
          </w:rPr>
          <w:t>https://www.researchgate.net/figure/Bridging-the-challenges-and-potential-benefits-through-White-Revolution-20-Source_fig3_378905417</w:t>
        </w:r>
      </w:hyperlink>
      <w:r>
        <w:rPr>
          <w:rFonts w:eastAsia="Times New Roman" w:cs="Times New Roman"/>
          <w:b w:val="false"/>
          <w:bCs w:val="false"/>
          <w:sz w:val="20"/>
          <w:szCs w:val="20"/>
        </w:rPr>
        <w:t>)</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Economic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Despite facing high supply-side inflation, Nestlé is benefiting from significant economic factors. While traditional profit margins across the industry are thinning</w:t>
      </w:r>
      <w:r>
        <w:rPr>
          <w:rFonts w:eastAsia="Times New Roman" w:cs="Times New Roman"/>
          <w:b w:val="false"/>
          <w:bCs w:val="false"/>
          <w:sz w:val="24"/>
          <w:szCs w:val="24"/>
        </w:rPr>
        <w:t xml:space="preserve">(4-5%) </w:t>
      </w:r>
      <w:r>
        <w:rPr>
          <w:rFonts w:eastAsia="Times New Roman" w:cs="Times New Roman"/>
          <w:b w:val="false"/>
          <w:bCs w:val="false"/>
          <w:sz w:val="24"/>
          <w:szCs w:val="24"/>
        </w:rPr>
        <w:t xml:space="preserve"> because of rising raw milk prices due to supply side issues like  rising costs of labor, fuel and cattle feed; the demand side is creating highly lucrative market due to India’s macroeconomic growth </w:t>
      </w:r>
      <w:r>
        <w:rPr>
          <w:rFonts w:eastAsia="Times New Roman" w:cs="Times New Roman"/>
          <w:b w:val="false"/>
          <w:bCs w:val="false"/>
          <w:sz w:val="24"/>
          <w:szCs w:val="24"/>
        </w:rPr>
        <w:t xml:space="preserve">and rising purchasing power of middle class </w:t>
      </w:r>
      <w:r>
        <w:rPr>
          <w:rFonts w:eastAsia="Times New Roman" w:cs="Times New Roman"/>
          <w:b w:val="false"/>
          <w:bCs w:val="false"/>
          <w:sz w:val="24"/>
          <w:szCs w:val="24"/>
        </w:rPr>
        <w:t>(USDA/FAS, 2025). Indian dairy market is projected to double in value from USD 146.80 billion in 2025 to USD 274.09 billion by 2032 (Fortune Business Insights, 2025). Nestlé strategically navigates these inflationary pressures by exploiting the rising purchasing power of th</w:t>
      </w:r>
      <w:r>
        <w:rPr>
          <w:rFonts w:eastAsia="Times New Roman" w:cs="Times New Roman"/>
          <w:b w:val="false"/>
          <w:bCs w:val="false"/>
          <w:sz w:val="24"/>
          <w:szCs w:val="24"/>
        </w:rPr>
        <w:t>is</w:t>
      </w:r>
      <w:r>
        <w:rPr>
          <w:rFonts w:eastAsia="Times New Roman" w:cs="Times New Roman"/>
          <w:b w:val="false"/>
          <w:bCs w:val="false"/>
          <w:sz w:val="24"/>
          <w:szCs w:val="24"/>
        </w:rPr>
        <w:t xml:space="preserve"> Indian middle class. </w:t>
      </w:r>
      <w:r>
        <w:rPr>
          <w:rFonts w:eastAsia="Times New Roman" w:cs="Times New Roman"/>
          <w:b w:val="false"/>
          <w:bCs w:val="false"/>
          <w:sz w:val="24"/>
          <w:szCs w:val="24"/>
        </w:rPr>
        <w:t>While t</w:t>
      </w:r>
      <w:r>
        <w:rPr>
          <w:rFonts w:eastAsia="Times New Roman" w:cs="Times New Roman"/>
          <w:b w:val="false"/>
          <w:bCs w:val="false"/>
          <w:sz w:val="24"/>
          <w:szCs w:val="24"/>
        </w:rPr>
        <w:t xml:space="preserve">he operating profit margin for basic pasteurized liquid milk is 4 to 5%; Value-Added Dairy Products have much higher operating margins of 15% to 25%.  By focuisng on later higher margin VADPS </w:t>
      </w:r>
      <w:r>
        <w:rPr>
          <w:rFonts w:eastAsia="Times New Roman" w:cs="Times New Roman"/>
          <w:b w:val="false"/>
          <w:bCs w:val="false"/>
          <w:sz w:val="24"/>
          <w:szCs w:val="24"/>
        </w:rPr>
        <w:t>and high value consumers,</w:t>
      </w:r>
      <w:r>
        <w:rPr>
          <w:rFonts w:eastAsia="Times New Roman" w:cs="Times New Roman"/>
          <w:b w:val="false"/>
          <w:bCs w:val="false"/>
          <w:sz w:val="24"/>
          <w:szCs w:val="24"/>
        </w:rPr>
        <w:t xml:space="preserve"> Nestlé India reported EBITDA margins of roughly 26% despite the high input costs and a 26% year-over-year surge in net profit in its Q4 FY26 earnings; These numbers were mainly driven by rapid volume growth in premium categories (JM Financial, 2026)</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52" behindDoc="0" locked="0" layoutInCell="0" allowOverlap="1">
            <wp:simplePos x="0" y="0"/>
            <wp:positionH relativeFrom="column">
              <wp:align>center</wp:align>
            </wp:positionH>
            <wp:positionV relativeFrom="paragraph">
              <wp:posOffset>635</wp:posOffset>
            </wp:positionV>
            <wp:extent cx="5001260" cy="3886200"/>
            <wp:effectExtent l="0" t="0" r="0" b="0"/>
            <wp:wrapTopAndBottom/>
            <wp:docPr id="17" name="Image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20"/>
                    <pic:cNvPicPr>
                      <a:picLocks noChangeAspect="1" noChangeArrowheads="1"/>
                    </pic:cNvPicPr>
                  </pic:nvPicPr>
                  <pic:blipFill>
                    <a:blip r:embed="rId32"/>
                    <a:stretch>
                      <a:fillRect/>
                    </a:stretch>
                  </pic:blipFill>
                  <pic:spPr bwMode="auto">
                    <a:xfrm>
                      <a:off x="0" y="0"/>
                      <a:ext cx="5001260" cy="3886200"/>
                    </a:xfrm>
                    <a:prstGeom prst="rect">
                      <a:avLst/>
                    </a:prstGeom>
                    <a:noFill/>
                  </pic:spPr>
                </pic:pic>
              </a:graphicData>
            </a:graphic>
          </wp:anchor>
        </w:drawing>
      </w:r>
      <w:r>
        <w:rPr>
          <w:rFonts w:eastAsia="Times New Roman" w:cs="Times New Roman"/>
          <w:b w:val="false"/>
          <w:bCs w:val="false"/>
          <w:sz w:val="20"/>
          <w:szCs w:val="20"/>
        </w:rPr>
        <w:t xml:space="preserve">(Source: </w:t>
      </w:r>
      <w:hyperlink r:id="rId33">
        <w:r>
          <w:rPr>
            <w:rStyle w:val="Hyperlink"/>
            <w:rFonts w:eastAsia="Times New Roman" w:cs="Times New Roman"/>
            <w:b w:val="false"/>
            <w:bCs w:val="false"/>
            <w:sz w:val="20"/>
            <w:szCs w:val="20"/>
          </w:rPr>
          <w:t>https://journals.nasspublishing.com/index.php/rwae/article/view/2527/1228</w:t>
        </w:r>
      </w:hyperlink>
      <w:r>
        <w:rPr>
          <w:rFonts w:eastAsia="Times New Roman" w:cs="Times New Roman"/>
          <w:b w:val="false"/>
          <w:bCs w:val="false"/>
          <w:sz w:val="20"/>
          <w:szCs w:val="20"/>
        </w:rPr>
        <w:t>)</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Socio-Cultural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Dairy consumption in India is dictated more heavily by cultural and dietary habits than in almost any other global market. As world’s largest vegeterian population, Milk is the primary and culturally revered source of animal protein for Indian population. However,Indian consumers prefer fresh and locally rooted dairy products such as paneer, dahi (curd) and ghee rather than over aged Western cheeses or heavily processed foreign dairy products (Patvardhan et al., 2025). To overcome this cultural liability and resonate with these Indian culinary traditions, Nestlé has had to deeply localize its product portfolio. For example, rather than forcing Western product lines, Nestlé successfully introduced products like Nestlé a+ Dahi and Milkmaid, which integrate seamlessly into traditional Indian dessert preparation. In recent times, the socio-cultural facotrs are perfectly aligning with Nestlé’s strategic pivot toward high-margin, specialized nutritional products. Urban market is shifting more and more toward health consciousness and there is a rise in massive demand for fortified and probiotic dairy products (Fortune Business Insights, 2025).</w:t>
      </w:r>
    </w:p>
    <w:p>
      <w:pPr>
        <w:pStyle w:val="Normal"/>
        <w:bidi w:val="0"/>
        <w:spacing w:lineRule="auto" w:line="360" w:before="0" w:after="200"/>
        <w:jc w:val="center"/>
        <w:rPr>
          <w:rFonts w:ascii="Arial" w:hAnsi="Arial" w:eastAsia="Times New Roman" w:cs="Times New Roman"/>
          <w:b w:val="false"/>
          <w:bCs w:val="false"/>
          <w:sz w:val="24"/>
          <w:szCs w:val="24"/>
        </w:rPr>
      </w:pPr>
      <w:r>
        <w:drawing>
          <wp:anchor distT="0" distB="0" distL="0" distR="0" simplePos="0" relativeHeight="49" behindDoc="0" locked="0" layoutInCell="0" allowOverlap="1">
            <wp:simplePos x="0" y="0"/>
            <wp:positionH relativeFrom="column">
              <wp:align>center</wp:align>
            </wp:positionH>
            <wp:positionV relativeFrom="paragraph">
              <wp:posOffset>635</wp:posOffset>
            </wp:positionV>
            <wp:extent cx="5731510" cy="3223895"/>
            <wp:effectExtent l="0" t="0" r="0" b="0"/>
            <wp:wrapTopAndBottom/>
            <wp:docPr id="18" name="Imag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2"/>
                    <pic:cNvPicPr>
                      <a:picLocks noChangeAspect="1" noChangeArrowheads="1"/>
                    </pic:cNvPicPr>
                  </pic:nvPicPr>
                  <pic:blipFill>
                    <a:blip r:embed="rId34"/>
                    <a:stretch>
                      <a:fillRect/>
                    </a:stretch>
                  </pic:blipFill>
                  <pic:spPr bwMode="auto">
                    <a:xfrm>
                      <a:off x="0" y="0"/>
                      <a:ext cx="5731510" cy="3223895"/>
                    </a:xfrm>
                    <a:prstGeom prst="rect">
                      <a:avLst/>
                    </a:prstGeom>
                    <a:noFill/>
                  </pic:spPr>
                </pic:pic>
              </a:graphicData>
            </a:graphic>
          </wp:anchor>
        </w:drawing>
      </w:r>
      <w:r>
        <w:rPr>
          <w:rFonts w:eastAsia="Times New Roman" w:cs="Times New Roman"/>
          <w:b w:val="false"/>
          <w:bCs w:val="false"/>
          <w:sz w:val="20"/>
          <w:szCs w:val="20"/>
        </w:rPr>
        <w:t xml:space="preserve">(Source: </w:t>
      </w:r>
      <w:hyperlink r:id="rId35">
        <w:r>
          <w:rPr>
            <w:rStyle w:val="Hyperlink"/>
            <w:rFonts w:eastAsia="Times New Roman" w:cs="Times New Roman"/>
            <w:b w:val="false"/>
            <w:bCs w:val="false"/>
            <w:sz w:val="20"/>
            <w:szCs w:val="20"/>
          </w:rPr>
          <w:t>https://www.imarcgroup.com/dairy-industry-in-india</w:t>
        </w:r>
      </w:hyperlink>
      <w:r>
        <w:rPr>
          <w:rFonts w:eastAsia="Times New Roman" w:cs="Times New Roman"/>
          <w:b w:val="false"/>
          <w:bCs w:val="false"/>
          <w:sz w:val="20"/>
          <w:szCs w:val="20"/>
        </w:rPr>
        <w:t xml:space="preserve"> )</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Technological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Historically, India has a highly fragmented dairy supply chain and the lack of robust cold-chain logistics have resulted in massive spoilage rates. Hence technological integration and rapid traceability are becoming the critical differentiators and determinant factors.  As a result, Nestlé has been forced to make massive capital investments in village-level chilling centers, automated processing plants and advanced veterinary care technology through its upgraded "Moga Model" to ensure the ultra-high quality supply chain logistics required for its premium VADP portfolio. Dairy operators are strictly required by new mendates to deploy advanced technological solutions, such as AI-powered image analysis and rapid colorimetric testing kits (e.g., MilkTrak), at collection centers and automated vending machines to instantly detect milk adulterants like urea or hydrogen peroxide (Chadha Sales, 2025). Nestlé has secured a clean, reliable milk supply and created a massive technological moat against unorganized local vendors by heavily investing in advance proprietary supply chain technology and Internet of Things (IoT) temperature monitoring.</w:t>
      </w:r>
    </w:p>
    <w:p>
      <w:pPr>
        <w:pStyle w:val="Normal"/>
        <w:bidi w:val="0"/>
        <w:spacing w:lineRule="auto" w:line="360" w:before="0" w:after="200"/>
        <w:jc w:val="center"/>
        <w:rPr>
          <w:rFonts w:ascii="Arial" w:hAnsi="Arial" w:eastAsia="Times New Roman" w:cs="Times New Roman"/>
          <w:b w:val="false"/>
          <w:bCs w:val="false"/>
          <w:sz w:val="22"/>
          <w:szCs w:val="22"/>
        </w:rPr>
      </w:pPr>
      <w:r>
        <w:drawing>
          <wp:anchor distT="0" distB="0" distL="0" distR="0" simplePos="0" relativeHeight="47" behindDoc="0" locked="0" layoutInCell="0" allowOverlap="1">
            <wp:simplePos x="0" y="0"/>
            <wp:positionH relativeFrom="column">
              <wp:align>center</wp:align>
            </wp:positionH>
            <wp:positionV relativeFrom="paragraph">
              <wp:posOffset>635</wp:posOffset>
            </wp:positionV>
            <wp:extent cx="5731510" cy="2778760"/>
            <wp:effectExtent l="0" t="0" r="0" b="0"/>
            <wp:wrapTopAndBottom/>
            <wp:docPr id="19" name="Image5 Copy 1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5 Copy 1 Copy 1"/>
                    <pic:cNvPicPr>
                      <a:picLocks noChangeAspect="1" noChangeArrowheads="1"/>
                    </pic:cNvPicPr>
                  </pic:nvPicPr>
                  <pic:blipFill>
                    <a:blip r:embed="rId36"/>
                    <a:stretch>
                      <a:fillRect/>
                    </a:stretch>
                  </pic:blipFill>
                  <pic:spPr bwMode="auto">
                    <a:xfrm>
                      <a:off x="0" y="0"/>
                      <a:ext cx="5731510" cy="2778760"/>
                    </a:xfrm>
                    <a:prstGeom prst="rect">
                      <a:avLst/>
                    </a:prstGeom>
                    <a:noFill/>
                  </pic:spPr>
                </pic:pic>
              </a:graphicData>
            </a:graphic>
          </wp:anchor>
        </w:drawing>
      </w:r>
      <w:r>
        <w:rPr>
          <w:sz w:val="22"/>
          <w:szCs w:val="22"/>
        </w:rPr>
        <w:t xml:space="preserve">(Source: </w:t>
      </w:r>
      <w:hyperlink r:id="rId37">
        <w:r>
          <w:rPr>
            <w:rStyle w:val="Hyperlink"/>
            <w:sz w:val="22"/>
            <w:szCs w:val="22"/>
          </w:rPr>
          <w:t>https://www.brickworkratings.com/Research/Dairy_Sector_Report_23Apr2025.pdf</w:t>
        </w:r>
      </w:hyperlink>
      <w:r>
        <w:rPr>
          <w:sz w:val="22"/>
          <w:szCs w:val="22"/>
        </w:rPr>
        <w:t>)</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Legal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legal environment of Indian dairy sector is exceptionally stringent. In this case, maintainign legal compliance is a weapon and benefit for Nestlé because India’s regulatory body FSSAI (Food Safety and Standards Authority of India) heavily regulates the industry. In recent years (2025-26), FSSAI launched aggressive, nationwide special enforcement drives to tackle the issue of milk adulteration in unorganized sector. Dairy players are required to have rigorous licensing, frequent lab testing and absolute traceability for all their dairy products. While these regulation increase additional operational costs and seem like legal burdens, they act as a major strategic advantage for MNC like Nestlé. This heavily regulated legal landscape forces non-compliant players (often form unorganized sector) out of the market. On the other side, it drives the safety-conscious consumers towards highly regulated and trusted multinational brands like Nestlé, which operates with these global compliance standards. Nestlé operates with these global compliance standards and uses it as a competitive weapon. As a result, legal factors are in favour to these MNCs.</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Environmental Factors</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color w:val="000000"/>
          <w:sz w:val="24"/>
          <w:szCs w:val="24"/>
          <w:lang w:val="en-GB"/>
        </w:rPr>
        <w:t xml:space="preserve">Environmental factors are also crucial and highly relevant in the dairy industry, because </w:t>
      </w:r>
      <w:r>
        <w:rPr>
          <w:rFonts w:eastAsia="Times New Roman" w:cs="Times New Roman"/>
          <w:b w:val="false"/>
          <w:bCs w:val="false"/>
          <w:sz w:val="24"/>
          <w:szCs w:val="24"/>
        </w:rPr>
        <w:t>India's agricultural sector is facing severe climate risks because of erratic monsoon patterns and rising water stress as a consequence. These factors directly impact everything from fodder availability to raw milk yields and high procurement costs for the final buyers. For Nestlé, this can directly hinder it’s cruicial milk supply chain. As a result, environmental sustainability has become a critical operational necessity rather than a mere corporate social responsibility initiative (USDA/FAS, 2025). Indian dairy sector has a massive carbon footprint because of significant methane emissions generated by its vast bovine population, which is responsible for 60% of the country’s total agricultural greenhouse gas emissions. Here environmental factors present an opportunity for foreign multi national corporations like Nestlé. In response to these factors, Nestlé has implemented an aggressive sustainability protocols to mitigate such environmental risks and align itself with these global ESG (Environmental, Social, and Governance) mandates. Nestlé is also heavily investing back in villege welfare and farmers through various methods like advance water conservation techniques in it’s procurement regions and educating farmers on sustainable grazing practices.  Nestlé has been optimizing energy use in it’s own processing facilities as well (JM Financial, 2026). These environmental initiatives not only ensure the long-term viability of Nestlé's supply chain but also bolster brand loyalty among environmentally conscious urban consumers.</w:t>
      </w:r>
    </w:p>
    <w:p>
      <w:pPr>
        <w:pStyle w:val="Normal"/>
        <w:bidi w:val="0"/>
        <w:spacing w:lineRule="auto" w:line="360" w:before="0" w:after="200"/>
        <w:jc w:val="both"/>
        <w:rPr>
          <w:rFonts w:eastAsia="Times New Roman" w:cs="Times New Roman"/>
          <w:b/>
          <w:bCs/>
          <w:sz w:val="24"/>
          <w:szCs w:val="24"/>
          <w:u w:val="none"/>
        </w:rPr>
      </w:pPr>
      <w:r>
        <w:rPr>
          <w:rFonts w:eastAsia="Times New Roman" w:cs="Times New Roman"/>
          <w:b/>
          <w:bCs/>
          <w:sz w:val="24"/>
          <w:szCs w:val="24"/>
          <w:u w:val="none"/>
        </w:rPr>
        <w:t>Cultural Framework: Hofstede’s Dimensions</w:t>
      </w:r>
    </w:p>
    <w:p>
      <w:pPr>
        <w:pStyle w:val="Normal"/>
        <w:bidi w:val="0"/>
        <w:spacing w:lineRule="auto" w:line="360" w:before="0" w:after="200"/>
        <w:jc w:val="both"/>
        <w:rPr>
          <w:rFonts w:eastAsia="Times New Roman" w:cs="Times New Roman"/>
          <w:b w:val="false"/>
          <w:bCs w:val="false"/>
          <w:sz w:val="24"/>
          <w:szCs w:val="24"/>
          <w:u w:val="none"/>
        </w:rPr>
      </w:pPr>
      <w:r>
        <w:rPr>
          <w:rFonts w:eastAsia="Times New Roman" w:cs="Times New Roman"/>
          <w:b w:val="false"/>
          <w:bCs w:val="false"/>
          <w:sz w:val="24"/>
          <w:szCs w:val="24"/>
          <w:u w:val="none"/>
        </w:rPr>
        <w:drawing>
          <wp:anchor distT="0" distB="0" distL="0" distR="0" simplePos="0" relativeHeight="54" behindDoc="0" locked="0" layoutInCell="0" allowOverlap="1">
            <wp:simplePos x="0" y="0"/>
            <wp:positionH relativeFrom="column">
              <wp:posOffset>808355</wp:posOffset>
            </wp:positionH>
            <wp:positionV relativeFrom="paragraph">
              <wp:posOffset>120015</wp:posOffset>
            </wp:positionV>
            <wp:extent cx="3115310" cy="3562985"/>
            <wp:effectExtent l="0" t="0" r="0" b="0"/>
            <wp:wrapTopAndBottom/>
            <wp:docPr id="20" name="Image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22"/>
                    <pic:cNvPicPr>
                      <a:picLocks noChangeAspect="1" noChangeArrowheads="1"/>
                    </pic:cNvPicPr>
                  </pic:nvPicPr>
                  <pic:blipFill>
                    <a:blip r:embed="rId38"/>
                    <a:stretch>
                      <a:fillRect/>
                    </a:stretch>
                  </pic:blipFill>
                  <pic:spPr bwMode="auto">
                    <a:xfrm>
                      <a:off x="0" y="0"/>
                      <a:ext cx="3115310" cy="3562985"/>
                    </a:xfrm>
                    <a:prstGeom prst="rect">
                      <a:avLst/>
                    </a:prstGeom>
                    <a:noFill/>
                  </pic:spPr>
                </pic:pic>
              </a:graphicData>
            </a:graphic>
          </wp:anchor>
        </w:drawing>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Nestlé India  navigates significant cultural differences between Western corporate models and Indian socio-cultural realities to successfully operate a supply chain that is deeply rooted in rural agriculture while marketing to urban consumers at the same time. This report uses Hofstede’s Cultural Dimensions framework to critically evaluate how Nestlé India adapts its operational strategy to bridge this gap (Hofstede Insights, 2024). Table 1 illustrates Nestlé India’s strategic adpatation with the help of Hofstede’s Cultural Dimensions .</w:t>
      </w:r>
    </w:p>
    <w:tbl>
      <w:tblPr>
        <w:tblW w:w="5000" w:type="pct"/>
        <w:jc w:val="start"/>
        <w:tblInd w:w="-5" w:type="dxa"/>
        <w:tblLayout w:type="fixed"/>
        <w:tblCellMar>
          <w:top w:w="55" w:type="dxa"/>
          <w:start w:w="55" w:type="dxa"/>
          <w:bottom w:w="55" w:type="dxa"/>
          <w:end w:w="55" w:type="dxa"/>
        </w:tblCellMar>
      </w:tblPr>
      <w:tblGrid>
        <w:gridCol w:w="2842"/>
        <w:gridCol w:w="3175"/>
        <w:gridCol w:w="3009"/>
      </w:tblGrid>
      <w:tr>
        <w:trPr>
          <w:trHeight w:val="592" w:hRule="atLeast"/>
        </w:trPr>
        <w:tc>
          <w:tcPr>
            <w:tcW w:w="2842" w:type="dxa"/>
            <w:tcBorders>
              <w:top w:val="single" w:sz="4" w:space="0" w:color="000000"/>
              <w:start w:val="single" w:sz="4" w:space="0" w:color="000000"/>
              <w:bottom w:val="single" w:sz="4" w:space="0" w:color="000000"/>
            </w:tcBorders>
          </w:tcPr>
          <w:p>
            <w:pPr>
              <w:pStyle w:val="TableContents"/>
              <w:jc w:val="center"/>
              <w:rPr>
                <w:b/>
                <w:bCs/>
              </w:rPr>
            </w:pPr>
            <w:r>
              <w:rPr>
                <w:b/>
                <w:bCs/>
              </w:rPr>
              <w:t>Hofstede Dimension</w:t>
            </w:r>
          </w:p>
        </w:tc>
        <w:tc>
          <w:tcPr>
            <w:tcW w:w="3175" w:type="dxa"/>
            <w:tcBorders>
              <w:top w:val="single" w:sz="4" w:space="0" w:color="000000"/>
              <w:start w:val="single" w:sz="4" w:space="0" w:color="000000"/>
              <w:bottom w:val="single" w:sz="4" w:space="0" w:color="000000"/>
            </w:tcBorders>
          </w:tcPr>
          <w:p>
            <w:pPr>
              <w:pStyle w:val="TableContents"/>
              <w:jc w:val="center"/>
              <w:rPr>
                <w:b/>
                <w:bCs/>
              </w:rPr>
            </w:pPr>
            <w:r>
              <w:rPr>
                <w:b/>
                <w:bCs/>
              </w:rPr>
              <w:t>India’s Cultural Trait &amp; Score</w:t>
            </w:r>
          </w:p>
        </w:tc>
        <w:tc>
          <w:tcPr>
            <w:tcW w:w="3009" w:type="dxa"/>
            <w:tcBorders>
              <w:top w:val="single" w:sz="4" w:space="0" w:color="000000"/>
              <w:start w:val="single" w:sz="4" w:space="0" w:color="000000"/>
              <w:bottom w:val="single" w:sz="4" w:space="0" w:color="000000"/>
              <w:end w:val="single" w:sz="4" w:space="0" w:color="000000"/>
            </w:tcBorders>
          </w:tcPr>
          <w:p>
            <w:pPr>
              <w:pStyle w:val="TableContents"/>
              <w:jc w:val="center"/>
              <w:rPr>
                <w:b/>
                <w:bCs/>
              </w:rPr>
            </w:pPr>
            <w:r>
              <w:rPr>
                <w:b/>
                <w:bCs/>
              </w:rPr>
              <w:t>Nestlé’s Strategic Adaptation</w:t>
            </w:r>
          </w:p>
        </w:tc>
      </w:tr>
      <w:tr>
        <w:trPr>
          <w:trHeight w:val="2946" w:hRule="atLeast"/>
        </w:trPr>
        <w:tc>
          <w:tcPr>
            <w:tcW w:w="2842" w:type="dxa"/>
            <w:tcBorders>
              <w:start w:val="single" w:sz="4" w:space="0" w:color="000000"/>
              <w:bottom w:val="single" w:sz="4" w:space="0" w:color="000000"/>
            </w:tcBorders>
          </w:tcPr>
          <w:p>
            <w:pPr>
              <w:pStyle w:val="TableContents"/>
              <w:bidi w:val="0"/>
              <w:rPr/>
            </w:pPr>
            <w:r>
              <w:rPr/>
              <w:t>Power Distance (PDI)</w:t>
            </w:r>
          </w:p>
        </w:tc>
        <w:tc>
          <w:tcPr>
            <w:tcW w:w="3175" w:type="dxa"/>
            <w:tcBorders>
              <w:start w:val="single" w:sz="4" w:space="0" w:color="000000"/>
              <w:bottom w:val="single" w:sz="4" w:space="0" w:color="000000"/>
            </w:tcBorders>
          </w:tcPr>
          <w:p>
            <w:pPr>
              <w:pStyle w:val="TableContents"/>
              <w:rPr/>
            </w:pPr>
            <w:r>
              <w:rPr/>
              <w:t xml:space="preserve">77 (High): </w:t>
            </w:r>
          </w:p>
          <w:p>
            <w:pPr>
              <w:pStyle w:val="TableContents"/>
              <w:rPr/>
            </w:pPr>
            <w:r>
              <w:rPr/>
            </w:r>
          </w:p>
          <w:p>
            <w:pPr>
              <w:pStyle w:val="TableContents"/>
              <w:numPr>
                <w:ilvl w:val="0"/>
                <w:numId w:val="2"/>
              </w:numPr>
              <w:rPr/>
            </w:pPr>
            <w:r>
              <w:rPr/>
              <w:t>Because of Deep hierarchical structures</w:t>
            </w:r>
          </w:p>
          <w:p>
            <w:pPr>
              <w:pStyle w:val="TableContents"/>
              <w:numPr>
                <w:ilvl w:val="0"/>
                <w:numId w:val="2"/>
              </w:numPr>
              <w:rPr/>
            </w:pPr>
            <w:r>
              <w:rPr/>
              <w:t xml:space="preserve">top-down authority </w:t>
            </w:r>
          </w:p>
          <w:p>
            <w:pPr>
              <w:pStyle w:val="TableContents"/>
              <w:numPr>
                <w:ilvl w:val="0"/>
                <w:numId w:val="2"/>
              </w:numPr>
              <w:rPr/>
            </w:pPr>
            <w:r>
              <w:rPr/>
              <w:t>and unequal power distribution in rural settings.</w:t>
            </w:r>
          </w:p>
        </w:tc>
        <w:tc>
          <w:tcPr>
            <w:tcW w:w="3009" w:type="dxa"/>
            <w:tcBorders>
              <w:start w:val="single" w:sz="4" w:space="0" w:color="000000"/>
              <w:bottom w:val="single" w:sz="4" w:space="0" w:color="000000"/>
              <w:end w:val="single" w:sz="4" w:space="0" w:color="000000"/>
            </w:tcBorders>
          </w:tcPr>
          <w:p>
            <w:pPr>
              <w:pStyle w:val="TableContents"/>
              <w:rPr/>
            </w:pPr>
            <w:r>
              <w:rPr/>
              <w:t>Nestlé abandons flat Western supply-chain models and develops ‘Moga model’ to deeply integrate itself into hierarchy.</w:t>
            </w:r>
          </w:p>
          <w:p>
            <w:pPr>
              <w:pStyle w:val="TableContents"/>
              <w:rPr/>
            </w:pPr>
            <w:r>
              <w:rPr/>
            </w:r>
          </w:p>
          <w:p>
            <w:pPr>
              <w:pStyle w:val="TableContents"/>
              <w:rPr/>
            </w:pPr>
            <w:r>
              <w:rPr/>
              <w:t>They procure milk by respectfully engaging with established village leaderships</w:t>
            </w:r>
          </w:p>
        </w:tc>
      </w:tr>
      <w:tr>
        <w:trPr>
          <w:trHeight w:val="825" w:hRule="atLeast"/>
        </w:trPr>
        <w:tc>
          <w:tcPr>
            <w:tcW w:w="2842" w:type="dxa"/>
            <w:tcBorders>
              <w:start w:val="single" w:sz="4" w:space="0" w:color="000000"/>
              <w:bottom w:val="single" w:sz="4" w:space="0" w:color="000000"/>
            </w:tcBorders>
          </w:tcPr>
          <w:p>
            <w:pPr>
              <w:pStyle w:val="TableContents"/>
              <w:rPr/>
            </w:pPr>
            <w:r>
              <w:rPr/>
              <w:t>Individualism vs. Collectivism (IDV)</w:t>
            </w:r>
          </w:p>
        </w:tc>
        <w:tc>
          <w:tcPr>
            <w:tcW w:w="3175" w:type="dxa"/>
            <w:tcBorders>
              <w:start w:val="single" w:sz="4" w:space="0" w:color="000000"/>
              <w:bottom w:val="single" w:sz="4" w:space="0" w:color="000000"/>
            </w:tcBorders>
          </w:tcPr>
          <w:p>
            <w:pPr>
              <w:pStyle w:val="TableContents"/>
              <w:rPr/>
            </w:pPr>
            <w:r>
              <w:rPr/>
              <w:t xml:space="preserve">48 (Collectivistic): </w:t>
            </w:r>
          </w:p>
          <w:p>
            <w:pPr>
              <w:pStyle w:val="TableContents"/>
              <w:rPr/>
            </w:pPr>
            <w:r>
              <w:rPr/>
            </w:r>
          </w:p>
          <w:p>
            <w:pPr>
              <w:pStyle w:val="TableContents"/>
              <w:numPr>
                <w:ilvl w:val="0"/>
                <w:numId w:val="3"/>
              </w:numPr>
              <w:rPr/>
            </w:pPr>
            <w:r>
              <w:rPr/>
              <w:t>High prioritization of community, extended family and group loyalty over individual transactions.</w:t>
            </w:r>
          </w:p>
        </w:tc>
        <w:tc>
          <w:tcPr>
            <w:tcW w:w="3009" w:type="dxa"/>
            <w:tcBorders>
              <w:start w:val="single" w:sz="4" w:space="0" w:color="000000"/>
              <w:bottom w:val="single" w:sz="4" w:space="0" w:color="000000"/>
              <w:end w:val="single" w:sz="4" w:space="0" w:color="000000"/>
            </w:tcBorders>
          </w:tcPr>
          <w:p>
            <w:pPr>
              <w:pStyle w:val="TableContents"/>
              <w:rPr/>
            </w:pPr>
            <w:r>
              <w:rPr/>
              <w:t xml:space="preserve">Community-Centric Procurement: </w:t>
            </w:r>
          </w:p>
          <w:p>
            <w:pPr>
              <w:pStyle w:val="TableContents"/>
              <w:rPr/>
            </w:pPr>
            <w:r>
              <w:rPr/>
              <w:t>Nestlé treats farmers as it’s extention to compete with farmer-owned cooperatives like Amul.</w:t>
            </w:r>
          </w:p>
          <w:p>
            <w:pPr>
              <w:pStyle w:val="TableContents"/>
              <w:rPr/>
            </w:pPr>
            <w:r>
              <w:rPr/>
            </w:r>
          </w:p>
          <w:p>
            <w:pPr>
              <w:pStyle w:val="TableContents"/>
              <w:rPr/>
            </w:pPr>
            <w:r>
              <w:rPr/>
              <w:t>Nestlé also invests back in village welfare rather than being purely transactional.</w:t>
            </w:r>
          </w:p>
        </w:tc>
      </w:tr>
      <w:tr>
        <w:trPr>
          <w:trHeight w:val="942" w:hRule="atLeast"/>
        </w:trPr>
        <w:tc>
          <w:tcPr>
            <w:tcW w:w="2842" w:type="dxa"/>
            <w:tcBorders>
              <w:start w:val="single" w:sz="4" w:space="0" w:color="000000"/>
              <w:bottom w:val="single" w:sz="4" w:space="0" w:color="000000"/>
            </w:tcBorders>
          </w:tcPr>
          <w:p>
            <w:pPr>
              <w:pStyle w:val="TableContents"/>
              <w:rPr/>
            </w:pPr>
            <w:r>
              <w:rPr/>
              <w:t>Long-Term Orientation (LTO)</w:t>
            </w:r>
          </w:p>
        </w:tc>
        <w:tc>
          <w:tcPr>
            <w:tcW w:w="3175" w:type="dxa"/>
            <w:tcBorders>
              <w:start w:val="single" w:sz="4" w:space="0" w:color="000000"/>
              <w:bottom w:val="single" w:sz="4" w:space="0" w:color="000000"/>
            </w:tcBorders>
          </w:tcPr>
          <w:p>
            <w:pPr>
              <w:pStyle w:val="TableContents"/>
              <w:rPr/>
            </w:pPr>
            <w:r>
              <w:rPr/>
              <w:t xml:space="preserve">51-61 (Pragmatic): </w:t>
            </w:r>
          </w:p>
          <w:p>
            <w:pPr>
              <w:pStyle w:val="TableContents"/>
              <w:rPr/>
            </w:pPr>
            <w:r>
              <w:rPr/>
            </w:r>
          </w:p>
          <w:p>
            <w:pPr>
              <w:pStyle w:val="TableContents"/>
              <w:numPr>
                <w:ilvl w:val="0"/>
                <w:numId w:val="4"/>
              </w:numPr>
              <w:rPr/>
            </w:pPr>
            <w:r>
              <w:rPr/>
              <w:t>A patient culture that values perseverance, relationships and long-term security over short-term gains.</w:t>
            </w:r>
          </w:p>
        </w:tc>
        <w:tc>
          <w:tcPr>
            <w:tcW w:w="3009" w:type="dxa"/>
            <w:tcBorders>
              <w:start w:val="single" w:sz="4" w:space="0" w:color="000000"/>
              <w:bottom w:val="single" w:sz="4" w:space="0" w:color="000000"/>
              <w:end w:val="single" w:sz="4" w:space="0" w:color="000000"/>
            </w:tcBorders>
          </w:tcPr>
          <w:p>
            <w:pPr>
              <w:pStyle w:val="TableContents"/>
              <w:rPr/>
            </w:pPr>
            <w:r>
              <w:rPr/>
              <w:t>Nestlé provided free veterinary care, agronomy education and guaranteed payments for  decades to secure reliable long term supply chains.</w:t>
            </w:r>
          </w:p>
        </w:tc>
      </w:tr>
      <w:tr>
        <w:trPr>
          <w:trHeight w:val="1061" w:hRule="atLeast"/>
        </w:trPr>
        <w:tc>
          <w:tcPr>
            <w:tcW w:w="2842" w:type="dxa"/>
            <w:tcBorders>
              <w:start w:val="single" w:sz="4" w:space="0" w:color="000000"/>
              <w:bottom w:val="single" w:sz="4" w:space="0" w:color="000000"/>
            </w:tcBorders>
          </w:tcPr>
          <w:p>
            <w:pPr>
              <w:pStyle w:val="TableContents"/>
              <w:rPr/>
            </w:pPr>
            <w:r>
              <w:rPr/>
              <w:t>Uncertainty Avoidance (UAI)</w:t>
            </w:r>
          </w:p>
        </w:tc>
        <w:tc>
          <w:tcPr>
            <w:tcW w:w="3175" w:type="dxa"/>
            <w:tcBorders>
              <w:start w:val="single" w:sz="4" w:space="0" w:color="000000"/>
              <w:bottom w:val="single" w:sz="4" w:space="0" w:color="000000"/>
            </w:tcBorders>
          </w:tcPr>
          <w:p>
            <w:pPr>
              <w:pStyle w:val="TableContents"/>
              <w:rPr/>
            </w:pPr>
            <w:r>
              <w:rPr/>
              <w:t xml:space="preserve">40 (Low): </w:t>
            </w:r>
          </w:p>
          <w:p>
            <w:pPr>
              <w:pStyle w:val="TableContents"/>
              <w:rPr/>
            </w:pPr>
            <w:r>
              <w:rPr/>
            </w:r>
          </w:p>
          <w:p>
            <w:pPr>
              <w:pStyle w:val="TableContents"/>
              <w:rPr/>
            </w:pPr>
            <w:r>
              <w:rPr/>
              <w:t>High societal tolerance for ambiguity, informality, and unstructured environments (which manifests as the unorganized, fragmented dairy market).</w:t>
            </w:r>
          </w:p>
        </w:tc>
        <w:tc>
          <w:tcPr>
            <w:tcW w:w="3009" w:type="dxa"/>
            <w:tcBorders>
              <w:start w:val="single" w:sz="4" w:space="0" w:color="000000"/>
              <w:bottom w:val="single" w:sz="4" w:space="0" w:color="000000"/>
              <w:end w:val="single" w:sz="4" w:space="0" w:color="000000"/>
            </w:tcBorders>
          </w:tcPr>
          <w:p>
            <w:pPr>
              <w:pStyle w:val="TableContents"/>
              <w:rPr/>
            </w:pPr>
            <w:r>
              <w:rPr/>
              <w:t>Nestlé enforces rigid Swiss quality-control standards to counter rural ambiguity.</w:t>
            </w:r>
          </w:p>
          <w:p>
            <w:pPr>
              <w:pStyle w:val="TableContents"/>
              <w:rPr/>
            </w:pPr>
            <w:r>
              <w:rPr/>
            </w:r>
          </w:p>
          <w:p>
            <w:pPr>
              <w:pStyle w:val="TableContents"/>
              <w:rPr/>
            </w:pPr>
            <w:r>
              <w:rPr/>
              <w:t>They market their Value-Added Dairy Products as the premium and safe alternative to adulterated milk</w:t>
            </w:r>
          </w:p>
        </w:tc>
      </w:tr>
    </w:tbl>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5. Conclusion to the Report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From the above study it has been concluded that the Indian dairy sector is paradoxical : It has unparalleled natural advantages in terms of production volume and domestic market size. Yet it is severely constrained by it’s structural inefficiencies like fragmented cold-chain infrastructure and low yeilds/animal. Moreover, dairy market is fiercely protected by the government through tariffs other means.  Politically entrenched cooperatives like Amul dominates this market massively. Which operate on a socio-economic model of volume maximization rather than traditional western model corporate profit. This environment presents significant challenges and liabilities of foreignness to foreign multi national corporations. Hence competing solely on the basis of basic fluid milk is strategically unviable for a foreign MNC.</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Despite these factors, the market is extraordinarily attractive because of rapidly growing economy and changing tastes of middle class - as evaluated through Porter’s Diamond and PESTLE frameworks. Analysis suggests that foreign corporations should follow the strategy of localization and premiumization to exploit these newly emerging opportunities. Nestlé India has successfully proven this paradigm for decades by operating and thriving in such conditions despite being foreign MNC.</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Nestlé made massive capital and technological investments such as the Moga Model and advanced traceability systems to overcome those infrastructural bottlenecks and secure a robust, long term local supply chain. Nestlé  capitalized on cultural and economical changes by recognizing rising purchasing power of middle class and their changing taste in dairy products to pivot entirely toward high-margin Value-Added Dairy Products. Ultimately, Indian dairy industry has immense barriers to entry in terms of rural procurements but it is highly profitable for MNCs that avoids volume wars, integrates respectfully into the collectivist rural supply chain and strictly targets the sophisticated, health-conscious urban consumer segment.</w:t>
      </w:r>
      <w:r>
        <w:br w:type="page"/>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Section 2: Reflective Account</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I have chosen to structure my reflection using David Kolb’s (1984) Experiential Learning Cycle (Concrete Experience, Reflective Observation, Abstract Conceptualisation, and Active Experimentation) to critically evaluate my learning journey throughout this business report.  This study has not only improved my reasearch and analytical skills but presented opportunities for personal and professional development. Using the rigorous - iterative methods provided in this framework, I will try to better understand the process rather than surface-level observations regarding international business concepts.</w:t>
      </w:r>
    </w:p>
    <w:p>
      <w:pPr>
        <w:pStyle w:val="Normal"/>
        <w:bidi w:val="0"/>
        <w:spacing w:lineRule="auto" w:line="360" w:before="0" w:after="200"/>
        <w:jc w:val="center"/>
        <w:rPr>
          <w:rFonts w:eastAsia="Times New Roman" w:cs="Times New Roman"/>
          <w:b w:val="false"/>
          <w:bCs w:val="false"/>
          <w:sz w:val="24"/>
          <w:szCs w:val="24"/>
        </w:rPr>
      </w:pPr>
      <w:r>
        <w:drawing>
          <wp:anchor distT="0" distB="0" distL="0" distR="0" simplePos="0" relativeHeight="43" behindDoc="0" locked="0" layoutInCell="0" allowOverlap="1">
            <wp:simplePos x="0" y="0"/>
            <wp:positionH relativeFrom="column">
              <wp:align>center</wp:align>
            </wp:positionH>
            <wp:positionV relativeFrom="paragraph">
              <wp:posOffset>635</wp:posOffset>
            </wp:positionV>
            <wp:extent cx="4173855" cy="4173855"/>
            <wp:effectExtent l="0" t="0" r="0" b="0"/>
            <wp:wrapTopAndBottom/>
            <wp:docPr id="2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2"/>
                    <pic:cNvPicPr>
                      <a:picLocks noChangeAspect="1" noChangeArrowheads="1"/>
                    </pic:cNvPicPr>
                  </pic:nvPicPr>
                  <pic:blipFill>
                    <a:blip r:embed="rId39"/>
                    <a:stretch>
                      <a:fillRect/>
                    </a:stretch>
                  </pic:blipFill>
                  <pic:spPr bwMode="auto">
                    <a:xfrm>
                      <a:off x="0" y="0"/>
                      <a:ext cx="4173855" cy="4173855"/>
                    </a:xfrm>
                    <a:prstGeom prst="rect">
                      <a:avLst/>
                    </a:prstGeom>
                    <a:noFill/>
                  </pic:spPr>
                </pic:pic>
              </a:graphicData>
            </a:graphic>
          </wp:anchor>
        </w:drawing>
      </w:r>
      <w:r>
        <w:rPr>
          <w:rFonts w:eastAsia="Times New Roman" w:cs="Times New Roman"/>
          <w:b w:val="false"/>
          <w:bCs w:val="false"/>
          <w:sz w:val="24"/>
          <w:szCs w:val="24"/>
        </w:rPr>
        <w:t xml:space="preserve">(Source: </w:t>
      </w:r>
      <w:hyperlink r:id="rId40">
        <w:r>
          <w:rPr>
            <w:rStyle w:val="Hyperlink"/>
            <w:rFonts w:eastAsia="Times New Roman" w:cs="Times New Roman"/>
            <w:b w:val="false"/>
            <w:bCs w:val="false"/>
            <w:sz w:val="24"/>
            <w:szCs w:val="24"/>
          </w:rPr>
          <w:t>https://www.simplypsychology.org/learning-kolb.html</w:t>
        </w:r>
      </w:hyperlink>
      <w:r>
        <w:rPr>
          <w:rFonts w:eastAsia="Times New Roman" w:cs="Times New Roman"/>
          <w:b w:val="false"/>
          <w:bCs w:val="false"/>
          <w:sz w:val="24"/>
          <w:szCs w:val="24"/>
        </w:rPr>
        <w:t>)</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1. Concrete Experience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My first concrete experience was related to macro-economic and industry specific analytical work. In the beginning, I assumed it would be a straightforward task of evaluating the size and export dominance of world’s largest milk producing nation. As I was going through the data that i collected from ministry of food processing and other industry reports for Indian dairy sector, I encountered a highly fragmented landscape that was highly fragmented and overwhelmingly difficult to analyze. The dichotomy between Massive unorganized sector controls the vast majority of the volume and formal corporate sector was a particular challenge. Then came another challenge of specifically isolating Nestlé India’s dairy-related strategic data from its broader Fast-Moving Consumer Goods (FMCG) portfolio during the MNC analysis. This proved to be exceptionally difficult as I also felt frustrated trying to benchmark a foreign MNC like Nestlé against domestic giants like Amul. I tried to use traditional KPIs like pure market share in liquid milk and other such KPIs but it was not working out; Because both fundamentally operate on entirely different business models. While Nestlé operates on a traditional western model of corporate profit-maximization, Amul operates as a socio-economic cooperative designed to operate on a razor think profit margins and maximize farmer welfare. This clash was the core concrete challenge of my research.</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2. Reflective Observation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Now that I step back and observe this experience, I realized that my initial frustration was coming from my own assumptions and cognitive biases; Because I was attempting to apply western-centric, profit-driven models and KPIs to a deeply localized, socio-economic market. I realized how traditional international business education often emphasizes ‘market size’ and ‘demographic dividends’ as the primary indicators or KPIs of market attractiveness. Initially India seemed very attractive market for MNC like Nestlé because of it’s massive bovine population and billion-plus consumer base; but as I researched deeper and reviewed the literature, my perspective shifted. I found that  Nestlé’s strategy was not about absolute market domination in traditional sense, but it was more about surviving in the market through hyper specialization because it’s domestic competitors are not playing by the same rules. I observed that Amul is winning on ‘Volume and Rural Trust’ while  Nestlé is winning on ‘premiumization ( through it’s Value-Added Dairy Products) and urban health consciousness’. This realization was a turning point as it taught me that "competitiveness" is not always a zero-sum game of direct confrontation in complex international markets; it is often about finding structural gaps in the industry and exploiting specialized niches that deeply entrenched local players(competitors) cannot or will not serve.</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3. Abstract Conceptualisation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 process of linking my critical observations and established international business theories like ‘Michael Porter’s Diamond Model (1990)’ and ‘Geert Hofstede’s Cultural Dimensions’ elevated my theoretical understanding. More pecifically, applying Porter's Diamond was a revelation to me. Previously, I had more simpler understanding of ‘Factor Conditions’ as I was equating them simply with an abundance of raw materials or labor. It’s application to the Indian dairy sector taught me the critical distinction between the quantity and the quality of factor conditions. This became clear to me when I observed that India possesses the most cattle globally, but because of the low yield per-animal yield and the severly fragmented and highly concentrated Supporting Industries (cold-chain logistics), this sheer volume of raw milk does not automatically translate into global competitive advantage. I also understood why a foreign MNC like Nestlé must invest heavily in localized infrastructure (like Nestlé’s Moga Model) rather than relying on the host nation's existing supply chain.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Furthermore, I also realized that  cultural frameworks are not just abstract human resource concepts but hard, strategic business emperatives. This particular revelation happened after I integrated  Hofstede's Cultural Dimensions with my analysis. After analyzing India’s high power distance and collectivism scores, I also got an answer to one crucian question that I had from the beginning : “why Nestlé could not utilize a transactional, Western supply chain model in Indian dairy sector?” I conceptualized that in collectivist rural economies, a corporation must integrate itself within these local hierarchies and community structures to secure raw materials.</w:t>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r>
    </w:p>
    <w:p>
      <w:pPr>
        <w:pStyle w:val="Normal"/>
        <w:bidi w:val="0"/>
        <w:spacing w:lineRule="auto" w:line="360" w:before="0" w:after="200"/>
        <w:jc w:val="both"/>
        <w:rPr>
          <w:rFonts w:eastAsia="Times New Roman" w:cs="Times New Roman"/>
          <w:b/>
          <w:bCs/>
          <w:sz w:val="24"/>
          <w:szCs w:val="24"/>
        </w:rPr>
      </w:pPr>
      <w:r>
        <w:rPr>
          <w:rFonts w:eastAsia="Times New Roman" w:cs="Times New Roman"/>
          <w:b/>
          <w:bCs/>
          <w:sz w:val="24"/>
          <w:szCs w:val="24"/>
        </w:rPr>
        <w:t>4. Active Experimentation</w:t>
      </w:r>
    </w:p>
    <w:p>
      <w:pPr>
        <w:pStyle w:val="Normal"/>
        <w:bidi w:val="0"/>
        <w:spacing w:lineRule="auto" w:line="360" w:before="0" w:after="200"/>
        <w:jc w:val="both"/>
        <w:rPr>
          <w:rFonts w:ascii="Arial" w:hAnsi="Arial" w:eastAsia="Times New Roman" w:cs="Times New Roman"/>
          <w:b w:val="false"/>
          <w:bCs w:val="false"/>
          <w:sz w:val="24"/>
          <w:szCs w:val="24"/>
        </w:rPr>
      </w:pPr>
      <w:r>
        <w:rPr>
          <w:rFonts w:eastAsia="Times New Roman" w:cs="Times New Roman"/>
          <w:b w:val="false"/>
          <w:bCs w:val="false"/>
          <w:sz w:val="24"/>
          <w:szCs w:val="24"/>
        </w:rPr>
        <w:t>These insights and realizations will refine my approach to future academic assignments and professional career in international business management. I can shed light on various areas where I need improvements. Firstly, I will keep my assumptions and biases aside and analyze more objectively throughout the process. Secondly, I will apply more systems thinking approach in my future practice and integrate theoretical frameworks more effectively in my analysis. I need to develop my existing writing skills, for that I aim to develop clear arguments while supporting those with relevant industry data and statistics.  Thirdly, I have learned to adapt my  financial and strategic benchmarking tools / KPIs according to project requirements and other factors. Ultimately, this exercise has equipped me with the nuanced perspective required to succeed in international business management. Now i feel confident that  I am a critical evaluator of international business environments instead of just a passive consumer of industry data.</w:t>
      </w:r>
      <w:r>
        <w:br w:type="page"/>
      </w:r>
    </w:p>
    <w:p>
      <w:pPr>
        <w:pStyle w:val="Heading1"/>
        <w:spacing w:lineRule="auto" w:line="360" w:before="0" w:after="200"/>
        <w:jc w:val="both"/>
        <w:rPr>
          <w:rFonts w:ascii="Arial" w:hAnsi="Arial"/>
          <w:sz w:val="24"/>
          <w:szCs w:val="24"/>
        </w:rPr>
      </w:pPr>
      <w:bookmarkStart w:id="0" w:name="_pemnsk9klfvc"/>
      <w:bookmarkEnd w:id="0"/>
      <w:r>
        <w:rPr>
          <w:rFonts w:ascii="Arial" w:hAnsi="Arial"/>
          <w:sz w:val="24"/>
          <w:szCs w:val="24"/>
        </w:rPr>
        <w:t>References</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 Kotak Mutual Fund (2026) India's Dairy Industry: Growth, Trends and Economic Impact. </w:t>
      </w:r>
      <w:hyperlink r:id="rId41">
        <w:r>
          <w:rPr>
            <w:rStyle w:val="Hyperlink"/>
            <w:rFonts w:eastAsia="Times New Roman" w:cs="Times New Roman"/>
            <w:sz w:val="24"/>
            <w:szCs w:val="24"/>
          </w:rPr>
          <w:t>https://www.kotakmf.com/Information/blogs/india-dairy-industry-overview</w:t>
        </w:r>
      </w:hyperlink>
      <w:r>
        <w:rPr>
          <w:rFonts w:eastAsia="Times New Roman" w:cs="Times New Roman"/>
          <w:sz w:val="24"/>
          <w:szCs w:val="24"/>
        </w:rPr>
        <w:t xml:space="preserve"> (Accessed on : 31st March)</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 The Times of India (2025) India records increase in milk, egg meat and wool production in 2024-25. </w:t>
      </w:r>
      <w:hyperlink r:id="rId42">
        <w:r>
          <w:rPr>
            <w:rStyle w:val="Hyperlink"/>
            <w:rFonts w:eastAsia="Times New Roman" w:cs="Times New Roman"/>
            <w:sz w:val="24"/>
            <w:szCs w:val="24"/>
          </w:rPr>
          <w:t>https://timesofindia.indiatimes.com/business/india-business/india-records-increase-in-milk-egg-meat-and-wool-production-in-2024-25/articleshow/125595677.cms</w:t>
        </w:r>
      </w:hyperlink>
      <w:r>
        <w:rPr>
          <w:rFonts w:eastAsia="Times New Roman" w:cs="Times New Roman"/>
          <w:sz w:val="24"/>
          <w:szCs w:val="24"/>
        </w:rPr>
        <w:t xml:space="preserve"> ( Accessed on : 31st March)</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3. Brickwork Ratings (2025) Dairy Sector in India. </w:t>
      </w:r>
      <w:hyperlink r:id="rId43">
        <w:r>
          <w:rPr>
            <w:rStyle w:val="Hyperlink"/>
            <w:rFonts w:eastAsia="Times New Roman" w:cs="Times New Roman"/>
            <w:sz w:val="24"/>
            <w:szCs w:val="24"/>
          </w:rPr>
          <w:t>https://www.brickworkratings.com/Research/Dairy_Sector_Report_23Apr2025.pdf</w:t>
        </w:r>
      </w:hyperlink>
      <w:r>
        <w:rPr>
          <w:rFonts w:eastAsia="Times New Roman" w:cs="Times New Roman"/>
          <w:sz w:val="24"/>
          <w:szCs w:val="24"/>
        </w:rPr>
        <w:t xml:space="preserve"> (Accessed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4. Ministry of Food Processing Industries (MoFPI) (2025) Food Processing Sector Profile: Dairy. Government of India. </w:t>
      </w:r>
      <w:hyperlink r:id="rId44">
        <w:r>
          <w:rPr>
            <w:rStyle w:val="Hyperlink"/>
            <w:rFonts w:eastAsia="Times New Roman" w:cs="Times New Roman"/>
            <w:sz w:val="24"/>
            <w:szCs w:val="24"/>
          </w:rPr>
          <w:t>https://mofpi.gov.in/sites/default/files/KnowledgeCentre/Sector%20Profile/Sector_Profile_Dairy%20(1)22.pdf</w:t>
        </w:r>
      </w:hyperlink>
      <w:r>
        <w:rPr>
          <w:rFonts w:eastAsia="Times New Roman" w:cs="Times New Roman"/>
          <w:sz w:val="24"/>
          <w:szCs w:val="24"/>
        </w:rPr>
        <w:t xml:space="preserve"> (Accessed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5. Press Information Bureau (PIB) (2025) National Milk Day. Ministry of Fisheries, Animal Husbandry &amp; Dairying, Government of India. </w:t>
      </w:r>
      <w:hyperlink r:id="rId45">
        <w:r>
          <w:rPr>
            <w:rStyle w:val="Hyperlink"/>
            <w:rFonts w:eastAsia="Times New Roman" w:cs="Times New Roman"/>
            <w:sz w:val="24"/>
            <w:szCs w:val="24"/>
          </w:rPr>
          <w:t>https://www.pib.gov.in/PressReleseDetailm.aspx?PRID=2194086</w:t>
        </w:r>
      </w:hyperlink>
      <w:r>
        <w:rPr>
          <w:rFonts w:eastAsia="Times New Roman" w:cs="Times New Roman"/>
          <w:sz w:val="24"/>
          <w:szCs w:val="24"/>
        </w:rPr>
        <w:t xml:space="preserve">  (Accessed on : 2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6. </w:t>
      </w:r>
      <w:r>
        <w:rPr>
          <w:rFonts w:eastAsia="Times New Roman" w:cs="Times New Roman"/>
          <w:sz w:val="24"/>
          <w:szCs w:val="24"/>
          <w:u w:val="none"/>
        </w:rPr>
        <w:t xml:space="preserve">USDA/FAS (2025) Dairy and Products Annual. United States Department of Agriculture. </w:t>
      </w:r>
      <w:hyperlink r:id="rId46">
        <w:r>
          <w:rPr>
            <w:rStyle w:val="Hyperlink"/>
            <w:rFonts w:eastAsia="Times New Roman" w:cs="Times New Roman"/>
            <w:sz w:val="24"/>
            <w:szCs w:val="24"/>
            <w:u w:val="none"/>
          </w:rPr>
          <w:t>https://apps.fas.usda.gov/newgainapi/api/Report/DownloadReportByFileName?fileName=Dairy%20and%20Products%20Annual_New%20Delhi_India_IN2025-0057.pdf</w:t>
        </w:r>
      </w:hyperlink>
      <w:r>
        <w:rPr>
          <w:rFonts w:eastAsia="Times New Roman" w:cs="Times New Roman"/>
          <w:sz w:val="24"/>
          <w:szCs w:val="24"/>
          <w:u w:val="none"/>
        </w:rPr>
        <w:t xml:space="preserve"> (Accessed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7. CRISIL (2024) Hatsun Agro Product Limited - Rating Rationale. </w:t>
      </w:r>
      <w:hyperlink r:id="rId47">
        <w:r>
          <w:rPr>
            <w:rStyle w:val="Hyperlink"/>
            <w:rFonts w:eastAsia="Times New Roman" w:cs="Times New Roman"/>
            <w:sz w:val="24"/>
            <w:szCs w:val="24"/>
          </w:rPr>
          <w:t>https://www.crisil.com/mnt/winshare/Ratings/RatingList/RatingDocs/HatsunAgroProductLimited_April%2005_%202024_RR_340989.html</w:t>
        </w:r>
      </w:hyperlink>
      <w:r>
        <w:rPr>
          <w:rFonts w:eastAsia="Times New Roman" w:cs="Times New Roman"/>
          <w:sz w:val="24"/>
          <w:szCs w:val="24"/>
        </w:rPr>
        <w:t xml:space="preserve"> ( </w:t>
      </w:r>
      <w:r>
        <w:rPr>
          <w:rFonts w:eastAsia="Times New Roman" w:cs="Times New Roman"/>
          <w:sz w:val="24"/>
          <w:szCs w:val="24"/>
          <w:u w:val="none"/>
        </w:rPr>
        <w:t xml:space="preserve">Accessed on : 2 April, 2026) </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8. Mordor Intelligence (2026) India Dairy Market Size, Share &amp; Growth Outlook to 2031. </w:t>
      </w:r>
      <w:hyperlink r:id="rId48">
        <w:r>
          <w:rPr>
            <w:rStyle w:val="Hyperlink"/>
            <w:rFonts w:eastAsia="Times New Roman" w:cs="Times New Roman"/>
            <w:sz w:val="24"/>
            <w:szCs w:val="24"/>
          </w:rPr>
          <w:t>https://www.mordorintelligence.com/industry-reports/india-dairy-market</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9. Scribd / GCMMF (2023) Amul's FMCG Strategy and Growth Plans. </w:t>
      </w:r>
      <w:hyperlink r:id="rId49">
        <w:r>
          <w:rPr>
            <w:rStyle w:val="Hyperlink"/>
            <w:rFonts w:eastAsia="Times New Roman" w:cs="Times New Roman"/>
            <w:sz w:val="24"/>
            <w:szCs w:val="24"/>
          </w:rPr>
          <w:t>https://www.scribd.com/presentation/669083786/AMUL-FMCG-1</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10. Coherent Market Insights (2026) Dairy Products Market Size and Trends - 2026 to 2033. </w:t>
      </w:r>
      <w:hyperlink r:id="rId50">
        <w:r>
          <w:rPr>
            <w:rStyle w:val="Hyperlink"/>
            <w:rFonts w:eastAsia="Times New Roman" w:cs="Times New Roman"/>
            <w:sz w:val="24"/>
            <w:szCs w:val="24"/>
          </w:rPr>
          <w:t>https://www.coherentmarketinsights.com/market-insight/dairy-products-market-5036</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11. StockAxis (2020) Hatsun Agro Products Ltd Research Report. </w:t>
      </w:r>
      <w:hyperlink r:id="rId51">
        <w:r>
          <w:rPr>
            <w:rStyle w:val="Hyperlink"/>
            <w:rFonts w:eastAsia="Times New Roman" w:cs="Times New Roman"/>
            <w:sz w:val="24"/>
            <w:szCs w:val="24"/>
          </w:rPr>
          <w:t>https://stockaxis.com/Research-Reports/Hatsun-Agro-Products-Ltd-MB-08-09-2020.html</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12. IISS (2026) India's renewed focus on free-trade agreements. International Institute for Strategic Studies. </w:t>
      </w:r>
      <w:hyperlink r:id="rId52">
        <w:r>
          <w:rPr>
            <w:rStyle w:val="Hyperlink"/>
            <w:rFonts w:eastAsia="Times New Roman" w:cs="Times New Roman"/>
            <w:sz w:val="24"/>
            <w:szCs w:val="24"/>
          </w:rPr>
          <w:t>https://www.iiss.org/online-analysis/online-analysis/2026/01/indias-renewed-focus-on-free-trade-agreements/</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13. IMARC Group (2025) India Dairy Market Size, Share, Growth, Companies by 2034. </w:t>
      </w:r>
      <w:hyperlink r:id="rId53">
        <w:r>
          <w:rPr>
            <w:rStyle w:val="Hyperlink"/>
            <w:rFonts w:eastAsia="Times New Roman" w:cs="Times New Roman"/>
            <w:sz w:val="24"/>
            <w:szCs w:val="24"/>
          </w:rPr>
          <w:t>https://www.imarcgroup.com/dairy-industry-in-india</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14. IMARC Group (2026) India Cold Chain Market Size, Share &amp; Outlook | 2034. </w:t>
      </w:r>
      <w:hyperlink r:id="rId54">
        <w:r>
          <w:rPr>
            <w:rStyle w:val="Hyperlink"/>
            <w:rFonts w:eastAsia="Times New Roman" w:cs="Times New Roman"/>
            <w:sz w:val="24"/>
            <w:szCs w:val="24"/>
          </w:rPr>
          <w:t>https://www.imarcgroup.com/indian-cold-chain-market</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15. Kabilai Farm (2026) India's Dairy Industry: Growth, Trends, and Future Prospects.</w:t>
      </w:r>
      <w:hyperlink r:id="rId55">
        <w:r>
          <w:rPr>
            <w:rStyle w:val="Hyperlink"/>
            <w:rFonts w:eastAsia="Times New Roman" w:cs="Times New Roman"/>
            <w:sz w:val="24"/>
            <w:szCs w:val="24"/>
          </w:rPr>
          <w:t>https://kabilaifarm.com/dairy-industry-india-growth-trends-future/</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16. Research and Markets (2025) Dairy Industry in India 2025 Edition. </w:t>
      </w:r>
      <w:hyperlink r:id="rId56">
        <w:r>
          <w:rPr>
            <w:rStyle w:val="Hyperlink"/>
            <w:rFonts w:eastAsia="Times New Roman" w:cs="Times New Roman"/>
            <w:sz w:val="24"/>
            <w:szCs w:val="24"/>
          </w:rPr>
          <w:t>https://www.researchandmarkets.com/report/india-dairy-products-market</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17. ResearchGate (2026) Milk Production in India and World : An Overview. </w:t>
      </w:r>
      <w:hyperlink r:id="rId57">
        <w:r>
          <w:rPr>
            <w:rStyle w:val="Hyperlink"/>
            <w:rFonts w:eastAsia="Times New Roman" w:cs="Times New Roman"/>
            <w:sz w:val="24"/>
            <w:szCs w:val="24"/>
          </w:rPr>
          <w:t>https://www.researchgate.net/publication/400196393_Milk_Production_in_India_and_World_An_Overview</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18. ICICI Direct (2025) Milky Mist IPO: Date, Price Range, Lot Size &amp; Updates (Contains Peer and VADP Industry Data). </w:t>
      </w:r>
      <w:hyperlink r:id="rId58">
        <w:r>
          <w:rPr>
            <w:rStyle w:val="Hyperlink"/>
            <w:rFonts w:eastAsia="Times New Roman" w:cs="Times New Roman"/>
            <w:sz w:val="24"/>
            <w:szCs w:val="24"/>
          </w:rPr>
          <w:t>https://www.icicidirect.com/ipo/milky-mist-ipo</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19. Nestlé India (2026) About Us: Our Story &amp; Presence Across India. </w:t>
      </w:r>
      <w:hyperlink r:id="rId59">
        <w:r>
          <w:rPr>
            <w:rStyle w:val="Hyperlink"/>
            <w:rFonts w:eastAsia="Times New Roman" w:cs="Times New Roman"/>
            <w:sz w:val="24"/>
            <w:szCs w:val="24"/>
          </w:rPr>
          <w:t>https://www.nestle.in/about-us</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20. Fortune Business Insights (2025) India Dairy Market Size, Share, Growth | Statistics Report [2032]. </w:t>
      </w:r>
      <w:hyperlink r:id="rId60">
        <w:r>
          <w:rPr>
            <w:rStyle w:val="Hyperlink"/>
            <w:rFonts w:eastAsia="Times New Roman" w:cs="Times New Roman"/>
            <w:sz w:val="24"/>
            <w:szCs w:val="24"/>
          </w:rPr>
          <w:t>https://www.fortunebusinessinsights.com/india-dairy-market-107416</w:t>
        </w:r>
      </w:hyperlink>
      <w:r>
        <w:rPr>
          <w:rFonts w:eastAsia="Times New Roman" w:cs="Times New Roman"/>
          <w:sz w:val="24"/>
          <w:szCs w:val="24"/>
        </w:rPr>
        <w:t xml:space="preserve"> ( </w:t>
      </w:r>
      <w:r>
        <w:rPr>
          <w:rFonts w:eastAsia="Times New Roman" w:cs="Times New Roman"/>
          <w:sz w:val="24"/>
          <w:szCs w:val="24"/>
          <w:u w:val="none"/>
        </w:rPr>
        <w:t>Accessed on : 3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21. JM Financial (2026) Nestle India Shares Jump 19% in One Month: Q4 Blowout on Record Domestic Sales. </w:t>
      </w:r>
      <w:hyperlink r:id="rId61">
        <w:r>
          <w:rPr>
            <w:rStyle w:val="Hyperlink"/>
            <w:rFonts w:eastAsia="Times New Roman" w:cs="Times New Roman"/>
            <w:sz w:val="24"/>
            <w:szCs w:val="24"/>
          </w:rPr>
          <w:t>https://www.jmfinancialservices.in/blogs-and-articles/nestle-india-shares-jump-19percent-in-one-month-q4-blowout-on-record-domestic-sales</w:t>
        </w:r>
      </w:hyperlink>
      <w:r>
        <w:rPr>
          <w:rFonts w:eastAsia="Times New Roman" w:cs="Times New Roman"/>
          <w:sz w:val="24"/>
          <w:szCs w:val="24"/>
        </w:rPr>
        <w:t xml:space="preserve"> ( </w:t>
      </w:r>
      <w:r>
        <w:rPr>
          <w:rFonts w:eastAsia="Times New Roman" w:cs="Times New Roman"/>
          <w:sz w:val="24"/>
          <w:szCs w:val="24"/>
          <w:u w:val="none"/>
        </w:rPr>
        <w:t>Accessed on : 3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22. Patvardhan, N., Rathi, C., &amp; Chopra, A. (2025) The Indian Dairy Market: Forecast, Risk and Strategic Roadmap to 2030. Research on World Agricultural Economy, 7(1), 90–116. </w:t>
      </w:r>
      <w:hyperlink r:id="rId62">
        <w:r>
          <w:rPr>
            <w:rStyle w:val="Hyperlink"/>
            <w:rFonts w:eastAsia="Times New Roman" w:cs="Times New Roman"/>
            <w:sz w:val="24"/>
            <w:szCs w:val="24"/>
          </w:rPr>
          <w:t>https://doi.org/10.36956/rwae.v7i1.2527</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23. Chadha Sales (2025) FSSAI 2025 Rules for Dairy Kiosks: Key Compliance Guide. </w:t>
      </w:r>
      <w:hyperlink r:id="rId63">
        <w:r>
          <w:rPr>
            <w:rStyle w:val="Hyperlink"/>
            <w:rFonts w:eastAsia="Times New Roman" w:cs="Times New Roman"/>
            <w:sz w:val="24"/>
            <w:szCs w:val="24"/>
          </w:rPr>
          <w:t>https://chadhasales.com/fssai-2025-rules-for-dairy-kiosks-compliance-guide/</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u w:val="none"/>
        </w:rPr>
      </w:pPr>
      <w:r>
        <w:rPr>
          <w:rFonts w:eastAsia="Times New Roman" w:cs="Times New Roman"/>
          <w:sz w:val="24"/>
          <w:szCs w:val="24"/>
        </w:rPr>
        <w:t xml:space="preserve">24. Food Safety and Standards Authority of India (FSSAI) (2026) Advisory related to Milk Producers and Milk vendors. Government of India. </w:t>
      </w:r>
      <w:hyperlink r:id="rId64">
        <w:r>
          <w:rPr>
            <w:rStyle w:val="Hyperlink"/>
            <w:rFonts w:eastAsia="Times New Roman" w:cs="Times New Roman"/>
            <w:sz w:val="24"/>
            <w:szCs w:val="24"/>
          </w:rPr>
          <w:t>https://fssai.gov.in/upload/advisories/2026/03/69b2835b23822Advisory%20dated%2011.03.2026%20related%20to%20Milk%20Producers%20and%20Milk%20vendors.pdf</w:t>
        </w:r>
      </w:hyperlink>
      <w:r>
        <w:rPr>
          <w:rFonts w:eastAsia="Times New Roman" w:cs="Times New Roman"/>
          <w:sz w:val="24"/>
          <w:szCs w:val="24"/>
        </w:rPr>
        <w:t xml:space="preserve">  ( </w:t>
      </w:r>
      <w:r>
        <w:rPr>
          <w:rFonts w:eastAsia="Times New Roman" w:cs="Times New Roman"/>
          <w:sz w:val="24"/>
          <w:szCs w:val="24"/>
          <w:u w:val="none"/>
        </w:rPr>
        <w:t>Accessed on : 2 April, 2026)</w:t>
      </w:r>
    </w:p>
    <w:p>
      <w:pPr>
        <w:pStyle w:val="BodyText"/>
        <w:bidi w:val="0"/>
        <w:spacing w:before="0" w:after="140"/>
        <w:ind w:hanging="0" w:start="0" w:end="0"/>
        <w:jc w:val="start"/>
        <w:rPr>
          <w:rFonts w:ascii="Arial" w:hAnsi="Arial" w:eastAsia="Times New Roman" w:cs="Times New Roman"/>
          <w:sz w:val="24"/>
          <w:szCs w:val="24"/>
        </w:rPr>
      </w:pPr>
      <w:r>
        <w:rPr>
          <w:rFonts w:eastAsia="Times New Roman" w:cs="Times New Roman"/>
          <w:sz w:val="24"/>
          <w:szCs w:val="24"/>
        </w:rPr>
        <w:t xml:space="preserve">25. Corpbiz (2025) FSSAI Nationwide Action on Dairy Adulteration Explained. </w:t>
      </w:r>
      <w:hyperlink r:id="rId65">
        <w:r>
          <w:rPr>
            <w:rStyle w:val="Hyperlink"/>
            <w:rFonts w:eastAsia="Times New Roman" w:cs="Times New Roman"/>
            <w:sz w:val="24"/>
            <w:szCs w:val="24"/>
          </w:rPr>
          <w:t>https://corpbiz.io/learning/fssai-crackdown-on-dairy-adulteration/</w:t>
        </w:r>
      </w:hyperlink>
      <w:r>
        <w:rPr>
          <w:rFonts w:eastAsia="Times New Roman" w:cs="Times New Roman"/>
          <w:sz w:val="24"/>
          <w:szCs w:val="24"/>
        </w:rPr>
        <w:t xml:space="preserve">  ( </w:t>
      </w:r>
      <w:r>
        <w:rPr>
          <w:rFonts w:eastAsia="Times New Roman" w:cs="Times New Roman"/>
          <w:sz w:val="24"/>
          <w:szCs w:val="24"/>
          <w:u w:val="none"/>
        </w:rPr>
        <w:t>Accessed on : 2 April, 2026)</w:t>
      </w:r>
    </w:p>
    <w:sectPr>
      <w:headerReference w:type="even" r:id="rId66"/>
      <w:headerReference w:type="default" r:id="rId67"/>
      <w:headerReference w:type="first" r:id="rId68"/>
      <w:footerReference w:type="even" r:id="rId69"/>
      <w:footerReference w:type="default" r:id="rId70"/>
      <w:footerReference w:type="first" r:id="rId71"/>
      <w:type w:val="nextPage"/>
      <w:pgSz w:w="11906" w:h="16838"/>
      <w:pgMar w:left="1440" w:right="1440" w:gutter="0" w:header="720" w:top="1440" w:footer="720" w:bottom="1440"/>
      <w:pgNumType w:start="1"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1" w:characterSet="utf-8"/>
    <w:family w:val="roman"/>
    <w:pitch w:val="variable"/>
  </w:font>
  <w:font w:name="Times New Roman">
    <w:charset w:val="01" w:characterSet="utf-8"/>
    <w:family w:val="roman"/>
    <w:pitch w:val="variable"/>
  </w:font>
  <w:font w:name="Arial">
    <w:charset w:val="01" w:characterSet="utf-8"/>
    <w:family w:val="swiss"/>
    <w:pitch w:val="variable"/>
  </w:font>
  <w:font w:name="OpenSymbol">
    <w:altName w:val="Arial Unicode MS"/>
    <w:charset w:val="01" w:characterSet="utf-8"/>
    <w:family w:val="roman"/>
    <w:pitch w:val="variable"/>
  </w:font>
  <w:font w:name="Liberation Sans">
    <w:altName w:val="Arial"/>
    <w:charset w:val="01" w:characterSet="utf-8"/>
    <w:family w:val="swiss"/>
    <w:pitch w:val="variable"/>
  </w:font>
  <w:font w:name="arial">
    <w:charset w:val="01" w:characterSet="utf-8"/>
    <w:family w:val="swiss"/>
    <w:pitch w:val="variable"/>
  </w:font>
  <w:font w:name="Symbol">
    <w:charset w:val="02"/>
    <w:family w:val="auto"/>
    <w:pitch w:val="default"/>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32</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rFonts w:ascii="Times New Roman" w:hAnsi="Times New Roman" w:eastAsia="Times New Roman" w:cs="Times New Roman"/>
        <w:sz w:val="24"/>
        <w:szCs w:val="24"/>
      </w:rPr>
    </w:pPr>
    <w:r>
      <w:rPr/>
      <w:fldChar w:fldCharType="begin"/>
    </w:r>
    <w:r>
      <w:rPr/>
      <w:instrText xml:space="preserve"> PAGE </w:instrText>
    </w:r>
    <w:r>
      <w:rPr/>
      <w:fldChar w:fldCharType="separate"/>
    </w:r>
    <w:r>
      <w:rPr/>
      <w:t>32</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1" w:name="_GoBack"/>
    <w:bookmarkEnd w:id="1"/>
    <w:r>
      <w:rPr/>
      <w:drawing>
        <wp:inline distT="0" distB="0" distL="0" distR="0">
          <wp:extent cx="1783715" cy="951865"/>
          <wp:effectExtent l="0" t="0" r="0" b="0"/>
          <wp:docPr id="2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end"/>
      <w:rPr/>
    </w:pPr>
    <w:bookmarkStart w:id="2" w:name="_GoBack"/>
    <w:bookmarkEnd w:id="2"/>
    <w:r>
      <w:rPr/>
      <w:drawing>
        <wp:inline distT="0" distB="0" distL="0" distR="0">
          <wp:extent cx="1783715" cy="951865"/>
          <wp:effectExtent l="0" t="0" r="0" b="0"/>
          <wp:docPr id="23"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 descr="IMG_256"/>
                  <pic:cNvPicPr>
                    <a:picLocks noChangeAspect="1" noChangeArrowheads="1"/>
                  </pic:cNvPicPr>
                </pic:nvPicPr>
                <pic:blipFill>
                  <a:blip r:embed="rId1"/>
                  <a:stretch>
                    <a:fillRect/>
                  </a:stretch>
                </pic:blipFill>
                <pic:spPr bwMode="auto">
                  <a:xfrm>
                    <a:off x="0" y="0"/>
                    <a:ext cx="1783715" cy="951865"/>
                  </a:xfrm>
                  <a:prstGeom prst="rect">
                    <a:avLst/>
                  </a:prstGeom>
                  <a:noFill/>
                </pic:spPr>
              </pic:pic>
            </a:graphicData>
          </a:graphic>
        </wp:inline>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2">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3">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4">
    <w:lvl w:ilvl="0">
      <w:start w:val="1"/>
      <w:numFmt w:val="bullet"/>
      <w:lvlText w:val=""/>
      <w:lvlJc w:val="start"/>
      <w:pPr>
        <w:tabs>
          <w:tab w:val="num" w:pos="720"/>
        </w:tabs>
        <w:ind w:start="720" w:hanging="360"/>
      </w:pPr>
      <w:rPr>
        <w:rFonts w:ascii="Symbol" w:hAnsi="Symbol" w:cs="Symbol" w:hint="default"/>
      </w:rPr>
    </w:lvl>
    <w:lvl w:ilvl="1">
      <w:start w:val="1"/>
      <w:numFmt w:val="bullet"/>
      <w:lvlText w:val="◦"/>
      <w:lvlJc w:val="start"/>
      <w:pPr>
        <w:tabs>
          <w:tab w:val="num" w:pos="1080"/>
        </w:tabs>
        <w:ind w:start="1080" w:hanging="360"/>
      </w:pPr>
      <w:rPr>
        <w:rFonts w:ascii="OpenSymbol" w:hAnsi="OpenSymbol" w:cs="OpenSymbol" w:hint="default"/>
      </w:rPr>
    </w:lvl>
    <w:lvl w:ilvl="2">
      <w:start w:val="1"/>
      <w:numFmt w:val="bullet"/>
      <w:lvlText w:val="▪"/>
      <w:lvlJc w:val="start"/>
      <w:pPr>
        <w:tabs>
          <w:tab w:val="num" w:pos="1440"/>
        </w:tabs>
        <w:ind w:start="1440" w:hanging="360"/>
      </w:pPr>
      <w:rPr>
        <w:rFonts w:ascii="OpenSymbol" w:hAnsi="OpenSymbol" w:cs="OpenSymbol" w:hint="default"/>
      </w:rPr>
    </w:lvl>
    <w:lvl w:ilvl="3">
      <w:start w:val="1"/>
      <w:numFmt w:val="bullet"/>
      <w:lvlText w:val=""/>
      <w:lvlJc w:val="start"/>
      <w:pPr>
        <w:tabs>
          <w:tab w:val="num" w:pos="1800"/>
        </w:tabs>
        <w:ind w:start="1800" w:hanging="360"/>
      </w:pPr>
      <w:rPr>
        <w:rFonts w:ascii="Symbol" w:hAnsi="Symbol" w:cs="Symbol" w:hint="default"/>
      </w:rPr>
    </w:lvl>
    <w:lvl w:ilvl="4">
      <w:start w:val="1"/>
      <w:numFmt w:val="bullet"/>
      <w:lvlText w:val="◦"/>
      <w:lvlJc w:val="start"/>
      <w:pPr>
        <w:tabs>
          <w:tab w:val="num" w:pos="2160"/>
        </w:tabs>
        <w:ind w:start="2160" w:hanging="360"/>
      </w:pPr>
      <w:rPr>
        <w:rFonts w:ascii="OpenSymbol" w:hAnsi="OpenSymbol" w:cs="OpenSymbol" w:hint="default"/>
      </w:rPr>
    </w:lvl>
    <w:lvl w:ilvl="5">
      <w:start w:val="1"/>
      <w:numFmt w:val="bullet"/>
      <w:lvlText w:val="▪"/>
      <w:lvlJc w:val="start"/>
      <w:pPr>
        <w:tabs>
          <w:tab w:val="num" w:pos="2520"/>
        </w:tabs>
        <w:ind w:start="2520" w:hanging="360"/>
      </w:pPr>
      <w:rPr>
        <w:rFonts w:ascii="OpenSymbol" w:hAnsi="OpenSymbol" w:cs="OpenSymbol" w:hint="default"/>
      </w:rPr>
    </w:lvl>
    <w:lvl w:ilvl="6">
      <w:start w:val="1"/>
      <w:numFmt w:val="bullet"/>
      <w:lvlText w:val=""/>
      <w:lvlJc w:val="start"/>
      <w:pPr>
        <w:tabs>
          <w:tab w:val="num" w:pos="2880"/>
        </w:tabs>
        <w:ind w:start="2880" w:hanging="360"/>
      </w:pPr>
      <w:rPr>
        <w:rFonts w:ascii="Symbol" w:hAnsi="Symbol" w:cs="Symbol" w:hint="default"/>
      </w:rPr>
    </w:lvl>
    <w:lvl w:ilvl="7">
      <w:start w:val="1"/>
      <w:numFmt w:val="bullet"/>
      <w:lvlText w:val="◦"/>
      <w:lvlJc w:val="start"/>
      <w:pPr>
        <w:tabs>
          <w:tab w:val="num" w:pos="3240"/>
        </w:tabs>
        <w:ind w:start="3240" w:hanging="360"/>
      </w:pPr>
      <w:rPr>
        <w:rFonts w:ascii="OpenSymbol" w:hAnsi="OpenSymbol" w:cs="OpenSymbol" w:hint="default"/>
      </w:rPr>
    </w:lvl>
    <w:lvl w:ilvl="8">
      <w:start w:val="1"/>
      <w:numFmt w:val="bullet"/>
      <w:lvlText w:val="▪"/>
      <w:lvlJc w:val="start"/>
      <w:pPr>
        <w:tabs>
          <w:tab w:val="num" w:pos="3600"/>
        </w:tabs>
        <w:ind w:start="3600" w:hanging="360"/>
      </w:pPr>
      <w:rPr>
        <w:rFonts w:ascii="OpenSymbol" w:hAnsi="OpenSymbol" w:cs="OpenSymbol" w:hint="default"/>
      </w:rPr>
    </w:lvl>
  </w:abstractNum>
  <w:abstractNum w:abstractNumId="5">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14"/>
  <w:defaultTabStop w:val="720"/>
  <w:autoHyphenation w:val="true"/>
  <w:hyphenationZone w:val="0"/>
  <w:compat>
    <w:doNotExpandShiftReturn/>
    <w:compatSetting w:name="compatibilityMode" w:uri="http://schemas.microsoft.com/office/word" w:val="15"/>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SimSun" w:cs="Times New Roman"/>
        <w:lang w:val="en-US" w:eastAsia="zh-CN" w:bidi="hi-IN"/>
      </w:rPr>
    </w:rPrDefault>
    <w:pPrDefault>
      <w:pPr>
        <w:suppressAutoHyphens w:val="true"/>
      </w:pPr>
    </w:pPrDefault>
  </w:docDefaults>
  <w:latentStyles w:defLockedState="0" w:defUIPriority="99" w:defSemiHidden="1" w:defUnhideWhenUsed="1" w:defQFormat="0" w:count="260">
    <w:lsdException w:name="Normal" w:uiPriority="0" w:semiHidden="0" w:unhideWhenUsed="0"/>
    <w:lsdException w:name="heading 1" w:uiPriority="0" w:semiHidden="0" w:unhideWhenUsed="0" w:qFormat="1"/>
    <w:lsdException w:name="heading 2" w:uiPriority="0" w:semiHidden="0" w:unhideWhenUsed="0" w:qFormat="1"/>
    <w:lsdException w:name="heading 3" w:uiPriority="0" w:semiHidden="0" w:unhideWhenUsed="0"/>
    <w:lsdException w:name="heading 4" w:uiPriority="0" w:semiHidden="0" w:unhideWhenUsed="0"/>
    <w:lsdException w:name="heading 5" w:uiPriority="0" w:semiHidden="0" w:unhideWhenUsed="0" w:qFormat="1"/>
    <w:lsdException w:name="heading 6" w:uiPriority="0" w:semiHidden="0" w:unhideWhenUsed="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lsdException w:name="Closing" w:uiPriority="0" w:semiHidden="0" w:unhideWhenUsed="0"/>
    <w:lsdException w:name="Signature" w:uiPriority="0" w:semiHidden="0" w:unhideWhenUsed="0"/>
    <w:lsdException w:name="Default Paragraph Font" w:uiPriority="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Normal" w:default="1">
    <w:name w:val="Normal"/>
    <w:uiPriority w:val="0"/>
    <w:qFormat/>
    <w:pPr>
      <w:widowControl/>
      <w:suppressAutoHyphens w:val="true"/>
      <w:bidi w:val="0"/>
      <w:spacing w:lineRule="auto" w:line="276" w:before="0" w:after="0"/>
      <w:jc w:val="start"/>
    </w:pPr>
    <w:rPr>
      <w:rFonts w:ascii="Arial" w:hAnsi="Arial" w:eastAsia="Arial" w:cs="Arial"/>
      <w:color w:val="auto"/>
      <w:kern w:val="0"/>
      <w:sz w:val="22"/>
      <w:szCs w:val="22"/>
      <w:lang w:val="zh-CN" w:eastAsia="zh-CN" w:bidi="hi-IN"/>
    </w:rPr>
  </w:style>
  <w:style w:type="paragraph" w:styleId="Heading1">
    <w:name w:val="heading 1"/>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2">
    <w:name w:val="heading 2"/>
    <w:basedOn w:val="Normal"/>
    <w:next w:val="Normal"/>
    <w:uiPriority w:val="0"/>
    <w:qFormat/>
    <w:pPr>
      <w:keepNext w:val="true"/>
      <w:keepLines/>
      <w:spacing w:lineRule="auto" w:line="360" w:before="0" w:after="200"/>
      <w:jc w:val="both"/>
    </w:pPr>
    <w:rPr>
      <w:rFonts w:ascii="Times New Roman" w:hAnsi="Times New Roman" w:eastAsia="Times New Roman" w:cs="Times New Roman"/>
      <w:b/>
      <w:sz w:val="24"/>
      <w:szCs w:val="24"/>
    </w:rPr>
  </w:style>
  <w:style w:type="paragraph" w:styleId="Heading3">
    <w:name w:val="heading 3"/>
    <w:basedOn w:val="Normal"/>
    <w:next w:val="Normal"/>
    <w:uiPriority w:val="0"/>
    <w:qFormat/>
    <w:pPr>
      <w:keepNext w:val="true"/>
      <w:keepLines/>
      <w:pageBreakBefore w:val="false"/>
      <w:spacing w:before="320" w:after="80"/>
    </w:pPr>
    <w:rPr>
      <w:color w:val="434343"/>
      <w:sz w:val="28"/>
      <w:szCs w:val="28"/>
    </w:rPr>
  </w:style>
  <w:style w:type="paragraph" w:styleId="Heading4">
    <w:name w:val="heading 4"/>
    <w:basedOn w:val="Normal"/>
    <w:next w:val="Normal"/>
    <w:uiPriority w:val="0"/>
    <w:qFormat/>
    <w:pPr>
      <w:keepNext w:val="true"/>
      <w:keepLines/>
      <w:pageBreakBefore w:val="false"/>
      <w:spacing w:before="280" w:after="80"/>
    </w:pPr>
    <w:rPr>
      <w:color w:val="666666"/>
      <w:sz w:val="24"/>
      <w:szCs w:val="24"/>
    </w:rPr>
  </w:style>
  <w:style w:type="paragraph" w:styleId="Heading5">
    <w:name w:val="heading 5"/>
    <w:basedOn w:val="Normal"/>
    <w:next w:val="Normal"/>
    <w:uiPriority w:val="0"/>
    <w:qFormat/>
    <w:pPr>
      <w:keepNext w:val="true"/>
      <w:keepLines/>
      <w:pageBreakBefore w:val="false"/>
      <w:spacing w:before="240" w:after="80"/>
    </w:pPr>
    <w:rPr>
      <w:color w:val="666666"/>
      <w:sz w:val="22"/>
      <w:szCs w:val="22"/>
    </w:rPr>
  </w:style>
  <w:style w:type="paragraph" w:styleId="Heading6">
    <w:name w:val="heading 6"/>
    <w:basedOn w:val="Normal"/>
    <w:next w:val="Normal"/>
    <w:uiPriority w:val="0"/>
    <w:qFormat/>
    <w:pPr>
      <w:keepNext w:val="true"/>
      <w:keepLines/>
      <w:pageBreakBefore w:val="false"/>
      <w:spacing w:before="240" w:after="80"/>
    </w:pPr>
    <w:rPr>
      <w:i/>
      <w:color w:val="666666"/>
      <w:sz w:val="22"/>
      <w:szCs w:val="22"/>
    </w:rPr>
  </w:style>
  <w:style w:type="character" w:styleId="DefaultParagraphFont" w:default="1">
    <w:name w:val="Default Paragraph Font"/>
    <w:uiPriority w:val="0"/>
    <w:semiHidden/>
    <w:qFormat/>
    <w:rPr/>
  </w:style>
  <w:style w:type="character" w:styleId="Hyperlink">
    <w:name w:val="Hyperlink"/>
    <w:rPr>
      <w:color w:val="000080"/>
      <w:u w:val="single"/>
    </w:rPr>
  </w:style>
  <w:style w:type="character" w:styleId="IndexLink">
    <w:name w:val="Index Link"/>
    <w:qFormat/>
    <w:rPr/>
  </w:style>
  <w:style w:type="character" w:styleId="FootnoteCharactersuser">
    <w:name w:val="Footnote Characters (user)"/>
    <w:qFormat/>
    <w:rPr/>
  </w:style>
  <w:style w:type="character" w:styleId="EndnoteCharactersuser">
    <w:name w:val="Endnote Characters (user)"/>
    <w:qFormat/>
    <w:rPr/>
  </w:style>
  <w:style w:type="character" w:styleId="FollowedHyperlink">
    <w:name w:val="FollowedHyperlink"/>
    <w:rPr>
      <w:color w:val="800000"/>
      <w:u w:val="single"/>
    </w:rPr>
  </w:style>
  <w:style w:type="character" w:styleId="Emphasis">
    <w:name w:val="Emphasis"/>
    <w:qFormat/>
    <w:rPr>
      <w:i/>
      <w:iCs/>
    </w:rPr>
  </w:style>
  <w:style w:type="character" w:styleId="Bullets">
    <w:name w:val="Bullets"/>
    <w:qFormat/>
    <w:rPr>
      <w:rFonts w:ascii="OpenSymbol" w:hAnsi="OpenSymbol" w:eastAsia="OpenSymbol" w:cs="OpenSymbol"/>
    </w:rPr>
  </w:style>
  <w:style w:type="character" w:styleId="Bulletsuser">
    <w:name w:val="Bullets (user)"/>
    <w:qFormat/>
    <w:rPr>
      <w:rFonts w:ascii="OpenSymbol" w:hAnsi="OpenSymbol" w:eastAsia="OpenSymbol" w:cs="OpenSymbol"/>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Subtitle">
    <w:name w:val="Subtitle"/>
    <w:basedOn w:val="Normal"/>
    <w:next w:val="Normal"/>
    <w:uiPriority w:val="0"/>
    <w:qFormat/>
    <w:pPr>
      <w:keepNext w:val="true"/>
      <w:keepLines/>
      <w:pageBreakBefore w:val="false"/>
      <w:spacing w:before="0" w:after="320"/>
    </w:pPr>
    <w:rPr>
      <w:rFonts w:ascii="Arial" w:hAnsi="Arial" w:eastAsia="Arial" w:cs="Arial"/>
      <w:color w:val="666666"/>
      <w:sz w:val="30"/>
      <w:szCs w:val="30"/>
    </w:rPr>
  </w:style>
  <w:style w:type="paragraph" w:styleId="Title">
    <w:name w:val="Title"/>
    <w:basedOn w:val="Normal"/>
    <w:next w:val="Normal"/>
    <w:uiPriority w:val="0"/>
    <w:qFormat/>
    <w:pPr>
      <w:keepNext w:val="true"/>
      <w:keepLines/>
      <w:pageBreakBefore w:val="false"/>
      <w:spacing w:before="0" w:after="60"/>
    </w:pPr>
    <w:rPr>
      <w:sz w:val="52"/>
      <w:szCs w:val="52"/>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paragraph" w:styleId="ListContents">
    <w:name w:val="List Contents"/>
    <w:basedOn w:val="Normal"/>
    <w:qFormat/>
    <w:pPr>
      <w:ind w:start="567"/>
    </w:pPr>
    <w:rPr/>
  </w:style>
  <w:style w:type="paragraph" w:styleId="normal1">
    <w:name w:val="normal1"/>
    <w:qFormat/>
    <w:pPr>
      <w:widowControl/>
      <w:suppressAutoHyphens w:val="true"/>
      <w:bidi w:val="0"/>
      <w:spacing w:lineRule="auto" w:line="259" w:before="0" w:after="160"/>
      <w:jc w:val="start"/>
    </w:pPr>
    <w:rPr>
      <w:rFonts w:ascii="Times New Roman" w:hAnsi="Times New Roman" w:eastAsia="SimSun" w:cs="Times New Roman"/>
      <w:color w:val="auto"/>
      <w:kern w:val="0"/>
      <w:sz w:val="20"/>
      <w:szCs w:val="20"/>
      <w:lang w:val="en-US" w:eastAsia="zh-CN" w:bidi="hi-IN"/>
    </w:rPr>
  </w:style>
  <w:style w:type="paragraph" w:styleId="normal2">
    <w:name w:val="normal2"/>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paragraph" w:styleId="Normal11">
    <w:name w:val="Normal11"/>
    <w:qFormat/>
    <w:pPr>
      <w:widowControl/>
      <w:suppressAutoHyphens w:val="true"/>
      <w:bidi w:val="0"/>
      <w:spacing w:lineRule="auto" w:line="276" w:before="0" w:after="0"/>
      <w:jc w:val="start"/>
    </w:pPr>
    <w:rPr>
      <w:rFonts w:ascii="Times New Roman" w:hAnsi="Times New Roman" w:eastAsia="SimSun" w:cs="Times New Roman"/>
      <w:color w:val="auto"/>
      <w:kern w:val="0"/>
      <w:sz w:val="20"/>
      <w:szCs w:val="20"/>
      <w:lang w:val="en-US" w:eastAsia="zh-CN" w:bidi="hi-IN"/>
    </w:rPr>
  </w:style>
  <w:style w:type="table" w:default="1" w:styleId="9">
    <w:name w:val="Normal Table"/>
    <w:uiPriority w:val="0"/>
    <w:semiHidden/>
    <w:tblPr>
      <w:tblCellMar>
        <w:top w:w="0" w:type="dxa"/>
        <w:left w:w="108" w:type="dxa"/>
        <w:bottom w:w="0" w:type="dxa"/>
        <w:right w:w="108" w:type="dxa"/>
      </w:tblCellMar>
    </w:tblPr>
  </w:style>
  <w:style w:type="table" w:customStyle="1" w:styleId="12">
    <w:name w:val="TableNormal"/>
    <w:uiPriority w:val="0"/>
    <w:qFormat/>
  </w:style>
  <w:style w:type="table" w:customStyle="1" w:styleId="13">
    <w:name w:val="_Style 10"/>
    <w:basedOn w:val="12"/>
    <w:uiPriority w:val="0"/>
    <w:qFormat/>
    <w:pPr>
      <w:spacing w:after="0" w:line="240" w:lineRule="auto"/>
    </w:pPr>
    <w:tblPr>
      <w:tblCellMar>
        <w:top w:w="0" w:type="dxa"/>
        <w:left w:w="108" w:type="dxa"/>
        <w:bottom w:w="0" w:type="dxa"/>
        <w:right w:w="108" w:type="dxa"/>
      </w:tblCellMar>
    </w:tblPr>
  </w:style>
  <w:style w:type="table" w:customStyle="1" w:styleId="14">
    <w:name w:val="_Style 11"/>
    <w:basedOn w:val="12"/>
    <w:uiPriority w:val="0"/>
    <w:qFormat/>
    <w:tblPr>
      <w:tblCellMar>
        <w:top w:w="100" w:type="dxa"/>
        <w:left w:w="100" w:type="dxa"/>
        <w:bottom w:w="100" w:type="dxa"/>
        <w:right w:w="100" w:type="dxa"/>
      </w:tblCellMar>
    </w:tblPr>
  </w:style>
  <w:style w:type="table" w:customStyle="1" w:styleId="15">
    <w:name w:val="_Style 12"/>
    <w:basedOn w:val="12"/>
    <w:uiPriority w:val="0"/>
    <w:qFormat/>
    <w:tblPr>
      <w:tblCellMar>
        <w:top w:w="100" w:type="dxa"/>
        <w:left w:w="100" w:type="dxa"/>
        <w:bottom w:w="100" w:type="dxa"/>
        <w:right w:w="100" w:type="dxa"/>
      </w:tblCellMar>
    </w:tblPr>
  </w:style>
  <w:style w:type="table" w:customStyle="1" w:styleId="16">
    <w:name w:val="_Style 13"/>
    <w:basedOn w:val="12"/>
    <w:uiPriority w:val="0"/>
    <w:qFormat/>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kotakmf.com/Information/blogs/india-dairy-industry-overview" TargetMode="External"/><Relationship Id="rId4" Type="http://schemas.openxmlformats.org/officeDocument/2006/relationships/image" Target="media/image2.png"/><Relationship Id="rId5" Type="http://schemas.openxmlformats.org/officeDocument/2006/relationships/hyperlink" Target="https://www.mordorintelligence.com/industry-reports/india-dairy-market" TargetMode="External"/><Relationship Id="rId6" Type="http://schemas.openxmlformats.org/officeDocument/2006/relationships/image" Target="media/image3.png"/><Relationship Id="rId7" Type="http://schemas.openxmlformats.org/officeDocument/2006/relationships/hyperlink" Target="https://www.kotakmf.com/Information/blogs/india-dairy-industry-overview" TargetMode="External"/><Relationship Id="rId8" Type="http://schemas.openxmlformats.org/officeDocument/2006/relationships/image" Target="media/image4.png"/><Relationship Id="rId9" Type="http://schemas.openxmlformats.org/officeDocument/2006/relationships/hyperlink" Target="https://www.coherentmarketinsights.com/market-insight/dairy-products-market-5036" TargetMode="External"/><Relationship Id="rId10" Type="http://schemas.openxmlformats.org/officeDocument/2006/relationships/image" Target="media/image5.png"/><Relationship Id="rId11" Type="http://schemas.openxmlformats.org/officeDocument/2006/relationships/hyperlink" Target="https://www.mordorintelligence.com/industry-reports/india-dairy-market" TargetMode="External"/><Relationship Id="rId12" Type="http://schemas.openxmlformats.org/officeDocument/2006/relationships/image" Target="media/image6.png"/><Relationship Id="rId13" Type="http://schemas.openxmlformats.org/officeDocument/2006/relationships/hyperlink" Target="https://www.kotakmf.com/Information/blogs/india-dairy-industry-overview" TargetMode="External"/><Relationship Id="rId14" Type="http://schemas.openxmlformats.org/officeDocument/2006/relationships/image" Target="media/image7.png"/><Relationship Id="rId15" Type="http://schemas.openxmlformats.org/officeDocument/2006/relationships/hyperlink" Target="https://stockaxis.com/Research-Reports/Hatsun-Agro-Products-Ltd-MB-08-09-2020.html" TargetMode="External"/><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hyperlink" Target="https://drvidyahattangadi.com/what-is-porters-diamond-model/" TargetMode="External"/><Relationship Id="rId19" Type="http://schemas.openxmlformats.org/officeDocument/2006/relationships/image" Target="media/image10.png"/><Relationship Id="rId20" Type="http://schemas.openxmlformats.org/officeDocument/2006/relationships/hyperlink" Target="https://www.imarcgroup.com/dairy-industry-in-india" TargetMode="External"/><Relationship Id="rId21" Type="http://schemas.openxmlformats.org/officeDocument/2006/relationships/image" Target="media/image11.png"/><Relationship Id="rId22" Type="http://schemas.openxmlformats.org/officeDocument/2006/relationships/hyperlink" Target="https://www.fortunebusinessinsights.com/india-dairy-market-107416" TargetMode="External"/><Relationship Id="rId23" Type="http://schemas.openxmlformats.org/officeDocument/2006/relationships/image" Target="media/image12.png"/><Relationship Id="rId24" Type="http://schemas.openxmlformats.org/officeDocument/2006/relationships/hyperlink" Target="https://www.imarcgroup.com/dairy-industry-in-india" TargetMode="External"/><Relationship Id="rId25" Type="http://schemas.openxmlformats.org/officeDocument/2006/relationships/image" Target="media/image13.png"/><Relationship Id="rId26" Type="http://schemas.openxmlformats.org/officeDocument/2006/relationships/hyperlink" Target="https://www.imarcgroup.com/dairy-industry-in-india" TargetMode="External"/><Relationship Id="rId27" Type="http://schemas.openxmlformats.org/officeDocument/2006/relationships/image" Target="media/image14.png"/><Relationship Id="rId28" Type="http://schemas.openxmlformats.org/officeDocument/2006/relationships/hyperlink" Target="https://www.imarcgroup.com/dairy-industry-in-india" TargetMode="External"/><Relationship Id="rId29" Type="http://schemas.openxmlformats.org/officeDocument/2006/relationships/image" Target="media/image15.png"/><Relationship Id="rId30" Type="http://schemas.openxmlformats.org/officeDocument/2006/relationships/image" Target="media/image16.png"/><Relationship Id="rId31" Type="http://schemas.openxmlformats.org/officeDocument/2006/relationships/hyperlink" Target="https://www.researchgate.net/figure/Bridging-the-challenges-and-potential-benefits-through-White-Revolution-20-Source_fig3_378905417" TargetMode="External"/><Relationship Id="rId32" Type="http://schemas.openxmlformats.org/officeDocument/2006/relationships/image" Target="media/image17.png"/><Relationship Id="rId33" Type="http://schemas.openxmlformats.org/officeDocument/2006/relationships/hyperlink" Target="https://journals.nasspublishing.com/index.php/rwae/article/view/2527/1228" TargetMode="External"/><Relationship Id="rId34" Type="http://schemas.openxmlformats.org/officeDocument/2006/relationships/image" Target="media/image18.png"/><Relationship Id="rId35" Type="http://schemas.openxmlformats.org/officeDocument/2006/relationships/hyperlink" Target="https://www.imarcgroup.com/dairy-industry-in-india" TargetMode="External"/><Relationship Id="rId36" Type="http://schemas.openxmlformats.org/officeDocument/2006/relationships/image" Target="media/image19.png"/><Relationship Id="rId37" Type="http://schemas.openxmlformats.org/officeDocument/2006/relationships/hyperlink" Target="https://www.brickworkratings.com/Research/Dairy_Sector_Report_23Apr2025.pdf" TargetMode="External"/><Relationship Id="rId38" Type="http://schemas.openxmlformats.org/officeDocument/2006/relationships/image" Target="media/image20.png"/><Relationship Id="rId39" Type="http://schemas.openxmlformats.org/officeDocument/2006/relationships/image" Target="media/image21.png"/><Relationship Id="rId40" Type="http://schemas.openxmlformats.org/officeDocument/2006/relationships/hyperlink" Target="https://www.simplypsychology.org/learning-kolb.html" TargetMode="External"/><Relationship Id="rId41" Type="http://schemas.openxmlformats.org/officeDocument/2006/relationships/hyperlink" Target="https://www.kotakmf.com/Information/blogs/india-dairy-industry-overview" TargetMode="External"/><Relationship Id="rId42" Type="http://schemas.openxmlformats.org/officeDocument/2006/relationships/hyperlink" Target="https://timesofindia.indiatimes.com/business/india-business/india-records-increase-in-milk-egg-meat-and-wool-production-in-2024-25/articleshow/125595677.cms" TargetMode="External"/><Relationship Id="rId43" Type="http://schemas.openxmlformats.org/officeDocument/2006/relationships/hyperlink" Target="https://www.brickworkratings.com/Research/Dairy_Sector_Report_23Apr2025.pdf" TargetMode="External"/><Relationship Id="rId44" Type="http://schemas.openxmlformats.org/officeDocument/2006/relationships/hyperlink" Target="https://mofpi.gov.in/sites/default/files/KnowledgeCentre/Sector%20Profile/Sector_Profile_Dairy%20(1)22.pdf" TargetMode="External"/><Relationship Id="rId45" Type="http://schemas.openxmlformats.org/officeDocument/2006/relationships/hyperlink" Target="https://www.pib.gov.in/PressReleseDetailm.aspx?PRID=2194086" TargetMode="External"/><Relationship Id="rId46" Type="http://schemas.openxmlformats.org/officeDocument/2006/relationships/hyperlink" Target="https://apps.fas.usda.gov/newgainapi/api/Report/DownloadReportByFileName?fileName=Dairy%20and%20Products%20Annual_New%20Delhi_India_IN2025-0057.pdf" TargetMode="External"/><Relationship Id="rId47" Type="http://schemas.openxmlformats.org/officeDocument/2006/relationships/hyperlink" Target="https://www.crisil.com/mnt/winshare/Ratings/RatingList/RatingDocs/HatsunAgroProductLimited_April%2005_%202024_RR_340989.html" TargetMode="External"/><Relationship Id="rId48" Type="http://schemas.openxmlformats.org/officeDocument/2006/relationships/hyperlink" Target="https://www.mordorintelligence.com/industry-reports/india-dairy-market" TargetMode="External"/><Relationship Id="rId49" Type="http://schemas.openxmlformats.org/officeDocument/2006/relationships/hyperlink" Target="https://www.scribd.com/presentation/669083786/AMUL-FMCG-1" TargetMode="External"/><Relationship Id="rId50" Type="http://schemas.openxmlformats.org/officeDocument/2006/relationships/hyperlink" Target="https://www.coherentmarketinsights.com/market-insight/dairy-products-market-5036" TargetMode="External"/><Relationship Id="rId51" Type="http://schemas.openxmlformats.org/officeDocument/2006/relationships/hyperlink" Target="https://stockaxis.com/Research-Reports/Hatsun-Agro-Products-Ltd-MB-08-09-2020.html" TargetMode="External"/><Relationship Id="rId52" Type="http://schemas.openxmlformats.org/officeDocument/2006/relationships/hyperlink" Target="https://www.iiss.org/online-analysis/online-analysis/2026/01/indias-renewed-focus-on-free-trade-agreements/" TargetMode="External"/><Relationship Id="rId53" Type="http://schemas.openxmlformats.org/officeDocument/2006/relationships/hyperlink" Target="https://www.imarcgroup.com/dairy-industry-in-india" TargetMode="External"/><Relationship Id="rId54" Type="http://schemas.openxmlformats.org/officeDocument/2006/relationships/hyperlink" Target="https://www.imarcgroup.com/indian-cold-chain-market" TargetMode="External"/><Relationship Id="rId55" Type="http://schemas.openxmlformats.org/officeDocument/2006/relationships/hyperlink" Target="https://kabilaifarm.com/dairy-industry-india-growth-trends-future/" TargetMode="External"/><Relationship Id="rId56" Type="http://schemas.openxmlformats.org/officeDocument/2006/relationships/hyperlink" Target="https://www.researchandmarkets.com/report/india-dairy-products-market" TargetMode="External"/><Relationship Id="rId57" Type="http://schemas.openxmlformats.org/officeDocument/2006/relationships/hyperlink" Target="https://www.researchgate.net/publication/400196393_Milk_Production_in_India_and_World_An_Overview" TargetMode="External"/><Relationship Id="rId58" Type="http://schemas.openxmlformats.org/officeDocument/2006/relationships/hyperlink" Target="https://www.icicidirect.com/ipo/milky-mist-ipo" TargetMode="External"/><Relationship Id="rId59" Type="http://schemas.openxmlformats.org/officeDocument/2006/relationships/hyperlink" Target="https://www.nestle.in/about-us" TargetMode="External"/><Relationship Id="rId60" Type="http://schemas.openxmlformats.org/officeDocument/2006/relationships/hyperlink" Target="https://www.fortunebusinessinsights.com/india-dairy-market-107416" TargetMode="External"/><Relationship Id="rId61" Type="http://schemas.openxmlformats.org/officeDocument/2006/relationships/hyperlink" Target="https://www.jmfinancialservices.in/blogs-and-articles/nestle-india-shares-jump-19percent-in-one-month-q4-blowout-on-record-domestic-sales" TargetMode="External"/><Relationship Id="rId62" Type="http://schemas.openxmlformats.org/officeDocument/2006/relationships/hyperlink" Target="https://doi.org/10.36956/rwae.v7i1.2527" TargetMode="External"/><Relationship Id="rId63" Type="http://schemas.openxmlformats.org/officeDocument/2006/relationships/hyperlink" Target="https://chadhasales.com/fssai-2025-rules-for-dairy-kiosks-compliance-guide/" TargetMode="External"/><Relationship Id="rId64" Type="http://schemas.openxmlformats.org/officeDocument/2006/relationships/hyperlink" Target="https://fssai.gov.in/upload/advisories/2026/03/69b2835b23822Advisory%20dated%2011.03.2026%20related%20to%20Milk%20Producers%20and%20Milk%20vendors.pdf" TargetMode="External"/><Relationship Id="rId65" Type="http://schemas.openxmlformats.org/officeDocument/2006/relationships/hyperlink" Target="https://corpbiz.io/learning/fssai-crackdown-on-dairy-adulteration/" TargetMode="External"/><Relationship Id="rId66" Type="http://schemas.openxmlformats.org/officeDocument/2006/relationships/header" Target="header1.xml"/><Relationship Id="rId67" Type="http://schemas.openxmlformats.org/officeDocument/2006/relationships/header" Target="header2.xml"/><Relationship Id="rId68" Type="http://schemas.openxmlformats.org/officeDocument/2006/relationships/header" Target="header3.xml"/><Relationship Id="rId69" Type="http://schemas.openxmlformats.org/officeDocument/2006/relationships/footer" Target="footer1.xml"/><Relationship Id="rId70" Type="http://schemas.openxmlformats.org/officeDocument/2006/relationships/footer" Target="footer2.xml"/><Relationship Id="rId71" Type="http://schemas.openxmlformats.org/officeDocument/2006/relationships/footer" Target="footer3.xml"/><Relationship Id="rId72" Type="http://schemas.openxmlformats.org/officeDocument/2006/relationships/numbering" Target="numbering.xml"/><Relationship Id="rId73" Type="http://schemas.openxmlformats.org/officeDocument/2006/relationships/fontTable" Target="fontTable.xml"/><Relationship Id="rId74" Type="http://schemas.openxmlformats.org/officeDocument/2006/relationships/settings" Target="settings.xml"/><Relationship Id="rId75" Type="http://schemas.openxmlformats.org/officeDocument/2006/relationships/theme" Target="theme/theme1.xml"/>
</Relationships>
</file>

<file path=word/_rels/header2.xml.rels><?xml version="1.0" encoding="UTF-8"?>
<Relationships xmlns="http://schemas.openxmlformats.org/package/2006/relationships"><Relationship Id="rId1" Type="http://schemas.openxmlformats.org/officeDocument/2006/relationships/image" Target="media/image22.jpeg"/>
</Relationships>
</file>

<file path=word/_rels/header3.xml.rels><?xml version="1.0" encoding="UTF-8"?>
<Relationships xmlns="http://schemas.openxmlformats.org/package/2006/relationships"><Relationship Id="rId1" Type="http://schemas.openxmlformats.org/officeDocument/2006/relationships/image" Target="media/image22.jpe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
  <TotalTime>4488</TotalTime>
  <Application>LibreOffice/25.8.6.2$Linux_X86_64 LibreOffice_project/a46b460d1686bb49c718d2ef5f88b83ff2dc4981</Application>
  <AppVersion>15.0000</AppVersion>
  <Pages>32</Pages>
  <Words>5189</Words>
  <Characters>33808</Characters>
  <CharactersWithSpaces>38898</CharactersWithSpaces>
  <Paragraphs>155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2025-11-04T08:13:42Z</dcterms:created>
  <dc:creator>dasdi</dc:creator>
  <dc:description/>
  <dc:language>en-US</dc:language>
  <cp:lastModifiedBy/>
  <dcterms:modified xsi:type="dcterms:W3CDTF">2026-04-27T09:11:28Z</dcterms:modified>
  <cp:revision>729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C9116E688BD948F5861709C88BB315E9_13</vt:lpwstr>
  </property>
  <property fmtid="{D5CDD505-2E9C-101B-9397-08002B2CF9AE}" pid="3" name="KSOProductBuildVer">
    <vt:lpwstr>1033-12.2.0.23155</vt:lpwstr>
  </property>
</Properties>
</file>