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AEAA" w14:textId="77777777" w:rsidR="009F64C5" w:rsidRDefault="009F64C5">
      <w:pPr>
        <w:spacing w:after="158"/>
        <w:ind w:left="49"/>
        <w:jc w:val="center"/>
      </w:pPr>
      <w:r>
        <w:rPr>
          <w:rFonts w:ascii="Calibri" w:eastAsia="Calibri" w:hAnsi="Calibri" w:cs="Calibri"/>
        </w:rPr>
        <w:t xml:space="preserve"> </w:t>
      </w:r>
    </w:p>
    <w:p w14:paraId="6D3D663A" w14:textId="77777777" w:rsidR="009F64C5" w:rsidRDefault="009F64C5">
      <w:pPr>
        <w:ind w:left="49"/>
        <w:jc w:val="center"/>
      </w:pPr>
      <w:r>
        <w:rPr>
          <w:rFonts w:ascii="Calibri" w:eastAsia="Calibri" w:hAnsi="Calibri" w:cs="Calibri"/>
        </w:rPr>
        <w:t xml:space="preserve"> </w:t>
      </w:r>
    </w:p>
    <w:p w14:paraId="6787C14B" w14:textId="578E474B" w:rsidR="009F64C5" w:rsidRDefault="009F64C5">
      <w:pPr>
        <w:spacing w:after="158"/>
        <w:ind w:left="49"/>
        <w:jc w:val="center"/>
      </w:pPr>
      <w:r>
        <w:rPr>
          <w:noProof/>
        </w:rPr>
        <w:drawing>
          <wp:inline distT="0" distB="0" distL="0" distR="0" wp14:anchorId="0851FAE4" wp14:editId="00AFC6E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Pr>
          <w:rFonts w:ascii="Calibri" w:eastAsia="Calibri" w:hAnsi="Calibri" w:cs="Calibri"/>
        </w:rPr>
        <w:t xml:space="preserve"> </w:t>
      </w:r>
    </w:p>
    <w:p w14:paraId="5E0F4EC2" w14:textId="77777777" w:rsidR="009F64C5" w:rsidRDefault="009F64C5">
      <w:pPr>
        <w:ind w:left="49"/>
        <w:jc w:val="center"/>
      </w:pPr>
      <w:r>
        <w:rPr>
          <w:rFonts w:ascii="Calibri" w:eastAsia="Calibri" w:hAnsi="Calibri" w:cs="Calibri"/>
        </w:rPr>
        <w:t xml:space="preserve"> </w:t>
      </w:r>
    </w:p>
    <w:p w14:paraId="0C4D53A1" w14:textId="77777777" w:rsidR="009F64C5" w:rsidRDefault="009F64C5">
      <w:pPr>
        <w:spacing w:after="287"/>
        <w:ind w:left="49"/>
        <w:jc w:val="center"/>
      </w:pPr>
      <w:r>
        <w:rPr>
          <w:rFonts w:ascii="Calibri" w:eastAsia="Calibri" w:hAnsi="Calibri" w:cs="Calibri"/>
        </w:rPr>
        <w:t xml:space="preserve"> </w:t>
      </w:r>
    </w:p>
    <w:p w14:paraId="6943DFBE" w14:textId="77777777" w:rsidR="00151D3E" w:rsidRPr="00151D3E" w:rsidRDefault="00151D3E">
      <w:pPr>
        <w:spacing w:after="42"/>
        <w:ind w:left="89"/>
        <w:jc w:val="center"/>
        <w:rPr>
          <w:rFonts w:ascii="Arial" w:hAnsi="Arial" w:cs="Arial"/>
          <w:b/>
          <w:bCs/>
        </w:rPr>
      </w:pPr>
      <w:r w:rsidRPr="00151D3E">
        <w:rPr>
          <w:rFonts w:ascii="Arial" w:hAnsi="Arial" w:cs="Arial"/>
          <w:b/>
          <w:bCs/>
        </w:rPr>
        <w:t>The Impact of Early Diagnosis and Intervention on Mental Health Outcomes in Dementia Patients in the UK </w:t>
      </w:r>
    </w:p>
    <w:p w14:paraId="6D8F853A" w14:textId="77777777" w:rsidR="00151D3E" w:rsidRDefault="00151D3E">
      <w:pPr>
        <w:spacing w:after="42"/>
        <w:ind w:left="89"/>
        <w:jc w:val="center"/>
        <w:rPr>
          <w:rFonts w:ascii="Arial" w:hAnsi="Arial" w:cs="Arial"/>
        </w:rPr>
      </w:pPr>
    </w:p>
    <w:p w14:paraId="5E1E2E05" w14:textId="1E660813" w:rsidR="009F64C5" w:rsidRDefault="00151D3E">
      <w:pPr>
        <w:spacing w:after="42"/>
        <w:ind w:left="89"/>
        <w:jc w:val="center"/>
        <w:rPr>
          <w:b/>
          <w:bCs/>
          <w:sz w:val="36"/>
        </w:rPr>
      </w:pPr>
      <w:r w:rsidRPr="00151D3E">
        <w:rPr>
          <w:rFonts w:ascii="Arial" w:hAnsi="Arial" w:cs="Arial"/>
          <w:b/>
          <w:bCs/>
        </w:rPr>
        <w:t>A Systematic Review</w:t>
      </w:r>
      <w:r w:rsidR="009F64C5" w:rsidRPr="00151D3E">
        <w:rPr>
          <w:b/>
          <w:bCs/>
          <w:sz w:val="36"/>
        </w:rPr>
        <w:t xml:space="preserve"> </w:t>
      </w:r>
    </w:p>
    <w:p w14:paraId="60920400" w14:textId="77777777" w:rsidR="00151D3E" w:rsidRPr="00151D3E" w:rsidRDefault="00151D3E">
      <w:pPr>
        <w:spacing w:after="42"/>
        <w:ind w:left="89"/>
        <w:jc w:val="center"/>
        <w:rPr>
          <w:b/>
          <w:bCs/>
        </w:rPr>
      </w:pPr>
    </w:p>
    <w:p w14:paraId="46D86011" w14:textId="77777777" w:rsidR="009F64C5" w:rsidRPr="007F3292" w:rsidRDefault="009F64C5">
      <w:pPr>
        <w:spacing w:after="157"/>
        <w:ind w:left="2367" w:right="2358"/>
        <w:jc w:val="center"/>
        <w:rPr>
          <w:rFonts w:asciiTheme="minorBidi" w:hAnsiTheme="minorBidi"/>
        </w:rPr>
      </w:pPr>
      <w:r w:rsidRPr="007F3292">
        <w:rPr>
          <w:rFonts w:asciiTheme="minorBidi" w:hAnsiTheme="minorBidi"/>
        </w:rPr>
        <w:t xml:space="preserve">by </w:t>
      </w:r>
    </w:p>
    <w:p w14:paraId="75EA3561" w14:textId="77777777" w:rsidR="009F64C5" w:rsidRPr="007F3292" w:rsidRDefault="009F64C5">
      <w:pPr>
        <w:spacing w:after="158"/>
        <w:ind w:left="59"/>
        <w:jc w:val="center"/>
        <w:rPr>
          <w:rFonts w:asciiTheme="minorBidi" w:hAnsiTheme="minorBidi"/>
        </w:rPr>
      </w:pPr>
      <w:r w:rsidRPr="007F3292">
        <w:rPr>
          <w:rFonts w:asciiTheme="minorBidi" w:hAnsiTheme="minorBidi"/>
        </w:rPr>
        <w:t xml:space="preserve"> </w:t>
      </w:r>
    </w:p>
    <w:p w14:paraId="350EB5D6" w14:textId="09C9B0B2" w:rsidR="009F64C5" w:rsidRPr="007F3292" w:rsidRDefault="00151D3E">
      <w:pPr>
        <w:spacing w:after="157"/>
        <w:ind w:left="2367" w:right="2359"/>
        <w:jc w:val="center"/>
        <w:rPr>
          <w:rFonts w:asciiTheme="minorBidi" w:hAnsiTheme="minorBidi"/>
        </w:rPr>
      </w:pPr>
      <w:r>
        <w:rPr>
          <w:rFonts w:asciiTheme="minorBidi" w:hAnsiTheme="minorBidi"/>
        </w:rPr>
        <w:t>Adriana Roman</w:t>
      </w:r>
    </w:p>
    <w:p w14:paraId="1062A64A" w14:textId="77777777" w:rsidR="009F64C5" w:rsidRDefault="009F64C5">
      <w:pPr>
        <w:spacing w:after="158"/>
        <w:ind w:left="59"/>
        <w:jc w:val="center"/>
      </w:pPr>
      <w:r>
        <w:t xml:space="preserve"> </w:t>
      </w:r>
    </w:p>
    <w:p w14:paraId="33922CAA" w14:textId="77777777" w:rsidR="009F64C5" w:rsidRDefault="009F64C5">
      <w:pPr>
        <w:spacing w:after="156"/>
        <w:ind w:left="59"/>
        <w:jc w:val="center"/>
      </w:pPr>
      <w:r>
        <w:t xml:space="preserve"> </w:t>
      </w:r>
    </w:p>
    <w:p w14:paraId="09C8500D" w14:textId="77777777" w:rsidR="009F64C5" w:rsidRDefault="009F64C5">
      <w:pPr>
        <w:spacing w:after="158"/>
        <w:ind w:left="59"/>
        <w:jc w:val="center"/>
      </w:pPr>
      <w:r>
        <w:t xml:space="preserve"> </w:t>
      </w:r>
    </w:p>
    <w:p w14:paraId="64B3B17A" w14:textId="77777777" w:rsidR="009F64C5" w:rsidRDefault="009F64C5">
      <w:pPr>
        <w:spacing w:after="158"/>
        <w:ind w:left="59"/>
        <w:jc w:val="center"/>
      </w:pPr>
      <w:r>
        <w:t xml:space="preserve"> </w:t>
      </w:r>
    </w:p>
    <w:p w14:paraId="5CAC7C58" w14:textId="77777777" w:rsidR="009F64C5" w:rsidRPr="007F3292" w:rsidRDefault="009F64C5">
      <w:pPr>
        <w:spacing w:after="158"/>
        <w:ind w:left="59"/>
        <w:jc w:val="center"/>
        <w:rPr>
          <w:rFonts w:asciiTheme="minorBidi" w:hAnsiTheme="minorBidi"/>
        </w:rPr>
      </w:pPr>
      <w:r w:rsidRPr="007F3292">
        <w:rPr>
          <w:rFonts w:asciiTheme="minorBidi" w:hAnsiTheme="minorBidi"/>
        </w:rPr>
        <w:t xml:space="preserve"> </w:t>
      </w:r>
    </w:p>
    <w:p w14:paraId="75DE2693" w14:textId="5184B8E2" w:rsidR="009F64C5" w:rsidRPr="007F3292" w:rsidRDefault="009F64C5" w:rsidP="009F64C5">
      <w:pPr>
        <w:spacing w:after="156"/>
        <w:ind w:left="59"/>
        <w:jc w:val="center"/>
        <w:rPr>
          <w:rFonts w:asciiTheme="minorBidi" w:hAnsiTheme="minorBidi"/>
          <w:sz w:val="24"/>
          <w:szCs w:val="24"/>
        </w:rPr>
      </w:pPr>
      <w:r w:rsidRPr="007F3292">
        <w:rPr>
          <w:rFonts w:asciiTheme="minorBidi" w:hAnsiTheme="minorBidi"/>
          <w:sz w:val="24"/>
          <w:szCs w:val="24"/>
        </w:rPr>
        <w:t xml:space="preserve">A Dissertation submitted in partial fulfilment of the requirements for the degree of </w:t>
      </w:r>
      <w:r w:rsidR="00991533" w:rsidRPr="007F3292">
        <w:rPr>
          <w:rFonts w:asciiTheme="minorBidi" w:hAnsiTheme="minorBidi"/>
          <w:sz w:val="24"/>
          <w:szCs w:val="24"/>
        </w:rPr>
        <w:t>Master of Science</w:t>
      </w:r>
      <w:r w:rsidRPr="007F3292">
        <w:rPr>
          <w:rFonts w:asciiTheme="minorBidi" w:hAnsiTheme="minorBidi"/>
          <w:sz w:val="24"/>
          <w:szCs w:val="24"/>
        </w:rPr>
        <w:t xml:space="preserve"> in Public Health and Social Care in Practice</w:t>
      </w:r>
    </w:p>
    <w:p w14:paraId="2678540A" w14:textId="77777777" w:rsidR="009F64C5" w:rsidRPr="007F3292" w:rsidRDefault="009F64C5" w:rsidP="009F64C5">
      <w:pPr>
        <w:spacing w:after="156"/>
        <w:ind w:left="59"/>
        <w:rPr>
          <w:rFonts w:asciiTheme="minorBidi" w:hAnsiTheme="minorBidi"/>
        </w:rPr>
      </w:pPr>
    </w:p>
    <w:p w14:paraId="6B1630CF" w14:textId="77777777" w:rsidR="009F64C5" w:rsidRPr="007F3292" w:rsidRDefault="009F64C5" w:rsidP="009F64C5">
      <w:pPr>
        <w:spacing w:after="169"/>
        <w:jc w:val="center"/>
        <w:rPr>
          <w:rFonts w:asciiTheme="minorBidi" w:hAnsiTheme="minorBidi"/>
          <w:b/>
          <w:bCs/>
        </w:rPr>
      </w:pPr>
    </w:p>
    <w:p w14:paraId="48468714" w14:textId="77777777" w:rsidR="009F64C5" w:rsidRPr="007F3292" w:rsidRDefault="009F64C5" w:rsidP="009F64C5">
      <w:pPr>
        <w:spacing w:after="169"/>
        <w:jc w:val="center"/>
        <w:rPr>
          <w:rFonts w:asciiTheme="minorBidi" w:hAnsiTheme="minorBidi"/>
          <w:b/>
          <w:bCs/>
        </w:rPr>
      </w:pPr>
    </w:p>
    <w:p w14:paraId="7C5AA9DE" w14:textId="3566044E" w:rsidR="009F64C5" w:rsidRPr="00003602" w:rsidRDefault="34630932" w:rsidP="009F64C5">
      <w:pPr>
        <w:spacing w:after="169"/>
        <w:jc w:val="center"/>
        <w:rPr>
          <w:rFonts w:asciiTheme="minorBidi" w:hAnsiTheme="minorBidi"/>
          <w:b/>
          <w:bCs/>
        </w:rPr>
      </w:pPr>
      <w:r w:rsidRPr="00003602">
        <w:rPr>
          <w:rFonts w:asciiTheme="minorBidi" w:hAnsiTheme="minorBidi"/>
          <w:b/>
          <w:bCs/>
        </w:rPr>
        <w:t>T</w:t>
      </w:r>
      <w:r w:rsidR="009F64C5" w:rsidRPr="00003602">
        <w:rPr>
          <w:rFonts w:asciiTheme="minorBidi" w:hAnsiTheme="minorBidi"/>
          <w:b/>
          <w:bCs/>
        </w:rPr>
        <w:t>he Institute of Inner</w:t>
      </w:r>
      <w:r w:rsidR="4EFAA9D8" w:rsidRPr="00003602">
        <w:rPr>
          <w:rFonts w:asciiTheme="minorBidi" w:hAnsiTheme="minorBidi"/>
          <w:b/>
          <w:bCs/>
        </w:rPr>
        <w:t>-</w:t>
      </w:r>
      <w:r w:rsidR="009F64C5" w:rsidRPr="00003602">
        <w:rPr>
          <w:rFonts w:asciiTheme="minorBidi" w:hAnsiTheme="minorBidi"/>
          <w:b/>
          <w:bCs/>
        </w:rPr>
        <w:t>City Learning</w:t>
      </w:r>
    </w:p>
    <w:p w14:paraId="0A089F1E" w14:textId="7EF44560" w:rsidR="009F64C5" w:rsidRPr="00003602" w:rsidRDefault="009F64C5" w:rsidP="009F64C5">
      <w:pPr>
        <w:spacing w:after="169"/>
        <w:jc w:val="center"/>
        <w:rPr>
          <w:rFonts w:asciiTheme="minorBidi" w:hAnsiTheme="minorBidi"/>
          <w:b/>
          <w:bCs/>
        </w:rPr>
      </w:pPr>
      <w:r w:rsidRPr="00003602">
        <w:rPr>
          <w:rFonts w:asciiTheme="minorBidi" w:hAnsiTheme="minorBidi"/>
          <w:b/>
          <w:bCs/>
        </w:rPr>
        <w:t>University of Wales Trinity Saint David – London Campus</w:t>
      </w:r>
    </w:p>
    <w:p w14:paraId="4C4866B4" w14:textId="77777777" w:rsidR="009F64C5" w:rsidRPr="007F3292" w:rsidRDefault="009F64C5">
      <w:pPr>
        <w:spacing w:after="157"/>
        <w:ind w:left="2367" w:right="2357"/>
        <w:jc w:val="center"/>
        <w:rPr>
          <w:rFonts w:asciiTheme="minorBidi" w:hAnsiTheme="minorBidi"/>
          <w:b/>
          <w:bCs/>
          <w:sz w:val="24"/>
          <w:szCs w:val="24"/>
        </w:rPr>
      </w:pPr>
    </w:p>
    <w:p w14:paraId="52A3D603" w14:textId="77777777" w:rsidR="009F64C5" w:rsidRPr="007F3292" w:rsidRDefault="009F64C5">
      <w:pPr>
        <w:spacing w:after="157"/>
        <w:ind w:left="2367" w:right="2357"/>
        <w:jc w:val="center"/>
        <w:rPr>
          <w:rFonts w:asciiTheme="minorBidi" w:hAnsiTheme="minorBidi"/>
          <w:b/>
          <w:bCs/>
          <w:sz w:val="24"/>
          <w:szCs w:val="24"/>
        </w:rPr>
      </w:pPr>
    </w:p>
    <w:p w14:paraId="5D8C4E6F" w14:textId="04370C5D" w:rsidR="00113366" w:rsidRPr="007F3292" w:rsidRDefault="00151D3E">
      <w:pPr>
        <w:spacing w:after="157"/>
        <w:ind w:left="2367" w:right="2357"/>
        <w:jc w:val="center"/>
        <w:rPr>
          <w:rFonts w:asciiTheme="minorBidi" w:hAnsiTheme="minorBidi"/>
          <w:b/>
          <w:bCs/>
          <w:sz w:val="24"/>
          <w:szCs w:val="24"/>
        </w:rPr>
      </w:pPr>
      <w:r>
        <w:rPr>
          <w:rFonts w:asciiTheme="minorBidi" w:hAnsiTheme="minorBidi"/>
          <w:b/>
          <w:bCs/>
          <w:sz w:val="24"/>
          <w:szCs w:val="24"/>
        </w:rPr>
        <w:t>October 2025</w:t>
      </w:r>
    </w:p>
    <w:p w14:paraId="46C7FCCD" w14:textId="77777777" w:rsidR="00113366" w:rsidRDefault="00113366">
      <w:pPr>
        <w:rPr>
          <w:b/>
          <w:bCs/>
        </w:rPr>
      </w:pPr>
      <w:r>
        <w:rPr>
          <w:b/>
          <w:bCs/>
        </w:rPr>
        <w:br w:type="page"/>
      </w:r>
    </w:p>
    <w:p w14:paraId="013A249C" w14:textId="77777777" w:rsidR="00113366" w:rsidRPr="00C4204A" w:rsidRDefault="00113366" w:rsidP="00113366">
      <w:pPr>
        <w:spacing w:after="200" w:line="276" w:lineRule="auto"/>
        <w:rPr>
          <w:rFonts w:ascii="Arial" w:eastAsia="Times New Roman" w:hAnsi="Arial" w:cs="Arial"/>
          <w:b/>
          <w:bCs/>
          <w:color w:val="000000" w:themeColor="text1"/>
          <w:sz w:val="24"/>
          <w:szCs w:val="24"/>
          <w:lang w:val="hr-HR"/>
        </w:rPr>
      </w:pPr>
      <w:r w:rsidRPr="00C4204A">
        <w:rPr>
          <w:rFonts w:ascii="Arial" w:eastAsia="Times New Roman" w:hAnsi="Arial" w:cs="Arial"/>
          <w:b/>
          <w:bCs/>
          <w:color w:val="000000" w:themeColor="text1"/>
          <w:sz w:val="24"/>
          <w:szCs w:val="24"/>
          <w:lang w:val="hr-HR"/>
        </w:rPr>
        <w:lastRenderedPageBreak/>
        <w:t>DECLARATION</w:t>
      </w:r>
    </w:p>
    <w:p w14:paraId="2E9B29DF"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46A549CB" w14:textId="5111D65B" w:rsidR="00113366" w:rsidRPr="008D6EF8" w:rsidRDefault="00113366" w:rsidP="001C5965">
      <w:pPr>
        <w:spacing w:after="200" w:line="276" w:lineRule="auto"/>
        <w:rPr>
          <w:rFonts w:ascii="Arial" w:eastAsia="Times New Roman" w:hAnsi="Arial" w:cs="Arial"/>
          <w:color w:val="000000" w:themeColor="text1"/>
          <w:lang w:val="hr-HR"/>
        </w:rPr>
      </w:pPr>
      <w:r w:rsidRPr="008D6EF8">
        <w:rPr>
          <w:noProof/>
          <w:sz w:val="20"/>
          <w:szCs w:val="20"/>
        </w:rPr>
        <mc:AlternateContent>
          <mc:Choice Requires="wpi">
            <w:drawing>
              <wp:anchor distT="0" distB="0" distL="114300" distR="114300" simplePos="0" relativeHeight="251659264"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8587703">
              <v:shapetype id="_x0000_t75" coordsize="21600,21600" filled="f" stroked="f" o:spt="75" o:preferrelative="t" path="m@4@5l@4@11@9@11@9@5xe" w14:anchorId="665027F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6"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CgKSHbjAAAADQEAAA8AAABkcnMvZG93bnJldi54&#10;bWxMj01OwzAQRvdI3MEaJDYodZpCFUKcCiGxoJQiAgdw42mSEo+j2G1TTs90Bbv5efrmTb4YbScO&#10;OPjWkYLpJAaBVDnTUq3g6/M5SkH4oMnozhEqOKGHRXF5kevMuCN94KEMteAQ8plW0ITQZ1L6qkGr&#10;/cT1SLzbusHqwO1QSzPoI4fbTiZxPJdWt8QXGt3jU4PVd7m3Cl6TXblcv5yWK1y/35y26Vv7szNK&#10;XV+Njw8gAo7hD4azPqtDwU4btyfjRacgmiVpwuy5ursFwUg0TWc82jAc389BFrn8/0XxC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FftHK28AQAAXQQA&#10;ABAAAAAAAAAAAAAAAAAAJwQAAGRycy9pbmsvaW5rMS54bWxQSwECLQAUAAYACAAAACEAKApIduMA&#10;AAANAQAADwAAAAAAAAAAAAAAAAARBgAAZHJzL2Rvd25yZXYueG1sUEsBAi0AFAAGAAgAAAAhAHkY&#10;vJ2/AAAAIQEAABkAAAAAAAAAAAAAAAAAIQcAAGRycy9fcmVscy9lMm9Eb2MueG1sLnJlbHNQSwUG&#10;AAAAAAYABgB4AQAAFwgAAAAA&#10;">
                <v:imagedata o:title="" r:id="rId13"/>
                <o:lock v:ext="edit" rotation="t" verticies="t" shapetype="t"/>
              </v:shape>
            </w:pict>
          </mc:Fallback>
        </mc:AlternateContent>
      </w:r>
      <w:r w:rsidRPr="008D6EF8">
        <w:rPr>
          <w:noProof/>
          <w:sz w:val="20"/>
          <w:szCs w:val="20"/>
        </w:rPr>
        <mc:AlternateContent>
          <mc:Choice Requires="wpi">
            <w:drawing>
              <wp:anchor distT="0" distB="0" distL="114300" distR="114300" simplePos="0" relativeHeight="251660288"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696EA42">
              <v:shape id="Ink 1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" w14:anchorId="253C97BC">
                <v:imagedata o:title="" r:id="rId13"/>
                <o:lock v:ext="edit" rotation="t" verticies="t" shapetype="t"/>
              </v:shape>
            </w:pict>
          </mc:Fallback>
        </mc:AlternateContent>
      </w:r>
      <w:r w:rsidRPr="008D6EF8">
        <w:rPr>
          <w:noProof/>
          <w:sz w:val="20"/>
          <w:szCs w:val="20"/>
        </w:rPr>
        <mc:AlternateContent>
          <mc:Choice Requires="wpi">
            <w:drawing>
              <wp:anchor distT="0" distB="0" distL="114300" distR="114300" simplePos="0" relativeHeight="251661312"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9662B3F">
              <v:shape id="Ink 14"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Ixqtw3jAAAADQEAAA8AAABkcnMvZG93bnJldi54&#10;bWxMj8FOwzAQRO9I/IO1SFxQ6sSRUJTGqRASBwq0IvABbrxN0sZ2FLttwtezPcFtd+dpdqZYTaZn&#10;Zxx956yEZBEDQ1s73dlGwvfXS5QB80FZrXpnUcKMHlbl7U2hcu0u9hPPVWgYmVifKwltCEPOua9b&#10;NMov3ICWtL0bjQq0jg3Xo7qQuem5iONHblRn6UOrBnxusT5WJyPhTRyq9eZ1Xr/jZvsw77OP7ueg&#10;pby/m56WwAJO4Q+Ga3yKDiVl2rmT1Z71EqJUZILY65RSCUKiJEvptCM4SQTwsuD/W5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Jjr0DO8AQAAXQQA&#10;ABAAAAAAAAAAAAAAAAAAJwQAAGRycy9pbmsvaW5rMS54bWxQSwECLQAUAAYACAAAACEAjGq3DeMA&#10;AAANAQAADwAAAAAAAAAAAAAAAAARBgAAZHJzL2Rvd25yZXYueG1sUEsBAi0AFAAGAAgAAAAhAHkY&#10;vJ2/AAAAIQEAABkAAAAAAAAAAAAAAAAAIQcAAGRycy9fcmVscy9lMm9Eb2MueG1sLnJlbHNQSwUG&#10;AAAAAAYABgB4AQAAFwgAAAAA&#10;" w14:anchorId="5680CE78">
                <v:imagedata o:title="" r:id="rId13"/>
                <o:lock v:ext="edit" rotation="t" verticies="t" shapetype="t"/>
              </v:shape>
            </w:pict>
          </mc:Fallback>
        </mc:AlternateContent>
      </w:r>
      <w:r w:rsidRPr="008D6EF8">
        <w:rPr>
          <w:noProof/>
          <w:sz w:val="20"/>
          <w:szCs w:val="20"/>
        </w:rPr>
        <mc:AlternateContent>
          <mc:Choice Requires="wpi">
            <w:drawing>
              <wp:anchor distT="0" distB="0" distL="114300" distR="114300" simplePos="0" relativeHeight="251662336"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8135702">
              <v:shape id="Ink 11"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aLGZbboBAABdBAAAEAAA&#10;AAAAAAAAAAAAAAAnBAAAZHJzL2luay9pbmsxLnhtbFBLAQItABQABgAIAAAAIQD1IAft4QAAAA0B&#10;AAAPAAAAAAAAAAAAAAAAAA8GAABkcnMvZG93bnJldi54bWxQSwECLQAUAAYACAAAACEAeRi8nb8A&#10;AAAhAQAAGQAAAAAAAAAAAAAAAAAdBwAAZHJzL19yZWxzL2Uyb0RvYy54bWwucmVsc1BLBQYAAAAA&#10;BgAGAHgBAAATCAAAAAA=&#10;" w14:anchorId="60C55C8D">
                <v:imagedata o:title="" r:id="rId17"/>
                <o:lock v:ext="edit" rotation="t" verticies="t" shapetype="t"/>
              </v:shape>
            </w:pict>
          </mc:Fallback>
        </mc:AlternateContent>
      </w:r>
      <w:r w:rsidR="008A73BC" w:rsidRPr="008D6EF8">
        <w:rPr>
          <w:rFonts w:ascii="Arial" w:eastAsia="Times New Roman" w:hAnsi="Arial" w:cs="Arial"/>
          <w:color w:val="000000" w:themeColor="text1"/>
          <w:lang w:val="hr-HR"/>
        </w:rPr>
        <w:t xml:space="preserve">I, </w:t>
      </w:r>
      <w:r w:rsidR="00151D3E" w:rsidRPr="008D6EF8">
        <w:rPr>
          <w:rFonts w:ascii="Arial" w:eastAsia="Times New Roman" w:hAnsi="Arial" w:cs="Arial"/>
          <w:color w:val="000000" w:themeColor="text1"/>
          <w:lang w:val="hr-HR"/>
        </w:rPr>
        <w:t>Adriana Roman</w:t>
      </w:r>
      <w:r w:rsidR="008A73BC" w:rsidRPr="008D6EF8">
        <w:rPr>
          <w:rFonts w:ascii="Arial" w:eastAsia="Times New Roman" w:hAnsi="Arial" w:cs="Arial"/>
          <w:color w:val="000000" w:themeColor="text1"/>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8D6EF8">
        <w:rPr>
          <w:rFonts w:ascii="Arial" w:eastAsia="Times New Roman" w:hAnsi="Arial" w:cs="Arial"/>
          <w:color w:val="000000" w:themeColor="text1"/>
          <w:lang w:val="hr-HR"/>
        </w:rPr>
        <w:t>.</w:t>
      </w:r>
    </w:p>
    <w:p w14:paraId="4E0CDA9F"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5E2BD27D"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5236DF40" w14:textId="6B06DE70" w:rsidR="00113366" w:rsidRPr="008D6EF8" w:rsidRDefault="00113366" w:rsidP="00113366">
      <w:pPr>
        <w:spacing w:after="200" w:line="276" w:lineRule="auto"/>
        <w:rPr>
          <w:rFonts w:ascii="Arial" w:eastAsia="Times New Roman" w:hAnsi="Arial" w:cs="Arial"/>
          <w:color w:val="000000" w:themeColor="text1"/>
          <w:lang w:val="hr-HR"/>
        </w:rPr>
      </w:pPr>
      <w:r w:rsidRPr="008D6EF8">
        <w:rPr>
          <w:rFonts w:ascii="Arial" w:eastAsia="Times New Roman" w:hAnsi="Arial" w:cs="Arial"/>
          <w:color w:val="000000" w:themeColor="text1"/>
          <w:lang w:val="hr-HR"/>
        </w:rPr>
        <w:t>Signed</w:t>
      </w:r>
      <w:r w:rsidR="00582995" w:rsidRPr="008D6EF8">
        <w:rPr>
          <w:rFonts w:ascii="Arial" w:eastAsia="Times New Roman" w:hAnsi="Arial" w:cs="Arial"/>
          <w:color w:val="000000" w:themeColor="text1"/>
          <w:lang w:val="hr-HR"/>
        </w:rPr>
        <w:t>: Adriana Roman</w:t>
      </w:r>
    </w:p>
    <w:p w14:paraId="1E1F6BED" w14:textId="77777777" w:rsidR="00113366" w:rsidRPr="008D6EF8" w:rsidRDefault="00113366" w:rsidP="00113366">
      <w:pPr>
        <w:spacing w:after="200" w:line="276" w:lineRule="auto"/>
        <w:rPr>
          <w:rFonts w:ascii="Arial" w:eastAsia="Times New Roman" w:hAnsi="Arial" w:cs="Arial"/>
          <w:color w:val="000000" w:themeColor="text1"/>
          <w:lang w:val="hr-HR"/>
        </w:rPr>
      </w:pPr>
    </w:p>
    <w:p w14:paraId="367C1620" w14:textId="2E5395C2" w:rsidR="00113366" w:rsidRPr="008D6EF8" w:rsidRDefault="00113366" w:rsidP="00113366">
      <w:pPr>
        <w:spacing w:after="200" w:line="276" w:lineRule="auto"/>
        <w:rPr>
          <w:rFonts w:ascii="Arial" w:eastAsia="Times New Roman" w:hAnsi="Arial" w:cs="Arial"/>
          <w:color w:val="000000" w:themeColor="text1"/>
          <w:lang w:val="hr-HR"/>
        </w:rPr>
      </w:pPr>
      <w:r w:rsidRPr="008D6EF8">
        <w:rPr>
          <w:rFonts w:ascii="Arial" w:eastAsia="Times New Roman" w:hAnsi="Arial" w:cs="Arial"/>
          <w:color w:val="000000" w:themeColor="text1"/>
          <w:lang w:val="hr-HR"/>
        </w:rPr>
        <w:t>Date:</w:t>
      </w:r>
      <w:r w:rsidR="00582995" w:rsidRPr="008D6EF8">
        <w:rPr>
          <w:rFonts w:ascii="Arial" w:eastAsia="Times New Roman" w:hAnsi="Arial" w:cs="Arial"/>
          <w:color w:val="000000" w:themeColor="text1"/>
          <w:lang w:val="hr-HR"/>
        </w:rPr>
        <w:t xml:space="preserve"> 0</w:t>
      </w:r>
      <w:r w:rsidR="00775591">
        <w:rPr>
          <w:rFonts w:ascii="Arial" w:eastAsia="Times New Roman" w:hAnsi="Arial" w:cs="Arial"/>
          <w:color w:val="000000" w:themeColor="text1"/>
          <w:lang w:val="hr-HR"/>
        </w:rPr>
        <w:t>6</w:t>
      </w:r>
      <w:r w:rsidR="00582995" w:rsidRPr="008D6EF8">
        <w:rPr>
          <w:rFonts w:ascii="Arial" w:eastAsia="Times New Roman" w:hAnsi="Arial" w:cs="Arial"/>
          <w:color w:val="000000" w:themeColor="text1"/>
          <w:lang w:val="hr-HR"/>
        </w:rPr>
        <w:t>/10/2025</w:t>
      </w:r>
    </w:p>
    <w:p w14:paraId="2C702A82" w14:textId="77777777" w:rsidR="009F64C5" w:rsidRPr="009F64C5" w:rsidRDefault="009F64C5" w:rsidP="00113366">
      <w:pPr>
        <w:spacing w:after="157"/>
        <w:ind w:right="2357"/>
        <w:rPr>
          <w:b/>
          <w:bCs/>
        </w:rPr>
      </w:pPr>
    </w:p>
    <w:p w14:paraId="6AA9D53C" w14:textId="77777777" w:rsidR="009F64C5" w:rsidRDefault="009F64C5">
      <w:pPr>
        <w:spacing w:after="0"/>
      </w:pPr>
      <w:r>
        <w:rPr>
          <w:color w:val="0070C0"/>
        </w:rPr>
        <w:t xml:space="preserve"> </w:t>
      </w:r>
      <w:r>
        <w:rPr>
          <w:color w:val="0070C0"/>
        </w:rPr>
        <w:tab/>
        <w:t xml:space="preserve"> </w:t>
      </w:r>
    </w:p>
    <w:p w14:paraId="02286F32" w14:textId="77777777" w:rsidR="009F64C5" w:rsidRDefault="009F64C5">
      <w:pPr>
        <w:rPr>
          <w:rFonts w:ascii="Times New Roman" w:eastAsia="Times New Roman" w:hAnsi="Times New Roman" w:cs="Times New Roman"/>
          <w:b/>
          <w:color w:val="000000"/>
          <w:sz w:val="24"/>
        </w:rPr>
      </w:pPr>
      <w:r>
        <w:br w:type="page"/>
      </w:r>
    </w:p>
    <w:p w14:paraId="106641A1" w14:textId="7C1664DD" w:rsidR="009F64C5" w:rsidRPr="00663382" w:rsidRDefault="009F64C5" w:rsidP="00663382">
      <w:pPr>
        <w:pStyle w:val="Heading1"/>
        <w:spacing w:line="360" w:lineRule="auto"/>
        <w:rPr>
          <w:rFonts w:ascii="Arial" w:hAnsi="Arial" w:cs="Arial"/>
        </w:rPr>
      </w:pPr>
      <w:bookmarkStart w:id="0" w:name="_Toc210677339"/>
      <w:r w:rsidRPr="00663382">
        <w:rPr>
          <w:rFonts w:ascii="Arial" w:hAnsi="Arial" w:cs="Arial"/>
        </w:rPr>
        <w:lastRenderedPageBreak/>
        <w:t>Acknowledgements</w:t>
      </w:r>
      <w:bookmarkEnd w:id="0"/>
      <w:r w:rsidRPr="00663382">
        <w:rPr>
          <w:rFonts w:ascii="Arial" w:hAnsi="Arial" w:cs="Arial"/>
        </w:rPr>
        <w:t xml:space="preserve"> </w:t>
      </w:r>
    </w:p>
    <w:p w14:paraId="7F9A55B3" w14:textId="77777777" w:rsidR="00715BD9" w:rsidRDefault="009F64C5" w:rsidP="00715BD9">
      <w:pPr>
        <w:spacing w:after="158"/>
        <w:rPr>
          <w:rFonts w:asciiTheme="minorBidi" w:hAnsiTheme="minorBidi"/>
        </w:rPr>
      </w:pPr>
      <w:r w:rsidRPr="007F1C8A">
        <w:rPr>
          <w:rFonts w:asciiTheme="minorBidi" w:hAnsiTheme="minorBidi"/>
        </w:rPr>
        <w:t xml:space="preserve"> </w:t>
      </w:r>
    </w:p>
    <w:p w14:paraId="31A314F7" w14:textId="60C93EA0" w:rsidR="004D375C" w:rsidRPr="004D375C" w:rsidRDefault="004D375C" w:rsidP="004D375C">
      <w:pPr>
        <w:spacing w:after="158" w:line="360" w:lineRule="auto"/>
        <w:rPr>
          <w:rFonts w:ascii="Arial" w:hAnsi="Arial" w:cs="Arial"/>
        </w:rPr>
      </w:pPr>
      <w:r w:rsidRPr="004D375C">
        <w:rPr>
          <w:rFonts w:ascii="Arial" w:hAnsi="Arial" w:cs="Arial"/>
        </w:rPr>
        <w:t>I would like to express my profound appreciation to my supervisor, F</w:t>
      </w:r>
      <w:r>
        <w:rPr>
          <w:rFonts w:ascii="Arial" w:hAnsi="Arial" w:cs="Arial"/>
        </w:rPr>
        <w:t>arah Wiita</w:t>
      </w:r>
      <w:r w:rsidRPr="004D375C">
        <w:rPr>
          <w:rFonts w:ascii="Arial" w:hAnsi="Arial" w:cs="Arial"/>
        </w:rPr>
        <w:t>, for her indispensable guidance, encouragement, and constructive feedback during the development of this dissertation. Her expertise and assistance have been essential in narrowing my research focus and executing this project to the best of my ability.</w:t>
      </w:r>
    </w:p>
    <w:p w14:paraId="7E5512DD" w14:textId="77777777" w:rsidR="004D375C" w:rsidRDefault="004D375C" w:rsidP="004D375C">
      <w:pPr>
        <w:spacing w:after="158" w:line="360" w:lineRule="auto"/>
        <w:rPr>
          <w:rFonts w:ascii="Arial" w:hAnsi="Arial" w:cs="Arial"/>
        </w:rPr>
      </w:pPr>
      <w:r w:rsidRPr="004D375C">
        <w:rPr>
          <w:rFonts w:ascii="Arial" w:hAnsi="Arial" w:cs="Arial"/>
        </w:rPr>
        <w:t>I am grateful of my family, whose constant encouragement, patience, and understanding equipped me with the strength and motivation to finalise this project. Their support has provided inspiration and balance throughout the challenges of the research and writing process.</w:t>
      </w:r>
      <w:r w:rsidRPr="004D375C">
        <w:rPr>
          <w:rFonts w:ascii="Arial" w:hAnsi="Arial" w:cs="Arial"/>
        </w:rPr>
        <w:br/>
        <w:t>I would like to express my gratitude to my employer for providing the flexibility and time necessary for my complete dedication to this dissertation. Their understanding and support allowed me to balance my professional responsibilities with my educational goals.</w:t>
      </w:r>
    </w:p>
    <w:p w14:paraId="00EAA124" w14:textId="45919D87" w:rsidR="004D375C" w:rsidRPr="004D375C" w:rsidRDefault="004D375C" w:rsidP="004D375C">
      <w:pPr>
        <w:spacing w:after="158" w:line="360" w:lineRule="auto"/>
        <w:rPr>
          <w:rFonts w:ascii="Arial" w:hAnsi="Arial" w:cs="Arial"/>
        </w:rPr>
      </w:pPr>
      <w:r w:rsidRPr="004D375C">
        <w:rPr>
          <w:rFonts w:ascii="Arial" w:hAnsi="Arial" w:cs="Arial"/>
        </w:rPr>
        <w:br/>
        <w:t>This dissertation could not have been accomplished without the collective support of those acknowledged above, and I am truly thankful for their contributions to my academic journey.</w:t>
      </w:r>
    </w:p>
    <w:p w14:paraId="15AB4E17" w14:textId="77777777" w:rsidR="004D375C" w:rsidRPr="004D375C" w:rsidRDefault="004D375C" w:rsidP="004D375C">
      <w:pPr>
        <w:spacing w:after="158"/>
        <w:rPr>
          <w:rFonts w:asciiTheme="minorBidi" w:hAnsiTheme="minorBidi"/>
        </w:rPr>
      </w:pPr>
    </w:p>
    <w:p w14:paraId="6F4F74AD" w14:textId="2845249D" w:rsidR="009F64C5" w:rsidRPr="007F1C8A" w:rsidRDefault="009F64C5" w:rsidP="00715BD9">
      <w:pPr>
        <w:spacing w:after="158"/>
        <w:rPr>
          <w:rFonts w:asciiTheme="minorBidi" w:hAnsiTheme="minorBidi"/>
        </w:rPr>
      </w:pPr>
      <w:r w:rsidRPr="007F1C8A">
        <w:rPr>
          <w:rFonts w:asciiTheme="minorBidi" w:hAnsiTheme="minorBidi"/>
        </w:rPr>
        <w:br w:type="page"/>
      </w:r>
    </w:p>
    <w:p w14:paraId="563C12D9" w14:textId="42A94F60" w:rsidR="009F64C5" w:rsidRPr="00663382" w:rsidRDefault="009F64C5" w:rsidP="00663382">
      <w:pPr>
        <w:pStyle w:val="Heading1"/>
        <w:spacing w:line="360" w:lineRule="auto"/>
        <w:rPr>
          <w:rFonts w:ascii="Arial" w:hAnsi="Arial" w:cs="Arial"/>
        </w:rPr>
      </w:pPr>
      <w:bookmarkStart w:id="1" w:name="_Toc210677340"/>
      <w:r w:rsidRPr="00663382">
        <w:rPr>
          <w:rFonts w:ascii="Arial" w:hAnsi="Arial" w:cs="Arial"/>
        </w:rPr>
        <w:lastRenderedPageBreak/>
        <w:t>Abstract</w:t>
      </w:r>
      <w:bookmarkEnd w:id="1"/>
    </w:p>
    <w:p w14:paraId="424404C4" w14:textId="77777777" w:rsidR="00FE0AE5" w:rsidRDefault="00FE0AE5" w:rsidP="00FE0AE5"/>
    <w:p w14:paraId="29F7760E" w14:textId="3AF002C1" w:rsidR="00A82F0A" w:rsidRDefault="00A82F0A" w:rsidP="00A82F0A">
      <w:pPr>
        <w:spacing w:line="360" w:lineRule="auto"/>
        <w:rPr>
          <w:rFonts w:ascii="Arial" w:hAnsi="Arial" w:cs="Arial"/>
        </w:rPr>
      </w:pPr>
      <w:r w:rsidRPr="00A82F0A">
        <w:rPr>
          <w:rFonts w:ascii="Arial" w:hAnsi="Arial" w:cs="Arial"/>
        </w:rPr>
        <w:t>Dementia is a progressive neurological disorder impacting nearly one million individuals in the UK, with prevalence anticipated to increase substantially in the forthcoming decades. Although national policies have emphasised early detection, the psychological effects of early versus late diagnosis continue to be disputed. This dissertation examined</w:t>
      </w:r>
      <w:r>
        <w:rPr>
          <w:rFonts w:ascii="Arial" w:hAnsi="Arial" w:cs="Arial"/>
        </w:rPr>
        <w:t xml:space="preserve"> the question: </w:t>
      </w:r>
      <w:r w:rsidRPr="00A82F0A">
        <w:rPr>
          <w:rFonts w:ascii="Arial" w:hAnsi="Arial" w:cs="Arial"/>
          <w:i/>
          <w:iCs/>
        </w:rPr>
        <w:t>What is the impact of early diagnosis and intervention on the mental health outcomes of people living with dementia in the UK?</w:t>
      </w:r>
      <w:r w:rsidRPr="00A82F0A">
        <w:rPr>
          <w:rFonts w:ascii="Arial" w:hAnsi="Arial" w:cs="Arial"/>
        </w:rPr>
        <w:t xml:space="preserve"> The explicit objectives were to investigate the impact of diagnostic timing on anxiety, depression, and wellbeing; to identify barriers and facilitators to intervention adoption; and to assess the importance of post-diagnostic support.</w:t>
      </w:r>
    </w:p>
    <w:p w14:paraId="467BF0AF" w14:textId="2A6FAABB" w:rsidR="00A82F0A" w:rsidRDefault="00A82F0A" w:rsidP="00A82F0A">
      <w:pPr>
        <w:spacing w:line="360" w:lineRule="auto"/>
        <w:rPr>
          <w:rFonts w:ascii="Arial" w:hAnsi="Arial" w:cs="Arial"/>
        </w:rPr>
      </w:pPr>
      <w:r w:rsidRPr="00A82F0A">
        <w:rPr>
          <w:rFonts w:ascii="Arial" w:hAnsi="Arial" w:cs="Arial"/>
        </w:rPr>
        <w:t>A systematic review was performed following the PRISMA 2020 guidelines. Research was conducted across the PubMed, Cochrane Library, UWTSD Library databases, and Google Scholar. Ten peer-reviewed articles published from 2010 to 2024 were included. Data has been imported into Microsoft Excel and analysed thematically utilising the framework established by Thomas and Harden (2008). A PRISMA flow diagram was generated in Canva to depict the screening and selection procedure.</w:t>
      </w:r>
    </w:p>
    <w:p w14:paraId="74788DD3" w14:textId="1EE78E6A" w:rsidR="007B6506" w:rsidRDefault="007B6506" w:rsidP="007B6506">
      <w:pPr>
        <w:spacing w:line="360" w:lineRule="auto"/>
        <w:rPr>
          <w:rFonts w:ascii="Arial" w:hAnsi="Arial" w:cs="Arial"/>
        </w:rPr>
      </w:pPr>
      <w:r w:rsidRPr="007B6506">
        <w:rPr>
          <w:rFonts w:ascii="Arial" w:hAnsi="Arial" w:cs="Arial"/>
        </w:rPr>
        <w:t>The review identified four principal themes:</w:t>
      </w:r>
      <w:r>
        <w:rPr>
          <w:rFonts w:ascii="Arial" w:hAnsi="Arial" w:cs="Arial"/>
        </w:rPr>
        <w:t xml:space="preserve"> a</w:t>
      </w:r>
      <w:r w:rsidRPr="00A866E8">
        <w:rPr>
          <w:rFonts w:ascii="Arial" w:hAnsi="Arial" w:cs="Arial"/>
        </w:rPr>
        <w:t xml:space="preserve">djustment to diagnosis and emotional responses, </w:t>
      </w:r>
      <w:r>
        <w:rPr>
          <w:rFonts w:ascii="Arial" w:hAnsi="Arial" w:cs="Arial"/>
        </w:rPr>
        <w:t>o</w:t>
      </w:r>
      <w:r w:rsidRPr="00A866E8">
        <w:rPr>
          <w:rFonts w:ascii="Arial" w:hAnsi="Arial" w:cs="Arial"/>
        </w:rPr>
        <w:t xml:space="preserve">bstacles and facilitators to intervention acceptance, </w:t>
      </w:r>
      <w:r>
        <w:rPr>
          <w:rFonts w:ascii="Arial" w:hAnsi="Arial" w:cs="Arial"/>
        </w:rPr>
        <w:t>p</w:t>
      </w:r>
      <w:r w:rsidRPr="00A866E8">
        <w:rPr>
          <w:rFonts w:ascii="Arial" w:hAnsi="Arial" w:cs="Arial"/>
        </w:rPr>
        <w:t xml:space="preserve">ost-diagnostic support and service provision and </w:t>
      </w:r>
      <w:r>
        <w:rPr>
          <w:rFonts w:ascii="Arial" w:hAnsi="Arial" w:cs="Arial"/>
        </w:rPr>
        <w:t>r</w:t>
      </w:r>
      <w:r w:rsidRPr="00A866E8">
        <w:rPr>
          <w:rFonts w:ascii="Arial" w:hAnsi="Arial" w:cs="Arial"/>
        </w:rPr>
        <w:t>elational and social variables</w:t>
      </w:r>
      <w:r w:rsidRPr="007B6506">
        <w:rPr>
          <w:rFonts w:ascii="Arial" w:hAnsi="Arial" w:cs="Arial"/>
        </w:rPr>
        <w:t>. Research demonstrated that early diagnosis could offer relief and planning opportunities, yet it can increase distress in the absence of organised support. Delayed diagnosis was consistently linked to poorer mental health outcomes and limited access to interventions. Family participation, accessibility, and culturally orientated post-diagnostic services were crucial in influencing outcomes.</w:t>
      </w:r>
    </w:p>
    <w:p w14:paraId="442EDB49" w14:textId="1E4A8BF7" w:rsidR="00FE0AE5" w:rsidRDefault="007B6506" w:rsidP="007B6506">
      <w:pPr>
        <w:spacing w:line="360" w:lineRule="auto"/>
        <w:rPr>
          <w:rFonts w:ascii="Arial" w:hAnsi="Arial" w:cs="Arial"/>
        </w:rPr>
      </w:pPr>
      <w:r w:rsidRPr="007B6506">
        <w:rPr>
          <w:rFonts w:ascii="Arial" w:hAnsi="Arial" w:cs="Arial"/>
        </w:rPr>
        <w:t>In conclusion, early diagnosis improves mental health outcomes only when integrated into comprehensive and personalised support systems. The study highlights the necessity for dementia policy to progress beyond diagnostic objectives to guarantee equity, continuity, and quality of care. Limitations include dependence on secondary data and studies conducted in the English language. Future research should examine groups with cultural differences and assess innovative post-diagnostic interventions to improve support for individuals living with dementia.</w:t>
      </w:r>
    </w:p>
    <w:p w14:paraId="661502A9" w14:textId="77777777" w:rsidR="007B6506" w:rsidRPr="007B6506" w:rsidRDefault="007B6506" w:rsidP="007B6506">
      <w:pPr>
        <w:spacing w:line="360" w:lineRule="auto"/>
        <w:rPr>
          <w:rFonts w:ascii="Arial" w:hAnsi="Arial" w:cs="Arial"/>
        </w:rPr>
      </w:pPr>
    </w:p>
    <w:p w14:paraId="7EE39F39" w14:textId="77777777" w:rsidR="00FE0AE5" w:rsidRPr="00FE0AE5" w:rsidRDefault="00FE0AE5" w:rsidP="00FE0AE5"/>
    <w:p w14:paraId="59ABEE5D" w14:textId="77777777" w:rsidR="009F64C5" w:rsidRPr="007F1C8A" w:rsidRDefault="009F64C5">
      <w:pPr>
        <w:spacing w:after="158"/>
        <w:rPr>
          <w:rFonts w:asciiTheme="minorBidi" w:hAnsiTheme="minorBidi"/>
        </w:rPr>
      </w:pPr>
      <w:r w:rsidRPr="007F1C8A">
        <w:rPr>
          <w:rFonts w:asciiTheme="minorBidi" w:hAnsiTheme="minorBidi"/>
        </w:rPr>
        <w:t xml:space="preserve"> </w:t>
      </w:r>
    </w:p>
    <w:sdt>
      <w:sdtPr>
        <w:rPr>
          <w:rFonts w:asciiTheme="minorHAnsi" w:eastAsiaTheme="minorEastAsia" w:hAnsiTheme="minorHAnsi" w:cstheme="minorBidi"/>
          <w:color w:val="auto"/>
          <w:kern w:val="2"/>
          <w:sz w:val="22"/>
          <w:szCs w:val="22"/>
          <w:lang w:val="en-GB" w:eastAsia="zh-CN"/>
          <w14:ligatures w14:val="standardContextual"/>
        </w:rPr>
        <w:id w:val="-2113264727"/>
        <w:docPartObj>
          <w:docPartGallery w:val="Table of Contents"/>
          <w:docPartUnique/>
        </w:docPartObj>
      </w:sdtPr>
      <w:sdtEndPr>
        <w:rPr>
          <w:b/>
          <w:bCs/>
          <w:noProof/>
        </w:rPr>
      </w:sdtEndPr>
      <w:sdtContent>
        <w:p w14:paraId="4E3BC222" w14:textId="086D902A" w:rsidR="009D4F41" w:rsidRPr="009D6961" w:rsidRDefault="009D4F41">
          <w:pPr>
            <w:pStyle w:val="TOCHeading"/>
            <w:rPr>
              <w:rFonts w:ascii="Arial" w:hAnsi="Arial" w:cs="Arial"/>
              <w:b/>
              <w:bCs/>
              <w:color w:val="auto"/>
              <w:sz w:val="28"/>
              <w:szCs w:val="28"/>
            </w:rPr>
          </w:pPr>
          <w:r w:rsidRPr="009D6961">
            <w:rPr>
              <w:rFonts w:ascii="Arial" w:hAnsi="Arial" w:cs="Arial"/>
              <w:b/>
              <w:bCs/>
              <w:color w:val="auto"/>
              <w:sz w:val="28"/>
              <w:szCs w:val="28"/>
            </w:rPr>
            <w:t>Table of Contents</w:t>
          </w:r>
        </w:p>
        <w:p w14:paraId="11225617" w14:textId="55E8C286" w:rsidR="00CE2BC0" w:rsidRDefault="009D4F41">
          <w:pPr>
            <w:pStyle w:val="TOC1"/>
            <w:tabs>
              <w:tab w:val="right" w:leader="dot" w:pos="9016"/>
            </w:tabs>
            <w:rPr>
              <w:rFonts w:asciiTheme="minorHAnsi" w:eastAsiaTheme="minorEastAsia" w:hAnsiTheme="minorHAnsi" w:cstheme="minorBidi"/>
              <w:noProof/>
              <w:color w:val="auto"/>
              <w:szCs w:val="24"/>
              <w:lang w:eastAsia="en-GB"/>
            </w:rPr>
          </w:pPr>
          <w:r>
            <w:fldChar w:fldCharType="begin"/>
          </w:r>
          <w:r>
            <w:instrText xml:space="preserve"> TOC \o "1-3" \h \z \u </w:instrText>
          </w:r>
          <w:r>
            <w:fldChar w:fldCharType="separate"/>
          </w:r>
          <w:hyperlink w:anchor="_Toc210677339" w:history="1">
            <w:r w:rsidR="00CE2BC0" w:rsidRPr="00FE1C4C">
              <w:rPr>
                <w:rStyle w:val="Hyperlink"/>
                <w:rFonts w:ascii="Arial" w:hAnsi="Arial" w:cs="Arial"/>
                <w:noProof/>
              </w:rPr>
              <w:t>Acknowledgements</w:t>
            </w:r>
            <w:r w:rsidR="00CE2BC0">
              <w:rPr>
                <w:noProof/>
                <w:webHidden/>
              </w:rPr>
              <w:tab/>
            </w:r>
            <w:r w:rsidR="00CE2BC0">
              <w:rPr>
                <w:noProof/>
                <w:webHidden/>
              </w:rPr>
              <w:fldChar w:fldCharType="begin"/>
            </w:r>
            <w:r w:rsidR="00CE2BC0">
              <w:rPr>
                <w:noProof/>
                <w:webHidden/>
              </w:rPr>
              <w:instrText xml:space="preserve"> PAGEREF _Toc210677339 \h </w:instrText>
            </w:r>
            <w:r w:rsidR="00CE2BC0">
              <w:rPr>
                <w:noProof/>
                <w:webHidden/>
              </w:rPr>
            </w:r>
            <w:r w:rsidR="00CE2BC0">
              <w:rPr>
                <w:noProof/>
                <w:webHidden/>
              </w:rPr>
              <w:fldChar w:fldCharType="separate"/>
            </w:r>
            <w:r w:rsidR="00CE2BC0">
              <w:rPr>
                <w:noProof/>
                <w:webHidden/>
              </w:rPr>
              <w:t>3</w:t>
            </w:r>
            <w:r w:rsidR="00CE2BC0">
              <w:rPr>
                <w:noProof/>
                <w:webHidden/>
              </w:rPr>
              <w:fldChar w:fldCharType="end"/>
            </w:r>
          </w:hyperlink>
        </w:p>
        <w:p w14:paraId="6D4D7A28" w14:textId="62BBDB1C"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340" w:history="1">
            <w:r w:rsidRPr="00FE1C4C">
              <w:rPr>
                <w:rStyle w:val="Hyperlink"/>
                <w:rFonts w:ascii="Arial" w:hAnsi="Arial" w:cs="Arial"/>
                <w:noProof/>
              </w:rPr>
              <w:t>Abstract</w:t>
            </w:r>
            <w:r>
              <w:rPr>
                <w:noProof/>
                <w:webHidden/>
              </w:rPr>
              <w:tab/>
            </w:r>
            <w:r>
              <w:rPr>
                <w:noProof/>
                <w:webHidden/>
              </w:rPr>
              <w:fldChar w:fldCharType="begin"/>
            </w:r>
            <w:r>
              <w:rPr>
                <w:noProof/>
                <w:webHidden/>
              </w:rPr>
              <w:instrText xml:space="preserve"> PAGEREF _Toc210677340 \h </w:instrText>
            </w:r>
            <w:r>
              <w:rPr>
                <w:noProof/>
                <w:webHidden/>
              </w:rPr>
            </w:r>
            <w:r>
              <w:rPr>
                <w:noProof/>
                <w:webHidden/>
              </w:rPr>
              <w:fldChar w:fldCharType="separate"/>
            </w:r>
            <w:r>
              <w:rPr>
                <w:noProof/>
                <w:webHidden/>
              </w:rPr>
              <w:t>4</w:t>
            </w:r>
            <w:r>
              <w:rPr>
                <w:noProof/>
                <w:webHidden/>
              </w:rPr>
              <w:fldChar w:fldCharType="end"/>
            </w:r>
          </w:hyperlink>
        </w:p>
        <w:p w14:paraId="50544D83" w14:textId="163F90B8"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341" w:history="1">
            <w:r w:rsidRPr="00FE1C4C">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_Toc210677341 \h </w:instrText>
            </w:r>
            <w:r>
              <w:rPr>
                <w:noProof/>
                <w:webHidden/>
              </w:rPr>
            </w:r>
            <w:r>
              <w:rPr>
                <w:noProof/>
                <w:webHidden/>
              </w:rPr>
              <w:fldChar w:fldCharType="separate"/>
            </w:r>
            <w:r>
              <w:rPr>
                <w:noProof/>
                <w:webHidden/>
              </w:rPr>
              <w:t>7</w:t>
            </w:r>
            <w:r>
              <w:rPr>
                <w:noProof/>
                <w:webHidden/>
              </w:rPr>
              <w:fldChar w:fldCharType="end"/>
            </w:r>
          </w:hyperlink>
        </w:p>
        <w:p w14:paraId="4D2E7387" w14:textId="47A1819C"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342" w:history="1">
            <w:r w:rsidRPr="00FE1C4C">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_Toc210677342 \h </w:instrText>
            </w:r>
            <w:r>
              <w:rPr>
                <w:noProof/>
                <w:webHidden/>
              </w:rPr>
            </w:r>
            <w:r>
              <w:rPr>
                <w:noProof/>
                <w:webHidden/>
              </w:rPr>
              <w:fldChar w:fldCharType="separate"/>
            </w:r>
            <w:r>
              <w:rPr>
                <w:noProof/>
                <w:webHidden/>
              </w:rPr>
              <w:t>7</w:t>
            </w:r>
            <w:r>
              <w:rPr>
                <w:noProof/>
                <w:webHidden/>
              </w:rPr>
              <w:fldChar w:fldCharType="end"/>
            </w:r>
          </w:hyperlink>
        </w:p>
        <w:p w14:paraId="0A12F330" w14:textId="0F897E6E"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343" w:history="1">
            <w:r w:rsidRPr="00FE1C4C">
              <w:rPr>
                <w:rStyle w:val="Hyperlink"/>
                <w:rFonts w:ascii="Arial" w:hAnsi="Arial" w:cs="Arial"/>
                <w:noProof/>
              </w:rPr>
              <w:t>List of Abbreviations</w:t>
            </w:r>
            <w:r>
              <w:rPr>
                <w:noProof/>
                <w:webHidden/>
              </w:rPr>
              <w:tab/>
            </w:r>
            <w:r>
              <w:rPr>
                <w:noProof/>
                <w:webHidden/>
              </w:rPr>
              <w:fldChar w:fldCharType="begin"/>
            </w:r>
            <w:r>
              <w:rPr>
                <w:noProof/>
                <w:webHidden/>
              </w:rPr>
              <w:instrText xml:space="preserve"> PAGEREF _Toc210677343 \h </w:instrText>
            </w:r>
            <w:r>
              <w:rPr>
                <w:noProof/>
                <w:webHidden/>
              </w:rPr>
            </w:r>
            <w:r>
              <w:rPr>
                <w:noProof/>
                <w:webHidden/>
              </w:rPr>
              <w:fldChar w:fldCharType="separate"/>
            </w:r>
            <w:r>
              <w:rPr>
                <w:noProof/>
                <w:webHidden/>
              </w:rPr>
              <w:t>8</w:t>
            </w:r>
            <w:r>
              <w:rPr>
                <w:noProof/>
                <w:webHidden/>
              </w:rPr>
              <w:fldChar w:fldCharType="end"/>
            </w:r>
          </w:hyperlink>
        </w:p>
        <w:p w14:paraId="1408368E" w14:textId="030FDFD1"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344" w:history="1">
            <w:r w:rsidRPr="00FE1C4C">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_Toc210677344 \h </w:instrText>
            </w:r>
            <w:r>
              <w:rPr>
                <w:noProof/>
                <w:webHidden/>
              </w:rPr>
            </w:r>
            <w:r>
              <w:rPr>
                <w:noProof/>
                <w:webHidden/>
              </w:rPr>
              <w:fldChar w:fldCharType="separate"/>
            </w:r>
            <w:r>
              <w:rPr>
                <w:noProof/>
                <w:webHidden/>
              </w:rPr>
              <w:t>9</w:t>
            </w:r>
            <w:r>
              <w:rPr>
                <w:noProof/>
                <w:webHidden/>
              </w:rPr>
              <w:fldChar w:fldCharType="end"/>
            </w:r>
          </w:hyperlink>
        </w:p>
        <w:p w14:paraId="1A21AF51" w14:textId="038F41FC" w:rsidR="00CE2BC0" w:rsidRDefault="00CE2BC0">
          <w:pPr>
            <w:pStyle w:val="TOC2"/>
            <w:tabs>
              <w:tab w:val="right" w:leader="dot" w:pos="9016"/>
            </w:tabs>
            <w:rPr>
              <w:noProof/>
              <w:sz w:val="24"/>
              <w:szCs w:val="24"/>
              <w:lang w:eastAsia="en-GB"/>
            </w:rPr>
          </w:pPr>
          <w:hyperlink w:anchor="_Toc210677345" w:history="1">
            <w:r w:rsidRPr="00FE1C4C">
              <w:rPr>
                <w:rStyle w:val="Hyperlink"/>
                <w:rFonts w:ascii="Arial" w:hAnsi="Arial" w:cs="Arial"/>
                <w:noProof/>
              </w:rPr>
              <w:t>1.1 Choosing the Research Topic</w:t>
            </w:r>
            <w:r>
              <w:rPr>
                <w:noProof/>
                <w:webHidden/>
              </w:rPr>
              <w:tab/>
            </w:r>
            <w:r>
              <w:rPr>
                <w:noProof/>
                <w:webHidden/>
              </w:rPr>
              <w:fldChar w:fldCharType="begin"/>
            </w:r>
            <w:r>
              <w:rPr>
                <w:noProof/>
                <w:webHidden/>
              </w:rPr>
              <w:instrText xml:space="preserve"> PAGEREF _Toc210677345 \h </w:instrText>
            </w:r>
            <w:r>
              <w:rPr>
                <w:noProof/>
                <w:webHidden/>
              </w:rPr>
            </w:r>
            <w:r>
              <w:rPr>
                <w:noProof/>
                <w:webHidden/>
              </w:rPr>
              <w:fldChar w:fldCharType="separate"/>
            </w:r>
            <w:r>
              <w:rPr>
                <w:noProof/>
                <w:webHidden/>
              </w:rPr>
              <w:t>9</w:t>
            </w:r>
            <w:r>
              <w:rPr>
                <w:noProof/>
                <w:webHidden/>
              </w:rPr>
              <w:fldChar w:fldCharType="end"/>
            </w:r>
          </w:hyperlink>
        </w:p>
        <w:p w14:paraId="194F8614" w14:textId="05AC9111" w:rsidR="00CE2BC0" w:rsidRDefault="00CE2BC0">
          <w:pPr>
            <w:pStyle w:val="TOC2"/>
            <w:tabs>
              <w:tab w:val="right" w:leader="dot" w:pos="9016"/>
            </w:tabs>
            <w:rPr>
              <w:noProof/>
              <w:sz w:val="24"/>
              <w:szCs w:val="24"/>
              <w:lang w:eastAsia="en-GB"/>
            </w:rPr>
          </w:pPr>
          <w:hyperlink w:anchor="_Toc210677346" w:history="1">
            <w:r w:rsidRPr="00FE1C4C">
              <w:rPr>
                <w:rStyle w:val="Hyperlink"/>
                <w:rFonts w:ascii="Arial" w:hAnsi="Arial" w:cs="Arial"/>
                <w:noProof/>
              </w:rPr>
              <w:t>1.2 Background and Context</w:t>
            </w:r>
            <w:r>
              <w:rPr>
                <w:noProof/>
                <w:webHidden/>
              </w:rPr>
              <w:tab/>
            </w:r>
            <w:r>
              <w:rPr>
                <w:noProof/>
                <w:webHidden/>
              </w:rPr>
              <w:fldChar w:fldCharType="begin"/>
            </w:r>
            <w:r>
              <w:rPr>
                <w:noProof/>
                <w:webHidden/>
              </w:rPr>
              <w:instrText xml:space="preserve"> PAGEREF _Toc210677346 \h </w:instrText>
            </w:r>
            <w:r>
              <w:rPr>
                <w:noProof/>
                <w:webHidden/>
              </w:rPr>
            </w:r>
            <w:r>
              <w:rPr>
                <w:noProof/>
                <w:webHidden/>
              </w:rPr>
              <w:fldChar w:fldCharType="separate"/>
            </w:r>
            <w:r>
              <w:rPr>
                <w:noProof/>
                <w:webHidden/>
              </w:rPr>
              <w:t>9</w:t>
            </w:r>
            <w:r>
              <w:rPr>
                <w:noProof/>
                <w:webHidden/>
              </w:rPr>
              <w:fldChar w:fldCharType="end"/>
            </w:r>
          </w:hyperlink>
        </w:p>
        <w:p w14:paraId="1AD763F7" w14:textId="3B4FEE77" w:rsidR="00CE2BC0" w:rsidRDefault="00CE2BC0">
          <w:pPr>
            <w:pStyle w:val="TOC2"/>
            <w:tabs>
              <w:tab w:val="right" w:leader="dot" w:pos="9016"/>
            </w:tabs>
            <w:rPr>
              <w:noProof/>
              <w:sz w:val="24"/>
              <w:szCs w:val="24"/>
              <w:lang w:eastAsia="en-GB"/>
            </w:rPr>
          </w:pPr>
          <w:hyperlink w:anchor="_Toc210677347" w:history="1">
            <w:r w:rsidRPr="00FE1C4C">
              <w:rPr>
                <w:rStyle w:val="Hyperlink"/>
                <w:rFonts w:ascii="Arial" w:hAnsi="Arial" w:cs="Arial"/>
                <w:noProof/>
              </w:rPr>
              <w:t>1.3 The Current State of Research</w:t>
            </w:r>
            <w:r>
              <w:rPr>
                <w:noProof/>
                <w:webHidden/>
              </w:rPr>
              <w:tab/>
            </w:r>
            <w:r>
              <w:rPr>
                <w:noProof/>
                <w:webHidden/>
              </w:rPr>
              <w:fldChar w:fldCharType="begin"/>
            </w:r>
            <w:r>
              <w:rPr>
                <w:noProof/>
                <w:webHidden/>
              </w:rPr>
              <w:instrText xml:space="preserve"> PAGEREF _Toc210677347 \h </w:instrText>
            </w:r>
            <w:r>
              <w:rPr>
                <w:noProof/>
                <w:webHidden/>
              </w:rPr>
            </w:r>
            <w:r>
              <w:rPr>
                <w:noProof/>
                <w:webHidden/>
              </w:rPr>
              <w:fldChar w:fldCharType="separate"/>
            </w:r>
            <w:r>
              <w:rPr>
                <w:noProof/>
                <w:webHidden/>
              </w:rPr>
              <w:t>10</w:t>
            </w:r>
            <w:r>
              <w:rPr>
                <w:noProof/>
                <w:webHidden/>
              </w:rPr>
              <w:fldChar w:fldCharType="end"/>
            </w:r>
          </w:hyperlink>
        </w:p>
        <w:p w14:paraId="5422C522" w14:textId="27DB09E8" w:rsidR="00CE2BC0" w:rsidRDefault="00CE2BC0">
          <w:pPr>
            <w:pStyle w:val="TOC2"/>
            <w:tabs>
              <w:tab w:val="right" w:leader="dot" w:pos="9016"/>
            </w:tabs>
            <w:rPr>
              <w:noProof/>
              <w:sz w:val="24"/>
              <w:szCs w:val="24"/>
              <w:lang w:eastAsia="en-GB"/>
            </w:rPr>
          </w:pPr>
          <w:hyperlink w:anchor="_Toc210677348" w:history="1">
            <w:r w:rsidRPr="00FE1C4C">
              <w:rPr>
                <w:rStyle w:val="Hyperlink"/>
                <w:rFonts w:ascii="Arial" w:hAnsi="Arial" w:cs="Arial"/>
                <w:noProof/>
              </w:rPr>
              <w:t>1.4 Narrowing the Focus</w:t>
            </w:r>
            <w:r>
              <w:rPr>
                <w:noProof/>
                <w:webHidden/>
              </w:rPr>
              <w:tab/>
            </w:r>
            <w:r>
              <w:rPr>
                <w:noProof/>
                <w:webHidden/>
              </w:rPr>
              <w:fldChar w:fldCharType="begin"/>
            </w:r>
            <w:r>
              <w:rPr>
                <w:noProof/>
                <w:webHidden/>
              </w:rPr>
              <w:instrText xml:space="preserve"> PAGEREF _Toc210677348 \h </w:instrText>
            </w:r>
            <w:r>
              <w:rPr>
                <w:noProof/>
                <w:webHidden/>
              </w:rPr>
            </w:r>
            <w:r>
              <w:rPr>
                <w:noProof/>
                <w:webHidden/>
              </w:rPr>
              <w:fldChar w:fldCharType="separate"/>
            </w:r>
            <w:r>
              <w:rPr>
                <w:noProof/>
                <w:webHidden/>
              </w:rPr>
              <w:t>10</w:t>
            </w:r>
            <w:r>
              <w:rPr>
                <w:noProof/>
                <w:webHidden/>
              </w:rPr>
              <w:fldChar w:fldCharType="end"/>
            </w:r>
          </w:hyperlink>
        </w:p>
        <w:p w14:paraId="54F1915A" w14:textId="3FB3E482" w:rsidR="00CE2BC0" w:rsidRDefault="00CE2BC0">
          <w:pPr>
            <w:pStyle w:val="TOC2"/>
            <w:tabs>
              <w:tab w:val="right" w:leader="dot" w:pos="9016"/>
            </w:tabs>
            <w:rPr>
              <w:noProof/>
              <w:sz w:val="24"/>
              <w:szCs w:val="24"/>
              <w:lang w:eastAsia="en-GB"/>
            </w:rPr>
          </w:pPr>
          <w:hyperlink w:anchor="_Toc210677349" w:history="1">
            <w:r w:rsidRPr="00FE1C4C">
              <w:rPr>
                <w:rStyle w:val="Hyperlink"/>
                <w:rFonts w:ascii="Arial" w:hAnsi="Arial" w:cs="Arial"/>
                <w:noProof/>
              </w:rPr>
              <w:t>1.5 Research Question and Objectives</w:t>
            </w:r>
            <w:r>
              <w:rPr>
                <w:noProof/>
                <w:webHidden/>
              </w:rPr>
              <w:tab/>
            </w:r>
            <w:r>
              <w:rPr>
                <w:noProof/>
                <w:webHidden/>
              </w:rPr>
              <w:fldChar w:fldCharType="begin"/>
            </w:r>
            <w:r>
              <w:rPr>
                <w:noProof/>
                <w:webHidden/>
              </w:rPr>
              <w:instrText xml:space="preserve"> PAGEREF _Toc210677349 \h </w:instrText>
            </w:r>
            <w:r>
              <w:rPr>
                <w:noProof/>
                <w:webHidden/>
              </w:rPr>
            </w:r>
            <w:r>
              <w:rPr>
                <w:noProof/>
                <w:webHidden/>
              </w:rPr>
              <w:fldChar w:fldCharType="separate"/>
            </w:r>
            <w:r>
              <w:rPr>
                <w:noProof/>
                <w:webHidden/>
              </w:rPr>
              <w:t>11</w:t>
            </w:r>
            <w:r>
              <w:rPr>
                <w:noProof/>
                <w:webHidden/>
              </w:rPr>
              <w:fldChar w:fldCharType="end"/>
            </w:r>
          </w:hyperlink>
        </w:p>
        <w:p w14:paraId="52620807" w14:textId="33D5ADA4" w:rsidR="00CE2BC0" w:rsidRDefault="00CE2BC0">
          <w:pPr>
            <w:pStyle w:val="TOC2"/>
            <w:tabs>
              <w:tab w:val="right" w:leader="dot" w:pos="9016"/>
            </w:tabs>
            <w:rPr>
              <w:noProof/>
              <w:sz w:val="24"/>
              <w:szCs w:val="24"/>
              <w:lang w:eastAsia="en-GB"/>
            </w:rPr>
          </w:pPr>
          <w:hyperlink w:anchor="_Toc210677350" w:history="1">
            <w:r w:rsidRPr="00FE1C4C">
              <w:rPr>
                <w:rStyle w:val="Hyperlink"/>
                <w:rFonts w:ascii="Arial" w:hAnsi="Arial" w:cs="Arial"/>
                <w:noProof/>
              </w:rPr>
              <w:t>1.6 Relevance and Justification</w:t>
            </w:r>
            <w:r>
              <w:rPr>
                <w:noProof/>
                <w:webHidden/>
              </w:rPr>
              <w:tab/>
            </w:r>
            <w:r>
              <w:rPr>
                <w:noProof/>
                <w:webHidden/>
              </w:rPr>
              <w:fldChar w:fldCharType="begin"/>
            </w:r>
            <w:r>
              <w:rPr>
                <w:noProof/>
                <w:webHidden/>
              </w:rPr>
              <w:instrText xml:space="preserve"> PAGEREF _Toc210677350 \h </w:instrText>
            </w:r>
            <w:r>
              <w:rPr>
                <w:noProof/>
                <w:webHidden/>
              </w:rPr>
            </w:r>
            <w:r>
              <w:rPr>
                <w:noProof/>
                <w:webHidden/>
              </w:rPr>
              <w:fldChar w:fldCharType="separate"/>
            </w:r>
            <w:r>
              <w:rPr>
                <w:noProof/>
                <w:webHidden/>
              </w:rPr>
              <w:t>11</w:t>
            </w:r>
            <w:r>
              <w:rPr>
                <w:noProof/>
                <w:webHidden/>
              </w:rPr>
              <w:fldChar w:fldCharType="end"/>
            </w:r>
          </w:hyperlink>
        </w:p>
        <w:p w14:paraId="15DAE8AF" w14:textId="08C971EE" w:rsidR="00CE2BC0" w:rsidRDefault="00CE2BC0">
          <w:pPr>
            <w:pStyle w:val="TOC2"/>
            <w:tabs>
              <w:tab w:val="right" w:leader="dot" w:pos="9016"/>
            </w:tabs>
            <w:rPr>
              <w:noProof/>
              <w:sz w:val="24"/>
              <w:szCs w:val="24"/>
              <w:lang w:eastAsia="en-GB"/>
            </w:rPr>
          </w:pPr>
          <w:hyperlink w:anchor="_Toc210677351" w:history="1">
            <w:r w:rsidRPr="00FE1C4C">
              <w:rPr>
                <w:rStyle w:val="Hyperlink"/>
                <w:rFonts w:ascii="Arial" w:hAnsi="Arial" w:cs="Arial"/>
                <w:noProof/>
              </w:rPr>
              <w:t>1.7 Overview of the Dissertation Structure</w:t>
            </w:r>
            <w:r>
              <w:rPr>
                <w:noProof/>
                <w:webHidden/>
              </w:rPr>
              <w:tab/>
            </w:r>
            <w:r>
              <w:rPr>
                <w:noProof/>
                <w:webHidden/>
              </w:rPr>
              <w:fldChar w:fldCharType="begin"/>
            </w:r>
            <w:r>
              <w:rPr>
                <w:noProof/>
                <w:webHidden/>
              </w:rPr>
              <w:instrText xml:space="preserve"> PAGEREF _Toc210677351 \h </w:instrText>
            </w:r>
            <w:r>
              <w:rPr>
                <w:noProof/>
                <w:webHidden/>
              </w:rPr>
            </w:r>
            <w:r>
              <w:rPr>
                <w:noProof/>
                <w:webHidden/>
              </w:rPr>
              <w:fldChar w:fldCharType="separate"/>
            </w:r>
            <w:r>
              <w:rPr>
                <w:noProof/>
                <w:webHidden/>
              </w:rPr>
              <w:t>12</w:t>
            </w:r>
            <w:r>
              <w:rPr>
                <w:noProof/>
                <w:webHidden/>
              </w:rPr>
              <w:fldChar w:fldCharType="end"/>
            </w:r>
          </w:hyperlink>
        </w:p>
        <w:p w14:paraId="0A1D49E2" w14:textId="193DF2CF"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352" w:history="1">
            <w:r w:rsidRPr="00FE1C4C">
              <w:rPr>
                <w:rStyle w:val="Hyperlink"/>
                <w:rFonts w:asciiTheme="minorBidi" w:hAnsiTheme="minorBidi"/>
                <w:noProof/>
              </w:rPr>
              <w:t>Chapter 2: Literature review/theoretical framework</w:t>
            </w:r>
            <w:r>
              <w:rPr>
                <w:noProof/>
                <w:webHidden/>
              </w:rPr>
              <w:tab/>
            </w:r>
            <w:r>
              <w:rPr>
                <w:noProof/>
                <w:webHidden/>
              </w:rPr>
              <w:fldChar w:fldCharType="begin"/>
            </w:r>
            <w:r>
              <w:rPr>
                <w:noProof/>
                <w:webHidden/>
              </w:rPr>
              <w:instrText xml:space="preserve"> PAGEREF _Toc210677352 \h </w:instrText>
            </w:r>
            <w:r>
              <w:rPr>
                <w:noProof/>
                <w:webHidden/>
              </w:rPr>
            </w:r>
            <w:r>
              <w:rPr>
                <w:noProof/>
                <w:webHidden/>
              </w:rPr>
              <w:fldChar w:fldCharType="separate"/>
            </w:r>
            <w:r>
              <w:rPr>
                <w:noProof/>
                <w:webHidden/>
              </w:rPr>
              <w:t>12</w:t>
            </w:r>
            <w:r>
              <w:rPr>
                <w:noProof/>
                <w:webHidden/>
              </w:rPr>
              <w:fldChar w:fldCharType="end"/>
            </w:r>
          </w:hyperlink>
        </w:p>
        <w:p w14:paraId="20A82172" w14:textId="12B11801" w:rsidR="00CE2BC0" w:rsidRDefault="00CE2BC0">
          <w:pPr>
            <w:pStyle w:val="TOC2"/>
            <w:tabs>
              <w:tab w:val="right" w:leader="dot" w:pos="9016"/>
            </w:tabs>
            <w:rPr>
              <w:noProof/>
              <w:sz w:val="24"/>
              <w:szCs w:val="24"/>
              <w:lang w:eastAsia="en-GB"/>
            </w:rPr>
          </w:pPr>
          <w:hyperlink w:anchor="_Toc210677353" w:history="1">
            <w:r w:rsidRPr="00FE1C4C">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_Toc210677353 \h </w:instrText>
            </w:r>
            <w:r>
              <w:rPr>
                <w:noProof/>
                <w:webHidden/>
              </w:rPr>
            </w:r>
            <w:r>
              <w:rPr>
                <w:noProof/>
                <w:webHidden/>
              </w:rPr>
              <w:fldChar w:fldCharType="separate"/>
            </w:r>
            <w:r>
              <w:rPr>
                <w:noProof/>
                <w:webHidden/>
              </w:rPr>
              <w:t>12</w:t>
            </w:r>
            <w:r>
              <w:rPr>
                <w:noProof/>
                <w:webHidden/>
              </w:rPr>
              <w:fldChar w:fldCharType="end"/>
            </w:r>
          </w:hyperlink>
        </w:p>
        <w:p w14:paraId="6D17CAAF" w14:textId="2E0D9188" w:rsidR="00CE2BC0" w:rsidRDefault="00CE2BC0">
          <w:pPr>
            <w:pStyle w:val="TOC2"/>
            <w:tabs>
              <w:tab w:val="right" w:leader="dot" w:pos="9016"/>
            </w:tabs>
            <w:rPr>
              <w:noProof/>
              <w:sz w:val="24"/>
              <w:szCs w:val="24"/>
              <w:lang w:eastAsia="en-GB"/>
            </w:rPr>
          </w:pPr>
          <w:hyperlink w:anchor="_Toc210677354" w:history="1">
            <w:r w:rsidRPr="00FE1C4C">
              <w:rPr>
                <w:rStyle w:val="Hyperlink"/>
                <w:rFonts w:ascii="Arial" w:eastAsia="Arial" w:hAnsi="Arial" w:cs="Arial"/>
                <w:noProof/>
              </w:rPr>
              <w:t>2.2 Scope and Depth of Existing Research</w:t>
            </w:r>
            <w:r>
              <w:rPr>
                <w:noProof/>
                <w:webHidden/>
              </w:rPr>
              <w:tab/>
            </w:r>
            <w:r>
              <w:rPr>
                <w:noProof/>
                <w:webHidden/>
              </w:rPr>
              <w:fldChar w:fldCharType="begin"/>
            </w:r>
            <w:r>
              <w:rPr>
                <w:noProof/>
                <w:webHidden/>
              </w:rPr>
              <w:instrText xml:space="preserve"> PAGEREF _Toc210677354 \h </w:instrText>
            </w:r>
            <w:r>
              <w:rPr>
                <w:noProof/>
                <w:webHidden/>
              </w:rPr>
            </w:r>
            <w:r>
              <w:rPr>
                <w:noProof/>
                <w:webHidden/>
              </w:rPr>
              <w:fldChar w:fldCharType="separate"/>
            </w:r>
            <w:r>
              <w:rPr>
                <w:noProof/>
                <w:webHidden/>
              </w:rPr>
              <w:t>13</w:t>
            </w:r>
            <w:r>
              <w:rPr>
                <w:noProof/>
                <w:webHidden/>
              </w:rPr>
              <w:fldChar w:fldCharType="end"/>
            </w:r>
          </w:hyperlink>
        </w:p>
        <w:p w14:paraId="44C78539" w14:textId="40E94732" w:rsidR="00CE2BC0" w:rsidRDefault="00CE2BC0">
          <w:pPr>
            <w:pStyle w:val="TOC3"/>
            <w:tabs>
              <w:tab w:val="right" w:leader="dot" w:pos="9016"/>
            </w:tabs>
            <w:rPr>
              <w:noProof/>
              <w:sz w:val="24"/>
              <w:szCs w:val="24"/>
              <w:lang w:eastAsia="en-GB"/>
            </w:rPr>
          </w:pPr>
          <w:hyperlink w:anchor="_Toc210677355" w:history="1">
            <w:r w:rsidRPr="00FE1C4C">
              <w:rPr>
                <w:rStyle w:val="Hyperlink"/>
                <w:rFonts w:ascii="Arial" w:hAnsi="Arial" w:cs="Arial"/>
                <w:noProof/>
              </w:rPr>
              <w:t>2.2.1 General Trends in Dementia Research</w:t>
            </w:r>
            <w:r>
              <w:rPr>
                <w:noProof/>
                <w:webHidden/>
              </w:rPr>
              <w:tab/>
            </w:r>
            <w:r>
              <w:rPr>
                <w:noProof/>
                <w:webHidden/>
              </w:rPr>
              <w:fldChar w:fldCharType="begin"/>
            </w:r>
            <w:r>
              <w:rPr>
                <w:noProof/>
                <w:webHidden/>
              </w:rPr>
              <w:instrText xml:space="preserve"> PAGEREF _Toc210677355 \h </w:instrText>
            </w:r>
            <w:r>
              <w:rPr>
                <w:noProof/>
                <w:webHidden/>
              </w:rPr>
            </w:r>
            <w:r>
              <w:rPr>
                <w:noProof/>
                <w:webHidden/>
              </w:rPr>
              <w:fldChar w:fldCharType="separate"/>
            </w:r>
            <w:r>
              <w:rPr>
                <w:noProof/>
                <w:webHidden/>
              </w:rPr>
              <w:t>13</w:t>
            </w:r>
            <w:r>
              <w:rPr>
                <w:noProof/>
                <w:webHidden/>
              </w:rPr>
              <w:fldChar w:fldCharType="end"/>
            </w:r>
          </w:hyperlink>
        </w:p>
        <w:p w14:paraId="354EBA0B" w14:textId="2134221B" w:rsidR="00CE2BC0" w:rsidRDefault="00CE2BC0">
          <w:pPr>
            <w:pStyle w:val="TOC3"/>
            <w:tabs>
              <w:tab w:val="right" w:leader="dot" w:pos="9016"/>
            </w:tabs>
            <w:rPr>
              <w:noProof/>
              <w:sz w:val="24"/>
              <w:szCs w:val="24"/>
              <w:lang w:eastAsia="en-GB"/>
            </w:rPr>
          </w:pPr>
          <w:hyperlink w:anchor="_Toc210677356" w:history="1">
            <w:r w:rsidRPr="00FE1C4C">
              <w:rPr>
                <w:rStyle w:val="Hyperlink"/>
                <w:rFonts w:ascii="Arial" w:hAnsi="Arial" w:cs="Arial"/>
                <w:noProof/>
              </w:rPr>
              <w:t>2.2.2 Research in the UK Context</w:t>
            </w:r>
            <w:r>
              <w:rPr>
                <w:noProof/>
                <w:webHidden/>
              </w:rPr>
              <w:tab/>
            </w:r>
            <w:r>
              <w:rPr>
                <w:noProof/>
                <w:webHidden/>
              </w:rPr>
              <w:fldChar w:fldCharType="begin"/>
            </w:r>
            <w:r>
              <w:rPr>
                <w:noProof/>
                <w:webHidden/>
              </w:rPr>
              <w:instrText xml:space="preserve"> PAGEREF _Toc210677356 \h </w:instrText>
            </w:r>
            <w:r>
              <w:rPr>
                <w:noProof/>
                <w:webHidden/>
              </w:rPr>
            </w:r>
            <w:r>
              <w:rPr>
                <w:noProof/>
                <w:webHidden/>
              </w:rPr>
              <w:fldChar w:fldCharType="separate"/>
            </w:r>
            <w:r>
              <w:rPr>
                <w:noProof/>
                <w:webHidden/>
              </w:rPr>
              <w:t>14</w:t>
            </w:r>
            <w:r>
              <w:rPr>
                <w:noProof/>
                <w:webHidden/>
              </w:rPr>
              <w:fldChar w:fldCharType="end"/>
            </w:r>
          </w:hyperlink>
        </w:p>
        <w:p w14:paraId="284405C6" w14:textId="5AFA06E5" w:rsidR="00CE2BC0" w:rsidRDefault="00CE2BC0">
          <w:pPr>
            <w:pStyle w:val="TOC2"/>
            <w:tabs>
              <w:tab w:val="right" w:leader="dot" w:pos="9016"/>
            </w:tabs>
            <w:rPr>
              <w:noProof/>
              <w:sz w:val="24"/>
              <w:szCs w:val="24"/>
              <w:lang w:eastAsia="en-GB"/>
            </w:rPr>
          </w:pPr>
          <w:hyperlink w:anchor="_Toc210677357" w:history="1">
            <w:r w:rsidRPr="00FE1C4C">
              <w:rPr>
                <w:rStyle w:val="Hyperlink"/>
                <w:rFonts w:ascii="Arial" w:hAnsi="Arial" w:cs="Arial"/>
                <w:noProof/>
              </w:rPr>
              <w:t>2.3 Synthesis of Key Findings</w:t>
            </w:r>
            <w:r>
              <w:rPr>
                <w:noProof/>
                <w:webHidden/>
              </w:rPr>
              <w:tab/>
            </w:r>
            <w:r>
              <w:rPr>
                <w:noProof/>
                <w:webHidden/>
              </w:rPr>
              <w:fldChar w:fldCharType="begin"/>
            </w:r>
            <w:r>
              <w:rPr>
                <w:noProof/>
                <w:webHidden/>
              </w:rPr>
              <w:instrText xml:space="preserve"> PAGEREF _Toc210677357 \h </w:instrText>
            </w:r>
            <w:r>
              <w:rPr>
                <w:noProof/>
                <w:webHidden/>
              </w:rPr>
            </w:r>
            <w:r>
              <w:rPr>
                <w:noProof/>
                <w:webHidden/>
              </w:rPr>
              <w:fldChar w:fldCharType="separate"/>
            </w:r>
            <w:r>
              <w:rPr>
                <w:noProof/>
                <w:webHidden/>
              </w:rPr>
              <w:t>16</w:t>
            </w:r>
            <w:r>
              <w:rPr>
                <w:noProof/>
                <w:webHidden/>
              </w:rPr>
              <w:fldChar w:fldCharType="end"/>
            </w:r>
          </w:hyperlink>
        </w:p>
        <w:p w14:paraId="549E453C" w14:textId="7CEA3B92" w:rsidR="00CE2BC0" w:rsidRDefault="00CE2BC0">
          <w:pPr>
            <w:pStyle w:val="TOC3"/>
            <w:tabs>
              <w:tab w:val="right" w:leader="dot" w:pos="9016"/>
            </w:tabs>
            <w:rPr>
              <w:noProof/>
              <w:sz w:val="24"/>
              <w:szCs w:val="24"/>
              <w:lang w:eastAsia="en-GB"/>
            </w:rPr>
          </w:pPr>
          <w:hyperlink w:anchor="_Toc210677358" w:history="1">
            <w:r w:rsidRPr="00FE1C4C">
              <w:rPr>
                <w:rStyle w:val="Hyperlink"/>
                <w:rFonts w:ascii="Arial" w:hAnsi="Arial" w:cs="Arial"/>
                <w:noProof/>
              </w:rPr>
              <w:t>2.3.1 Early Diagnosis and Mental Health Outcomes</w:t>
            </w:r>
            <w:r>
              <w:rPr>
                <w:noProof/>
                <w:webHidden/>
              </w:rPr>
              <w:tab/>
            </w:r>
            <w:r>
              <w:rPr>
                <w:noProof/>
                <w:webHidden/>
              </w:rPr>
              <w:fldChar w:fldCharType="begin"/>
            </w:r>
            <w:r>
              <w:rPr>
                <w:noProof/>
                <w:webHidden/>
              </w:rPr>
              <w:instrText xml:space="preserve"> PAGEREF _Toc210677358 \h </w:instrText>
            </w:r>
            <w:r>
              <w:rPr>
                <w:noProof/>
                <w:webHidden/>
              </w:rPr>
            </w:r>
            <w:r>
              <w:rPr>
                <w:noProof/>
                <w:webHidden/>
              </w:rPr>
              <w:fldChar w:fldCharType="separate"/>
            </w:r>
            <w:r>
              <w:rPr>
                <w:noProof/>
                <w:webHidden/>
              </w:rPr>
              <w:t>16</w:t>
            </w:r>
            <w:r>
              <w:rPr>
                <w:noProof/>
                <w:webHidden/>
              </w:rPr>
              <w:fldChar w:fldCharType="end"/>
            </w:r>
          </w:hyperlink>
        </w:p>
        <w:p w14:paraId="56D2F380" w14:textId="2B00E7E0" w:rsidR="00CE2BC0" w:rsidRDefault="00CE2BC0">
          <w:pPr>
            <w:pStyle w:val="TOC3"/>
            <w:tabs>
              <w:tab w:val="right" w:leader="dot" w:pos="9016"/>
            </w:tabs>
            <w:rPr>
              <w:noProof/>
              <w:sz w:val="24"/>
              <w:szCs w:val="24"/>
              <w:lang w:eastAsia="en-GB"/>
            </w:rPr>
          </w:pPr>
          <w:hyperlink w:anchor="_Toc210677359" w:history="1">
            <w:r w:rsidRPr="00FE1C4C">
              <w:rPr>
                <w:rStyle w:val="Hyperlink"/>
                <w:rFonts w:ascii="Arial" w:hAnsi="Arial" w:cs="Arial"/>
                <w:noProof/>
              </w:rPr>
              <w:t>2.3.2 Late Diagnosis and Emotional Burden</w:t>
            </w:r>
            <w:r>
              <w:rPr>
                <w:noProof/>
                <w:webHidden/>
              </w:rPr>
              <w:tab/>
            </w:r>
            <w:r>
              <w:rPr>
                <w:noProof/>
                <w:webHidden/>
              </w:rPr>
              <w:fldChar w:fldCharType="begin"/>
            </w:r>
            <w:r>
              <w:rPr>
                <w:noProof/>
                <w:webHidden/>
              </w:rPr>
              <w:instrText xml:space="preserve"> PAGEREF _Toc210677359 \h </w:instrText>
            </w:r>
            <w:r>
              <w:rPr>
                <w:noProof/>
                <w:webHidden/>
              </w:rPr>
            </w:r>
            <w:r>
              <w:rPr>
                <w:noProof/>
                <w:webHidden/>
              </w:rPr>
              <w:fldChar w:fldCharType="separate"/>
            </w:r>
            <w:r>
              <w:rPr>
                <w:noProof/>
                <w:webHidden/>
              </w:rPr>
              <w:t>17</w:t>
            </w:r>
            <w:r>
              <w:rPr>
                <w:noProof/>
                <w:webHidden/>
              </w:rPr>
              <w:fldChar w:fldCharType="end"/>
            </w:r>
          </w:hyperlink>
        </w:p>
        <w:p w14:paraId="75D45422" w14:textId="234E4D99" w:rsidR="00CE2BC0" w:rsidRDefault="00CE2BC0">
          <w:pPr>
            <w:pStyle w:val="TOC2"/>
            <w:tabs>
              <w:tab w:val="right" w:leader="dot" w:pos="9016"/>
            </w:tabs>
            <w:rPr>
              <w:noProof/>
              <w:sz w:val="24"/>
              <w:szCs w:val="24"/>
              <w:lang w:eastAsia="en-GB"/>
            </w:rPr>
          </w:pPr>
          <w:hyperlink w:anchor="_Toc210677360" w:history="1">
            <w:r w:rsidRPr="00FE1C4C">
              <w:rPr>
                <w:rStyle w:val="Hyperlink"/>
                <w:rFonts w:ascii="Arial" w:hAnsi="Arial" w:cs="Arial"/>
                <w:noProof/>
              </w:rPr>
              <w:t>2.4 Methodological Strengths and Limitations in Existing Research</w:t>
            </w:r>
            <w:r>
              <w:rPr>
                <w:noProof/>
                <w:webHidden/>
              </w:rPr>
              <w:tab/>
            </w:r>
            <w:r>
              <w:rPr>
                <w:noProof/>
                <w:webHidden/>
              </w:rPr>
              <w:fldChar w:fldCharType="begin"/>
            </w:r>
            <w:r>
              <w:rPr>
                <w:noProof/>
                <w:webHidden/>
              </w:rPr>
              <w:instrText xml:space="preserve"> PAGEREF _Toc210677360 \h </w:instrText>
            </w:r>
            <w:r>
              <w:rPr>
                <w:noProof/>
                <w:webHidden/>
              </w:rPr>
            </w:r>
            <w:r>
              <w:rPr>
                <w:noProof/>
                <w:webHidden/>
              </w:rPr>
              <w:fldChar w:fldCharType="separate"/>
            </w:r>
            <w:r>
              <w:rPr>
                <w:noProof/>
                <w:webHidden/>
              </w:rPr>
              <w:t>18</w:t>
            </w:r>
            <w:r>
              <w:rPr>
                <w:noProof/>
                <w:webHidden/>
              </w:rPr>
              <w:fldChar w:fldCharType="end"/>
            </w:r>
          </w:hyperlink>
        </w:p>
        <w:p w14:paraId="6DAC85FF" w14:textId="3E398097" w:rsidR="00CE2BC0" w:rsidRDefault="00CE2BC0">
          <w:pPr>
            <w:pStyle w:val="TOC3"/>
            <w:tabs>
              <w:tab w:val="right" w:leader="dot" w:pos="9016"/>
            </w:tabs>
            <w:rPr>
              <w:noProof/>
              <w:sz w:val="24"/>
              <w:szCs w:val="24"/>
              <w:lang w:eastAsia="en-GB"/>
            </w:rPr>
          </w:pPr>
          <w:hyperlink w:anchor="_Toc210677361" w:history="1">
            <w:r w:rsidRPr="00FE1C4C">
              <w:rPr>
                <w:rStyle w:val="Hyperlink"/>
                <w:rFonts w:ascii="Arial" w:hAnsi="Arial" w:cs="Arial"/>
                <w:noProof/>
              </w:rPr>
              <w:t>2.4.1 Quantitative Approaches: Broad Without Depth</w:t>
            </w:r>
            <w:r>
              <w:rPr>
                <w:noProof/>
                <w:webHidden/>
              </w:rPr>
              <w:tab/>
            </w:r>
            <w:r>
              <w:rPr>
                <w:noProof/>
                <w:webHidden/>
              </w:rPr>
              <w:fldChar w:fldCharType="begin"/>
            </w:r>
            <w:r>
              <w:rPr>
                <w:noProof/>
                <w:webHidden/>
              </w:rPr>
              <w:instrText xml:space="preserve"> PAGEREF _Toc210677361 \h </w:instrText>
            </w:r>
            <w:r>
              <w:rPr>
                <w:noProof/>
                <w:webHidden/>
              </w:rPr>
            </w:r>
            <w:r>
              <w:rPr>
                <w:noProof/>
                <w:webHidden/>
              </w:rPr>
              <w:fldChar w:fldCharType="separate"/>
            </w:r>
            <w:r>
              <w:rPr>
                <w:noProof/>
                <w:webHidden/>
              </w:rPr>
              <w:t>18</w:t>
            </w:r>
            <w:r>
              <w:rPr>
                <w:noProof/>
                <w:webHidden/>
              </w:rPr>
              <w:fldChar w:fldCharType="end"/>
            </w:r>
          </w:hyperlink>
        </w:p>
        <w:p w14:paraId="0E9D8C57" w14:textId="0B8F9C09" w:rsidR="00CE2BC0" w:rsidRDefault="00CE2BC0">
          <w:pPr>
            <w:pStyle w:val="TOC3"/>
            <w:tabs>
              <w:tab w:val="right" w:leader="dot" w:pos="9016"/>
            </w:tabs>
            <w:rPr>
              <w:noProof/>
              <w:sz w:val="24"/>
              <w:szCs w:val="24"/>
              <w:lang w:eastAsia="en-GB"/>
            </w:rPr>
          </w:pPr>
          <w:hyperlink w:anchor="_Toc210677362" w:history="1">
            <w:r w:rsidRPr="00FE1C4C">
              <w:rPr>
                <w:rStyle w:val="Hyperlink"/>
                <w:rFonts w:ascii="Arial" w:hAnsi="Arial" w:cs="Arial"/>
                <w:noProof/>
              </w:rPr>
              <w:t>2.4.2 Qualitative Approaches: Depth Yet Not Broad</w:t>
            </w:r>
            <w:r>
              <w:rPr>
                <w:noProof/>
                <w:webHidden/>
              </w:rPr>
              <w:tab/>
            </w:r>
            <w:r>
              <w:rPr>
                <w:noProof/>
                <w:webHidden/>
              </w:rPr>
              <w:fldChar w:fldCharType="begin"/>
            </w:r>
            <w:r>
              <w:rPr>
                <w:noProof/>
                <w:webHidden/>
              </w:rPr>
              <w:instrText xml:space="preserve"> PAGEREF _Toc210677362 \h </w:instrText>
            </w:r>
            <w:r>
              <w:rPr>
                <w:noProof/>
                <w:webHidden/>
              </w:rPr>
            </w:r>
            <w:r>
              <w:rPr>
                <w:noProof/>
                <w:webHidden/>
              </w:rPr>
              <w:fldChar w:fldCharType="separate"/>
            </w:r>
            <w:r>
              <w:rPr>
                <w:noProof/>
                <w:webHidden/>
              </w:rPr>
              <w:t>18</w:t>
            </w:r>
            <w:r>
              <w:rPr>
                <w:noProof/>
                <w:webHidden/>
              </w:rPr>
              <w:fldChar w:fldCharType="end"/>
            </w:r>
          </w:hyperlink>
        </w:p>
        <w:p w14:paraId="4D1D8D18" w14:textId="03AE60EA" w:rsidR="00CE2BC0" w:rsidRDefault="00CE2BC0">
          <w:pPr>
            <w:pStyle w:val="TOC3"/>
            <w:tabs>
              <w:tab w:val="right" w:leader="dot" w:pos="9016"/>
            </w:tabs>
            <w:rPr>
              <w:noProof/>
              <w:sz w:val="24"/>
              <w:szCs w:val="24"/>
              <w:lang w:eastAsia="en-GB"/>
            </w:rPr>
          </w:pPr>
          <w:hyperlink w:anchor="_Toc210677363" w:history="1">
            <w:r w:rsidRPr="00FE1C4C">
              <w:rPr>
                <w:rStyle w:val="Hyperlink"/>
                <w:rFonts w:ascii="Arial" w:hAnsi="Arial" w:cs="Arial"/>
                <w:noProof/>
              </w:rPr>
              <w:t>2.4.3 Underrepresentation and Sampling Bias</w:t>
            </w:r>
            <w:r>
              <w:rPr>
                <w:noProof/>
                <w:webHidden/>
              </w:rPr>
              <w:tab/>
            </w:r>
            <w:r>
              <w:rPr>
                <w:noProof/>
                <w:webHidden/>
              </w:rPr>
              <w:fldChar w:fldCharType="begin"/>
            </w:r>
            <w:r>
              <w:rPr>
                <w:noProof/>
                <w:webHidden/>
              </w:rPr>
              <w:instrText xml:space="preserve"> PAGEREF _Toc210677363 \h </w:instrText>
            </w:r>
            <w:r>
              <w:rPr>
                <w:noProof/>
                <w:webHidden/>
              </w:rPr>
            </w:r>
            <w:r>
              <w:rPr>
                <w:noProof/>
                <w:webHidden/>
              </w:rPr>
              <w:fldChar w:fldCharType="separate"/>
            </w:r>
            <w:r>
              <w:rPr>
                <w:noProof/>
                <w:webHidden/>
              </w:rPr>
              <w:t>19</w:t>
            </w:r>
            <w:r>
              <w:rPr>
                <w:noProof/>
                <w:webHidden/>
              </w:rPr>
              <w:fldChar w:fldCharType="end"/>
            </w:r>
          </w:hyperlink>
        </w:p>
        <w:p w14:paraId="01BAA0FF" w14:textId="549FCC1B" w:rsidR="00CE2BC0" w:rsidRDefault="00CE2BC0">
          <w:pPr>
            <w:pStyle w:val="TOC3"/>
            <w:tabs>
              <w:tab w:val="right" w:leader="dot" w:pos="9016"/>
            </w:tabs>
            <w:rPr>
              <w:noProof/>
              <w:sz w:val="24"/>
              <w:szCs w:val="24"/>
              <w:lang w:eastAsia="en-GB"/>
            </w:rPr>
          </w:pPr>
          <w:hyperlink w:anchor="_Toc210677364" w:history="1">
            <w:r w:rsidRPr="00FE1C4C">
              <w:rPr>
                <w:rStyle w:val="Hyperlink"/>
                <w:rFonts w:ascii="Arial" w:hAnsi="Arial" w:cs="Arial"/>
                <w:noProof/>
              </w:rPr>
              <w:t>2.4.4 Thematic and Systematic Reviews: Mixed Quality</w:t>
            </w:r>
            <w:r>
              <w:rPr>
                <w:noProof/>
                <w:webHidden/>
              </w:rPr>
              <w:tab/>
            </w:r>
            <w:r>
              <w:rPr>
                <w:noProof/>
                <w:webHidden/>
              </w:rPr>
              <w:fldChar w:fldCharType="begin"/>
            </w:r>
            <w:r>
              <w:rPr>
                <w:noProof/>
                <w:webHidden/>
              </w:rPr>
              <w:instrText xml:space="preserve"> PAGEREF _Toc210677364 \h </w:instrText>
            </w:r>
            <w:r>
              <w:rPr>
                <w:noProof/>
                <w:webHidden/>
              </w:rPr>
            </w:r>
            <w:r>
              <w:rPr>
                <w:noProof/>
                <w:webHidden/>
              </w:rPr>
              <w:fldChar w:fldCharType="separate"/>
            </w:r>
            <w:r>
              <w:rPr>
                <w:noProof/>
                <w:webHidden/>
              </w:rPr>
              <w:t>19</w:t>
            </w:r>
            <w:r>
              <w:rPr>
                <w:noProof/>
                <w:webHidden/>
              </w:rPr>
              <w:fldChar w:fldCharType="end"/>
            </w:r>
          </w:hyperlink>
        </w:p>
        <w:p w14:paraId="6FBF10DA" w14:textId="107CB8F0" w:rsidR="00CE2BC0" w:rsidRDefault="00CE2BC0">
          <w:pPr>
            <w:pStyle w:val="TOC3"/>
            <w:tabs>
              <w:tab w:val="right" w:leader="dot" w:pos="9016"/>
            </w:tabs>
            <w:rPr>
              <w:noProof/>
              <w:sz w:val="24"/>
              <w:szCs w:val="24"/>
              <w:lang w:eastAsia="en-GB"/>
            </w:rPr>
          </w:pPr>
          <w:hyperlink w:anchor="_Toc210677365" w:history="1">
            <w:r w:rsidRPr="00FE1C4C">
              <w:rPr>
                <w:rStyle w:val="Hyperlink"/>
                <w:rFonts w:ascii="Arial" w:hAnsi="Arial" w:cs="Arial"/>
                <w:noProof/>
              </w:rPr>
              <w:t>2.4.5 Strength in Methodological Diversity</w:t>
            </w:r>
            <w:r>
              <w:rPr>
                <w:noProof/>
                <w:webHidden/>
              </w:rPr>
              <w:tab/>
            </w:r>
            <w:r>
              <w:rPr>
                <w:noProof/>
                <w:webHidden/>
              </w:rPr>
              <w:fldChar w:fldCharType="begin"/>
            </w:r>
            <w:r>
              <w:rPr>
                <w:noProof/>
                <w:webHidden/>
              </w:rPr>
              <w:instrText xml:space="preserve"> PAGEREF _Toc210677365 \h </w:instrText>
            </w:r>
            <w:r>
              <w:rPr>
                <w:noProof/>
                <w:webHidden/>
              </w:rPr>
            </w:r>
            <w:r>
              <w:rPr>
                <w:noProof/>
                <w:webHidden/>
              </w:rPr>
              <w:fldChar w:fldCharType="separate"/>
            </w:r>
            <w:r>
              <w:rPr>
                <w:noProof/>
                <w:webHidden/>
              </w:rPr>
              <w:t>20</w:t>
            </w:r>
            <w:r>
              <w:rPr>
                <w:noProof/>
                <w:webHidden/>
              </w:rPr>
              <w:fldChar w:fldCharType="end"/>
            </w:r>
          </w:hyperlink>
        </w:p>
        <w:p w14:paraId="0FF68093" w14:textId="0452D43C" w:rsidR="00CE2BC0" w:rsidRDefault="00CE2BC0">
          <w:pPr>
            <w:pStyle w:val="TOC2"/>
            <w:tabs>
              <w:tab w:val="right" w:leader="dot" w:pos="9016"/>
            </w:tabs>
            <w:rPr>
              <w:noProof/>
              <w:sz w:val="24"/>
              <w:szCs w:val="24"/>
              <w:lang w:eastAsia="en-GB"/>
            </w:rPr>
          </w:pPr>
          <w:hyperlink w:anchor="_Toc210677366" w:history="1">
            <w:r w:rsidRPr="00FE1C4C">
              <w:rPr>
                <w:rStyle w:val="Hyperlink"/>
                <w:rFonts w:ascii="Arial" w:hAnsi="Arial" w:cs="Arial"/>
                <w:noProof/>
              </w:rPr>
              <w:t>2.5 Identified Gaps in the Literature</w:t>
            </w:r>
            <w:r>
              <w:rPr>
                <w:noProof/>
                <w:webHidden/>
              </w:rPr>
              <w:tab/>
            </w:r>
            <w:r>
              <w:rPr>
                <w:noProof/>
                <w:webHidden/>
              </w:rPr>
              <w:fldChar w:fldCharType="begin"/>
            </w:r>
            <w:r>
              <w:rPr>
                <w:noProof/>
                <w:webHidden/>
              </w:rPr>
              <w:instrText xml:space="preserve"> PAGEREF _Toc210677366 \h </w:instrText>
            </w:r>
            <w:r>
              <w:rPr>
                <w:noProof/>
                <w:webHidden/>
              </w:rPr>
            </w:r>
            <w:r>
              <w:rPr>
                <w:noProof/>
                <w:webHidden/>
              </w:rPr>
              <w:fldChar w:fldCharType="separate"/>
            </w:r>
            <w:r>
              <w:rPr>
                <w:noProof/>
                <w:webHidden/>
              </w:rPr>
              <w:t>20</w:t>
            </w:r>
            <w:r>
              <w:rPr>
                <w:noProof/>
                <w:webHidden/>
              </w:rPr>
              <w:fldChar w:fldCharType="end"/>
            </w:r>
          </w:hyperlink>
        </w:p>
        <w:p w14:paraId="7EAF37E1" w14:textId="601343E3" w:rsidR="00CE2BC0" w:rsidRDefault="00CE2BC0">
          <w:pPr>
            <w:pStyle w:val="TOC3"/>
            <w:tabs>
              <w:tab w:val="right" w:leader="dot" w:pos="9016"/>
            </w:tabs>
            <w:rPr>
              <w:noProof/>
              <w:sz w:val="24"/>
              <w:szCs w:val="24"/>
              <w:lang w:eastAsia="en-GB"/>
            </w:rPr>
          </w:pPr>
          <w:hyperlink w:anchor="_Toc210677367" w:history="1">
            <w:r w:rsidRPr="00FE1C4C">
              <w:rPr>
                <w:rStyle w:val="Hyperlink"/>
                <w:rFonts w:ascii="Arial" w:hAnsi="Arial" w:cs="Arial"/>
                <w:noProof/>
              </w:rPr>
              <w:t>2.5.1 The absence of Standardisation in Definitions of Diagnostic Timeline</w:t>
            </w:r>
            <w:r>
              <w:rPr>
                <w:noProof/>
                <w:webHidden/>
              </w:rPr>
              <w:tab/>
            </w:r>
            <w:r>
              <w:rPr>
                <w:noProof/>
                <w:webHidden/>
              </w:rPr>
              <w:fldChar w:fldCharType="begin"/>
            </w:r>
            <w:r>
              <w:rPr>
                <w:noProof/>
                <w:webHidden/>
              </w:rPr>
              <w:instrText xml:space="preserve"> PAGEREF _Toc210677367 \h </w:instrText>
            </w:r>
            <w:r>
              <w:rPr>
                <w:noProof/>
                <w:webHidden/>
              </w:rPr>
            </w:r>
            <w:r>
              <w:rPr>
                <w:noProof/>
                <w:webHidden/>
              </w:rPr>
              <w:fldChar w:fldCharType="separate"/>
            </w:r>
            <w:r>
              <w:rPr>
                <w:noProof/>
                <w:webHidden/>
              </w:rPr>
              <w:t>20</w:t>
            </w:r>
            <w:r>
              <w:rPr>
                <w:noProof/>
                <w:webHidden/>
              </w:rPr>
              <w:fldChar w:fldCharType="end"/>
            </w:r>
          </w:hyperlink>
        </w:p>
        <w:p w14:paraId="22FFA096" w14:textId="171C66D1" w:rsidR="00CE2BC0" w:rsidRDefault="00CE2BC0">
          <w:pPr>
            <w:pStyle w:val="TOC3"/>
            <w:tabs>
              <w:tab w:val="right" w:leader="dot" w:pos="9016"/>
            </w:tabs>
            <w:rPr>
              <w:noProof/>
              <w:sz w:val="24"/>
              <w:szCs w:val="24"/>
              <w:lang w:eastAsia="en-GB"/>
            </w:rPr>
          </w:pPr>
          <w:hyperlink w:anchor="_Toc210677368" w:history="1">
            <w:r w:rsidRPr="00FE1C4C">
              <w:rPr>
                <w:rStyle w:val="Hyperlink"/>
                <w:rFonts w:ascii="Arial" w:hAnsi="Arial" w:cs="Arial"/>
                <w:noProof/>
              </w:rPr>
              <w:t>2.5.2 Limited Focus on Mental Health Outcomes</w:t>
            </w:r>
            <w:r>
              <w:rPr>
                <w:noProof/>
                <w:webHidden/>
              </w:rPr>
              <w:tab/>
            </w:r>
            <w:r>
              <w:rPr>
                <w:noProof/>
                <w:webHidden/>
              </w:rPr>
              <w:fldChar w:fldCharType="begin"/>
            </w:r>
            <w:r>
              <w:rPr>
                <w:noProof/>
                <w:webHidden/>
              </w:rPr>
              <w:instrText xml:space="preserve"> PAGEREF _Toc210677368 \h </w:instrText>
            </w:r>
            <w:r>
              <w:rPr>
                <w:noProof/>
                <w:webHidden/>
              </w:rPr>
            </w:r>
            <w:r>
              <w:rPr>
                <w:noProof/>
                <w:webHidden/>
              </w:rPr>
              <w:fldChar w:fldCharType="separate"/>
            </w:r>
            <w:r>
              <w:rPr>
                <w:noProof/>
                <w:webHidden/>
              </w:rPr>
              <w:t>21</w:t>
            </w:r>
            <w:r>
              <w:rPr>
                <w:noProof/>
                <w:webHidden/>
              </w:rPr>
              <w:fldChar w:fldCharType="end"/>
            </w:r>
          </w:hyperlink>
        </w:p>
        <w:p w14:paraId="43C0590F" w14:textId="3CB98254" w:rsidR="00CE2BC0" w:rsidRDefault="00CE2BC0">
          <w:pPr>
            <w:pStyle w:val="TOC3"/>
            <w:tabs>
              <w:tab w:val="right" w:leader="dot" w:pos="9016"/>
            </w:tabs>
            <w:rPr>
              <w:noProof/>
              <w:sz w:val="24"/>
              <w:szCs w:val="24"/>
              <w:lang w:eastAsia="en-GB"/>
            </w:rPr>
          </w:pPr>
          <w:hyperlink w:anchor="_Toc210677369" w:history="1">
            <w:r w:rsidRPr="00FE1C4C">
              <w:rPr>
                <w:rStyle w:val="Hyperlink"/>
                <w:rFonts w:ascii="Arial" w:hAnsi="Arial" w:cs="Arial"/>
                <w:noProof/>
              </w:rPr>
              <w:t>2.5.3 Inadequate Evaluation of Post-Diagnosis Support Services</w:t>
            </w:r>
            <w:r>
              <w:rPr>
                <w:noProof/>
                <w:webHidden/>
              </w:rPr>
              <w:tab/>
            </w:r>
            <w:r>
              <w:rPr>
                <w:noProof/>
                <w:webHidden/>
              </w:rPr>
              <w:fldChar w:fldCharType="begin"/>
            </w:r>
            <w:r>
              <w:rPr>
                <w:noProof/>
                <w:webHidden/>
              </w:rPr>
              <w:instrText xml:space="preserve"> PAGEREF _Toc210677369 \h </w:instrText>
            </w:r>
            <w:r>
              <w:rPr>
                <w:noProof/>
                <w:webHidden/>
              </w:rPr>
            </w:r>
            <w:r>
              <w:rPr>
                <w:noProof/>
                <w:webHidden/>
              </w:rPr>
              <w:fldChar w:fldCharType="separate"/>
            </w:r>
            <w:r>
              <w:rPr>
                <w:noProof/>
                <w:webHidden/>
              </w:rPr>
              <w:t>21</w:t>
            </w:r>
            <w:r>
              <w:rPr>
                <w:noProof/>
                <w:webHidden/>
              </w:rPr>
              <w:fldChar w:fldCharType="end"/>
            </w:r>
          </w:hyperlink>
        </w:p>
        <w:p w14:paraId="452561A0" w14:textId="586B8FD2" w:rsidR="00CE2BC0" w:rsidRDefault="00CE2BC0">
          <w:pPr>
            <w:pStyle w:val="TOC3"/>
            <w:tabs>
              <w:tab w:val="right" w:leader="dot" w:pos="9016"/>
            </w:tabs>
            <w:rPr>
              <w:noProof/>
              <w:sz w:val="24"/>
              <w:szCs w:val="24"/>
              <w:lang w:eastAsia="en-GB"/>
            </w:rPr>
          </w:pPr>
          <w:hyperlink w:anchor="_Toc210677370" w:history="1">
            <w:r w:rsidRPr="00FE1C4C">
              <w:rPr>
                <w:rStyle w:val="Hyperlink"/>
                <w:rFonts w:ascii="Arial" w:hAnsi="Arial" w:cs="Arial"/>
                <w:noProof/>
              </w:rPr>
              <w:t>2.5.4 Cultural, Ethnic, and Socioeconomic Underrepresentation</w:t>
            </w:r>
            <w:r>
              <w:rPr>
                <w:noProof/>
                <w:webHidden/>
              </w:rPr>
              <w:tab/>
            </w:r>
            <w:r>
              <w:rPr>
                <w:noProof/>
                <w:webHidden/>
              </w:rPr>
              <w:fldChar w:fldCharType="begin"/>
            </w:r>
            <w:r>
              <w:rPr>
                <w:noProof/>
                <w:webHidden/>
              </w:rPr>
              <w:instrText xml:space="preserve"> PAGEREF _Toc210677370 \h </w:instrText>
            </w:r>
            <w:r>
              <w:rPr>
                <w:noProof/>
                <w:webHidden/>
              </w:rPr>
            </w:r>
            <w:r>
              <w:rPr>
                <w:noProof/>
                <w:webHidden/>
              </w:rPr>
              <w:fldChar w:fldCharType="separate"/>
            </w:r>
            <w:r>
              <w:rPr>
                <w:noProof/>
                <w:webHidden/>
              </w:rPr>
              <w:t>22</w:t>
            </w:r>
            <w:r>
              <w:rPr>
                <w:noProof/>
                <w:webHidden/>
              </w:rPr>
              <w:fldChar w:fldCharType="end"/>
            </w:r>
          </w:hyperlink>
        </w:p>
        <w:p w14:paraId="461F1469" w14:textId="1360E00B" w:rsidR="00CE2BC0" w:rsidRDefault="00CE2BC0">
          <w:pPr>
            <w:pStyle w:val="TOC3"/>
            <w:tabs>
              <w:tab w:val="right" w:leader="dot" w:pos="9016"/>
            </w:tabs>
            <w:rPr>
              <w:noProof/>
              <w:sz w:val="24"/>
              <w:szCs w:val="24"/>
              <w:lang w:eastAsia="en-GB"/>
            </w:rPr>
          </w:pPr>
          <w:hyperlink w:anchor="_Toc210677371" w:history="1">
            <w:r w:rsidRPr="00FE1C4C">
              <w:rPr>
                <w:rStyle w:val="Hyperlink"/>
                <w:rFonts w:ascii="Arial" w:hAnsi="Arial" w:cs="Arial"/>
                <w:noProof/>
              </w:rPr>
              <w:t>2.5.5 Insufficient Integration of Multidisciplinary Perspectives</w:t>
            </w:r>
            <w:r>
              <w:rPr>
                <w:noProof/>
                <w:webHidden/>
              </w:rPr>
              <w:tab/>
            </w:r>
            <w:r>
              <w:rPr>
                <w:noProof/>
                <w:webHidden/>
              </w:rPr>
              <w:fldChar w:fldCharType="begin"/>
            </w:r>
            <w:r>
              <w:rPr>
                <w:noProof/>
                <w:webHidden/>
              </w:rPr>
              <w:instrText xml:space="preserve"> PAGEREF _Toc210677371 \h </w:instrText>
            </w:r>
            <w:r>
              <w:rPr>
                <w:noProof/>
                <w:webHidden/>
              </w:rPr>
            </w:r>
            <w:r>
              <w:rPr>
                <w:noProof/>
                <w:webHidden/>
              </w:rPr>
              <w:fldChar w:fldCharType="separate"/>
            </w:r>
            <w:r>
              <w:rPr>
                <w:noProof/>
                <w:webHidden/>
              </w:rPr>
              <w:t>22</w:t>
            </w:r>
            <w:r>
              <w:rPr>
                <w:noProof/>
                <w:webHidden/>
              </w:rPr>
              <w:fldChar w:fldCharType="end"/>
            </w:r>
          </w:hyperlink>
        </w:p>
        <w:p w14:paraId="315EDF74" w14:textId="6F84CB66" w:rsidR="00CE2BC0" w:rsidRDefault="00CE2BC0">
          <w:pPr>
            <w:pStyle w:val="TOC2"/>
            <w:tabs>
              <w:tab w:val="right" w:leader="dot" w:pos="9016"/>
            </w:tabs>
            <w:rPr>
              <w:noProof/>
              <w:sz w:val="24"/>
              <w:szCs w:val="24"/>
              <w:lang w:eastAsia="en-GB"/>
            </w:rPr>
          </w:pPr>
          <w:hyperlink w:anchor="_Toc210677372" w:history="1">
            <w:r w:rsidRPr="00FE1C4C">
              <w:rPr>
                <w:rStyle w:val="Hyperlink"/>
                <w:rFonts w:ascii="Arial" w:hAnsi="Arial" w:cs="Arial"/>
                <w:noProof/>
              </w:rPr>
              <w:t>2.6 Theoretical Framework</w:t>
            </w:r>
            <w:r>
              <w:rPr>
                <w:noProof/>
                <w:webHidden/>
              </w:rPr>
              <w:tab/>
            </w:r>
            <w:r>
              <w:rPr>
                <w:noProof/>
                <w:webHidden/>
              </w:rPr>
              <w:fldChar w:fldCharType="begin"/>
            </w:r>
            <w:r>
              <w:rPr>
                <w:noProof/>
                <w:webHidden/>
              </w:rPr>
              <w:instrText xml:space="preserve"> PAGEREF _Toc210677372 \h </w:instrText>
            </w:r>
            <w:r>
              <w:rPr>
                <w:noProof/>
                <w:webHidden/>
              </w:rPr>
            </w:r>
            <w:r>
              <w:rPr>
                <w:noProof/>
                <w:webHidden/>
              </w:rPr>
              <w:fldChar w:fldCharType="separate"/>
            </w:r>
            <w:r>
              <w:rPr>
                <w:noProof/>
                <w:webHidden/>
              </w:rPr>
              <w:t>22</w:t>
            </w:r>
            <w:r>
              <w:rPr>
                <w:noProof/>
                <w:webHidden/>
              </w:rPr>
              <w:fldChar w:fldCharType="end"/>
            </w:r>
          </w:hyperlink>
        </w:p>
        <w:p w14:paraId="1FAF40C8" w14:textId="33AC30DD" w:rsidR="00CE2BC0" w:rsidRDefault="00CE2BC0">
          <w:pPr>
            <w:pStyle w:val="TOC3"/>
            <w:tabs>
              <w:tab w:val="right" w:leader="dot" w:pos="9016"/>
            </w:tabs>
            <w:rPr>
              <w:noProof/>
              <w:sz w:val="24"/>
              <w:szCs w:val="24"/>
              <w:lang w:eastAsia="en-GB"/>
            </w:rPr>
          </w:pPr>
          <w:hyperlink w:anchor="_Toc210677373" w:history="1">
            <w:r w:rsidRPr="00FE1C4C">
              <w:rPr>
                <w:rStyle w:val="Hyperlink"/>
                <w:rFonts w:ascii="Arial" w:hAnsi="Arial" w:cs="Arial"/>
                <w:noProof/>
              </w:rPr>
              <w:t>2.6.1 Primary stressors</w:t>
            </w:r>
            <w:r>
              <w:rPr>
                <w:noProof/>
                <w:webHidden/>
              </w:rPr>
              <w:tab/>
            </w:r>
            <w:r>
              <w:rPr>
                <w:noProof/>
                <w:webHidden/>
              </w:rPr>
              <w:fldChar w:fldCharType="begin"/>
            </w:r>
            <w:r>
              <w:rPr>
                <w:noProof/>
                <w:webHidden/>
              </w:rPr>
              <w:instrText xml:space="preserve"> PAGEREF _Toc210677373 \h </w:instrText>
            </w:r>
            <w:r>
              <w:rPr>
                <w:noProof/>
                <w:webHidden/>
              </w:rPr>
            </w:r>
            <w:r>
              <w:rPr>
                <w:noProof/>
                <w:webHidden/>
              </w:rPr>
              <w:fldChar w:fldCharType="separate"/>
            </w:r>
            <w:r>
              <w:rPr>
                <w:noProof/>
                <w:webHidden/>
              </w:rPr>
              <w:t>23</w:t>
            </w:r>
            <w:r>
              <w:rPr>
                <w:noProof/>
                <w:webHidden/>
              </w:rPr>
              <w:fldChar w:fldCharType="end"/>
            </w:r>
          </w:hyperlink>
        </w:p>
        <w:p w14:paraId="2154F1C1" w14:textId="4F9B00C5" w:rsidR="00CE2BC0" w:rsidRDefault="00CE2BC0">
          <w:pPr>
            <w:pStyle w:val="TOC3"/>
            <w:tabs>
              <w:tab w:val="right" w:leader="dot" w:pos="9016"/>
            </w:tabs>
            <w:rPr>
              <w:noProof/>
              <w:sz w:val="24"/>
              <w:szCs w:val="24"/>
              <w:lang w:eastAsia="en-GB"/>
            </w:rPr>
          </w:pPr>
          <w:hyperlink w:anchor="_Toc210677374" w:history="1">
            <w:r w:rsidRPr="00FE1C4C">
              <w:rPr>
                <w:rStyle w:val="Hyperlink"/>
                <w:rFonts w:ascii="Arial" w:hAnsi="Arial" w:cs="Arial"/>
                <w:noProof/>
              </w:rPr>
              <w:t>2.6.2 Secondary stressors</w:t>
            </w:r>
            <w:r>
              <w:rPr>
                <w:noProof/>
                <w:webHidden/>
              </w:rPr>
              <w:tab/>
            </w:r>
            <w:r>
              <w:rPr>
                <w:noProof/>
                <w:webHidden/>
              </w:rPr>
              <w:fldChar w:fldCharType="begin"/>
            </w:r>
            <w:r>
              <w:rPr>
                <w:noProof/>
                <w:webHidden/>
              </w:rPr>
              <w:instrText xml:space="preserve"> PAGEREF _Toc210677374 \h </w:instrText>
            </w:r>
            <w:r>
              <w:rPr>
                <w:noProof/>
                <w:webHidden/>
              </w:rPr>
            </w:r>
            <w:r>
              <w:rPr>
                <w:noProof/>
                <w:webHidden/>
              </w:rPr>
              <w:fldChar w:fldCharType="separate"/>
            </w:r>
            <w:r>
              <w:rPr>
                <w:noProof/>
                <w:webHidden/>
              </w:rPr>
              <w:t>23</w:t>
            </w:r>
            <w:r>
              <w:rPr>
                <w:noProof/>
                <w:webHidden/>
              </w:rPr>
              <w:fldChar w:fldCharType="end"/>
            </w:r>
          </w:hyperlink>
        </w:p>
        <w:p w14:paraId="52CB3C53" w14:textId="34A11B32" w:rsidR="00CE2BC0" w:rsidRDefault="00CE2BC0">
          <w:pPr>
            <w:pStyle w:val="TOC3"/>
            <w:tabs>
              <w:tab w:val="right" w:leader="dot" w:pos="9016"/>
            </w:tabs>
            <w:rPr>
              <w:noProof/>
              <w:sz w:val="24"/>
              <w:szCs w:val="24"/>
              <w:lang w:eastAsia="en-GB"/>
            </w:rPr>
          </w:pPr>
          <w:hyperlink w:anchor="_Toc210677375" w:history="1">
            <w:r w:rsidRPr="00FE1C4C">
              <w:rPr>
                <w:rStyle w:val="Hyperlink"/>
                <w:rFonts w:ascii="Arial" w:hAnsi="Arial" w:cs="Arial"/>
                <w:noProof/>
              </w:rPr>
              <w:t>2.6.3 Mediators and moderators</w:t>
            </w:r>
            <w:r>
              <w:rPr>
                <w:noProof/>
                <w:webHidden/>
              </w:rPr>
              <w:tab/>
            </w:r>
            <w:r>
              <w:rPr>
                <w:noProof/>
                <w:webHidden/>
              </w:rPr>
              <w:fldChar w:fldCharType="begin"/>
            </w:r>
            <w:r>
              <w:rPr>
                <w:noProof/>
                <w:webHidden/>
              </w:rPr>
              <w:instrText xml:space="preserve"> PAGEREF _Toc210677375 \h </w:instrText>
            </w:r>
            <w:r>
              <w:rPr>
                <w:noProof/>
                <w:webHidden/>
              </w:rPr>
            </w:r>
            <w:r>
              <w:rPr>
                <w:noProof/>
                <w:webHidden/>
              </w:rPr>
              <w:fldChar w:fldCharType="separate"/>
            </w:r>
            <w:r>
              <w:rPr>
                <w:noProof/>
                <w:webHidden/>
              </w:rPr>
              <w:t>23</w:t>
            </w:r>
            <w:r>
              <w:rPr>
                <w:noProof/>
                <w:webHidden/>
              </w:rPr>
              <w:fldChar w:fldCharType="end"/>
            </w:r>
          </w:hyperlink>
        </w:p>
        <w:p w14:paraId="59D6135E" w14:textId="5AFA508E"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376" w:history="1">
            <w:r w:rsidRPr="00FE1C4C">
              <w:rPr>
                <w:rStyle w:val="Hyperlink"/>
                <w:rFonts w:asciiTheme="minorBidi" w:hAnsiTheme="minorBidi"/>
                <w:noProof/>
              </w:rPr>
              <w:t>Chapter 3: Research Methodology</w:t>
            </w:r>
            <w:r>
              <w:rPr>
                <w:noProof/>
                <w:webHidden/>
              </w:rPr>
              <w:tab/>
            </w:r>
            <w:r>
              <w:rPr>
                <w:noProof/>
                <w:webHidden/>
              </w:rPr>
              <w:fldChar w:fldCharType="begin"/>
            </w:r>
            <w:r>
              <w:rPr>
                <w:noProof/>
                <w:webHidden/>
              </w:rPr>
              <w:instrText xml:space="preserve"> PAGEREF _Toc210677376 \h </w:instrText>
            </w:r>
            <w:r>
              <w:rPr>
                <w:noProof/>
                <w:webHidden/>
              </w:rPr>
            </w:r>
            <w:r>
              <w:rPr>
                <w:noProof/>
                <w:webHidden/>
              </w:rPr>
              <w:fldChar w:fldCharType="separate"/>
            </w:r>
            <w:r>
              <w:rPr>
                <w:noProof/>
                <w:webHidden/>
              </w:rPr>
              <w:t>25</w:t>
            </w:r>
            <w:r>
              <w:rPr>
                <w:noProof/>
                <w:webHidden/>
              </w:rPr>
              <w:fldChar w:fldCharType="end"/>
            </w:r>
          </w:hyperlink>
        </w:p>
        <w:p w14:paraId="04B1E77A" w14:textId="779C7F3E" w:rsidR="00CE2BC0" w:rsidRDefault="00CE2BC0">
          <w:pPr>
            <w:pStyle w:val="TOC2"/>
            <w:tabs>
              <w:tab w:val="left" w:pos="960"/>
              <w:tab w:val="right" w:leader="dot" w:pos="9016"/>
            </w:tabs>
            <w:rPr>
              <w:noProof/>
              <w:sz w:val="24"/>
              <w:szCs w:val="24"/>
              <w:lang w:eastAsia="en-GB"/>
            </w:rPr>
          </w:pPr>
          <w:hyperlink w:anchor="_Toc210677377" w:history="1">
            <w:r w:rsidRPr="00FE1C4C">
              <w:rPr>
                <w:rStyle w:val="Hyperlink"/>
                <w:rFonts w:ascii="Arial" w:hAnsi="Arial" w:cs="Arial"/>
                <w:noProof/>
              </w:rPr>
              <w:t>3.1</w:t>
            </w:r>
            <w:r>
              <w:rPr>
                <w:noProof/>
                <w:sz w:val="24"/>
                <w:szCs w:val="24"/>
                <w:lang w:eastAsia="en-GB"/>
              </w:rPr>
              <w:tab/>
            </w:r>
            <w:r w:rsidRPr="00FE1C4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_Toc210677377 \h </w:instrText>
            </w:r>
            <w:r>
              <w:rPr>
                <w:noProof/>
                <w:webHidden/>
              </w:rPr>
            </w:r>
            <w:r>
              <w:rPr>
                <w:noProof/>
                <w:webHidden/>
              </w:rPr>
              <w:fldChar w:fldCharType="separate"/>
            </w:r>
            <w:r>
              <w:rPr>
                <w:noProof/>
                <w:webHidden/>
              </w:rPr>
              <w:t>25</w:t>
            </w:r>
            <w:r>
              <w:rPr>
                <w:noProof/>
                <w:webHidden/>
              </w:rPr>
              <w:fldChar w:fldCharType="end"/>
            </w:r>
          </w:hyperlink>
        </w:p>
        <w:p w14:paraId="3809DD22" w14:textId="758FCDEF" w:rsidR="00CE2BC0" w:rsidRDefault="00CE2BC0">
          <w:pPr>
            <w:pStyle w:val="TOC2"/>
            <w:tabs>
              <w:tab w:val="left" w:pos="960"/>
              <w:tab w:val="right" w:leader="dot" w:pos="9016"/>
            </w:tabs>
            <w:rPr>
              <w:noProof/>
              <w:sz w:val="24"/>
              <w:szCs w:val="24"/>
              <w:lang w:eastAsia="en-GB"/>
            </w:rPr>
          </w:pPr>
          <w:hyperlink w:anchor="_Toc210677378" w:history="1">
            <w:r w:rsidRPr="00FE1C4C">
              <w:rPr>
                <w:rStyle w:val="Hyperlink"/>
                <w:rFonts w:ascii="Arial" w:hAnsi="Arial" w:cs="Arial"/>
                <w:noProof/>
                <w:lang w:eastAsia="en-GB"/>
              </w:rPr>
              <w:t>3.2</w:t>
            </w:r>
            <w:r>
              <w:rPr>
                <w:noProof/>
                <w:sz w:val="24"/>
                <w:szCs w:val="24"/>
                <w:lang w:eastAsia="en-GB"/>
              </w:rPr>
              <w:tab/>
            </w:r>
            <w:r w:rsidRPr="00FE1C4C">
              <w:rPr>
                <w:rStyle w:val="Hyperlink"/>
                <w:rFonts w:ascii="Arial" w:hAnsi="Arial" w:cs="Arial"/>
                <w:noProof/>
                <w:lang w:eastAsia="en-GB"/>
              </w:rPr>
              <w:t>Overall Research Approach</w:t>
            </w:r>
            <w:r>
              <w:rPr>
                <w:noProof/>
                <w:webHidden/>
              </w:rPr>
              <w:tab/>
            </w:r>
            <w:r>
              <w:rPr>
                <w:noProof/>
                <w:webHidden/>
              </w:rPr>
              <w:fldChar w:fldCharType="begin"/>
            </w:r>
            <w:r>
              <w:rPr>
                <w:noProof/>
                <w:webHidden/>
              </w:rPr>
              <w:instrText xml:space="preserve"> PAGEREF _Toc210677378 \h </w:instrText>
            </w:r>
            <w:r>
              <w:rPr>
                <w:noProof/>
                <w:webHidden/>
              </w:rPr>
            </w:r>
            <w:r>
              <w:rPr>
                <w:noProof/>
                <w:webHidden/>
              </w:rPr>
              <w:fldChar w:fldCharType="separate"/>
            </w:r>
            <w:r>
              <w:rPr>
                <w:noProof/>
                <w:webHidden/>
              </w:rPr>
              <w:t>25</w:t>
            </w:r>
            <w:r>
              <w:rPr>
                <w:noProof/>
                <w:webHidden/>
              </w:rPr>
              <w:fldChar w:fldCharType="end"/>
            </w:r>
          </w:hyperlink>
        </w:p>
        <w:p w14:paraId="6D752276" w14:textId="27165499" w:rsidR="00CE2BC0" w:rsidRDefault="00CE2BC0">
          <w:pPr>
            <w:pStyle w:val="TOC2"/>
            <w:tabs>
              <w:tab w:val="left" w:pos="960"/>
              <w:tab w:val="right" w:leader="dot" w:pos="9016"/>
            </w:tabs>
            <w:rPr>
              <w:noProof/>
              <w:sz w:val="24"/>
              <w:szCs w:val="24"/>
              <w:lang w:eastAsia="en-GB"/>
            </w:rPr>
          </w:pPr>
          <w:hyperlink w:anchor="_Toc210677379" w:history="1">
            <w:r w:rsidRPr="00FE1C4C">
              <w:rPr>
                <w:rStyle w:val="Hyperlink"/>
                <w:rFonts w:ascii="Arial" w:hAnsi="Arial" w:cs="Arial"/>
                <w:noProof/>
                <w:lang w:eastAsia="en-GB"/>
              </w:rPr>
              <w:t>3.3</w:t>
            </w:r>
            <w:r>
              <w:rPr>
                <w:noProof/>
                <w:sz w:val="24"/>
                <w:szCs w:val="24"/>
                <w:lang w:eastAsia="en-GB"/>
              </w:rPr>
              <w:tab/>
            </w:r>
            <w:r w:rsidRPr="00FE1C4C">
              <w:rPr>
                <w:rStyle w:val="Hyperlink"/>
                <w:rFonts w:ascii="Arial" w:hAnsi="Arial" w:cs="Arial"/>
                <w:noProof/>
                <w:lang w:eastAsia="en-GB"/>
              </w:rPr>
              <w:t>Research Design</w:t>
            </w:r>
            <w:r>
              <w:rPr>
                <w:noProof/>
                <w:webHidden/>
              </w:rPr>
              <w:tab/>
            </w:r>
            <w:r>
              <w:rPr>
                <w:noProof/>
                <w:webHidden/>
              </w:rPr>
              <w:fldChar w:fldCharType="begin"/>
            </w:r>
            <w:r>
              <w:rPr>
                <w:noProof/>
                <w:webHidden/>
              </w:rPr>
              <w:instrText xml:space="preserve"> PAGEREF _Toc210677379 \h </w:instrText>
            </w:r>
            <w:r>
              <w:rPr>
                <w:noProof/>
                <w:webHidden/>
              </w:rPr>
            </w:r>
            <w:r>
              <w:rPr>
                <w:noProof/>
                <w:webHidden/>
              </w:rPr>
              <w:fldChar w:fldCharType="separate"/>
            </w:r>
            <w:r>
              <w:rPr>
                <w:noProof/>
                <w:webHidden/>
              </w:rPr>
              <w:t>26</w:t>
            </w:r>
            <w:r>
              <w:rPr>
                <w:noProof/>
                <w:webHidden/>
              </w:rPr>
              <w:fldChar w:fldCharType="end"/>
            </w:r>
          </w:hyperlink>
        </w:p>
        <w:p w14:paraId="41B80326" w14:textId="1CC27BF9" w:rsidR="00CE2BC0" w:rsidRDefault="00CE2BC0">
          <w:pPr>
            <w:pStyle w:val="TOC3"/>
            <w:tabs>
              <w:tab w:val="right" w:leader="dot" w:pos="9016"/>
            </w:tabs>
            <w:rPr>
              <w:noProof/>
              <w:sz w:val="24"/>
              <w:szCs w:val="24"/>
              <w:lang w:eastAsia="en-GB"/>
            </w:rPr>
          </w:pPr>
          <w:hyperlink w:anchor="_Toc210677380" w:history="1">
            <w:r w:rsidRPr="00FE1C4C">
              <w:rPr>
                <w:rStyle w:val="Hyperlink"/>
                <w:rFonts w:ascii="Arial" w:hAnsi="Arial" w:cs="Arial"/>
                <w:noProof/>
                <w:lang w:eastAsia="en-GB"/>
              </w:rPr>
              <w:t>3.3.1 Database Search Strategy</w:t>
            </w:r>
            <w:r>
              <w:rPr>
                <w:noProof/>
                <w:webHidden/>
              </w:rPr>
              <w:tab/>
            </w:r>
            <w:r>
              <w:rPr>
                <w:noProof/>
                <w:webHidden/>
              </w:rPr>
              <w:fldChar w:fldCharType="begin"/>
            </w:r>
            <w:r>
              <w:rPr>
                <w:noProof/>
                <w:webHidden/>
              </w:rPr>
              <w:instrText xml:space="preserve"> PAGEREF _Toc210677380 \h </w:instrText>
            </w:r>
            <w:r>
              <w:rPr>
                <w:noProof/>
                <w:webHidden/>
              </w:rPr>
            </w:r>
            <w:r>
              <w:rPr>
                <w:noProof/>
                <w:webHidden/>
              </w:rPr>
              <w:fldChar w:fldCharType="separate"/>
            </w:r>
            <w:r>
              <w:rPr>
                <w:noProof/>
                <w:webHidden/>
              </w:rPr>
              <w:t>27</w:t>
            </w:r>
            <w:r>
              <w:rPr>
                <w:noProof/>
                <w:webHidden/>
              </w:rPr>
              <w:fldChar w:fldCharType="end"/>
            </w:r>
          </w:hyperlink>
        </w:p>
        <w:p w14:paraId="4B5DB36D" w14:textId="590718B5" w:rsidR="00CE2BC0" w:rsidRDefault="00CE2BC0">
          <w:pPr>
            <w:pStyle w:val="TOC3"/>
            <w:tabs>
              <w:tab w:val="right" w:leader="dot" w:pos="9016"/>
            </w:tabs>
            <w:rPr>
              <w:noProof/>
              <w:sz w:val="24"/>
              <w:szCs w:val="24"/>
              <w:lang w:eastAsia="en-GB"/>
            </w:rPr>
          </w:pPr>
          <w:hyperlink w:anchor="_Toc210677381" w:history="1">
            <w:r w:rsidRPr="00FE1C4C">
              <w:rPr>
                <w:rStyle w:val="Hyperlink"/>
                <w:rFonts w:ascii="Arial" w:hAnsi="Arial" w:cs="Arial"/>
                <w:noProof/>
                <w:lang w:eastAsia="en-GB"/>
              </w:rPr>
              <w:t>3.3.2 Eligibility Criteria</w:t>
            </w:r>
            <w:r>
              <w:rPr>
                <w:noProof/>
                <w:webHidden/>
              </w:rPr>
              <w:tab/>
            </w:r>
            <w:r>
              <w:rPr>
                <w:noProof/>
                <w:webHidden/>
              </w:rPr>
              <w:fldChar w:fldCharType="begin"/>
            </w:r>
            <w:r>
              <w:rPr>
                <w:noProof/>
                <w:webHidden/>
              </w:rPr>
              <w:instrText xml:space="preserve"> PAGEREF _Toc210677381 \h </w:instrText>
            </w:r>
            <w:r>
              <w:rPr>
                <w:noProof/>
                <w:webHidden/>
              </w:rPr>
            </w:r>
            <w:r>
              <w:rPr>
                <w:noProof/>
                <w:webHidden/>
              </w:rPr>
              <w:fldChar w:fldCharType="separate"/>
            </w:r>
            <w:r>
              <w:rPr>
                <w:noProof/>
                <w:webHidden/>
              </w:rPr>
              <w:t>27</w:t>
            </w:r>
            <w:r>
              <w:rPr>
                <w:noProof/>
                <w:webHidden/>
              </w:rPr>
              <w:fldChar w:fldCharType="end"/>
            </w:r>
          </w:hyperlink>
        </w:p>
        <w:p w14:paraId="64B948A4" w14:textId="76194129" w:rsidR="00CE2BC0" w:rsidRDefault="00CE2BC0">
          <w:pPr>
            <w:pStyle w:val="TOC3"/>
            <w:tabs>
              <w:tab w:val="right" w:leader="dot" w:pos="9016"/>
            </w:tabs>
            <w:rPr>
              <w:noProof/>
              <w:sz w:val="24"/>
              <w:szCs w:val="24"/>
              <w:lang w:eastAsia="en-GB"/>
            </w:rPr>
          </w:pPr>
          <w:hyperlink w:anchor="_Toc210677382" w:history="1">
            <w:r w:rsidRPr="00FE1C4C">
              <w:rPr>
                <w:rStyle w:val="Hyperlink"/>
                <w:rFonts w:ascii="Arial" w:hAnsi="Arial" w:cs="Arial"/>
                <w:noProof/>
                <w:lang w:eastAsia="en-GB"/>
              </w:rPr>
              <w:t>3.3.3 Screening and Selection</w:t>
            </w:r>
            <w:r>
              <w:rPr>
                <w:noProof/>
                <w:webHidden/>
              </w:rPr>
              <w:tab/>
            </w:r>
            <w:r>
              <w:rPr>
                <w:noProof/>
                <w:webHidden/>
              </w:rPr>
              <w:fldChar w:fldCharType="begin"/>
            </w:r>
            <w:r>
              <w:rPr>
                <w:noProof/>
                <w:webHidden/>
              </w:rPr>
              <w:instrText xml:space="preserve"> PAGEREF _Toc210677382 \h </w:instrText>
            </w:r>
            <w:r>
              <w:rPr>
                <w:noProof/>
                <w:webHidden/>
              </w:rPr>
            </w:r>
            <w:r>
              <w:rPr>
                <w:noProof/>
                <w:webHidden/>
              </w:rPr>
              <w:fldChar w:fldCharType="separate"/>
            </w:r>
            <w:r>
              <w:rPr>
                <w:noProof/>
                <w:webHidden/>
              </w:rPr>
              <w:t>27</w:t>
            </w:r>
            <w:r>
              <w:rPr>
                <w:noProof/>
                <w:webHidden/>
              </w:rPr>
              <w:fldChar w:fldCharType="end"/>
            </w:r>
          </w:hyperlink>
        </w:p>
        <w:p w14:paraId="3324B8EF" w14:textId="23577B9E" w:rsidR="00CE2BC0" w:rsidRDefault="00CE2BC0">
          <w:pPr>
            <w:pStyle w:val="TOC3"/>
            <w:tabs>
              <w:tab w:val="right" w:leader="dot" w:pos="9016"/>
            </w:tabs>
            <w:rPr>
              <w:noProof/>
              <w:sz w:val="24"/>
              <w:szCs w:val="24"/>
              <w:lang w:eastAsia="en-GB"/>
            </w:rPr>
          </w:pPr>
          <w:hyperlink w:anchor="_Toc210677383" w:history="1">
            <w:r w:rsidRPr="00FE1C4C">
              <w:rPr>
                <w:rStyle w:val="Hyperlink"/>
                <w:rFonts w:ascii="Arial" w:hAnsi="Arial" w:cs="Arial"/>
                <w:noProof/>
                <w:lang w:eastAsia="en-GB"/>
              </w:rPr>
              <w:t>3.3.4 Data Extraction and Thematic Synthesis</w:t>
            </w:r>
            <w:r>
              <w:rPr>
                <w:noProof/>
                <w:webHidden/>
              </w:rPr>
              <w:tab/>
            </w:r>
            <w:r>
              <w:rPr>
                <w:noProof/>
                <w:webHidden/>
              </w:rPr>
              <w:fldChar w:fldCharType="begin"/>
            </w:r>
            <w:r>
              <w:rPr>
                <w:noProof/>
                <w:webHidden/>
              </w:rPr>
              <w:instrText xml:space="preserve"> PAGEREF _Toc210677383 \h </w:instrText>
            </w:r>
            <w:r>
              <w:rPr>
                <w:noProof/>
                <w:webHidden/>
              </w:rPr>
            </w:r>
            <w:r>
              <w:rPr>
                <w:noProof/>
                <w:webHidden/>
              </w:rPr>
              <w:fldChar w:fldCharType="separate"/>
            </w:r>
            <w:r>
              <w:rPr>
                <w:noProof/>
                <w:webHidden/>
              </w:rPr>
              <w:t>28</w:t>
            </w:r>
            <w:r>
              <w:rPr>
                <w:noProof/>
                <w:webHidden/>
              </w:rPr>
              <w:fldChar w:fldCharType="end"/>
            </w:r>
          </w:hyperlink>
        </w:p>
        <w:p w14:paraId="22D77E3F" w14:textId="7BB30D0C" w:rsidR="00CE2BC0" w:rsidRDefault="00CE2BC0">
          <w:pPr>
            <w:pStyle w:val="TOC2"/>
            <w:tabs>
              <w:tab w:val="left" w:pos="960"/>
              <w:tab w:val="right" w:leader="dot" w:pos="9016"/>
            </w:tabs>
            <w:rPr>
              <w:noProof/>
              <w:sz w:val="24"/>
              <w:szCs w:val="24"/>
              <w:lang w:eastAsia="en-GB"/>
            </w:rPr>
          </w:pPr>
          <w:hyperlink w:anchor="_Toc210677384" w:history="1">
            <w:r w:rsidRPr="00FE1C4C">
              <w:rPr>
                <w:rStyle w:val="Hyperlink"/>
                <w:rFonts w:ascii="Arial" w:hAnsi="Arial" w:cs="Arial"/>
                <w:noProof/>
                <w:lang w:eastAsia="en-GB"/>
              </w:rPr>
              <w:t>3.4</w:t>
            </w:r>
            <w:r>
              <w:rPr>
                <w:noProof/>
                <w:sz w:val="24"/>
                <w:szCs w:val="24"/>
                <w:lang w:eastAsia="en-GB"/>
              </w:rPr>
              <w:tab/>
            </w:r>
            <w:r w:rsidRPr="00FE1C4C">
              <w:rPr>
                <w:rStyle w:val="Hyperlink"/>
                <w:rFonts w:ascii="Arial" w:hAnsi="Arial" w:cs="Arial"/>
                <w:noProof/>
                <w:lang w:eastAsia="en-GB"/>
              </w:rPr>
              <w:t>Inclusion and Exclusion Criteria</w:t>
            </w:r>
            <w:r>
              <w:rPr>
                <w:noProof/>
                <w:webHidden/>
              </w:rPr>
              <w:tab/>
            </w:r>
            <w:r>
              <w:rPr>
                <w:noProof/>
                <w:webHidden/>
              </w:rPr>
              <w:fldChar w:fldCharType="begin"/>
            </w:r>
            <w:r>
              <w:rPr>
                <w:noProof/>
                <w:webHidden/>
              </w:rPr>
              <w:instrText xml:space="preserve"> PAGEREF _Toc210677384 \h </w:instrText>
            </w:r>
            <w:r>
              <w:rPr>
                <w:noProof/>
                <w:webHidden/>
              </w:rPr>
            </w:r>
            <w:r>
              <w:rPr>
                <w:noProof/>
                <w:webHidden/>
              </w:rPr>
              <w:fldChar w:fldCharType="separate"/>
            </w:r>
            <w:r>
              <w:rPr>
                <w:noProof/>
                <w:webHidden/>
              </w:rPr>
              <w:t>28</w:t>
            </w:r>
            <w:r>
              <w:rPr>
                <w:noProof/>
                <w:webHidden/>
              </w:rPr>
              <w:fldChar w:fldCharType="end"/>
            </w:r>
          </w:hyperlink>
        </w:p>
        <w:p w14:paraId="4012ED0F" w14:textId="249CBB33" w:rsidR="00CE2BC0" w:rsidRDefault="00CE2BC0">
          <w:pPr>
            <w:pStyle w:val="TOC2"/>
            <w:tabs>
              <w:tab w:val="left" w:pos="960"/>
              <w:tab w:val="right" w:leader="dot" w:pos="9016"/>
            </w:tabs>
            <w:rPr>
              <w:noProof/>
              <w:sz w:val="24"/>
              <w:szCs w:val="24"/>
              <w:lang w:eastAsia="en-GB"/>
            </w:rPr>
          </w:pPr>
          <w:hyperlink w:anchor="_Toc210677385" w:history="1">
            <w:r w:rsidRPr="00FE1C4C">
              <w:rPr>
                <w:rStyle w:val="Hyperlink"/>
                <w:rFonts w:ascii="Arial" w:hAnsi="Arial" w:cs="Arial"/>
                <w:noProof/>
                <w:lang w:eastAsia="en-GB"/>
              </w:rPr>
              <w:t>3.5</w:t>
            </w:r>
            <w:r>
              <w:rPr>
                <w:noProof/>
                <w:sz w:val="24"/>
                <w:szCs w:val="24"/>
                <w:lang w:eastAsia="en-GB"/>
              </w:rPr>
              <w:tab/>
            </w:r>
            <w:r w:rsidRPr="00FE1C4C">
              <w:rPr>
                <w:rStyle w:val="Hyperlink"/>
                <w:rFonts w:ascii="Arial" w:hAnsi="Arial" w:cs="Arial"/>
                <w:noProof/>
                <w:lang w:eastAsia="en-GB"/>
              </w:rPr>
              <w:t>Search Strategy</w:t>
            </w:r>
            <w:r>
              <w:rPr>
                <w:noProof/>
                <w:webHidden/>
              </w:rPr>
              <w:tab/>
            </w:r>
            <w:r>
              <w:rPr>
                <w:noProof/>
                <w:webHidden/>
              </w:rPr>
              <w:fldChar w:fldCharType="begin"/>
            </w:r>
            <w:r>
              <w:rPr>
                <w:noProof/>
                <w:webHidden/>
              </w:rPr>
              <w:instrText xml:space="preserve"> PAGEREF _Toc210677385 \h </w:instrText>
            </w:r>
            <w:r>
              <w:rPr>
                <w:noProof/>
                <w:webHidden/>
              </w:rPr>
            </w:r>
            <w:r>
              <w:rPr>
                <w:noProof/>
                <w:webHidden/>
              </w:rPr>
              <w:fldChar w:fldCharType="separate"/>
            </w:r>
            <w:r>
              <w:rPr>
                <w:noProof/>
                <w:webHidden/>
              </w:rPr>
              <w:t>29</w:t>
            </w:r>
            <w:r>
              <w:rPr>
                <w:noProof/>
                <w:webHidden/>
              </w:rPr>
              <w:fldChar w:fldCharType="end"/>
            </w:r>
          </w:hyperlink>
        </w:p>
        <w:p w14:paraId="311D3ECD" w14:textId="741CBAD0" w:rsidR="00CE2BC0" w:rsidRDefault="00CE2BC0">
          <w:pPr>
            <w:pStyle w:val="TOC2"/>
            <w:tabs>
              <w:tab w:val="left" w:pos="960"/>
              <w:tab w:val="right" w:leader="dot" w:pos="9016"/>
            </w:tabs>
            <w:rPr>
              <w:noProof/>
              <w:sz w:val="24"/>
              <w:szCs w:val="24"/>
              <w:lang w:eastAsia="en-GB"/>
            </w:rPr>
          </w:pPr>
          <w:hyperlink w:anchor="_Toc210677386" w:history="1">
            <w:r w:rsidRPr="00FE1C4C">
              <w:rPr>
                <w:rStyle w:val="Hyperlink"/>
                <w:rFonts w:ascii="Arial" w:hAnsi="Arial" w:cs="Arial"/>
                <w:noProof/>
                <w:lang w:eastAsia="en-GB"/>
              </w:rPr>
              <w:t>3.6</w:t>
            </w:r>
            <w:r>
              <w:rPr>
                <w:noProof/>
                <w:sz w:val="24"/>
                <w:szCs w:val="24"/>
                <w:lang w:eastAsia="en-GB"/>
              </w:rPr>
              <w:tab/>
            </w:r>
            <w:r w:rsidRPr="00FE1C4C">
              <w:rPr>
                <w:rStyle w:val="Hyperlink"/>
                <w:rFonts w:ascii="Arial" w:hAnsi="Arial" w:cs="Arial"/>
                <w:noProof/>
                <w:lang w:eastAsia="en-GB"/>
              </w:rPr>
              <w:t>Recruitment, Sampling and Study Participants</w:t>
            </w:r>
            <w:r>
              <w:rPr>
                <w:noProof/>
                <w:webHidden/>
              </w:rPr>
              <w:tab/>
            </w:r>
            <w:r>
              <w:rPr>
                <w:noProof/>
                <w:webHidden/>
              </w:rPr>
              <w:fldChar w:fldCharType="begin"/>
            </w:r>
            <w:r>
              <w:rPr>
                <w:noProof/>
                <w:webHidden/>
              </w:rPr>
              <w:instrText xml:space="preserve"> PAGEREF _Toc210677386 \h </w:instrText>
            </w:r>
            <w:r>
              <w:rPr>
                <w:noProof/>
                <w:webHidden/>
              </w:rPr>
            </w:r>
            <w:r>
              <w:rPr>
                <w:noProof/>
                <w:webHidden/>
              </w:rPr>
              <w:fldChar w:fldCharType="separate"/>
            </w:r>
            <w:r>
              <w:rPr>
                <w:noProof/>
                <w:webHidden/>
              </w:rPr>
              <w:t>29</w:t>
            </w:r>
            <w:r>
              <w:rPr>
                <w:noProof/>
                <w:webHidden/>
              </w:rPr>
              <w:fldChar w:fldCharType="end"/>
            </w:r>
          </w:hyperlink>
        </w:p>
        <w:p w14:paraId="49FF1CF5" w14:textId="2C0DD5AE" w:rsidR="00CE2BC0" w:rsidRDefault="00CE2BC0">
          <w:pPr>
            <w:pStyle w:val="TOC2"/>
            <w:tabs>
              <w:tab w:val="left" w:pos="960"/>
              <w:tab w:val="right" w:leader="dot" w:pos="9016"/>
            </w:tabs>
            <w:rPr>
              <w:noProof/>
              <w:sz w:val="24"/>
              <w:szCs w:val="24"/>
              <w:lang w:eastAsia="en-GB"/>
            </w:rPr>
          </w:pPr>
          <w:hyperlink w:anchor="_Toc210677387" w:history="1">
            <w:r w:rsidRPr="00FE1C4C">
              <w:rPr>
                <w:rStyle w:val="Hyperlink"/>
                <w:rFonts w:ascii="Arial" w:hAnsi="Arial" w:cs="Arial"/>
                <w:noProof/>
                <w:lang w:eastAsia="en-GB"/>
              </w:rPr>
              <w:t>3.7</w:t>
            </w:r>
            <w:r>
              <w:rPr>
                <w:noProof/>
                <w:sz w:val="24"/>
                <w:szCs w:val="24"/>
                <w:lang w:eastAsia="en-GB"/>
              </w:rPr>
              <w:tab/>
            </w:r>
            <w:r w:rsidRPr="00FE1C4C">
              <w:rPr>
                <w:rStyle w:val="Hyperlink"/>
                <w:rFonts w:ascii="Arial" w:hAnsi="Arial" w:cs="Arial"/>
                <w:noProof/>
                <w:lang w:eastAsia="en-GB"/>
              </w:rPr>
              <w:t>Data Extraction</w:t>
            </w:r>
            <w:r>
              <w:rPr>
                <w:noProof/>
                <w:webHidden/>
              </w:rPr>
              <w:tab/>
            </w:r>
            <w:r>
              <w:rPr>
                <w:noProof/>
                <w:webHidden/>
              </w:rPr>
              <w:fldChar w:fldCharType="begin"/>
            </w:r>
            <w:r>
              <w:rPr>
                <w:noProof/>
                <w:webHidden/>
              </w:rPr>
              <w:instrText xml:space="preserve"> PAGEREF _Toc210677387 \h </w:instrText>
            </w:r>
            <w:r>
              <w:rPr>
                <w:noProof/>
                <w:webHidden/>
              </w:rPr>
            </w:r>
            <w:r>
              <w:rPr>
                <w:noProof/>
                <w:webHidden/>
              </w:rPr>
              <w:fldChar w:fldCharType="separate"/>
            </w:r>
            <w:r>
              <w:rPr>
                <w:noProof/>
                <w:webHidden/>
              </w:rPr>
              <w:t>30</w:t>
            </w:r>
            <w:r>
              <w:rPr>
                <w:noProof/>
                <w:webHidden/>
              </w:rPr>
              <w:fldChar w:fldCharType="end"/>
            </w:r>
          </w:hyperlink>
        </w:p>
        <w:p w14:paraId="5B06BEB7" w14:textId="77F9B4D5" w:rsidR="00CE2BC0" w:rsidRDefault="00CE2BC0">
          <w:pPr>
            <w:pStyle w:val="TOC2"/>
            <w:tabs>
              <w:tab w:val="left" w:pos="960"/>
              <w:tab w:val="right" w:leader="dot" w:pos="9016"/>
            </w:tabs>
            <w:rPr>
              <w:noProof/>
              <w:sz w:val="24"/>
              <w:szCs w:val="24"/>
              <w:lang w:eastAsia="en-GB"/>
            </w:rPr>
          </w:pPr>
          <w:hyperlink w:anchor="_Toc210677388" w:history="1">
            <w:r w:rsidRPr="00FE1C4C">
              <w:rPr>
                <w:rStyle w:val="Hyperlink"/>
                <w:rFonts w:ascii="Arial" w:hAnsi="Arial" w:cs="Arial"/>
                <w:noProof/>
                <w:lang w:eastAsia="en-GB"/>
              </w:rPr>
              <w:t>3.8</w:t>
            </w:r>
            <w:r>
              <w:rPr>
                <w:noProof/>
                <w:sz w:val="24"/>
                <w:szCs w:val="24"/>
                <w:lang w:eastAsia="en-GB"/>
              </w:rPr>
              <w:tab/>
            </w:r>
            <w:r w:rsidRPr="00FE1C4C">
              <w:rPr>
                <w:rStyle w:val="Hyperlink"/>
                <w:rFonts w:ascii="Arial" w:hAnsi="Arial" w:cs="Arial"/>
                <w:noProof/>
                <w:lang w:eastAsia="en-GB"/>
              </w:rPr>
              <w:t>Data Analysis: Thematic Synthesis</w:t>
            </w:r>
            <w:r>
              <w:rPr>
                <w:noProof/>
                <w:webHidden/>
              </w:rPr>
              <w:tab/>
            </w:r>
            <w:r>
              <w:rPr>
                <w:noProof/>
                <w:webHidden/>
              </w:rPr>
              <w:fldChar w:fldCharType="begin"/>
            </w:r>
            <w:r>
              <w:rPr>
                <w:noProof/>
                <w:webHidden/>
              </w:rPr>
              <w:instrText xml:space="preserve"> PAGEREF _Toc210677388 \h </w:instrText>
            </w:r>
            <w:r>
              <w:rPr>
                <w:noProof/>
                <w:webHidden/>
              </w:rPr>
            </w:r>
            <w:r>
              <w:rPr>
                <w:noProof/>
                <w:webHidden/>
              </w:rPr>
              <w:fldChar w:fldCharType="separate"/>
            </w:r>
            <w:r>
              <w:rPr>
                <w:noProof/>
                <w:webHidden/>
              </w:rPr>
              <w:t>30</w:t>
            </w:r>
            <w:r>
              <w:rPr>
                <w:noProof/>
                <w:webHidden/>
              </w:rPr>
              <w:fldChar w:fldCharType="end"/>
            </w:r>
          </w:hyperlink>
        </w:p>
        <w:p w14:paraId="2CCF58E9" w14:textId="7AA86292" w:rsidR="00CE2BC0" w:rsidRDefault="00CE2BC0">
          <w:pPr>
            <w:pStyle w:val="TOC2"/>
            <w:tabs>
              <w:tab w:val="left" w:pos="960"/>
              <w:tab w:val="right" w:leader="dot" w:pos="9016"/>
            </w:tabs>
            <w:rPr>
              <w:noProof/>
              <w:sz w:val="24"/>
              <w:szCs w:val="24"/>
              <w:lang w:eastAsia="en-GB"/>
            </w:rPr>
          </w:pPr>
          <w:hyperlink w:anchor="_Toc210677389" w:history="1">
            <w:r w:rsidRPr="00FE1C4C">
              <w:rPr>
                <w:rStyle w:val="Hyperlink"/>
                <w:rFonts w:ascii="Arial" w:hAnsi="Arial" w:cs="Arial"/>
                <w:noProof/>
                <w:lang w:eastAsia="en-GB"/>
              </w:rPr>
              <w:t>3.9</w:t>
            </w:r>
            <w:r>
              <w:rPr>
                <w:noProof/>
                <w:sz w:val="24"/>
                <w:szCs w:val="24"/>
                <w:lang w:eastAsia="en-GB"/>
              </w:rPr>
              <w:tab/>
            </w:r>
            <w:r w:rsidRPr="00FE1C4C">
              <w:rPr>
                <w:rStyle w:val="Hyperlink"/>
                <w:rFonts w:ascii="Arial" w:hAnsi="Arial" w:cs="Arial"/>
                <w:noProof/>
                <w:lang w:eastAsia="en-GB"/>
              </w:rPr>
              <w:t>Tools and Software</w:t>
            </w:r>
            <w:r>
              <w:rPr>
                <w:noProof/>
                <w:webHidden/>
              </w:rPr>
              <w:tab/>
            </w:r>
            <w:r>
              <w:rPr>
                <w:noProof/>
                <w:webHidden/>
              </w:rPr>
              <w:fldChar w:fldCharType="begin"/>
            </w:r>
            <w:r>
              <w:rPr>
                <w:noProof/>
                <w:webHidden/>
              </w:rPr>
              <w:instrText xml:space="preserve"> PAGEREF _Toc210677389 \h </w:instrText>
            </w:r>
            <w:r>
              <w:rPr>
                <w:noProof/>
                <w:webHidden/>
              </w:rPr>
            </w:r>
            <w:r>
              <w:rPr>
                <w:noProof/>
                <w:webHidden/>
              </w:rPr>
              <w:fldChar w:fldCharType="separate"/>
            </w:r>
            <w:r>
              <w:rPr>
                <w:noProof/>
                <w:webHidden/>
              </w:rPr>
              <w:t>31</w:t>
            </w:r>
            <w:r>
              <w:rPr>
                <w:noProof/>
                <w:webHidden/>
              </w:rPr>
              <w:fldChar w:fldCharType="end"/>
            </w:r>
          </w:hyperlink>
        </w:p>
        <w:p w14:paraId="2992A1BC" w14:textId="5EE8002A" w:rsidR="00CE2BC0" w:rsidRDefault="00CE2BC0">
          <w:pPr>
            <w:pStyle w:val="TOC2"/>
            <w:tabs>
              <w:tab w:val="left" w:pos="960"/>
              <w:tab w:val="right" w:leader="dot" w:pos="9016"/>
            </w:tabs>
            <w:rPr>
              <w:noProof/>
              <w:sz w:val="24"/>
              <w:szCs w:val="24"/>
              <w:lang w:eastAsia="en-GB"/>
            </w:rPr>
          </w:pPr>
          <w:hyperlink w:anchor="_Toc210677390" w:history="1">
            <w:r w:rsidRPr="00FE1C4C">
              <w:rPr>
                <w:rStyle w:val="Hyperlink"/>
                <w:rFonts w:ascii="Arial" w:hAnsi="Arial" w:cs="Arial"/>
                <w:noProof/>
                <w:lang w:eastAsia="en-GB"/>
              </w:rPr>
              <w:t>3.10</w:t>
            </w:r>
            <w:r>
              <w:rPr>
                <w:noProof/>
                <w:sz w:val="24"/>
                <w:szCs w:val="24"/>
                <w:lang w:eastAsia="en-GB"/>
              </w:rPr>
              <w:tab/>
            </w:r>
            <w:r w:rsidRPr="00FE1C4C">
              <w:rPr>
                <w:rStyle w:val="Hyperlink"/>
                <w:rFonts w:ascii="Arial" w:hAnsi="Arial" w:cs="Arial"/>
                <w:noProof/>
                <w:lang w:eastAsia="en-GB"/>
              </w:rPr>
              <w:t>Ethical Considerations</w:t>
            </w:r>
            <w:r>
              <w:rPr>
                <w:noProof/>
                <w:webHidden/>
              </w:rPr>
              <w:tab/>
            </w:r>
            <w:r>
              <w:rPr>
                <w:noProof/>
                <w:webHidden/>
              </w:rPr>
              <w:fldChar w:fldCharType="begin"/>
            </w:r>
            <w:r>
              <w:rPr>
                <w:noProof/>
                <w:webHidden/>
              </w:rPr>
              <w:instrText xml:space="preserve"> PAGEREF _Toc210677390 \h </w:instrText>
            </w:r>
            <w:r>
              <w:rPr>
                <w:noProof/>
                <w:webHidden/>
              </w:rPr>
            </w:r>
            <w:r>
              <w:rPr>
                <w:noProof/>
                <w:webHidden/>
              </w:rPr>
              <w:fldChar w:fldCharType="separate"/>
            </w:r>
            <w:r>
              <w:rPr>
                <w:noProof/>
                <w:webHidden/>
              </w:rPr>
              <w:t>32</w:t>
            </w:r>
            <w:r>
              <w:rPr>
                <w:noProof/>
                <w:webHidden/>
              </w:rPr>
              <w:fldChar w:fldCharType="end"/>
            </w:r>
          </w:hyperlink>
        </w:p>
        <w:p w14:paraId="795380E3" w14:textId="186276F3" w:rsidR="00CE2BC0" w:rsidRDefault="00CE2BC0">
          <w:pPr>
            <w:pStyle w:val="TOC2"/>
            <w:tabs>
              <w:tab w:val="left" w:pos="960"/>
              <w:tab w:val="right" w:leader="dot" w:pos="9016"/>
            </w:tabs>
            <w:rPr>
              <w:noProof/>
              <w:sz w:val="24"/>
              <w:szCs w:val="24"/>
              <w:lang w:eastAsia="en-GB"/>
            </w:rPr>
          </w:pPr>
          <w:hyperlink w:anchor="_Toc210677391" w:history="1">
            <w:r w:rsidRPr="00FE1C4C">
              <w:rPr>
                <w:rStyle w:val="Hyperlink"/>
                <w:rFonts w:ascii="Arial" w:hAnsi="Arial" w:cs="Arial"/>
                <w:noProof/>
                <w:lang w:eastAsia="en-GB"/>
              </w:rPr>
              <w:t>3.11</w:t>
            </w:r>
            <w:r>
              <w:rPr>
                <w:noProof/>
                <w:sz w:val="24"/>
                <w:szCs w:val="24"/>
                <w:lang w:eastAsia="en-GB"/>
              </w:rPr>
              <w:tab/>
            </w:r>
            <w:r w:rsidRPr="00FE1C4C">
              <w:rPr>
                <w:rStyle w:val="Hyperlink"/>
                <w:rFonts w:ascii="Arial" w:hAnsi="Arial" w:cs="Arial"/>
                <w:noProof/>
                <w:lang w:eastAsia="en-GB"/>
              </w:rPr>
              <w:t>Methodological Strengths and Limitations</w:t>
            </w:r>
            <w:r>
              <w:rPr>
                <w:noProof/>
                <w:webHidden/>
              </w:rPr>
              <w:tab/>
            </w:r>
            <w:r>
              <w:rPr>
                <w:noProof/>
                <w:webHidden/>
              </w:rPr>
              <w:fldChar w:fldCharType="begin"/>
            </w:r>
            <w:r>
              <w:rPr>
                <w:noProof/>
                <w:webHidden/>
              </w:rPr>
              <w:instrText xml:space="preserve"> PAGEREF _Toc210677391 \h </w:instrText>
            </w:r>
            <w:r>
              <w:rPr>
                <w:noProof/>
                <w:webHidden/>
              </w:rPr>
            </w:r>
            <w:r>
              <w:rPr>
                <w:noProof/>
                <w:webHidden/>
              </w:rPr>
              <w:fldChar w:fldCharType="separate"/>
            </w:r>
            <w:r>
              <w:rPr>
                <w:noProof/>
                <w:webHidden/>
              </w:rPr>
              <w:t>32</w:t>
            </w:r>
            <w:r>
              <w:rPr>
                <w:noProof/>
                <w:webHidden/>
              </w:rPr>
              <w:fldChar w:fldCharType="end"/>
            </w:r>
          </w:hyperlink>
        </w:p>
        <w:p w14:paraId="13846B45" w14:textId="29373035" w:rsidR="00CE2BC0" w:rsidRDefault="00CE2BC0">
          <w:pPr>
            <w:pStyle w:val="TOC3"/>
            <w:tabs>
              <w:tab w:val="right" w:leader="dot" w:pos="9016"/>
            </w:tabs>
            <w:rPr>
              <w:noProof/>
              <w:sz w:val="24"/>
              <w:szCs w:val="24"/>
              <w:lang w:eastAsia="en-GB"/>
            </w:rPr>
          </w:pPr>
          <w:hyperlink w:anchor="_Toc210677392" w:history="1">
            <w:r w:rsidRPr="00FE1C4C">
              <w:rPr>
                <w:rStyle w:val="Hyperlink"/>
                <w:rFonts w:ascii="Arial" w:hAnsi="Arial" w:cs="Arial"/>
                <w:noProof/>
                <w:lang w:eastAsia="en-GB"/>
              </w:rPr>
              <w:t>3.11.1 Strengths</w:t>
            </w:r>
            <w:r>
              <w:rPr>
                <w:noProof/>
                <w:webHidden/>
              </w:rPr>
              <w:tab/>
            </w:r>
            <w:r>
              <w:rPr>
                <w:noProof/>
                <w:webHidden/>
              </w:rPr>
              <w:fldChar w:fldCharType="begin"/>
            </w:r>
            <w:r>
              <w:rPr>
                <w:noProof/>
                <w:webHidden/>
              </w:rPr>
              <w:instrText xml:space="preserve"> PAGEREF _Toc210677392 \h </w:instrText>
            </w:r>
            <w:r>
              <w:rPr>
                <w:noProof/>
                <w:webHidden/>
              </w:rPr>
            </w:r>
            <w:r>
              <w:rPr>
                <w:noProof/>
                <w:webHidden/>
              </w:rPr>
              <w:fldChar w:fldCharType="separate"/>
            </w:r>
            <w:r>
              <w:rPr>
                <w:noProof/>
                <w:webHidden/>
              </w:rPr>
              <w:t>32</w:t>
            </w:r>
            <w:r>
              <w:rPr>
                <w:noProof/>
                <w:webHidden/>
              </w:rPr>
              <w:fldChar w:fldCharType="end"/>
            </w:r>
          </w:hyperlink>
        </w:p>
        <w:p w14:paraId="5A13F1A2" w14:textId="6E322B2E" w:rsidR="00CE2BC0" w:rsidRDefault="00CE2BC0">
          <w:pPr>
            <w:pStyle w:val="TOC3"/>
            <w:tabs>
              <w:tab w:val="right" w:leader="dot" w:pos="9016"/>
            </w:tabs>
            <w:rPr>
              <w:noProof/>
              <w:sz w:val="24"/>
              <w:szCs w:val="24"/>
              <w:lang w:eastAsia="en-GB"/>
            </w:rPr>
          </w:pPr>
          <w:hyperlink w:anchor="_Toc210677393" w:history="1">
            <w:r w:rsidRPr="00FE1C4C">
              <w:rPr>
                <w:rStyle w:val="Hyperlink"/>
                <w:rFonts w:ascii="Arial" w:hAnsi="Arial" w:cs="Arial"/>
                <w:noProof/>
                <w:lang w:eastAsia="en-GB"/>
              </w:rPr>
              <w:t>3.11.2 Limitations</w:t>
            </w:r>
            <w:r>
              <w:rPr>
                <w:noProof/>
                <w:webHidden/>
              </w:rPr>
              <w:tab/>
            </w:r>
            <w:r>
              <w:rPr>
                <w:noProof/>
                <w:webHidden/>
              </w:rPr>
              <w:fldChar w:fldCharType="begin"/>
            </w:r>
            <w:r>
              <w:rPr>
                <w:noProof/>
                <w:webHidden/>
              </w:rPr>
              <w:instrText xml:space="preserve"> PAGEREF _Toc210677393 \h </w:instrText>
            </w:r>
            <w:r>
              <w:rPr>
                <w:noProof/>
                <w:webHidden/>
              </w:rPr>
            </w:r>
            <w:r>
              <w:rPr>
                <w:noProof/>
                <w:webHidden/>
              </w:rPr>
              <w:fldChar w:fldCharType="separate"/>
            </w:r>
            <w:r>
              <w:rPr>
                <w:noProof/>
                <w:webHidden/>
              </w:rPr>
              <w:t>33</w:t>
            </w:r>
            <w:r>
              <w:rPr>
                <w:noProof/>
                <w:webHidden/>
              </w:rPr>
              <w:fldChar w:fldCharType="end"/>
            </w:r>
          </w:hyperlink>
        </w:p>
        <w:p w14:paraId="4A29BD33" w14:textId="05A18502"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394" w:history="1">
            <w:r w:rsidRPr="00FE1C4C">
              <w:rPr>
                <w:rStyle w:val="Hyperlink"/>
                <w:rFonts w:asciiTheme="minorBidi" w:hAnsiTheme="minorBidi"/>
                <w:noProof/>
              </w:rPr>
              <w:t>Chapter 4: Results</w:t>
            </w:r>
            <w:r>
              <w:rPr>
                <w:noProof/>
                <w:webHidden/>
              </w:rPr>
              <w:tab/>
            </w:r>
            <w:r>
              <w:rPr>
                <w:noProof/>
                <w:webHidden/>
              </w:rPr>
              <w:fldChar w:fldCharType="begin"/>
            </w:r>
            <w:r>
              <w:rPr>
                <w:noProof/>
                <w:webHidden/>
              </w:rPr>
              <w:instrText xml:space="preserve"> PAGEREF _Toc210677394 \h </w:instrText>
            </w:r>
            <w:r>
              <w:rPr>
                <w:noProof/>
                <w:webHidden/>
              </w:rPr>
            </w:r>
            <w:r>
              <w:rPr>
                <w:noProof/>
                <w:webHidden/>
              </w:rPr>
              <w:fldChar w:fldCharType="separate"/>
            </w:r>
            <w:r>
              <w:rPr>
                <w:noProof/>
                <w:webHidden/>
              </w:rPr>
              <w:t>34</w:t>
            </w:r>
            <w:r>
              <w:rPr>
                <w:noProof/>
                <w:webHidden/>
              </w:rPr>
              <w:fldChar w:fldCharType="end"/>
            </w:r>
          </w:hyperlink>
        </w:p>
        <w:p w14:paraId="3E4C3634" w14:textId="42AAAB3E" w:rsidR="00CE2BC0" w:rsidRDefault="00CE2BC0">
          <w:pPr>
            <w:pStyle w:val="TOC2"/>
            <w:tabs>
              <w:tab w:val="right" w:leader="dot" w:pos="9016"/>
            </w:tabs>
            <w:rPr>
              <w:noProof/>
              <w:sz w:val="24"/>
              <w:szCs w:val="24"/>
              <w:lang w:eastAsia="en-GB"/>
            </w:rPr>
          </w:pPr>
          <w:hyperlink w:anchor="_Toc210677395" w:history="1">
            <w:r w:rsidRPr="00FE1C4C">
              <w:rPr>
                <w:rStyle w:val="Hyperlink"/>
                <w:rFonts w:ascii="Arial" w:hAnsi="Arial" w:cs="Arial"/>
                <w:noProof/>
              </w:rPr>
              <w:t>4.1 Introduction to the Results</w:t>
            </w:r>
            <w:r>
              <w:rPr>
                <w:noProof/>
                <w:webHidden/>
              </w:rPr>
              <w:tab/>
            </w:r>
            <w:r>
              <w:rPr>
                <w:noProof/>
                <w:webHidden/>
              </w:rPr>
              <w:fldChar w:fldCharType="begin"/>
            </w:r>
            <w:r>
              <w:rPr>
                <w:noProof/>
                <w:webHidden/>
              </w:rPr>
              <w:instrText xml:space="preserve"> PAGEREF _Toc210677395 \h </w:instrText>
            </w:r>
            <w:r>
              <w:rPr>
                <w:noProof/>
                <w:webHidden/>
              </w:rPr>
            </w:r>
            <w:r>
              <w:rPr>
                <w:noProof/>
                <w:webHidden/>
              </w:rPr>
              <w:fldChar w:fldCharType="separate"/>
            </w:r>
            <w:r>
              <w:rPr>
                <w:noProof/>
                <w:webHidden/>
              </w:rPr>
              <w:t>34</w:t>
            </w:r>
            <w:r>
              <w:rPr>
                <w:noProof/>
                <w:webHidden/>
              </w:rPr>
              <w:fldChar w:fldCharType="end"/>
            </w:r>
          </w:hyperlink>
        </w:p>
        <w:p w14:paraId="0CC83938" w14:textId="2AF35EFB" w:rsidR="00CE2BC0" w:rsidRDefault="00CE2BC0">
          <w:pPr>
            <w:pStyle w:val="TOC2"/>
            <w:tabs>
              <w:tab w:val="right" w:leader="dot" w:pos="9016"/>
            </w:tabs>
            <w:rPr>
              <w:noProof/>
              <w:sz w:val="24"/>
              <w:szCs w:val="24"/>
              <w:lang w:eastAsia="en-GB"/>
            </w:rPr>
          </w:pPr>
          <w:hyperlink w:anchor="_Toc210677396" w:history="1">
            <w:r w:rsidRPr="00FE1C4C">
              <w:rPr>
                <w:rStyle w:val="Hyperlink"/>
                <w:rFonts w:ascii="Arial" w:hAnsi="Arial" w:cs="Arial"/>
                <w:noProof/>
              </w:rPr>
              <w:t>4.2 PRISMA Flow and Study Selection</w:t>
            </w:r>
            <w:r>
              <w:rPr>
                <w:noProof/>
                <w:webHidden/>
              </w:rPr>
              <w:tab/>
            </w:r>
            <w:r>
              <w:rPr>
                <w:noProof/>
                <w:webHidden/>
              </w:rPr>
              <w:fldChar w:fldCharType="begin"/>
            </w:r>
            <w:r>
              <w:rPr>
                <w:noProof/>
                <w:webHidden/>
              </w:rPr>
              <w:instrText xml:space="preserve"> PAGEREF _Toc210677396 \h </w:instrText>
            </w:r>
            <w:r>
              <w:rPr>
                <w:noProof/>
                <w:webHidden/>
              </w:rPr>
            </w:r>
            <w:r>
              <w:rPr>
                <w:noProof/>
                <w:webHidden/>
              </w:rPr>
              <w:fldChar w:fldCharType="separate"/>
            </w:r>
            <w:r>
              <w:rPr>
                <w:noProof/>
                <w:webHidden/>
              </w:rPr>
              <w:t>35</w:t>
            </w:r>
            <w:r>
              <w:rPr>
                <w:noProof/>
                <w:webHidden/>
              </w:rPr>
              <w:fldChar w:fldCharType="end"/>
            </w:r>
          </w:hyperlink>
        </w:p>
        <w:p w14:paraId="7847C207" w14:textId="0087EC5E" w:rsidR="00CE2BC0" w:rsidRDefault="00CE2BC0">
          <w:pPr>
            <w:pStyle w:val="TOC2"/>
            <w:tabs>
              <w:tab w:val="right" w:leader="dot" w:pos="9016"/>
            </w:tabs>
            <w:rPr>
              <w:noProof/>
              <w:sz w:val="24"/>
              <w:szCs w:val="24"/>
              <w:lang w:eastAsia="en-GB"/>
            </w:rPr>
          </w:pPr>
          <w:hyperlink w:anchor="_Toc210677397" w:history="1">
            <w:r w:rsidRPr="00FE1C4C">
              <w:rPr>
                <w:rStyle w:val="Hyperlink"/>
                <w:rFonts w:ascii="Arial" w:hAnsi="Arial" w:cs="Arial"/>
                <w:noProof/>
              </w:rPr>
              <w:t>4.3 Features of Included Studies</w:t>
            </w:r>
            <w:r>
              <w:rPr>
                <w:noProof/>
                <w:webHidden/>
              </w:rPr>
              <w:tab/>
            </w:r>
            <w:r>
              <w:rPr>
                <w:noProof/>
                <w:webHidden/>
              </w:rPr>
              <w:fldChar w:fldCharType="begin"/>
            </w:r>
            <w:r>
              <w:rPr>
                <w:noProof/>
                <w:webHidden/>
              </w:rPr>
              <w:instrText xml:space="preserve"> PAGEREF _Toc210677397 \h </w:instrText>
            </w:r>
            <w:r>
              <w:rPr>
                <w:noProof/>
                <w:webHidden/>
              </w:rPr>
            </w:r>
            <w:r>
              <w:rPr>
                <w:noProof/>
                <w:webHidden/>
              </w:rPr>
              <w:fldChar w:fldCharType="separate"/>
            </w:r>
            <w:r>
              <w:rPr>
                <w:noProof/>
                <w:webHidden/>
              </w:rPr>
              <w:t>36</w:t>
            </w:r>
            <w:r>
              <w:rPr>
                <w:noProof/>
                <w:webHidden/>
              </w:rPr>
              <w:fldChar w:fldCharType="end"/>
            </w:r>
          </w:hyperlink>
        </w:p>
        <w:p w14:paraId="73EB7895" w14:textId="43121AAC" w:rsidR="00CE2BC0" w:rsidRDefault="00CE2BC0">
          <w:pPr>
            <w:pStyle w:val="TOC2"/>
            <w:tabs>
              <w:tab w:val="right" w:leader="dot" w:pos="9016"/>
            </w:tabs>
            <w:rPr>
              <w:noProof/>
              <w:sz w:val="24"/>
              <w:szCs w:val="24"/>
              <w:lang w:eastAsia="en-GB"/>
            </w:rPr>
          </w:pPr>
          <w:hyperlink w:anchor="_Toc210677398" w:history="1">
            <w:r w:rsidRPr="00FE1C4C">
              <w:rPr>
                <w:rStyle w:val="Hyperlink"/>
                <w:rFonts w:ascii="Arial" w:hAnsi="Arial" w:cs="Arial"/>
                <w:noProof/>
              </w:rPr>
              <w:t>4.4 Thematic Synthesis Results</w:t>
            </w:r>
            <w:r>
              <w:rPr>
                <w:noProof/>
                <w:webHidden/>
              </w:rPr>
              <w:tab/>
            </w:r>
            <w:r>
              <w:rPr>
                <w:noProof/>
                <w:webHidden/>
              </w:rPr>
              <w:fldChar w:fldCharType="begin"/>
            </w:r>
            <w:r>
              <w:rPr>
                <w:noProof/>
                <w:webHidden/>
              </w:rPr>
              <w:instrText xml:space="preserve"> PAGEREF _Toc210677398 \h </w:instrText>
            </w:r>
            <w:r>
              <w:rPr>
                <w:noProof/>
                <w:webHidden/>
              </w:rPr>
            </w:r>
            <w:r>
              <w:rPr>
                <w:noProof/>
                <w:webHidden/>
              </w:rPr>
              <w:fldChar w:fldCharType="separate"/>
            </w:r>
            <w:r>
              <w:rPr>
                <w:noProof/>
                <w:webHidden/>
              </w:rPr>
              <w:t>39</w:t>
            </w:r>
            <w:r>
              <w:rPr>
                <w:noProof/>
                <w:webHidden/>
              </w:rPr>
              <w:fldChar w:fldCharType="end"/>
            </w:r>
          </w:hyperlink>
        </w:p>
        <w:p w14:paraId="2B7DD7A7" w14:textId="20E504D8" w:rsidR="00CE2BC0" w:rsidRDefault="00CE2BC0">
          <w:pPr>
            <w:pStyle w:val="TOC3"/>
            <w:tabs>
              <w:tab w:val="right" w:leader="dot" w:pos="9016"/>
            </w:tabs>
            <w:rPr>
              <w:noProof/>
              <w:sz w:val="24"/>
              <w:szCs w:val="24"/>
              <w:lang w:eastAsia="en-GB"/>
            </w:rPr>
          </w:pPr>
          <w:hyperlink w:anchor="_Toc210677399" w:history="1">
            <w:r w:rsidRPr="00FE1C4C">
              <w:rPr>
                <w:rStyle w:val="Hyperlink"/>
                <w:rFonts w:ascii="Arial" w:hAnsi="Arial" w:cs="Arial"/>
                <w:b/>
                <w:bCs/>
                <w:noProof/>
              </w:rPr>
              <w:t>4.4.1 Theme 1</w:t>
            </w:r>
            <w:r>
              <w:rPr>
                <w:noProof/>
                <w:webHidden/>
              </w:rPr>
              <w:tab/>
            </w:r>
            <w:r>
              <w:rPr>
                <w:noProof/>
                <w:webHidden/>
              </w:rPr>
              <w:fldChar w:fldCharType="begin"/>
            </w:r>
            <w:r>
              <w:rPr>
                <w:noProof/>
                <w:webHidden/>
              </w:rPr>
              <w:instrText xml:space="preserve"> PAGEREF _Toc210677399 \h </w:instrText>
            </w:r>
            <w:r>
              <w:rPr>
                <w:noProof/>
                <w:webHidden/>
              </w:rPr>
            </w:r>
            <w:r>
              <w:rPr>
                <w:noProof/>
                <w:webHidden/>
              </w:rPr>
              <w:fldChar w:fldCharType="separate"/>
            </w:r>
            <w:r>
              <w:rPr>
                <w:noProof/>
                <w:webHidden/>
              </w:rPr>
              <w:t>39</w:t>
            </w:r>
            <w:r>
              <w:rPr>
                <w:noProof/>
                <w:webHidden/>
              </w:rPr>
              <w:fldChar w:fldCharType="end"/>
            </w:r>
          </w:hyperlink>
        </w:p>
        <w:p w14:paraId="15C6EE53" w14:textId="0FEE5A2D" w:rsidR="00CE2BC0" w:rsidRDefault="00CE2BC0">
          <w:pPr>
            <w:pStyle w:val="TOC3"/>
            <w:tabs>
              <w:tab w:val="right" w:leader="dot" w:pos="9016"/>
            </w:tabs>
            <w:rPr>
              <w:noProof/>
              <w:sz w:val="24"/>
              <w:szCs w:val="24"/>
              <w:lang w:eastAsia="en-GB"/>
            </w:rPr>
          </w:pPr>
          <w:hyperlink w:anchor="_Toc210677400" w:history="1">
            <w:r w:rsidRPr="00FE1C4C">
              <w:rPr>
                <w:rStyle w:val="Hyperlink"/>
                <w:rFonts w:ascii="Arial" w:hAnsi="Arial" w:cs="Arial"/>
                <w:b/>
                <w:bCs/>
                <w:noProof/>
              </w:rPr>
              <w:t>4.4.2 Theme 2</w:t>
            </w:r>
            <w:r>
              <w:rPr>
                <w:noProof/>
                <w:webHidden/>
              </w:rPr>
              <w:tab/>
            </w:r>
            <w:r>
              <w:rPr>
                <w:noProof/>
                <w:webHidden/>
              </w:rPr>
              <w:fldChar w:fldCharType="begin"/>
            </w:r>
            <w:r>
              <w:rPr>
                <w:noProof/>
                <w:webHidden/>
              </w:rPr>
              <w:instrText xml:space="preserve"> PAGEREF _Toc210677400 \h </w:instrText>
            </w:r>
            <w:r>
              <w:rPr>
                <w:noProof/>
                <w:webHidden/>
              </w:rPr>
            </w:r>
            <w:r>
              <w:rPr>
                <w:noProof/>
                <w:webHidden/>
              </w:rPr>
              <w:fldChar w:fldCharType="separate"/>
            </w:r>
            <w:r>
              <w:rPr>
                <w:noProof/>
                <w:webHidden/>
              </w:rPr>
              <w:t>40</w:t>
            </w:r>
            <w:r>
              <w:rPr>
                <w:noProof/>
                <w:webHidden/>
              </w:rPr>
              <w:fldChar w:fldCharType="end"/>
            </w:r>
          </w:hyperlink>
        </w:p>
        <w:p w14:paraId="0BB192AA" w14:textId="72BBFCCA" w:rsidR="00CE2BC0" w:rsidRDefault="00CE2BC0">
          <w:pPr>
            <w:pStyle w:val="TOC3"/>
            <w:tabs>
              <w:tab w:val="right" w:leader="dot" w:pos="9016"/>
            </w:tabs>
            <w:rPr>
              <w:noProof/>
              <w:sz w:val="24"/>
              <w:szCs w:val="24"/>
              <w:lang w:eastAsia="en-GB"/>
            </w:rPr>
          </w:pPr>
          <w:hyperlink w:anchor="_Toc210677401" w:history="1">
            <w:r w:rsidRPr="00FE1C4C">
              <w:rPr>
                <w:rStyle w:val="Hyperlink"/>
                <w:rFonts w:ascii="Arial" w:hAnsi="Arial" w:cs="Arial"/>
                <w:b/>
                <w:bCs/>
                <w:noProof/>
              </w:rPr>
              <w:t>4.4.3 Theme 3</w:t>
            </w:r>
            <w:r>
              <w:rPr>
                <w:noProof/>
                <w:webHidden/>
              </w:rPr>
              <w:tab/>
            </w:r>
            <w:r>
              <w:rPr>
                <w:noProof/>
                <w:webHidden/>
              </w:rPr>
              <w:fldChar w:fldCharType="begin"/>
            </w:r>
            <w:r>
              <w:rPr>
                <w:noProof/>
                <w:webHidden/>
              </w:rPr>
              <w:instrText xml:space="preserve"> PAGEREF _Toc210677401 \h </w:instrText>
            </w:r>
            <w:r>
              <w:rPr>
                <w:noProof/>
                <w:webHidden/>
              </w:rPr>
            </w:r>
            <w:r>
              <w:rPr>
                <w:noProof/>
                <w:webHidden/>
              </w:rPr>
              <w:fldChar w:fldCharType="separate"/>
            </w:r>
            <w:r>
              <w:rPr>
                <w:noProof/>
                <w:webHidden/>
              </w:rPr>
              <w:t>41</w:t>
            </w:r>
            <w:r>
              <w:rPr>
                <w:noProof/>
                <w:webHidden/>
              </w:rPr>
              <w:fldChar w:fldCharType="end"/>
            </w:r>
          </w:hyperlink>
        </w:p>
        <w:p w14:paraId="36543330" w14:textId="47B5C523" w:rsidR="00CE2BC0" w:rsidRDefault="00CE2BC0">
          <w:pPr>
            <w:pStyle w:val="TOC3"/>
            <w:tabs>
              <w:tab w:val="right" w:leader="dot" w:pos="9016"/>
            </w:tabs>
            <w:rPr>
              <w:noProof/>
              <w:sz w:val="24"/>
              <w:szCs w:val="24"/>
              <w:lang w:eastAsia="en-GB"/>
            </w:rPr>
          </w:pPr>
          <w:hyperlink w:anchor="_Toc210677402" w:history="1">
            <w:r w:rsidRPr="00FE1C4C">
              <w:rPr>
                <w:rStyle w:val="Hyperlink"/>
                <w:rFonts w:ascii="Arial" w:hAnsi="Arial" w:cs="Arial"/>
                <w:b/>
                <w:bCs/>
                <w:noProof/>
              </w:rPr>
              <w:t>4.4.4 Theme 4</w:t>
            </w:r>
            <w:r>
              <w:rPr>
                <w:noProof/>
                <w:webHidden/>
              </w:rPr>
              <w:tab/>
            </w:r>
            <w:r>
              <w:rPr>
                <w:noProof/>
                <w:webHidden/>
              </w:rPr>
              <w:fldChar w:fldCharType="begin"/>
            </w:r>
            <w:r>
              <w:rPr>
                <w:noProof/>
                <w:webHidden/>
              </w:rPr>
              <w:instrText xml:space="preserve"> PAGEREF _Toc210677402 \h </w:instrText>
            </w:r>
            <w:r>
              <w:rPr>
                <w:noProof/>
                <w:webHidden/>
              </w:rPr>
            </w:r>
            <w:r>
              <w:rPr>
                <w:noProof/>
                <w:webHidden/>
              </w:rPr>
              <w:fldChar w:fldCharType="separate"/>
            </w:r>
            <w:r>
              <w:rPr>
                <w:noProof/>
                <w:webHidden/>
              </w:rPr>
              <w:t>42</w:t>
            </w:r>
            <w:r>
              <w:rPr>
                <w:noProof/>
                <w:webHidden/>
              </w:rPr>
              <w:fldChar w:fldCharType="end"/>
            </w:r>
          </w:hyperlink>
        </w:p>
        <w:p w14:paraId="573C9174" w14:textId="1BBB1AC5" w:rsidR="00CE2BC0" w:rsidRDefault="00CE2BC0">
          <w:pPr>
            <w:pStyle w:val="TOC2"/>
            <w:tabs>
              <w:tab w:val="right" w:leader="dot" w:pos="9016"/>
            </w:tabs>
            <w:rPr>
              <w:noProof/>
              <w:sz w:val="24"/>
              <w:szCs w:val="24"/>
              <w:lang w:eastAsia="en-GB"/>
            </w:rPr>
          </w:pPr>
          <w:hyperlink w:anchor="_Toc210677403" w:history="1">
            <w:r w:rsidRPr="00FE1C4C">
              <w:rPr>
                <w:rStyle w:val="Hyperlink"/>
                <w:rFonts w:ascii="Arial" w:hAnsi="Arial" w:cs="Arial"/>
                <w:noProof/>
              </w:rPr>
              <w:t>4.5 Cross-Study Patterns</w:t>
            </w:r>
            <w:r>
              <w:rPr>
                <w:noProof/>
                <w:webHidden/>
              </w:rPr>
              <w:tab/>
            </w:r>
            <w:r>
              <w:rPr>
                <w:noProof/>
                <w:webHidden/>
              </w:rPr>
              <w:fldChar w:fldCharType="begin"/>
            </w:r>
            <w:r>
              <w:rPr>
                <w:noProof/>
                <w:webHidden/>
              </w:rPr>
              <w:instrText xml:space="preserve"> PAGEREF _Toc210677403 \h </w:instrText>
            </w:r>
            <w:r>
              <w:rPr>
                <w:noProof/>
                <w:webHidden/>
              </w:rPr>
            </w:r>
            <w:r>
              <w:rPr>
                <w:noProof/>
                <w:webHidden/>
              </w:rPr>
              <w:fldChar w:fldCharType="separate"/>
            </w:r>
            <w:r>
              <w:rPr>
                <w:noProof/>
                <w:webHidden/>
              </w:rPr>
              <w:t>42</w:t>
            </w:r>
            <w:r>
              <w:rPr>
                <w:noProof/>
                <w:webHidden/>
              </w:rPr>
              <w:fldChar w:fldCharType="end"/>
            </w:r>
          </w:hyperlink>
        </w:p>
        <w:p w14:paraId="49A4E0E3" w14:textId="0C75F0DA"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404" w:history="1">
            <w:r w:rsidRPr="00FE1C4C">
              <w:rPr>
                <w:rStyle w:val="Hyperlink"/>
                <w:rFonts w:asciiTheme="minorBidi" w:hAnsiTheme="minorBidi"/>
                <w:noProof/>
              </w:rPr>
              <w:t>Chapter 5: Discussion</w:t>
            </w:r>
            <w:r>
              <w:rPr>
                <w:noProof/>
                <w:webHidden/>
              </w:rPr>
              <w:tab/>
            </w:r>
            <w:r>
              <w:rPr>
                <w:noProof/>
                <w:webHidden/>
              </w:rPr>
              <w:fldChar w:fldCharType="begin"/>
            </w:r>
            <w:r>
              <w:rPr>
                <w:noProof/>
                <w:webHidden/>
              </w:rPr>
              <w:instrText xml:space="preserve"> PAGEREF _Toc210677404 \h </w:instrText>
            </w:r>
            <w:r>
              <w:rPr>
                <w:noProof/>
                <w:webHidden/>
              </w:rPr>
            </w:r>
            <w:r>
              <w:rPr>
                <w:noProof/>
                <w:webHidden/>
              </w:rPr>
              <w:fldChar w:fldCharType="separate"/>
            </w:r>
            <w:r>
              <w:rPr>
                <w:noProof/>
                <w:webHidden/>
              </w:rPr>
              <w:t>45</w:t>
            </w:r>
            <w:r>
              <w:rPr>
                <w:noProof/>
                <w:webHidden/>
              </w:rPr>
              <w:fldChar w:fldCharType="end"/>
            </w:r>
          </w:hyperlink>
        </w:p>
        <w:p w14:paraId="555444D2" w14:textId="224523D0" w:rsidR="00CE2BC0" w:rsidRDefault="00CE2BC0">
          <w:pPr>
            <w:pStyle w:val="TOC2"/>
            <w:tabs>
              <w:tab w:val="right" w:leader="dot" w:pos="9016"/>
            </w:tabs>
            <w:rPr>
              <w:noProof/>
              <w:sz w:val="24"/>
              <w:szCs w:val="24"/>
              <w:lang w:eastAsia="en-GB"/>
            </w:rPr>
          </w:pPr>
          <w:hyperlink w:anchor="_Toc210677405" w:history="1">
            <w:r w:rsidRPr="00FE1C4C">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_Toc210677405 \h </w:instrText>
            </w:r>
            <w:r>
              <w:rPr>
                <w:noProof/>
                <w:webHidden/>
              </w:rPr>
            </w:r>
            <w:r>
              <w:rPr>
                <w:noProof/>
                <w:webHidden/>
              </w:rPr>
              <w:fldChar w:fldCharType="separate"/>
            </w:r>
            <w:r>
              <w:rPr>
                <w:noProof/>
                <w:webHidden/>
              </w:rPr>
              <w:t>45</w:t>
            </w:r>
            <w:r>
              <w:rPr>
                <w:noProof/>
                <w:webHidden/>
              </w:rPr>
              <w:fldChar w:fldCharType="end"/>
            </w:r>
          </w:hyperlink>
        </w:p>
        <w:p w14:paraId="1CE11CC2" w14:textId="0F7C752F" w:rsidR="00CE2BC0" w:rsidRDefault="00CE2BC0">
          <w:pPr>
            <w:pStyle w:val="TOC2"/>
            <w:tabs>
              <w:tab w:val="right" w:leader="dot" w:pos="9016"/>
            </w:tabs>
            <w:rPr>
              <w:noProof/>
              <w:sz w:val="24"/>
              <w:szCs w:val="24"/>
              <w:lang w:eastAsia="en-GB"/>
            </w:rPr>
          </w:pPr>
          <w:hyperlink w:anchor="_Toc210677406" w:history="1">
            <w:r w:rsidRPr="00FE1C4C">
              <w:rPr>
                <w:rStyle w:val="Hyperlink"/>
                <w:rFonts w:ascii="Arial" w:hAnsi="Arial" w:cs="Arial"/>
                <w:noProof/>
              </w:rPr>
              <w:t>5.2 Interpretation of results</w:t>
            </w:r>
            <w:r>
              <w:rPr>
                <w:noProof/>
                <w:webHidden/>
              </w:rPr>
              <w:tab/>
            </w:r>
            <w:r>
              <w:rPr>
                <w:noProof/>
                <w:webHidden/>
              </w:rPr>
              <w:fldChar w:fldCharType="begin"/>
            </w:r>
            <w:r>
              <w:rPr>
                <w:noProof/>
                <w:webHidden/>
              </w:rPr>
              <w:instrText xml:space="preserve"> PAGEREF _Toc210677406 \h </w:instrText>
            </w:r>
            <w:r>
              <w:rPr>
                <w:noProof/>
                <w:webHidden/>
              </w:rPr>
            </w:r>
            <w:r>
              <w:rPr>
                <w:noProof/>
                <w:webHidden/>
              </w:rPr>
              <w:fldChar w:fldCharType="separate"/>
            </w:r>
            <w:r>
              <w:rPr>
                <w:noProof/>
                <w:webHidden/>
              </w:rPr>
              <w:t>45</w:t>
            </w:r>
            <w:r>
              <w:rPr>
                <w:noProof/>
                <w:webHidden/>
              </w:rPr>
              <w:fldChar w:fldCharType="end"/>
            </w:r>
          </w:hyperlink>
        </w:p>
        <w:p w14:paraId="03190A9C" w14:textId="374442C1" w:rsidR="00CE2BC0" w:rsidRDefault="00CE2BC0">
          <w:pPr>
            <w:pStyle w:val="TOC3"/>
            <w:tabs>
              <w:tab w:val="right" w:leader="dot" w:pos="9016"/>
            </w:tabs>
            <w:rPr>
              <w:noProof/>
              <w:sz w:val="24"/>
              <w:szCs w:val="24"/>
              <w:lang w:eastAsia="en-GB"/>
            </w:rPr>
          </w:pPr>
          <w:hyperlink w:anchor="_Toc210677407" w:history="1">
            <w:r w:rsidRPr="00FE1C4C">
              <w:rPr>
                <w:rStyle w:val="Hyperlink"/>
                <w:rFonts w:ascii="Arial" w:hAnsi="Arial" w:cs="Arial"/>
                <w:noProof/>
              </w:rPr>
              <w:t>5.2.1 Emotional impacts of early diagnosis</w:t>
            </w:r>
            <w:r>
              <w:rPr>
                <w:noProof/>
                <w:webHidden/>
              </w:rPr>
              <w:tab/>
            </w:r>
            <w:r>
              <w:rPr>
                <w:noProof/>
                <w:webHidden/>
              </w:rPr>
              <w:fldChar w:fldCharType="begin"/>
            </w:r>
            <w:r>
              <w:rPr>
                <w:noProof/>
                <w:webHidden/>
              </w:rPr>
              <w:instrText xml:space="preserve"> PAGEREF _Toc210677407 \h </w:instrText>
            </w:r>
            <w:r>
              <w:rPr>
                <w:noProof/>
                <w:webHidden/>
              </w:rPr>
            </w:r>
            <w:r>
              <w:rPr>
                <w:noProof/>
                <w:webHidden/>
              </w:rPr>
              <w:fldChar w:fldCharType="separate"/>
            </w:r>
            <w:r>
              <w:rPr>
                <w:noProof/>
                <w:webHidden/>
              </w:rPr>
              <w:t>45</w:t>
            </w:r>
            <w:r>
              <w:rPr>
                <w:noProof/>
                <w:webHidden/>
              </w:rPr>
              <w:fldChar w:fldCharType="end"/>
            </w:r>
          </w:hyperlink>
        </w:p>
        <w:p w14:paraId="72B8A4C3" w14:textId="3471FF5D" w:rsidR="00CE2BC0" w:rsidRDefault="00CE2BC0">
          <w:pPr>
            <w:pStyle w:val="TOC3"/>
            <w:tabs>
              <w:tab w:val="right" w:leader="dot" w:pos="9016"/>
            </w:tabs>
            <w:rPr>
              <w:noProof/>
              <w:sz w:val="24"/>
              <w:szCs w:val="24"/>
              <w:lang w:eastAsia="en-GB"/>
            </w:rPr>
          </w:pPr>
          <w:hyperlink w:anchor="_Toc210677408" w:history="1">
            <w:r w:rsidRPr="00FE1C4C">
              <w:rPr>
                <w:rStyle w:val="Hyperlink"/>
                <w:rFonts w:ascii="Arial" w:hAnsi="Arial" w:cs="Arial"/>
                <w:noProof/>
              </w:rPr>
              <w:t>5.2.2 Adoption of psychosocial interventions</w:t>
            </w:r>
            <w:r>
              <w:rPr>
                <w:noProof/>
                <w:webHidden/>
              </w:rPr>
              <w:tab/>
            </w:r>
            <w:r>
              <w:rPr>
                <w:noProof/>
                <w:webHidden/>
              </w:rPr>
              <w:fldChar w:fldCharType="begin"/>
            </w:r>
            <w:r>
              <w:rPr>
                <w:noProof/>
                <w:webHidden/>
              </w:rPr>
              <w:instrText xml:space="preserve"> PAGEREF _Toc210677408 \h </w:instrText>
            </w:r>
            <w:r>
              <w:rPr>
                <w:noProof/>
                <w:webHidden/>
              </w:rPr>
            </w:r>
            <w:r>
              <w:rPr>
                <w:noProof/>
                <w:webHidden/>
              </w:rPr>
              <w:fldChar w:fldCharType="separate"/>
            </w:r>
            <w:r>
              <w:rPr>
                <w:noProof/>
                <w:webHidden/>
              </w:rPr>
              <w:t>46</w:t>
            </w:r>
            <w:r>
              <w:rPr>
                <w:noProof/>
                <w:webHidden/>
              </w:rPr>
              <w:fldChar w:fldCharType="end"/>
            </w:r>
          </w:hyperlink>
        </w:p>
        <w:p w14:paraId="3095BF7C" w14:textId="05BF04B2" w:rsidR="00CE2BC0" w:rsidRDefault="00CE2BC0">
          <w:pPr>
            <w:pStyle w:val="TOC3"/>
            <w:tabs>
              <w:tab w:val="right" w:leader="dot" w:pos="9016"/>
            </w:tabs>
            <w:rPr>
              <w:noProof/>
              <w:sz w:val="24"/>
              <w:szCs w:val="24"/>
              <w:lang w:eastAsia="en-GB"/>
            </w:rPr>
          </w:pPr>
          <w:hyperlink w:anchor="_Toc210677409" w:history="1">
            <w:r w:rsidRPr="00FE1C4C">
              <w:rPr>
                <w:rStyle w:val="Hyperlink"/>
                <w:rFonts w:ascii="Arial" w:hAnsi="Arial" w:cs="Arial"/>
                <w:noProof/>
              </w:rPr>
              <w:t>5.2.3 Post-diagnostic support and lasting outcomes</w:t>
            </w:r>
            <w:r>
              <w:rPr>
                <w:noProof/>
                <w:webHidden/>
              </w:rPr>
              <w:tab/>
            </w:r>
            <w:r>
              <w:rPr>
                <w:noProof/>
                <w:webHidden/>
              </w:rPr>
              <w:fldChar w:fldCharType="begin"/>
            </w:r>
            <w:r>
              <w:rPr>
                <w:noProof/>
                <w:webHidden/>
              </w:rPr>
              <w:instrText xml:space="preserve"> PAGEREF _Toc210677409 \h </w:instrText>
            </w:r>
            <w:r>
              <w:rPr>
                <w:noProof/>
                <w:webHidden/>
              </w:rPr>
            </w:r>
            <w:r>
              <w:rPr>
                <w:noProof/>
                <w:webHidden/>
              </w:rPr>
              <w:fldChar w:fldCharType="separate"/>
            </w:r>
            <w:r>
              <w:rPr>
                <w:noProof/>
                <w:webHidden/>
              </w:rPr>
              <w:t>46</w:t>
            </w:r>
            <w:r>
              <w:rPr>
                <w:noProof/>
                <w:webHidden/>
              </w:rPr>
              <w:fldChar w:fldCharType="end"/>
            </w:r>
          </w:hyperlink>
        </w:p>
        <w:p w14:paraId="7BDFBF27" w14:textId="57E9DF97" w:rsidR="00CE2BC0" w:rsidRDefault="00CE2BC0">
          <w:pPr>
            <w:pStyle w:val="TOC3"/>
            <w:tabs>
              <w:tab w:val="right" w:leader="dot" w:pos="9016"/>
            </w:tabs>
            <w:rPr>
              <w:noProof/>
              <w:sz w:val="24"/>
              <w:szCs w:val="24"/>
              <w:lang w:eastAsia="en-GB"/>
            </w:rPr>
          </w:pPr>
          <w:hyperlink w:anchor="_Toc210677410" w:history="1">
            <w:r w:rsidRPr="00FE1C4C">
              <w:rPr>
                <w:rStyle w:val="Hyperlink"/>
                <w:rFonts w:ascii="Arial" w:hAnsi="Arial" w:cs="Arial"/>
                <w:noProof/>
              </w:rPr>
              <w:t>5.2.4 Relational and social factors</w:t>
            </w:r>
            <w:r>
              <w:rPr>
                <w:noProof/>
                <w:webHidden/>
              </w:rPr>
              <w:tab/>
            </w:r>
            <w:r>
              <w:rPr>
                <w:noProof/>
                <w:webHidden/>
              </w:rPr>
              <w:fldChar w:fldCharType="begin"/>
            </w:r>
            <w:r>
              <w:rPr>
                <w:noProof/>
                <w:webHidden/>
              </w:rPr>
              <w:instrText xml:space="preserve"> PAGEREF _Toc210677410 \h </w:instrText>
            </w:r>
            <w:r>
              <w:rPr>
                <w:noProof/>
                <w:webHidden/>
              </w:rPr>
            </w:r>
            <w:r>
              <w:rPr>
                <w:noProof/>
                <w:webHidden/>
              </w:rPr>
              <w:fldChar w:fldCharType="separate"/>
            </w:r>
            <w:r>
              <w:rPr>
                <w:noProof/>
                <w:webHidden/>
              </w:rPr>
              <w:t>46</w:t>
            </w:r>
            <w:r>
              <w:rPr>
                <w:noProof/>
                <w:webHidden/>
              </w:rPr>
              <w:fldChar w:fldCharType="end"/>
            </w:r>
          </w:hyperlink>
        </w:p>
        <w:p w14:paraId="51B52378" w14:textId="4EE24AE2" w:rsidR="00CE2BC0" w:rsidRDefault="00CE2BC0">
          <w:pPr>
            <w:pStyle w:val="TOC2"/>
            <w:tabs>
              <w:tab w:val="right" w:leader="dot" w:pos="9016"/>
            </w:tabs>
            <w:rPr>
              <w:noProof/>
              <w:sz w:val="24"/>
              <w:szCs w:val="24"/>
              <w:lang w:eastAsia="en-GB"/>
            </w:rPr>
          </w:pPr>
          <w:hyperlink w:anchor="_Toc210677411" w:history="1">
            <w:r w:rsidRPr="00FE1C4C">
              <w:rPr>
                <w:rStyle w:val="Hyperlink"/>
                <w:rFonts w:ascii="Arial" w:hAnsi="Arial" w:cs="Arial"/>
                <w:noProof/>
              </w:rPr>
              <w:t>5.3 Alternative Explanations</w:t>
            </w:r>
            <w:r>
              <w:rPr>
                <w:noProof/>
                <w:webHidden/>
              </w:rPr>
              <w:tab/>
            </w:r>
            <w:r>
              <w:rPr>
                <w:noProof/>
                <w:webHidden/>
              </w:rPr>
              <w:fldChar w:fldCharType="begin"/>
            </w:r>
            <w:r>
              <w:rPr>
                <w:noProof/>
                <w:webHidden/>
              </w:rPr>
              <w:instrText xml:space="preserve"> PAGEREF _Toc210677411 \h </w:instrText>
            </w:r>
            <w:r>
              <w:rPr>
                <w:noProof/>
                <w:webHidden/>
              </w:rPr>
            </w:r>
            <w:r>
              <w:rPr>
                <w:noProof/>
                <w:webHidden/>
              </w:rPr>
              <w:fldChar w:fldCharType="separate"/>
            </w:r>
            <w:r>
              <w:rPr>
                <w:noProof/>
                <w:webHidden/>
              </w:rPr>
              <w:t>47</w:t>
            </w:r>
            <w:r>
              <w:rPr>
                <w:noProof/>
                <w:webHidden/>
              </w:rPr>
              <w:fldChar w:fldCharType="end"/>
            </w:r>
          </w:hyperlink>
        </w:p>
        <w:p w14:paraId="2D1E8671" w14:textId="22ACACB0" w:rsidR="00CE2BC0" w:rsidRDefault="00CE2BC0">
          <w:pPr>
            <w:pStyle w:val="TOC2"/>
            <w:tabs>
              <w:tab w:val="right" w:leader="dot" w:pos="9016"/>
            </w:tabs>
            <w:rPr>
              <w:noProof/>
              <w:sz w:val="24"/>
              <w:szCs w:val="24"/>
              <w:lang w:eastAsia="en-GB"/>
            </w:rPr>
          </w:pPr>
          <w:hyperlink w:anchor="_Toc210677412" w:history="1">
            <w:r w:rsidRPr="00FE1C4C">
              <w:rPr>
                <w:rStyle w:val="Hyperlink"/>
                <w:rFonts w:ascii="Arial" w:hAnsi="Arial" w:cs="Arial"/>
                <w:noProof/>
              </w:rPr>
              <w:t>5.4 Implications of Findings</w:t>
            </w:r>
            <w:r>
              <w:rPr>
                <w:noProof/>
                <w:webHidden/>
              </w:rPr>
              <w:tab/>
            </w:r>
            <w:r>
              <w:rPr>
                <w:noProof/>
                <w:webHidden/>
              </w:rPr>
              <w:fldChar w:fldCharType="begin"/>
            </w:r>
            <w:r>
              <w:rPr>
                <w:noProof/>
                <w:webHidden/>
              </w:rPr>
              <w:instrText xml:space="preserve"> PAGEREF _Toc210677412 \h </w:instrText>
            </w:r>
            <w:r>
              <w:rPr>
                <w:noProof/>
                <w:webHidden/>
              </w:rPr>
            </w:r>
            <w:r>
              <w:rPr>
                <w:noProof/>
                <w:webHidden/>
              </w:rPr>
              <w:fldChar w:fldCharType="separate"/>
            </w:r>
            <w:r>
              <w:rPr>
                <w:noProof/>
                <w:webHidden/>
              </w:rPr>
              <w:t>47</w:t>
            </w:r>
            <w:r>
              <w:rPr>
                <w:noProof/>
                <w:webHidden/>
              </w:rPr>
              <w:fldChar w:fldCharType="end"/>
            </w:r>
          </w:hyperlink>
        </w:p>
        <w:p w14:paraId="07185A59" w14:textId="50338A36" w:rsidR="00CE2BC0" w:rsidRDefault="00CE2BC0">
          <w:pPr>
            <w:pStyle w:val="TOC3"/>
            <w:tabs>
              <w:tab w:val="right" w:leader="dot" w:pos="9016"/>
            </w:tabs>
            <w:rPr>
              <w:noProof/>
              <w:sz w:val="24"/>
              <w:szCs w:val="24"/>
              <w:lang w:eastAsia="en-GB"/>
            </w:rPr>
          </w:pPr>
          <w:hyperlink w:anchor="_Toc210677413" w:history="1">
            <w:r w:rsidRPr="00FE1C4C">
              <w:rPr>
                <w:rStyle w:val="Hyperlink"/>
                <w:rFonts w:ascii="Arial" w:hAnsi="Arial" w:cs="Arial"/>
                <w:noProof/>
              </w:rPr>
              <w:t>5.4.1 Theoretical Implications</w:t>
            </w:r>
            <w:r>
              <w:rPr>
                <w:noProof/>
                <w:webHidden/>
              </w:rPr>
              <w:tab/>
            </w:r>
            <w:r>
              <w:rPr>
                <w:noProof/>
                <w:webHidden/>
              </w:rPr>
              <w:fldChar w:fldCharType="begin"/>
            </w:r>
            <w:r>
              <w:rPr>
                <w:noProof/>
                <w:webHidden/>
              </w:rPr>
              <w:instrText xml:space="preserve"> PAGEREF _Toc210677413 \h </w:instrText>
            </w:r>
            <w:r>
              <w:rPr>
                <w:noProof/>
                <w:webHidden/>
              </w:rPr>
            </w:r>
            <w:r>
              <w:rPr>
                <w:noProof/>
                <w:webHidden/>
              </w:rPr>
              <w:fldChar w:fldCharType="separate"/>
            </w:r>
            <w:r>
              <w:rPr>
                <w:noProof/>
                <w:webHidden/>
              </w:rPr>
              <w:t>47</w:t>
            </w:r>
            <w:r>
              <w:rPr>
                <w:noProof/>
                <w:webHidden/>
              </w:rPr>
              <w:fldChar w:fldCharType="end"/>
            </w:r>
          </w:hyperlink>
        </w:p>
        <w:p w14:paraId="4C4EABC6" w14:textId="086C0618" w:rsidR="00CE2BC0" w:rsidRDefault="00CE2BC0">
          <w:pPr>
            <w:pStyle w:val="TOC3"/>
            <w:tabs>
              <w:tab w:val="right" w:leader="dot" w:pos="9016"/>
            </w:tabs>
            <w:rPr>
              <w:noProof/>
              <w:sz w:val="24"/>
              <w:szCs w:val="24"/>
              <w:lang w:eastAsia="en-GB"/>
            </w:rPr>
          </w:pPr>
          <w:hyperlink w:anchor="_Toc210677414" w:history="1">
            <w:r w:rsidRPr="00FE1C4C">
              <w:rPr>
                <w:rStyle w:val="Hyperlink"/>
                <w:rFonts w:ascii="Arial" w:hAnsi="Arial" w:cs="Arial"/>
                <w:noProof/>
              </w:rPr>
              <w:t>5.4.2 Clinical and practice implications</w:t>
            </w:r>
            <w:r>
              <w:rPr>
                <w:noProof/>
                <w:webHidden/>
              </w:rPr>
              <w:tab/>
            </w:r>
            <w:r>
              <w:rPr>
                <w:noProof/>
                <w:webHidden/>
              </w:rPr>
              <w:fldChar w:fldCharType="begin"/>
            </w:r>
            <w:r>
              <w:rPr>
                <w:noProof/>
                <w:webHidden/>
              </w:rPr>
              <w:instrText xml:space="preserve"> PAGEREF _Toc210677414 \h </w:instrText>
            </w:r>
            <w:r>
              <w:rPr>
                <w:noProof/>
                <w:webHidden/>
              </w:rPr>
            </w:r>
            <w:r>
              <w:rPr>
                <w:noProof/>
                <w:webHidden/>
              </w:rPr>
              <w:fldChar w:fldCharType="separate"/>
            </w:r>
            <w:r>
              <w:rPr>
                <w:noProof/>
                <w:webHidden/>
              </w:rPr>
              <w:t>48</w:t>
            </w:r>
            <w:r>
              <w:rPr>
                <w:noProof/>
                <w:webHidden/>
              </w:rPr>
              <w:fldChar w:fldCharType="end"/>
            </w:r>
          </w:hyperlink>
        </w:p>
        <w:p w14:paraId="0120A18D" w14:textId="32EE1D2E" w:rsidR="00CE2BC0" w:rsidRDefault="00CE2BC0">
          <w:pPr>
            <w:pStyle w:val="TOC3"/>
            <w:tabs>
              <w:tab w:val="right" w:leader="dot" w:pos="9016"/>
            </w:tabs>
            <w:rPr>
              <w:noProof/>
              <w:sz w:val="24"/>
              <w:szCs w:val="24"/>
              <w:lang w:eastAsia="en-GB"/>
            </w:rPr>
          </w:pPr>
          <w:hyperlink w:anchor="_Toc210677415" w:history="1">
            <w:r w:rsidRPr="00FE1C4C">
              <w:rPr>
                <w:rStyle w:val="Hyperlink"/>
                <w:rFonts w:ascii="Arial" w:hAnsi="Arial" w:cs="Arial"/>
                <w:noProof/>
              </w:rPr>
              <w:t>5.4.3 Policy implications</w:t>
            </w:r>
            <w:r>
              <w:rPr>
                <w:noProof/>
                <w:webHidden/>
              </w:rPr>
              <w:tab/>
            </w:r>
            <w:r>
              <w:rPr>
                <w:noProof/>
                <w:webHidden/>
              </w:rPr>
              <w:fldChar w:fldCharType="begin"/>
            </w:r>
            <w:r>
              <w:rPr>
                <w:noProof/>
                <w:webHidden/>
              </w:rPr>
              <w:instrText xml:space="preserve"> PAGEREF _Toc210677415 \h </w:instrText>
            </w:r>
            <w:r>
              <w:rPr>
                <w:noProof/>
                <w:webHidden/>
              </w:rPr>
            </w:r>
            <w:r>
              <w:rPr>
                <w:noProof/>
                <w:webHidden/>
              </w:rPr>
              <w:fldChar w:fldCharType="separate"/>
            </w:r>
            <w:r>
              <w:rPr>
                <w:noProof/>
                <w:webHidden/>
              </w:rPr>
              <w:t>49</w:t>
            </w:r>
            <w:r>
              <w:rPr>
                <w:noProof/>
                <w:webHidden/>
              </w:rPr>
              <w:fldChar w:fldCharType="end"/>
            </w:r>
          </w:hyperlink>
        </w:p>
        <w:p w14:paraId="5BE250CC" w14:textId="4B91F5E0" w:rsidR="00CE2BC0" w:rsidRDefault="00CE2BC0">
          <w:pPr>
            <w:pStyle w:val="TOC2"/>
            <w:tabs>
              <w:tab w:val="right" w:leader="dot" w:pos="9016"/>
            </w:tabs>
            <w:rPr>
              <w:noProof/>
              <w:sz w:val="24"/>
              <w:szCs w:val="24"/>
              <w:lang w:eastAsia="en-GB"/>
            </w:rPr>
          </w:pPr>
          <w:hyperlink w:anchor="_Toc210677416" w:history="1">
            <w:r w:rsidRPr="00FE1C4C">
              <w:rPr>
                <w:rStyle w:val="Hyperlink"/>
                <w:rFonts w:ascii="Arial" w:hAnsi="Arial" w:cs="Arial"/>
                <w:noProof/>
              </w:rPr>
              <w:t>5.5 Limitations of the Review</w:t>
            </w:r>
            <w:r>
              <w:rPr>
                <w:noProof/>
                <w:webHidden/>
              </w:rPr>
              <w:tab/>
            </w:r>
            <w:r>
              <w:rPr>
                <w:noProof/>
                <w:webHidden/>
              </w:rPr>
              <w:fldChar w:fldCharType="begin"/>
            </w:r>
            <w:r>
              <w:rPr>
                <w:noProof/>
                <w:webHidden/>
              </w:rPr>
              <w:instrText xml:space="preserve"> PAGEREF _Toc210677416 \h </w:instrText>
            </w:r>
            <w:r>
              <w:rPr>
                <w:noProof/>
                <w:webHidden/>
              </w:rPr>
            </w:r>
            <w:r>
              <w:rPr>
                <w:noProof/>
                <w:webHidden/>
              </w:rPr>
              <w:fldChar w:fldCharType="separate"/>
            </w:r>
            <w:r>
              <w:rPr>
                <w:noProof/>
                <w:webHidden/>
              </w:rPr>
              <w:t>50</w:t>
            </w:r>
            <w:r>
              <w:rPr>
                <w:noProof/>
                <w:webHidden/>
              </w:rPr>
              <w:fldChar w:fldCharType="end"/>
            </w:r>
          </w:hyperlink>
        </w:p>
        <w:p w14:paraId="14429341" w14:textId="433135ED" w:rsidR="00CE2BC0" w:rsidRDefault="00CE2BC0">
          <w:pPr>
            <w:pStyle w:val="TOC2"/>
            <w:tabs>
              <w:tab w:val="right" w:leader="dot" w:pos="9016"/>
            </w:tabs>
            <w:rPr>
              <w:noProof/>
              <w:sz w:val="24"/>
              <w:szCs w:val="24"/>
              <w:lang w:eastAsia="en-GB"/>
            </w:rPr>
          </w:pPr>
          <w:hyperlink w:anchor="_Toc210677417" w:history="1">
            <w:r w:rsidRPr="00FE1C4C">
              <w:rPr>
                <w:rStyle w:val="Hyperlink"/>
                <w:rFonts w:ascii="Arial" w:hAnsi="Arial" w:cs="Arial"/>
                <w:noProof/>
              </w:rPr>
              <w:t>5.6 Conclusion</w:t>
            </w:r>
            <w:r>
              <w:rPr>
                <w:noProof/>
                <w:webHidden/>
              </w:rPr>
              <w:tab/>
            </w:r>
            <w:r>
              <w:rPr>
                <w:noProof/>
                <w:webHidden/>
              </w:rPr>
              <w:fldChar w:fldCharType="begin"/>
            </w:r>
            <w:r>
              <w:rPr>
                <w:noProof/>
                <w:webHidden/>
              </w:rPr>
              <w:instrText xml:space="preserve"> PAGEREF _Toc210677417 \h </w:instrText>
            </w:r>
            <w:r>
              <w:rPr>
                <w:noProof/>
                <w:webHidden/>
              </w:rPr>
            </w:r>
            <w:r>
              <w:rPr>
                <w:noProof/>
                <w:webHidden/>
              </w:rPr>
              <w:fldChar w:fldCharType="separate"/>
            </w:r>
            <w:r>
              <w:rPr>
                <w:noProof/>
                <w:webHidden/>
              </w:rPr>
              <w:t>51</w:t>
            </w:r>
            <w:r>
              <w:rPr>
                <w:noProof/>
                <w:webHidden/>
              </w:rPr>
              <w:fldChar w:fldCharType="end"/>
            </w:r>
          </w:hyperlink>
        </w:p>
        <w:p w14:paraId="5917EE31" w14:textId="49FDF2BD"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418" w:history="1">
            <w:r w:rsidRPr="00FE1C4C">
              <w:rPr>
                <w:rStyle w:val="Hyperlink"/>
                <w:rFonts w:asciiTheme="minorBidi" w:hAnsiTheme="minorBidi"/>
                <w:noProof/>
              </w:rPr>
              <w:t>Chapter 6: Conclusion</w:t>
            </w:r>
            <w:r>
              <w:rPr>
                <w:noProof/>
                <w:webHidden/>
              </w:rPr>
              <w:tab/>
            </w:r>
            <w:r>
              <w:rPr>
                <w:noProof/>
                <w:webHidden/>
              </w:rPr>
              <w:fldChar w:fldCharType="begin"/>
            </w:r>
            <w:r>
              <w:rPr>
                <w:noProof/>
                <w:webHidden/>
              </w:rPr>
              <w:instrText xml:space="preserve"> PAGEREF _Toc210677418 \h </w:instrText>
            </w:r>
            <w:r>
              <w:rPr>
                <w:noProof/>
                <w:webHidden/>
              </w:rPr>
            </w:r>
            <w:r>
              <w:rPr>
                <w:noProof/>
                <w:webHidden/>
              </w:rPr>
              <w:fldChar w:fldCharType="separate"/>
            </w:r>
            <w:r>
              <w:rPr>
                <w:noProof/>
                <w:webHidden/>
              </w:rPr>
              <w:t>51</w:t>
            </w:r>
            <w:r>
              <w:rPr>
                <w:noProof/>
                <w:webHidden/>
              </w:rPr>
              <w:fldChar w:fldCharType="end"/>
            </w:r>
          </w:hyperlink>
        </w:p>
        <w:p w14:paraId="0619B5E1" w14:textId="38E07035" w:rsidR="00CE2BC0" w:rsidRDefault="00CE2BC0">
          <w:pPr>
            <w:pStyle w:val="TOC2"/>
            <w:tabs>
              <w:tab w:val="right" w:leader="dot" w:pos="9016"/>
            </w:tabs>
            <w:rPr>
              <w:noProof/>
              <w:sz w:val="24"/>
              <w:szCs w:val="24"/>
              <w:lang w:eastAsia="en-GB"/>
            </w:rPr>
          </w:pPr>
          <w:hyperlink w:anchor="_Toc210677419" w:history="1">
            <w:r w:rsidRPr="00FE1C4C">
              <w:rPr>
                <w:rStyle w:val="Hyperlink"/>
                <w:rFonts w:ascii="Arial" w:eastAsia="Calibri" w:hAnsi="Arial" w:cs="Arial"/>
                <w:noProof/>
              </w:rPr>
              <w:t>6.1 Reflection on the Research</w:t>
            </w:r>
            <w:r>
              <w:rPr>
                <w:noProof/>
                <w:webHidden/>
              </w:rPr>
              <w:tab/>
            </w:r>
            <w:r>
              <w:rPr>
                <w:noProof/>
                <w:webHidden/>
              </w:rPr>
              <w:fldChar w:fldCharType="begin"/>
            </w:r>
            <w:r>
              <w:rPr>
                <w:noProof/>
                <w:webHidden/>
              </w:rPr>
              <w:instrText xml:space="preserve"> PAGEREF _Toc210677419 \h </w:instrText>
            </w:r>
            <w:r>
              <w:rPr>
                <w:noProof/>
                <w:webHidden/>
              </w:rPr>
            </w:r>
            <w:r>
              <w:rPr>
                <w:noProof/>
                <w:webHidden/>
              </w:rPr>
              <w:fldChar w:fldCharType="separate"/>
            </w:r>
            <w:r>
              <w:rPr>
                <w:noProof/>
                <w:webHidden/>
              </w:rPr>
              <w:t>52</w:t>
            </w:r>
            <w:r>
              <w:rPr>
                <w:noProof/>
                <w:webHidden/>
              </w:rPr>
              <w:fldChar w:fldCharType="end"/>
            </w:r>
          </w:hyperlink>
        </w:p>
        <w:p w14:paraId="236337AE" w14:textId="6F2181FF" w:rsidR="00CE2BC0" w:rsidRDefault="00CE2BC0">
          <w:pPr>
            <w:pStyle w:val="TOC2"/>
            <w:tabs>
              <w:tab w:val="right" w:leader="dot" w:pos="9016"/>
            </w:tabs>
            <w:rPr>
              <w:noProof/>
              <w:sz w:val="24"/>
              <w:szCs w:val="24"/>
              <w:lang w:eastAsia="en-GB"/>
            </w:rPr>
          </w:pPr>
          <w:hyperlink w:anchor="_Toc210677420" w:history="1">
            <w:r w:rsidRPr="00FE1C4C">
              <w:rPr>
                <w:rStyle w:val="Hyperlink"/>
                <w:rFonts w:ascii="Arial" w:eastAsia="Calibri" w:hAnsi="Arial" w:cs="Arial"/>
                <w:noProof/>
              </w:rPr>
              <w:t>6.2 Recommendations</w:t>
            </w:r>
            <w:r>
              <w:rPr>
                <w:noProof/>
                <w:webHidden/>
              </w:rPr>
              <w:tab/>
            </w:r>
            <w:r>
              <w:rPr>
                <w:noProof/>
                <w:webHidden/>
              </w:rPr>
              <w:fldChar w:fldCharType="begin"/>
            </w:r>
            <w:r>
              <w:rPr>
                <w:noProof/>
                <w:webHidden/>
              </w:rPr>
              <w:instrText xml:space="preserve"> PAGEREF _Toc210677420 \h </w:instrText>
            </w:r>
            <w:r>
              <w:rPr>
                <w:noProof/>
                <w:webHidden/>
              </w:rPr>
            </w:r>
            <w:r>
              <w:rPr>
                <w:noProof/>
                <w:webHidden/>
              </w:rPr>
              <w:fldChar w:fldCharType="separate"/>
            </w:r>
            <w:r>
              <w:rPr>
                <w:noProof/>
                <w:webHidden/>
              </w:rPr>
              <w:t>53</w:t>
            </w:r>
            <w:r>
              <w:rPr>
                <w:noProof/>
                <w:webHidden/>
              </w:rPr>
              <w:fldChar w:fldCharType="end"/>
            </w:r>
          </w:hyperlink>
        </w:p>
        <w:p w14:paraId="305BD7DE" w14:textId="51B90379" w:rsidR="00CE2BC0" w:rsidRDefault="00CE2BC0">
          <w:pPr>
            <w:pStyle w:val="TOC3"/>
            <w:tabs>
              <w:tab w:val="right" w:leader="dot" w:pos="9016"/>
            </w:tabs>
            <w:rPr>
              <w:noProof/>
              <w:sz w:val="24"/>
              <w:szCs w:val="24"/>
              <w:lang w:eastAsia="en-GB"/>
            </w:rPr>
          </w:pPr>
          <w:hyperlink w:anchor="_Toc210677421" w:history="1">
            <w:r w:rsidRPr="00FE1C4C">
              <w:rPr>
                <w:rStyle w:val="Hyperlink"/>
                <w:rFonts w:ascii="Arial" w:hAnsi="Arial" w:cs="Arial"/>
                <w:noProof/>
              </w:rPr>
              <w:t>6.2.1 For Clinical Practice</w:t>
            </w:r>
            <w:r>
              <w:rPr>
                <w:noProof/>
                <w:webHidden/>
              </w:rPr>
              <w:tab/>
            </w:r>
            <w:r>
              <w:rPr>
                <w:noProof/>
                <w:webHidden/>
              </w:rPr>
              <w:fldChar w:fldCharType="begin"/>
            </w:r>
            <w:r>
              <w:rPr>
                <w:noProof/>
                <w:webHidden/>
              </w:rPr>
              <w:instrText xml:space="preserve"> PAGEREF _Toc210677421 \h </w:instrText>
            </w:r>
            <w:r>
              <w:rPr>
                <w:noProof/>
                <w:webHidden/>
              </w:rPr>
            </w:r>
            <w:r>
              <w:rPr>
                <w:noProof/>
                <w:webHidden/>
              </w:rPr>
              <w:fldChar w:fldCharType="separate"/>
            </w:r>
            <w:r>
              <w:rPr>
                <w:noProof/>
                <w:webHidden/>
              </w:rPr>
              <w:t>53</w:t>
            </w:r>
            <w:r>
              <w:rPr>
                <w:noProof/>
                <w:webHidden/>
              </w:rPr>
              <w:fldChar w:fldCharType="end"/>
            </w:r>
          </w:hyperlink>
        </w:p>
        <w:p w14:paraId="4E752854" w14:textId="10D7C35E" w:rsidR="00CE2BC0" w:rsidRDefault="00CE2BC0">
          <w:pPr>
            <w:pStyle w:val="TOC3"/>
            <w:tabs>
              <w:tab w:val="right" w:leader="dot" w:pos="9016"/>
            </w:tabs>
            <w:rPr>
              <w:noProof/>
              <w:sz w:val="24"/>
              <w:szCs w:val="24"/>
              <w:lang w:eastAsia="en-GB"/>
            </w:rPr>
          </w:pPr>
          <w:hyperlink w:anchor="_Toc210677422" w:history="1">
            <w:r w:rsidRPr="00FE1C4C">
              <w:rPr>
                <w:rStyle w:val="Hyperlink"/>
                <w:rFonts w:ascii="Arial" w:hAnsi="Arial" w:cs="Arial"/>
                <w:noProof/>
              </w:rPr>
              <w:t>6.2.2 For Policy</w:t>
            </w:r>
            <w:r>
              <w:rPr>
                <w:noProof/>
                <w:webHidden/>
              </w:rPr>
              <w:tab/>
            </w:r>
            <w:r>
              <w:rPr>
                <w:noProof/>
                <w:webHidden/>
              </w:rPr>
              <w:fldChar w:fldCharType="begin"/>
            </w:r>
            <w:r>
              <w:rPr>
                <w:noProof/>
                <w:webHidden/>
              </w:rPr>
              <w:instrText xml:space="preserve"> PAGEREF _Toc210677422 \h </w:instrText>
            </w:r>
            <w:r>
              <w:rPr>
                <w:noProof/>
                <w:webHidden/>
              </w:rPr>
            </w:r>
            <w:r>
              <w:rPr>
                <w:noProof/>
                <w:webHidden/>
              </w:rPr>
              <w:fldChar w:fldCharType="separate"/>
            </w:r>
            <w:r>
              <w:rPr>
                <w:noProof/>
                <w:webHidden/>
              </w:rPr>
              <w:t>53</w:t>
            </w:r>
            <w:r>
              <w:rPr>
                <w:noProof/>
                <w:webHidden/>
              </w:rPr>
              <w:fldChar w:fldCharType="end"/>
            </w:r>
          </w:hyperlink>
        </w:p>
        <w:p w14:paraId="7F98FFB2" w14:textId="6DAABC17" w:rsidR="00CE2BC0" w:rsidRDefault="00CE2BC0">
          <w:pPr>
            <w:pStyle w:val="TOC3"/>
            <w:tabs>
              <w:tab w:val="right" w:leader="dot" w:pos="9016"/>
            </w:tabs>
            <w:rPr>
              <w:noProof/>
              <w:sz w:val="24"/>
              <w:szCs w:val="24"/>
              <w:lang w:eastAsia="en-GB"/>
            </w:rPr>
          </w:pPr>
          <w:hyperlink w:anchor="_Toc210677423" w:history="1">
            <w:r w:rsidRPr="00FE1C4C">
              <w:rPr>
                <w:rStyle w:val="Hyperlink"/>
                <w:rFonts w:ascii="Arial" w:hAnsi="Arial" w:cs="Arial"/>
                <w:noProof/>
              </w:rPr>
              <w:t>6.2.3 For Future Research</w:t>
            </w:r>
            <w:r>
              <w:rPr>
                <w:noProof/>
                <w:webHidden/>
              </w:rPr>
              <w:tab/>
            </w:r>
            <w:r>
              <w:rPr>
                <w:noProof/>
                <w:webHidden/>
              </w:rPr>
              <w:fldChar w:fldCharType="begin"/>
            </w:r>
            <w:r>
              <w:rPr>
                <w:noProof/>
                <w:webHidden/>
              </w:rPr>
              <w:instrText xml:space="preserve"> PAGEREF _Toc210677423 \h </w:instrText>
            </w:r>
            <w:r>
              <w:rPr>
                <w:noProof/>
                <w:webHidden/>
              </w:rPr>
            </w:r>
            <w:r>
              <w:rPr>
                <w:noProof/>
                <w:webHidden/>
              </w:rPr>
              <w:fldChar w:fldCharType="separate"/>
            </w:r>
            <w:r>
              <w:rPr>
                <w:noProof/>
                <w:webHidden/>
              </w:rPr>
              <w:t>54</w:t>
            </w:r>
            <w:r>
              <w:rPr>
                <w:noProof/>
                <w:webHidden/>
              </w:rPr>
              <w:fldChar w:fldCharType="end"/>
            </w:r>
          </w:hyperlink>
        </w:p>
        <w:p w14:paraId="2B96400F" w14:textId="4A23E540" w:rsidR="00CE2BC0" w:rsidRDefault="00CE2BC0">
          <w:pPr>
            <w:pStyle w:val="TOC2"/>
            <w:tabs>
              <w:tab w:val="right" w:leader="dot" w:pos="9016"/>
            </w:tabs>
            <w:rPr>
              <w:noProof/>
              <w:sz w:val="24"/>
              <w:szCs w:val="24"/>
              <w:lang w:eastAsia="en-GB"/>
            </w:rPr>
          </w:pPr>
          <w:hyperlink w:anchor="_Toc210677424" w:history="1">
            <w:r w:rsidRPr="00FE1C4C">
              <w:rPr>
                <w:rStyle w:val="Hyperlink"/>
                <w:rFonts w:ascii="Arial" w:hAnsi="Arial" w:cs="Arial"/>
                <w:noProof/>
              </w:rPr>
              <w:t>6.3 Contribution of the Study</w:t>
            </w:r>
            <w:r>
              <w:rPr>
                <w:noProof/>
                <w:webHidden/>
              </w:rPr>
              <w:tab/>
            </w:r>
            <w:r>
              <w:rPr>
                <w:noProof/>
                <w:webHidden/>
              </w:rPr>
              <w:fldChar w:fldCharType="begin"/>
            </w:r>
            <w:r>
              <w:rPr>
                <w:noProof/>
                <w:webHidden/>
              </w:rPr>
              <w:instrText xml:space="preserve"> PAGEREF _Toc210677424 \h </w:instrText>
            </w:r>
            <w:r>
              <w:rPr>
                <w:noProof/>
                <w:webHidden/>
              </w:rPr>
            </w:r>
            <w:r>
              <w:rPr>
                <w:noProof/>
                <w:webHidden/>
              </w:rPr>
              <w:fldChar w:fldCharType="separate"/>
            </w:r>
            <w:r>
              <w:rPr>
                <w:noProof/>
                <w:webHidden/>
              </w:rPr>
              <w:t>54</w:t>
            </w:r>
            <w:r>
              <w:rPr>
                <w:noProof/>
                <w:webHidden/>
              </w:rPr>
              <w:fldChar w:fldCharType="end"/>
            </w:r>
          </w:hyperlink>
        </w:p>
        <w:p w14:paraId="3E24449C" w14:textId="5A6DA4CF" w:rsidR="00CE2BC0" w:rsidRDefault="00CE2BC0">
          <w:pPr>
            <w:pStyle w:val="TOC2"/>
            <w:tabs>
              <w:tab w:val="right" w:leader="dot" w:pos="9016"/>
            </w:tabs>
            <w:rPr>
              <w:noProof/>
              <w:sz w:val="24"/>
              <w:szCs w:val="24"/>
              <w:lang w:eastAsia="en-GB"/>
            </w:rPr>
          </w:pPr>
          <w:hyperlink w:anchor="_Toc210677425" w:history="1">
            <w:r w:rsidRPr="00FE1C4C">
              <w:rPr>
                <w:rStyle w:val="Hyperlink"/>
                <w:rFonts w:ascii="Arial" w:hAnsi="Arial" w:cs="Arial"/>
                <w:noProof/>
              </w:rPr>
              <w:t>6.4 Closing Reflection</w:t>
            </w:r>
            <w:r>
              <w:rPr>
                <w:noProof/>
                <w:webHidden/>
              </w:rPr>
              <w:tab/>
            </w:r>
            <w:r>
              <w:rPr>
                <w:noProof/>
                <w:webHidden/>
              </w:rPr>
              <w:fldChar w:fldCharType="begin"/>
            </w:r>
            <w:r>
              <w:rPr>
                <w:noProof/>
                <w:webHidden/>
              </w:rPr>
              <w:instrText xml:space="preserve"> PAGEREF _Toc210677425 \h </w:instrText>
            </w:r>
            <w:r>
              <w:rPr>
                <w:noProof/>
                <w:webHidden/>
              </w:rPr>
            </w:r>
            <w:r>
              <w:rPr>
                <w:noProof/>
                <w:webHidden/>
              </w:rPr>
              <w:fldChar w:fldCharType="separate"/>
            </w:r>
            <w:r>
              <w:rPr>
                <w:noProof/>
                <w:webHidden/>
              </w:rPr>
              <w:t>55</w:t>
            </w:r>
            <w:r>
              <w:rPr>
                <w:noProof/>
                <w:webHidden/>
              </w:rPr>
              <w:fldChar w:fldCharType="end"/>
            </w:r>
          </w:hyperlink>
        </w:p>
        <w:p w14:paraId="1068E140" w14:textId="4B7E7597" w:rsidR="00CE2BC0" w:rsidRDefault="00CE2BC0">
          <w:pPr>
            <w:pStyle w:val="TOC1"/>
            <w:tabs>
              <w:tab w:val="right" w:leader="dot" w:pos="9016"/>
            </w:tabs>
            <w:rPr>
              <w:rFonts w:asciiTheme="minorHAnsi" w:eastAsiaTheme="minorEastAsia" w:hAnsiTheme="minorHAnsi" w:cstheme="minorBidi"/>
              <w:noProof/>
              <w:color w:val="auto"/>
              <w:szCs w:val="24"/>
              <w:lang w:eastAsia="en-GB"/>
            </w:rPr>
          </w:pPr>
          <w:hyperlink w:anchor="_Toc210677426" w:history="1">
            <w:r w:rsidRPr="00FE1C4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_Toc210677426 \h </w:instrText>
            </w:r>
            <w:r>
              <w:rPr>
                <w:noProof/>
                <w:webHidden/>
              </w:rPr>
            </w:r>
            <w:r>
              <w:rPr>
                <w:noProof/>
                <w:webHidden/>
              </w:rPr>
              <w:fldChar w:fldCharType="separate"/>
            </w:r>
            <w:r>
              <w:rPr>
                <w:noProof/>
                <w:webHidden/>
              </w:rPr>
              <w:t>56</w:t>
            </w:r>
            <w:r>
              <w:rPr>
                <w:noProof/>
                <w:webHidden/>
              </w:rPr>
              <w:fldChar w:fldCharType="end"/>
            </w:r>
          </w:hyperlink>
        </w:p>
        <w:p w14:paraId="7CDD196C" w14:textId="22962028" w:rsidR="009D4F41" w:rsidRDefault="009D4F41" w:rsidP="009D4F41">
          <w:r>
            <w:rPr>
              <w:b/>
              <w:bCs/>
              <w:noProof/>
            </w:rPr>
            <w:fldChar w:fldCharType="end"/>
          </w:r>
        </w:p>
      </w:sdtContent>
    </w:sdt>
    <w:p w14:paraId="03FC1B91" w14:textId="3F46064E" w:rsidR="009D4F41" w:rsidRDefault="009D4F41">
      <w:pPr>
        <w:rPr>
          <w:rFonts w:asciiTheme="minorBidi" w:hAnsiTheme="minorBidi"/>
        </w:rPr>
      </w:pPr>
    </w:p>
    <w:p w14:paraId="35B1E621" w14:textId="76E3F4D0" w:rsidR="00F70EF8" w:rsidRPr="00B11506" w:rsidRDefault="00F70EF8" w:rsidP="00B11506">
      <w:pPr>
        <w:pStyle w:val="Heading1"/>
        <w:spacing w:line="360" w:lineRule="auto"/>
        <w:rPr>
          <w:rFonts w:ascii="Arial" w:hAnsi="Arial" w:cs="Arial"/>
        </w:rPr>
      </w:pPr>
      <w:bookmarkStart w:id="2" w:name="_Toc210677341"/>
      <w:r w:rsidRPr="00B11506">
        <w:rPr>
          <w:rFonts w:ascii="Arial" w:hAnsi="Arial" w:cs="Arial"/>
        </w:rPr>
        <w:t>List of Figures</w:t>
      </w:r>
      <w:bookmarkEnd w:id="2"/>
    </w:p>
    <w:p w14:paraId="67AB8B1D" w14:textId="77777777" w:rsidR="00F70EF8" w:rsidRDefault="00F70EF8" w:rsidP="000555DE">
      <w:pPr>
        <w:spacing w:after="14" w:line="249" w:lineRule="auto"/>
        <w:ind w:left="705"/>
        <w:rPr>
          <w:rFonts w:asciiTheme="minorBidi" w:hAnsiTheme="minorBidi"/>
        </w:rPr>
      </w:pPr>
    </w:p>
    <w:p w14:paraId="3E63350F" w14:textId="77777777" w:rsidR="00F70EF8" w:rsidRPr="007F1C8A" w:rsidRDefault="00F70EF8" w:rsidP="000555DE">
      <w:pPr>
        <w:spacing w:after="14" w:line="249" w:lineRule="auto"/>
        <w:ind w:left="705"/>
        <w:rPr>
          <w:rFonts w:asciiTheme="minorBidi" w:hAnsiTheme="minorBidi"/>
        </w:rPr>
      </w:pPr>
    </w:p>
    <w:p w14:paraId="37CF106B" w14:textId="7C58ED51" w:rsidR="00CE2BC0" w:rsidRDefault="00CE2BC0">
      <w:pPr>
        <w:pStyle w:val="TableofFigures"/>
        <w:tabs>
          <w:tab w:val="right" w:leader="dot" w:pos="9016"/>
        </w:tabs>
        <w:rPr>
          <w:noProof/>
          <w:sz w:val="24"/>
          <w:szCs w:val="24"/>
          <w:lang w:eastAsia="en-GB"/>
        </w:rPr>
      </w:pPr>
      <w:r>
        <w:rPr>
          <w:rFonts w:asciiTheme="minorBidi" w:hAnsiTheme="minorBidi"/>
        </w:rPr>
        <w:fldChar w:fldCharType="begin"/>
      </w:r>
      <w:r>
        <w:rPr>
          <w:rFonts w:asciiTheme="minorBidi" w:hAnsiTheme="minorBidi"/>
        </w:rPr>
        <w:instrText xml:space="preserve"> TOC \h \z \c "Figure" </w:instrText>
      </w:r>
      <w:r>
        <w:rPr>
          <w:rFonts w:asciiTheme="minorBidi" w:hAnsiTheme="minorBidi"/>
        </w:rPr>
        <w:fldChar w:fldCharType="separate"/>
      </w:r>
      <w:hyperlink w:anchor="_Toc210677427" w:history="1">
        <w:r w:rsidRPr="008D4A09">
          <w:rPr>
            <w:rStyle w:val="Hyperlink"/>
            <w:rFonts w:ascii="Arial" w:hAnsi="Arial" w:cs="Arial"/>
            <w:i/>
            <w:iCs/>
            <w:noProof/>
          </w:rPr>
          <w:t xml:space="preserve">Figure 1: </w:t>
        </w:r>
        <w:r w:rsidRPr="008D4A09">
          <w:rPr>
            <w:rStyle w:val="Hyperlink"/>
            <w:rFonts w:ascii="Arial" w:hAnsi="Arial" w:cs="Arial"/>
            <w:i/>
            <w:iCs/>
            <w:noProof/>
            <w:lang w:eastAsia="en-GB"/>
          </w:rPr>
          <w:t>PRISMA flow diagram</w:t>
        </w:r>
        <w:r w:rsidRPr="008D4A09">
          <w:rPr>
            <w:rStyle w:val="Hyperlink"/>
            <w:rFonts w:ascii="Arial" w:hAnsi="Arial" w:cs="Arial"/>
            <w:noProof/>
            <w:lang w:eastAsia="en-GB"/>
          </w:rPr>
          <w:t xml:space="preserve"> </w:t>
        </w:r>
        <w:r w:rsidRPr="008D4A09">
          <w:rPr>
            <w:rStyle w:val="Hyperlink"/>
            <w:rFonts w:ascii="Arial" w:hAnsi="Arial" w:cs="Arial"/>
            <w:noProof/>
            <w:lang w:val="en-US" w:eastAsia="en-GB"/>
          </w:rPr>
          <w:t>(Haddaway, et al., 2022)</w:t>
        </w:r>
        <w:r>
          <w:rPr>
            <w:noProof/>
            <w:webHidden/>
          </w:rPr>
          <w:tab/>
        </w:r>
        <w:r>
          <w:rPr>
            <w:noProof/>
            <w:webHidden/>
          </w:rPr>
          <w:fldChar w:fldCharType="begin"/>
        </w:r>
        <w:r>
          <w:rPr>
            <w:noProof/>
            <w:webHidden/>
          </w:rPr>
          <w:instrText xml:space="preserve"> PAGEREF _Toc210677427 \h </w:instrText>
        </w:r>
        <w:r>
          <w:rPr>
            <w:noProof/>
            <w:webHidden/>
          </w:rPr>
        </w:r>
        <w:r>
          <w:rPr>
            <w:noProof/>
            <w:webHidden/>
          </w:rPr>
          <w:fldChar w:fldCharType="separate"/>
        </w:r>
        <w:r>
          <w:rPr>
            <w:noProof/>
            <w:webHidden/>
          </w:rPr>
          <w:t>28</w:t>
        </w:r>
        <w:r>
          <w:rPr>
            <w:noProof/>
            <w:webHidden/>
          </w:rPr>
          <w:fldChar w:fldCharType="end"/>
        </w:r>
      </w:hyperlink>
    </w:p>
    <w:p w14:paraId="1DB5BC9A" w14:textId="4988E6B7" w:rsidR="00CE2BC0" w:rsidRDefault="00CE2BC0">
      <w:pPr>
        <w:pStyle w:val="TableofFigures"/>
        <w:tabs>
          <w:tab w:val="right" w:leader="dot" w:pos="9016"/>
        </w:tabs>
        <w:rPr>
          <w:noProof/>
          <w:sz w:val="24"/>
          <w:szCs w:val="24"/>
          <w:lang w:eastAsia="en-GB"/>
        </w:rPr>
      </w:pPr>
      <w:hyperlink w:anchor="_Toc210677428" w:history="1">
        <w:r w:rsidRPr="008D4A09">
          <w:rPr>
            <w:rStyle w:val="Hyperlink"/>
            <w:rFonts w:ascii="Arial" w:hAnsi="Arial" w:cs="Arial"/>
            <w:noProof/>
          </w:rPr>
          <w:t>Figure 2: PRISMA Flow Diagram for selected studies</w:t>
        </w:r>
        <w:r>
          <w:rPr>
            <w:noProof/>
            <w:webHidden/>
          </w:rPr>
          <w:tab/>
        </w:r>
        <w:r>
          <w:rPr>
            <w:noProof/>
            <w:webHidden/>
          </w:rPr>
          <w:fldChar w:fldCharType="begin"/>
        </w:r>
        <w:r>
          <w:rPr>
            <w:noProof/>
            <w:webHidden/>
          </w:rPr>
          <w:instrText xml:space="preserve"> PAGEREF _Toc210677428 \h </w:instrText>
        </w:r>
        <w:r>
          <w:rPr>
            <w:noProof/>
            <w:webHidden/>
          </w:rPr>
        </w:r>
        <w:r>
          <w:rPr>
            <w:noProof/>
            <w:webHidden/>
          </w:rPr>
          <w:fldChar w:fldCharType="separate"/>
        </w:r>
        <w:r>
          <w:rPr>
            <w:noProof/>
            <w:webHidden/>
          </w:rPr>
          <w:t>36</w:t>
        </w:r>
        <w:r>
          <w:rPr>
            <w:noProof/>
            <w:webHidden/>
          </w:rPr>
          <w:fldChar w:fldCharType="end"/>
        </w:r>
      </w:hyperlink>
    </w:p>
    <w:p w14:paraId="4D71BB86" w14:textId="601130B7" w:rsidR="009F64C5" w:rsidRPr="007F1C8A" w:rsidRDefault="00CE2BC0">
      <w:pPr>
        <w:spacing w:after="158"/>
        <w:rPr>
          <w:rFonts w:asciiTheme="minorBidi" w:hAnsiTheme="minorBidi"/>
        </w:rPr>
      </w:pPr>
      <w:r>
        <w:rPr>
          <w:rFonts w:asciiTheme="minorBidi" w:hAnsiTheme="minorBidi"/>
        </w:rPr>
        <w:fldChar w:fldCharType="end"/>
      </w:r>
    </w:p>
    <w:p w14:paraId="1028A266" w14:textId="34B15240" w:rsidR="000555DE" w:rsidRPr="00B11506" w:rsidRDefault="009F64C5" w:rsidP="00B11506">
      <w:pPr>
        <w:spacing w:after="156"/>
        <w:ind w:left="59"/>
        <w:jc w:val="center"/>
        <w:rPr>
          <w:rFonts w:asciiTheme="minorBidi" w:hAnsiTheme="minorBidi"/>
        </w:rPr>
      </w:pPr>
      <w:r w:rsidRPr="007F1C8A">
        <w:rPr>
          <w:rFonts w:asciiTheme="minorBidi" w:eastAsia="Times New Roman" w:hAnsiTheme="minorBidi"/>
          <w:b/>
        </w:rPr>
        <w:t xml:space="preserve"> </w:t>
      </w:r>
      <w:bookmarkStart w:id="3" w:name="_Toc12213"/>
    </w:p>
    <w:p w14:paraId="26D3E5D0" w14:textId="77335AB4" w:rsidR="009F64C5" w:rsidRPr="00EE26A5" w:rsidRDefault="009F64C5" w:rsidP="00EE26A5">
      <w:pPr>
        <w:pStyle w:val="Heading1"/>
        <w:spacing w:line="360" w:lineRule="auto"/>
        <w:rPr>
          <w:rFonts w:ascii="Arial" w:hAnsi="Arial" w:cs="Arial"/>
        </w:rPr>
      </w:pPr>
      <w:bookmarkStart w:id="4" w:name="_Toc210677342"/>
      <w:r w:rsidRPr="00EE26A5">
        <w:rPr>
          <w:rFonts w:ascii="Arial" w:hAnsi="Arial" w:cs="Arial"/>
        </w:rPr>
        <w:t xml:space="preserve">List of </w:t>
      </w:r>
      <w:r w:rsidR="00B6681A">
        <w:rPr>
          <w:rFonts w:ascii="Arial" w:hAnsi="Arial" w:cs="Arial"/>
        </w:rPr>
        <w:t>T</w:t>
      </w:r>
      <w:r w:rsidRPr="00EE26A5">
        <w:rPr>
          <w:rFonts w:ascii="Arial" w:hAnsi="Arial" w:cs="Arial"/>
        </w:rPr>
        <w:t>ables</w:t>
      </w:r>
      <w:bookmarkEnd w:id="4"/>
      <w:r w:rsidRPr="00EE26A5">
        <w:rPr>
          <w:rFonts w:ascii="Arial" w:hAnsi="Arial" w:cs="Arial"/>
        </w:rPr>
        <w:t xml:space="preserve"> </w:t>
      </w:r>
      <w:bookmarkEnd w:id="3"/>
    </w:p>
    <w:p w14:paraId="6DB35AA2" w14:textId="77777777" w:rsidR="00B11506" w:rsidRDefault="009F64C5">
      <w:pPr>
        <w:spacing w:after="172"/>
        <w:rPr>
          <w:noProof/>
        </w:rPr>
      </w:pPr>
      <w:r w:rsidRPr="007F1C8A">
        <w:rPr>
          <w:rFonts w:asciiTheme="minorBidi" w:eastAsia="Calibri" w:hAnsiTheme="minorBidi"/>
        </w:rPr>
        <w:t xml:space="preserve"> </w:t>
      </w:r>
      <w:r w:rsidR="00B11506">
        <w:rPr>
          <w:rFonts w:asciiTheme="minorBidi" w:eastAsia="Calibri" w:hAnsiTheme="minorBidi"/>
        </w:rPr>
        <w:fldChar w:fldCharType="begin"/>
      </w:r>
      <w:r w:rsidR="00B11506">
        <w:rPr>
          <w:rFonts w:asciiTheme="minorBidi" w:eastAsia="Calibri" w:hAnsiTheme="minorBidi"/>
        </w:rPr>
        <w:instrText xml:space="preserve"> TOC \h \z \c "Table" </w:instrText>
      </w:r>
      <w:r w:rsidR="00B11506">
        <w:rPr>
          <w:rFonts w:asciiTheme="minorBidi" w:eastAsia="Calibri" w:hAnsiTheme="minorBidi"/>
        </w:rPr>
        <w:fldChar w:fldCharType="separate"/>
      </w:r>
    </w:p>
    <w:p w14:paraId="14A8DB29" w14:textId="5F6A13D6" w:rsidR="00B11506" w:rsidRDefault="00B11506">
      <w:pPr>
        <w:pStyle w:val="TableofFigures"/>
        <w:tabs>
          <w:tab w:val="right" w:leader="dot" w:pos="9016"/>
        </w:tabs>
        <w:rPr>
          <w:noProof/>
          <w:sz w:val="24"/>
          <w:szCs w:val="24"/>
          <w:lang w:eastAsia="en-GB"/>
        </w:rPr>
      </w:pPr>
      <w:hyperlink w:anchor="_Toc210302982" w:history="1">
        <w:r w:rsidRPr="00A73B79">
          <w:rPr>
            <w:rStyle w:val="Hyperlink"/>
            <w:rFonts w:ascii="Arial" w:hAnsi="Arial" w:cs="Arial"/>
            <w:noProof/>
          </w:rPr>
          <w:t>Table 1: Summary of included studies</w:t>
        </w:r>
        <w:r>
          <w:rPr>
            <w:noProof/>
            <w:webHidden/>
          </w:rPr>
          <w:tab/>
        </w:r>
        <w:r>
          <w:rPr>
            <w:noProof/>
            <w:webHidden/>
          </w:rPr>
          <w:fldChar w:fldCharType="begin"/>
        </w:r>
        <w:r>
          <w:rPr>
            <w:noProof/>
            <w:webHidden/>
          </w:rPr>
          <w:instrText xml:space="preserve"> PAGEREF _Toc210302982 \h </w:instrText>
        </w:r>
        <w:r>
          <w:rPr>
            <w:noProof/>
            <w:webHidden/>
          </w:rPr>
        </w:r>
        <w:r>
          <w:rPr>
            <w:noProof/>
            <w:webHidden/>
          </w:rPr>
          <w:fldChar w:fldCharType="separate"/>
        </w:r>
        <w:r>
          <w:rPr>
            <w:noProof/>
            <w:webHidden/>
          </w:rPr>
          <w:t>37</w:t>
        </w:r>
        <w:r>
          <w:rPr>
            <w:noProof/>
            <w:webHidden/>
          </w:rPr>
          <w:fldChar w:fldCharType="end"/>
        </w:r>
      </w:hyperlink>
    </w:p>
    <w:p w14:paraId="2A242D90" w14:textId="58527084" w:rsidR="009F64C5" w:rsidRPr="007F1C8A" w:rsidRDefault="00B11506">
      <w:pPr>
        <w:spacing w:after="172"/>
        <w:rPr>
          <w:rFonts w:asciiTheme="minorBidi" w:hAnsiTheme="minorBidi"/>
        </w:rPr>
      </w:pPr>
      <w:r>
        <w:rPr>
          <w:rFonts w:asciiTheme="minorBidi" w:eastAsia="Calibri" w:hAnsiTheme="minorBidi"/>
        </w:rPr>
        <w:fldChar w:fldCharType="end"/>
      </w:r>
    </w:p>
    <w:p w14:paraId="279143F6" w14:textId="77777777" w:rsidR="000555DE" w:rsidRPr="007F1C8A" w:rsidRDefault="000555DE">
      <w:pPr>
        <w:rPr>
          <w:rFonts w:asciiTheme="minorBidi" w:eastAsia="Times New Roman" w:hAnsiTheme="minorBidi"/>
          <w:b/>
          <w:color w:val="000000"/>
          <w:sz w:val="24"/>
        </w:rPr>
      </w:pPr>
      <w:bookmarkStart w:id="5" w:name="_Toc12214"/>
      <w:r w:rsidRPr="007F1C8A">
        <w:rPr>
          <w:rFonts w:asciiTheme="minorBidi" w:hAnsiTheme="minorBidi"/>
        </w:rPr>
        <w:br w:type="page"/>
      </w:r>
    </w:p>
    <w:p w14:paraId="3ABADF24" w14:textId="0E9675A4" w:rsidR="009F64C5" w:rsidRPr="0049463F" w:rsidRDefault="009F64C5" w:rsidP="0049463F">
      <w:pPr>
        <w:pStyle w:val="Heading1"/>
        <w:spacing w:line="360" w:lineRule="auto"/>
        <w:rPr>
          <w:rFonts w:ascii="Arial" w:hAnsi="Arial" w:cs="Arial"/>
        </w:rPr>
      </w:pPr>
      <w:bookmarkStart w:id="6" w:name="_Toc210677343"/>
      <w:r w:rsidRPr="0049463F">
        <w:rPr>
          <w:rFonts w:ascii="Arial" w:hAnsi="Arial" w:cs="Arial"/>
        </w:rPr>
        <w:lastRenderedPageBreak/>
        <w:t xml:space="preserve">List of </w:t>
      </w:r>
      <w:r w:rsidR="00B6681A">
        <w:rPr>
          <w:rFonts w:ascii="Arial" w:hAnsi="Arial" w:cs="Arial"/>
        </w:rPr>
        <w:t>A</w:t>
      </w:r>
      <w:r w:rsidRPr="0049463F">
        <w:rPr>
          <w:rFonts w:ascii="Arial" w:hAnsi="Arial" w:cs="Arial"/>
        </w:rPr>
        <w:t>bbreviations</w:t>
      </w:r>
      <w:bookmarkEnd w:id="5"/>
      <w:bookmarkEnd w:id="6"/>
    </w:p>
    <w:p w14:paraId="2E0F49DC" w14:textId="77777777" w:rsidR="009F64C5" w:rsidRPr="007F1C8A" w:rsidRDefault="009F64C5">
      <w:pPr>
        <w:spacing w:after="158"/>
        <w:ind w:left="59"/>
        <w:jc w:val="center"/>
        <w:rPr>
          <w:rFonts w:asciiTheme="minorBidi" w:hAnsiTheme="minorBidi"/>
        </w:rPr>
      </w:pPr>
      <w:r w:rsidRPr="007F1C8A">
        <w:rPr>
          <w:rFonts w:asciiTheme="minorBidi" w:eastAsia="Times New Roman" w:hAnsiTheme="minorBidi"/>
          <w:b/>
        </w:rPr>
        <w:t xml:space="preserve"> </w:t>
      </w:r>
    </w:p>
    <w:p w14:paraId="3DDE36D5" w14:textId="0FB48566" w:rsidR="0057473C" w:rsidRDefault="0057473C" w:rsidP="00EA6D1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UK – United Kingdom</w:t>
      </w:r>
    </w:p>
    <w:p w14:paraId="5DAF6082" w14:textId="1C64A417" w:rsidR="0057473C" w:rsidRDefault="0057473C" w:rsidP="00EA6D1D">
      <w:pPr>
        <w:spacing w:after="0" w:line="360" w:lineRule="auto"/>
        <w:rPr>
          <w:rFonts w:ascii="Arial" w:hAnsi="Arial" w:cs="Arial"/>
        </w:rPr>
      </w:pPr>
      <w:r>
        <w:rPr>
          <w:rFonts w:ascii="Arial" w:eastAsia="Times New Roman" w:hAnsi="Arial" w:cs="Arial"/>
          <w:kern w:val="0"/>
          <w:lang w:eastAsia="en-GB"/>
          <w14:ligatures w14:val="none"/>
        </w:rPr>
        <w:t xml:space="preserve">NHS - </w:t>
      </w:r>
      <w:r w:rsidRPr="6E4EE4D1">
        <w:rPr>
          <w:rFonts w:ascii="Arial" w:hAnsi="Arial" w:cs="Arial"/>
        </w:rPr>
        <w:t>National Health Service</w:t>
      </w:r>
    </w:p>
    <w:p w14:paraId="0FDB9668" w14:textId="233A3690" w:rsidR="0024023C" w:rsidRDefault="0024023C" w:rsidP="00EA6D1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NICE - </w:t>
      </w:r>
      <w:r w:rsidRPr="001B6B7B">
        <w:rPr>
          <w:rFonts w:ascii="Arial" w:eastAsia="Times New Roman" w:hAnsi="Arial" w:cs="Arial"/>
          <w:kern w:val="0"/>
          <w:lang w:eastAsia="en-GB"/>
          <w14:ligatures w14:val="none"/>
        </w:rPr>
        <w:t>National Institute for Health and Care Excellence</w:t>
      </w:r>
    </w:p>
    <w:p w14:paraId="00A0DA66" w14:textId="02E59DAA" w:rsidR="006D212A" w:rsidRDefault="006D212A" w:rsidP="00EA6D1D">
      <w:pPr>
        <w:spacing w:after="0" w:line="360" w:lineRule="auto"/>
        <w:rPr>
          <w:rFonts w:ascii="Arial" w:eastAsia="Times New Roman" w:hAnsi="Arial" w:cs="Arial"/>
          <w:kern w:val="0"/>
          <w:lang w:eastAsia="en-GB"/>
          <w14:ligatures w14:val="none"/>
        </w:rPr>
      </w:pPr>
      <w:r w:rsidRPr="006D212A">
        <w:rPr>
          <w:rFonts w:ascii="Arial" w:eastAsia="Times New Roman" w:hAnsi="Arial" w:cs="Arial"/>
          <w:kern w:val="0"/>
          <w:lang w:eastAsia="en-GB"/>
          <w14:ligatures w14:val="none"/>
        </w:rPr>
        <w:t xml:space="preserve">PRISMA </w:t>
      </w:r>
      <w:r>
        <w:rPr>
          <w:rFonts w:ascii="Arial" w:eastAsia="Times New Roman" w:hAnsi="Arial" w:cs="Arial"/>
          <w:kern w:val="0"/>
          <w:lang w:eastAsia="en-GB"/>
          <w14:ligatures w14:val="none"/>
        </w:rPr>
        <w:t>- Preferred</w:t>
      </w:r>
      <w:r w:rsidRPr="006D212A">
        <w:rPr>
          <w:rFonts w:ascii="Arial" w:eastAsia="Times New Roman" w:hAnsi="Arial" w:cs="Arial"/>
          <w:kern w:val="0"/>
          <w:lang w:eastAsia="en-GB"/>
          <w14:ligatures w14:val="none"/>
        </w:rPr>
        <w:t xml:space="preserve"> Reporting Items for Systematic Reviews and Meta-Analyses</w:t>
      </w:r>
    </w:p>
    <w:p w14:paraId="1F606895" w14:textId="77777777" w:rsidR="00EA6D1D" w:rsidRDefault="006D212A" w:rsidP="00EA6D1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CASP - </w:t>
      </w:r>
      <w:r w:rsidRPr="006D212A">
        <w:rPr>
          <w:rFonts w:ascii="Arial" w:eastAsia="Times New Roman" w:hAnsi="Arial" w:cs="Arial"/>
          <w:kern w:val="0"/>
          <w:lang w:eastAsia="en-GB"/>
          <w14:ligatures w14:val="none"/>
        </w:rPr>
        <w:t>Critical Appraisal Skills Programme</w:t>
      </w:r>
    </w:p>
    <w:p w14:paraId="557D4CA4" w14:textId="7E7C9107" w:rsidR="006036DB" w:rsidRDefault="006036DB" w:rsidP="00EA6D1D">
      <w:pPr>
        <w:spacing w:after="0" w:line="360" w:lineRule="auto"/>
        <w:rPr>
          <w:rFonts w:ascii="Arial" w:hAnsi="Arial" w:cs="Arial"/>
        </w:rPr>
      </w:pPr>
      <w:r w:rsidRPr="006036DB">
        <w:rPr>
          <w:rFonts w:ascii="Arial" w:hAnsi="Arial" w:cs="Arial"/>
        </w:rPr>
        <w:t>CBT</w:t>
      </w:r>
      <w:r>
        <w:rPr>
          <w:rFonts w:ascii="Arial" w:hAnsi="Arial" w:cs="Arial"/>
        </w:rPr>
        <w:t xml:space="preserve"> - C</w:t>
      </w:r>
      <w:r w:rsidRPr="006036DB">
        <w:rPr>
          <w:rFonts w:ascii="Arial" w:hAnsi="Arial" w:cs="Arial"/>
        </w:rPr>
        <w:t>ognitive–</w:t>
      </w:r>
      <w:r>
        <w:rPr>
          <w:rFonts w:ascii="Arial" w:hAnsi="Arial" w:cs="Arial"/>
        </w:rPr>
        <w:t>B</w:t>
      </w:r>
      <w:r w:rsidRPr="006036DB">
        <w:rPr>
          <w:rFonts w:ascii="Arial" w:hAnsi="Arial" w:cs="Arial"/>
        </w:rPr>
        <w:t xml:space="preserve">ehavioural </w:t>
      </w:r>
      <w:r>
        <w:rPr>
          <w:rFonts w:ascii="Arial" w:hAnsi="Arial" w:cs="Arial"/>
        </w:rPr>
        <w:t>T</w:t>
      </w:r>
      <w:r w:rsidRPr="006036DB">
        <w:rPr>
          <w:rFonts w:ascii="Arial" w:hAnsi="Arial" w:cs="Arial"/>
        </w:rPr>
        <w:t>herapy</w:t>
      </w:r>
    </w:p>
    <w:p w14:paraId="76C074E2" w14:textId="4CAC1FF7" w:rsidR="00555B42" w:rsidRDefault="00555B42" w:rsidP="00EA6D1D">
      <w:pPr>
        <w:spacing w:after="0" w:line="360" w:lineRule="auto"/>
        <w:rPr>
          <w:rFonts w:ascii="Arial" w:hAnsi="Arial" w:cs="Arial"/>
        </w:rPr>
      </w:pPr>
      <w:r w:rsidRPr="00555B42">
        <w:rPr>
          <w:rFonts w:ascii="Arial" w:hAnsi="Arial" w:cs="Arial"/>
        </w:rPr>
        <w:t xml:space="preserve">CALIBER </w:t>
      </w:r>
      <w:r>
        <w:rPr>
          <w:rFonts w:ascii="Arial" w:hAnsi="Arial" w:cs="Arial"/>
        </w:rPr>
        <w:t xml:space="preserve">- </w:t>
      </w:r>
      <w:r w:rsidRPr="00555B42">
        <w:rPr>
          <w:rFonts w:ascii="Arial" w:hAnsi="Arial" w:cs="Arial"/>
        </w:rPr>
        <w:t>cardiovascular disease research using L</w:t>
      </w:r>
      <w:r>
        <w:rPr>
          <w:rFonts w:ascii="Arial" w:hAnsi="Arial" w:cs="Arial"/>
        </w:rPr>
        <w:t>i</w:t>
      </w:r>
      <w:r w:rsidRPr="00555B42">
        <w:rPr>
          <w:rFonts w:ascii="Arial" w:hAnsi="Arial" w:cs="Arial"/>
        </w:rPr>
        <w:t>nked Bespoke studies and electronic health Records</w:t>
      </w:r>
    </w:p>
    <w:p w14:paraId="3E28C04B" w14:textId="23E623A9" w:rsidR="00555B42" w:rsidRDefault="002C3C81" w:rsidP="00EA6D1D">
      <w:pPr>
        <w:spacing w:after="0" w:line="360" w:lineRule="auto"/>
        <w:rPr>
          <w:rFonts w:ascii="Arial" w:hAnsi="Arial" w:cs="Arial"/>
        </w:rPr>
      </w:pPr>
      <w:r w:rsidRPr="002C3C81">
        <w:rPr>
          <w:rFonts w:ascii="Arial" w:hAnsi="Arial" w:cs="Arial"/>
        </w:rPr>
        <w:t xml:space="preserve">IAPT </w:t>
      </w:r>
      <w:r>
        <w:rPr>
          <w:rFonts w:ascii="Arial" w:hAnsi="Arial" w:cs="Arial"/>
        </w:rPr>
        <w:t xml:space="preserve">- </w:t>
      </w:r>
      <w:r w:rsidRPr="002C3C81">
        <w:rPr>
          <w:rFonts w:ascii="Arial" w:hAnsi="Arial" w:cs="Arial"/>
        </w:rPr>
        <w:t>Improving Access to Psychological Therapies</w:t>
      </w:r>
    </w:p>
    <w:p w14:paraId="0E99919E" w14:textId="77777777" w:rsidR="00FE76CA" w:rsidRDefault="00996A5A" w:rsidP="00EA6D1D">
      <w:pPr>
        <w:spacing w:after="0" w:line="360" w:lineRule="auto"/>
        <w:rPr>
          <w:rFonts w:ascii="Arial" w:eastAsia="Times New Roman" w:hAnsi="Arial" w:cs="Arial"/>
          <w:kern w:val="0"/>
          <w:lang w:eastAsia="en-GB"/>
          <w14:ligatures w14:val="none"/>
        </w:rPr>
      </w:pPr>
      <w:r>
        <w:rPr>
          <w:rFonts w:ascii="Arial" w:hAnsi="Arial" w:cs="Arial"/>
        </w:rPr>
        <w:t>RCT – Randomized Controlled Trial</w:t>
      </w:r>
    </w:p>
    <w:p w14:paraId="697FB1FB" w14:textId="77777777" w:rsidR="00273D67" w:rsidRDefault="00FE76CA" w:rsidP="00EA6D1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MCI – Mild Cognitive Impairment</w:t>
      </w:r>
    </w:p>
    <w:p w14:paraId="6F414EEC" w14:textId="77777777" w:rsidR="00EB1732" w:rsidRDefault="00273D67" w:rsidP="00EA6D1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PLWD – People Living with Dementia</w:t>
      </w:r>
    </w:p>
    <w:p w14:paraId="1FD5C49C" w14:textId="77777777" w:rsidR="00534808" w:rsidRDefault="00EB1732" w:rsidP="00EA6D1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MMSE - </w:t>
      </w:r>
      <w:r w:rsidRPr="00EB1732">
        <w:rPr>
          <w:rFonts w:ascii="Arial" w:eastAsia="Times New Roman" w:hAnsi="Arial" w:cs="Arial"/>
          <w:kern w:val="0"/>
          <w:lang w:eastAsia="en-GB"/>
          <w14:ligatures w14:val="none"/>
        </w:rPr>
        <w:t>Mini-Mental State Examination</w:t>
      </w:r>
    </w:p>
    <w:p w14:paraId="33CE7B5C" w14:textId="37BB7A94" w:rsidR="00534808" w:rsidRDefault="00534808" w:rsidP="00534808">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CST - C</w:t>
      </w:r>
      <w:r w:rsidRPr="00534808">
        <w:rPr>
          <w:rFonts w:ascii="Arial" w:eastAsia="Times New Roman" w:hAnsi="Arial" w:cs="Arial"/>
          <w:kern w:val="0"/>
          <w:lang w:eastAsia="en-GB"/>
          <w14:ligatures w14:val="none"/>
        </w:rPr>
        <w:t xml:space="preserve">ognitive </w:t>
      </w:r>
      <w:r>
        <w:rPr>
          <w:rFonts w:ascii="Arial" w:eastAsia="Times New Roman" w:hAnsi="Arial" w:cs="Arial"/>
          <w:kern w:val="0"/>
          <w:lang w:eastAsia="en-GB"/>
          <w14:ligatures w14:val="none"/>
        </w:rPr>
        <w:t>S</w:t>
      </w:r>
      <w:r w:rsidRPr="00534808">
        <w:rPr>
          <w:rFonts w:ascii="Arial" w:eastAsia="Times New Roman" w:hAnsi="Arial" w:cs="Arial"/>
          <w:kern w:val="0"/>
          <w:lang w:eastAsia="en-GB"/>
          <w14:ligatures w14:val="none"/>
        </w:rPr>
        <w:t xml:space="preserve">timulation </w:t>
      </w:r>
      <w:r>
        <w:rPr>
          <w:rFonts w:ascii="Arial" w:eastAsia="Times New Roman" w:hAnsi="Arial" w:cs="Arial"/>
          <w:kern w:val="0"/>
          <w:lang w:eastAsia="en-GB"/>
          <w14:ligatures w14:val="none"/>
        </w:rPr>
        <w:t>T</w:t>
      </w:r>
      <w:r w:rsidRPr="00534808">
        <w:rPr>
          <w:rFonts w:ascii="Arial" w:eastAsia="Times New Roman" w:hAnsi="Arial" w:cs="Arial"/>
          <w:kern w:val="0"/>
          <w:lang w:eastAsia="en-GB"/>
          <w14:ligatures w14:val="none"/>
        </w:rPr>
        <w:t>herapy</w:t>
      </w:r>
    </w:p>
    <w:p w14:paraId="6DC8B9BF" w14:textId="5CF7849A" w:rsidR="00630D5F" w:rsidRDefault="00630D5F" w:rsidP="00534808">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SLR – Systematic Literature Review</w:t>
      </w:r>
    </w:p>
    <w:p w14:paraId="58E81B2E" w14:textId="38A0A854" w:rsidR="00605B57" w:rsidRDefault="00605B57" w:rsidP="00534808">
      <w:pPr>
        <w:spacing w:after="0" w:line="360" w:lineRule="auto"/>
        <w:rPr>
          <w:rFonts w:ascii="Arial" w:hAnsi="Arial" w:cs="Arial"/>
          <w:lang w:eastAsia="en-GB"/>
        </w:rPr>
      </w:pPr>
      <w:proofErr w:type="spellStart"/>
      <w:r>
        <w:rPr>
          <w:rFonts w:ascii="Arial" w:eastAsia="Times New Roman" w:hAnsi="Arial" w:cs="Arial"/>
          <w:kern w:val="0"/>
          <w:lang w:eastAsia="en-GB"/>
          <w14:ligatures w14:val="none"/>
        </w:rPr>
        <w:t>MeSH</w:t>
      </w:r>
      <w:proofErr w:type="spellEnd"/>
      <w:r>
        <w:rPr>
          <w:rFonts w:ascii="Arial" w:eastAsia="Times New Roman" w:hAnsi="Arial" w:cs="Arial"/>
          <w:kern w:val="0"/>
          <w:lang w:eastAsia="en-GB"/>
          <w14:ligatures w14:val="none"/>
        </w:rPr>
        <w:t xml:space="preserve"> - </w:t>
      </w:r>
      <w:r w:rsidRPr="00F470E2">
        <w:rPr>
          <w:rFonts w:ascii="Arial" w:hAnsi="Arial" w:cs="Arial"/>
          <w:lang w:eastAsia="en-GB"/>
        </w:rPr>
        <w:t>Medical Subject Headings</w:t>
      </w:r>
    </w:p>
    <w:p w14:paraId="69881AEE" w14:textId="751B86F1" w:rsidR="00291137" w:rsidRDefault="00291137" w:rsidP="00534808">
      <w:pPr>
        <w:spacing w:after="0" w:line="360" w:lineRule="auto"/>
        <w:rPr>
          <w:rFonts w:ascii="Arial" w:eastAsia="Times New Roman" w:hAnsi="Arial" w:cs="Arial"/>
          <w:kern w:val="0"/>
          <w:lang w:eastAsia="en-GB"/>
          <w14:ligatures w14:val="none"/>
        </w:rPr>
      </w:pPr>
      <w:r>
        <w:rPr>
          <w:rFonts w:ascii="Arial" w:hAnsi="Arial" w:cs="Arial"/>
          <w:lang w:eastAsia="en-GB"/>
        </w:rPr>
        <w:t xml:space="preserve">SPM - </w:t>
      </w:r>
      <w:r w:rsidRPr="00291137">
        <w:rPr>
          <w:rFonts w:ascii="Arial" w:hAnsi="Arial" w:cs="Arial"/>
          <w:lang w:eastAsia="en-GB"/>
        </w:rPr>
        <w:t>Stress Process Model</w:t>
      </w:r>
    </w:p>
    <w:p w14:paraId="2C2A083A" w14:textId="48EA4BE9" w:rsidR="001B6B7B" w:rsidRPr="00534808" w:rsidRDefault="001B6B7B" w:rsidP="00534808">
      <w:pPr>
        <w:spacing w:after="0" w:line="360" w:lineRule="auto"/>
        <w:rPr>
          <w:rFonts w:ascii="Arial" w:eastAsia="Times New Roman" w:hAnsi="Arial" w:cs="Arial"/>
          <w:kern w:val="0"/>
          <w:lang w:eastAsia="en-GB"/>
          <w14:ligatures w14:val="none"/>
        </w:rPr>
      </w:pPr>
    </w:p>
    <w:p w14:paraId="0A8DF892" w14:textId="135F58B5" w:rsidR="009F64C5" w:rsidRDefault="009F64C5" w:rsidP="00EA6D1D">
      <w:pPr>
        <w:spacing w:after="0" w:line="360" w:lineRule="auto"/>
        <w:rPr>
          <w:rFonts w:asciiTheme="minorBidi" w:eastAsia="Times New Roman" w:hAnsiTheme="minorBidi"/>
          <w:b/>
          <w:i/>
        </w:rPr>
      </w:pPr>
      <w:r w:rsidRPr="007F1C8A">
        <w:rPr>
          <w:rFonts w:asciiTheme="minorBidi" w:eastAsia="Times New Roman" w:hAnsiTheme="minorBidi"/>
          <w:b/>
          <w:i/>
        </w:rPr>
        <w:tab/>
      </w:r>
    </w:p>
    <w:p w14:paraId="3F47C661" w14:textId="77777777" w:rsidR="00273D67" w:rsidRPr="007F1C8A" w:rsidRDefault="00273D67" w:rsidP="00EA6D1D">
      <w:pPr>
        <w:spacing w:after="0" w:line="360" w:lineRule="auto"/>
        <w:rPr>
          <w:rFonts w:asciiTheme="minorBidi" w:hAnsiTheme="minorBidi"/>
        </w:rPr>
      </w:pPr>
    </w:p>
    <w:p w14:paraId="53439232" w14:textId="6A99F81F" w:rsidR="009F64C5" w:rsidRPr="009C671F" w:rsidRDefault="000555DE" w:rsidP="009C671F">
      <w:pPr>
        <w:rPr>
          <w:rFonts w:asciiTheme="minorBidi" w:eastAsia="Times New Roman" w:hAnsiTheme="minorBidi"/>
          <w:b/>
          <w:color w:val="000000"/>
          <w:sz w:val="24"/>
        </w:rPr>
      </w:pPr>
      <w:bookmarkStart w:id="7" w:name="_Toc12215"/>
      <w:r w:rsidRPr="007F1C8A">
        <w:rPr>
          <w:rFonts w:asciiTheme="minorBidi" w:hAnsiTheme="minorBidi"/>
        </w:rPr>
        <w:br w:type="page"/>
      </w:r>
      <w:bookmarkEnd w:id="7"/>
    </w:p>
    <w:p w14:paraId="37F9CE68" w14:textId="306B8B1F" w:rsidR="00151D3E" w:rsidRPr="008D4A36" w:rsidRDefault="00BC67C0" w:rsidP="009C671F">
      <w:pPr>
        <w:pStyle w:val="Heading1"/>
        <w:spacing w:after="649" w:line="360" w:lineRule="auto"/>
        <w:ind w:left="12" w:right="3"/>
        <w:rPr>
          <w:rFonts w:ascii="Arial" w:hAnsi="Arial" w:cs="Arial"/>
          <w:sz w:val="28"/>
          <w:szCs w:val="28"/>
        </w:rPr>
      </w:pPr>
      <w:bookmarkStart w:id="8" w:name="_Toc12216"/>
      <w:bookmarkStart w:id="9" w:name="_Toc210677344"/>
      <w:r w:rsidRPr="008D4A36">
        <w:rPr>
          <w:rFonts w:ascii="Arial" w:hAnsi="Arial" w:cs="Arial"/>
          <w:sz w:val="28"/>
          <w:szCs w:val="28"/>
        </w:rPr>
        <w:lastRenderedPageBreak/>
        <w:t xml:space="preserve">Chapter 1: </w:t>
      </w:r>
      <w:r w:rsidR="009F64C5" w:rsidRPr="008D4A36">
        <w:rPr>
          <w:rFonts w:ascii="Arial" w:hAnsi="Arial" w:cs="Arial"/>
          <w:sz w:val="28"/>
          <w:szCs w:val="28"/>
        </w:rPr>
        <w:t>Introduction</w:t>
      </w:r>
      <w:bookmarkEnd w:id="9"/>
      <w:r w:rsidR="009F64C5" w:rsidRPr="008D4A36">
        <w:rPr>
          <w:rFonts w:ascii="Arial" w:hAnsi="Arial" w:cs="Arial"/>
          <w:sz w:val="28"/>
          <w:szCs w:val="28"/>
        </w:rPr>
        <w:t xml:space="preserve"> </w:t>
      </w:r>
      <w:bookmarkEnd w:id="8"/>
    </w:p>
    <w:p w14:paraId="23D483C9" w14:textId="2B2B9BAA" w:rsidR="008D4A36" w:rsidRPr="008D4A36" w:rsidRDefault="00251165" w:rsidP="008D4A36">
      <w:pPr>
        <w:pStyle w:val="Heading2"/>
        <w:spacing w:line="360" w:lineRule="auto"/>
        <w:jc w:val="left"/>
        <w:rPr>
          <w:rFonts w:ascii="Arial" w:hAnsi="Arial" w:cs="Arial"/>
        </w:rPr>
      </w:pPr>
      <w:bookmarkStart w:id="10" w:name="_Toc210677345"/>
      <w:r>
        <w:rPr>
          <w:rFonts w:ascii="Arial" w:hAnsi="Arial" w:cs="Arial"/>
        </w:rPr>
        <w:t xml:space="preserve">1.1 </w:t>
      </w:r>
      <w:r w:rsidR="008D4A36">
        <w:rPr>
          <w:rFonts w:ascii="Arial" w:hAnsi="Arial" w:cs="Arial"/>
        </w:rPr>
        <w:t>Choosing</w:t>
      </w:r>
      <w:r w:rsidR="008D4A36" w:rsidRPr="008D4A36">
        <w:rPr>
          <w:rFonts w:ascii="Arial" w:hAnsi="Arial" w:cs="Arial"/>
        </w:rPr>
        <w:t xml:space="preserve"> the Research Topic</w:t>
      </w:r>
      <w:bookmarkEnd w:id="10"/>
    </w:p>
    <w:p w14:paraId="69FB3DD1" w14:textId="59D7DCCD" w:rsidR="00B91513" w:rsidRDefault="009C671F" w:rsidP="00B91513">
      <w:pPr>
        <w:spacing w:after="0" w:line="360" w:lineRule="auto"/>
        <w:rPr>
          <w:rFonts w:ascii="Arial" w:hAnsi="Arial" w:cs="Arial"/>
        </w:rPr>
      </w:pPr>
      <w:r w:rsidRPr="6E4EE4D1">
        <w:rPr>
          <w:rFonts w:ascii="Arial" w:hAnsi="Arial" w:cs="Arial"/>
        </w:rPr>
        <w:t>Dementia is becoming an increasingly significant public health issue around the world</w:t>
      </w:r>
      <w:r w:rsidR="00A01555">
        <w:rPr>
          <w:rFonts w:ascii="Arial" w:hAnsi="Arial" w:cs="Arial"/>
        </w:rPr>
        <w:t xml:space="preserve"> </w:t>
      </w:r>
      <w:sdt>
        <w:sdtPr>
          <w:rPr>
            <w:rFonts w:ascii="Arial" w:hAnsi="Arial" w:cs="Arial"/>
          </w:rPr>
          <w:id w:val="-1244022085"/>
          <w:citation/>
        </w:sdtPr>
        <w:sdtContent>
          <w:r w:rsidR="00A01555">
            <w:rPr>
              <w:rFonts w:ascii="Arial" w:hAnsi="Arial" w:cs="Arial"/>
            </w:rPr>
            <w:fldChar w:fldCharType="begin"/>
          </w:r>
          <w:r w:rsidR="00A01555">
            <w:rPr>
              <w:rFonts w:ascii="Arial" w:hAnsi="Arial" w:cs="Arial"/>
              <w:lang w:val="en-US"/>
            </w:rPr>
            <w:instrText xml:space="preserve"> CITATION Mia25 \l 1033 </w:instrText>
          </w:r>
          <w:r w:rsidR="00A01555">
            <w:rPr>
              <w:rFonts w:ascii="Arial" w:hAnsi="Arial" w:cs="Arial"/>
            </w:rPr>
            <w:fldChar w:fldCharType="separate"/>
          </w:r>
          <w:r w:rsidR="001E393B" w:rsidRPr="001E393B">
            <w:rPr>
              <w:rFonts w:ascii="Arial" w:hAnsi="Arial" w:cs="Arial"/>
              <w:noProof/>
              <w:lang w:val="en-US"/>
            </w:rPr>
            <w:t>(Hao &amp; Chen, 2025)</w:t>
          </w:r>
          <w:r w:rsidR="00A01555">
            <w:rPr>
              <w:rFonts w:ascii="Arial" w:hAnsi="Arial" w:cs="Arial"/>
            </w:rPr>
            <w:fldChar w:fldCharType="end"/>
          </w:r>
        </w:sdtContent>
      </w:sdt>
      <w:r w:rsidRPr="6E4EE4D1">
        <w:rPr>
          <w:rFonts w:ascii="Arial" w:hAnsi="Arial" w:cs="Arial"/>
        </w:rPr>
        <w:t>. It puts a lot of stress on people's social, economic, and emotional lives, as well as on families and healthcare systems</w:t>
      </w:r>
      <w:r w:rsidR="00160AC0">
        <w:rPr>
          <w:rFonts w:ascii="Arial" w:hAnsi="Arial" w:cs="Arial"/>
        </w:rPr>
        <w:t xml:space="preserve"> </w:t>
      </w:r>
      <w:sdt>
        <w:sdtPr>
          <w:rPr>
            <w:rFonts w:ascii="Arial" w:hAnsi="Arial" w:cs="Arial"/>
          </w:rPr>
          <w:id w:val="250778203"/>
          <w:citation/>
        </w:sdtPr>
        <w:sdtContent>
          <w:r w:rsidR="00160AC0">
            <w:rPr>
              <w:rFonts w:ascii="Arial" w:hAnsi="Arial" w:cs="Arial"/>
            </w:rPr>
            <w:fldChar w:fldCharType="begin"/>
          </w:r>
          <w:r w:rsidR="00160AC0">
            <w:rPr>
              <w:rFonts w:ascii="Arial" w:hAnsi="Arial" w:cs="Arial"/>
              <w:lang w:val="en-US"/>
            </w:rPr>
            <w:instrText xml:space="preserve"> CITATION Chi21 \l 1033 </w:instrText>
          </w:r>
          <w:r w:rsidR="00160AC0">
            <w:rPr>
              <w:rFonts w:ascii="Arial" w:hAnsi="Arial" w:cs="Arial"/>
            </w:rPr>
            <w:fldChar w:fldCharType="separate"/>
          </w:r>
          <w:r w:rsidR="001E393B" w:rsidRPr="001E393B">
            <w:rPr>
              <w:rFonts w:ascii="Arial" w:hAnsi="Arial" w:cs="Arial"/>
              <w:noProof/>
              <w:lang w:val="en-US"/>
            </w:rPr>
            <w:t>(Annalisa, et al., 2021)</w:t>
          </w:r>
          <w:r w:rsidR="00160AC0">
            <w:rPr>
              <w:rFonts w:ascii="Arial" w:hAnsi="Arial" w:cs="Arial"/>
            </w:rPr>
            <w:fldChar w:fldCharType="end"/>
          </w:r>
        </w:sdtContent>
      </w:sdt>
      <w:r w:rsidR="00E475E0">
        <w:rPr>
          <w:rFonts w:ascii="Arial" w:hAnsi="Arial" w:cs="Arial"/>
        </w:rPr>
        <w:t xml:space="preserve"> </w:t>
      </w:r>
      <w:sdt>
        <w:sdtPr>
          <w:rPr>
            <w:rFonts w:ascii="Arial" w:hAnsi="Arial" w:cs="Arial"/>
          </w:rPr>
          <w:id w:val="-2062542256"/>
          <w:citation/>
        </w:sdtPr>
        <w:sdtContent>
          <w:r w:rsidR="00E475E0">
            <w:rPr>
              <w:rFonts w:ascii="Arial" w:hAnsi="Arial" w:cs="Arial"/>
            </w:rPr>
            <w:fldChar w:fldCharType="begin"/>
          </w:r>
          <w:r w:rsidR="00E475E0">
            <w:rPr>
              <w:rFonts w:ascii="Arial" w:hAnsi="Arial" w:cs="Arial"/>
              <w:lang w:val="en-US"/>
            </w:rPr>
            <w:instrText xml:space="preserve"> CITATION Bur23 \l 1033 </w:instrText>
          </w:r>
          <w:r w:rsidR="00E475E0">
            <w:rPr>
              <w:rFonts w:ascii="Arial" w:hAnsi="Arial" w:cs="Arial"/>
            </w:rPr>
            <w:fldChar w:fldCharType="separate"/>
          </w:r>
          <w:r w:rsidR="001E393B" w:rsidRPr="001E393B">
            <w:rPr>
              <w:rFonts w:ascii="Arial" w:hAnsi="Arial" w:cs="Arial"/>
              <w:noProof/>
              <w:lang w:val="en-US"/>
            </w:rPr>
            <w:t>(Julia &amp; Halima, 2023)</w:t>
          </w:r>
          <w:r w:rsidR="00E475E0">
            <w:rPr>
              <w:rFonts w:ascii="Arial" w:hAnsi="Arial" w:cs="Arial"/>
            </w:rPr>
            <w:fldChar w:fldCharType="end"/>
          </w:r>
        </w:sdtContent>
      </w:sdt>
      <w:r w:rsidRPr="6E4EE4D1">
        <w:rPr>
          <w:rFonts w:ascii="Arial" w:hAnsi="Arial" w:cs="Arial"/>
        </w:rPr>
        <w:t>. Dementia is a</w:t>
      </w:r>
      <w:r w:rsidR="044DDCF8" w:rsidRPr="6E4EE4D1">
        <w:rPr>
          <w:rFonts w:ascii="Arial" w:hAnsi="Arial" w:cs="Arial"/>
        </w:rPr>
        <w:t xml:space="preserve"> degenerative condition </w:t>
      </w:r>
      <w:r w:rsidR="2F164CFF" w:rsidRPr="6E4EE4D1">
        <w:rPr>
          <w:rFonts w:ascii="Arial" w:hAnsi="Arial" w:cs="Arial"/>
        </w:rPr>
        <w:t>which</w:t>
      </w:r>
      <w:r w:rsidRPr="6E4EE4D1">
        <w:rPr>
          <w:rFonts w:ascii="Arial" w:hAnsi="Arial" w:cs="Arial"/>
        </w:rPr>
        <w:t xml:space="preserve"> affects memory, language, and reasoning</w:t>
      </w:r>
      <w:r w:rsidR="00160AC0">
        <w:rPr>
          <w:rFonts w:ascii="Arial" w:hAnsi="Arial" w:cs="Arial"/>
        </w:rPr>
        <w:t xml:space="preserve"> </w:t>
      </w:r>
      <w:sdt>
        <w:sdtPr>
          <w:rPr>
            <w:rFonts w:ascii="Arial" w:hAnsi="Arial" w:cs="Arial"/>
          </w:rPr>
          <w:id w:val="-1776164245"/>
          <w:citation/>
        </w:sdtPr>
        <w:sdtContent>
          <w:r w:rsidR="00160AC0">
            <w:rPr>
              <w:rFonts w:ascii="Arial" w:hAnsi="Arial" w:cs="Arial"/>
            </w:rPr>
            <w:fldChar w:fldCharType="begin"/>
          </w:r>
          <w:r w:rsidR="00160AC0">
            <w:rPr>
              <w:rFonts w:ascii="Arial" w:hAnsi="Arial" w:cs="Arial"/>
              <w:lang w:val="en-US"/>
            </w:rPr>
            <w:instrText xml:space="preserve"> CITATION Ami05 \l 1033 </w:instrText>
          </w:r>
          <w:r w:rsidR="00160AC0">
            <w:rPr>
              <w:rFonts w:ascii="Arial" w:hAnsi="Arial" w:cs="Arial"/>
            </w:rPr>
            <w:fldChar w:fldCharType="separate"/>
          </w:r>
          <w:r w:rsidR="001E393B" w:rsidRPr="001E393B">
            <w:rPr>
              <w:rFonts w:ascii="Arial" w:hAnsi="Arial" w:cs="Arial"/>
              <w:noProof/>
              <w:lang w:val="en-US"/>
            </w:rPr>
            <w:t>(Hélène, et al., 2005)</w:t>
          </w:r>
          <w:r w:rsidR="00160AC0">
            <w:rPr>
              <w:rFonts w:ascii="Arial" w:hAnsi="Arial" w:cs="Arial"/>
            </w:rPr>
            <w:fldChar w:fldCharType="end"/>
          </w:r>
        </w:sdtContent>
      </w:sdt>
      <w:r w:rsidRPr="6E4EE4D1">
        <w:rPr>
          <w:rFonts w:ascii="Arial" w:hAnsi="Arial" w:cs="Arial"/>
        </w:rPr>
        <w:t>. It also changes a person's personality, emotional stability, and ability to do routine tasks. Dementia has become the leading cause of disability and dependence in older adults in the UK</w:t>
      </w:r>
      <w:r w:rsidR="00160AC0">
        <w:rPr>
          <w:rFonts w:ascii="Arial" w:hAnsi="Arial" w:cs="Arial"/>
        </w:rPr>
        <w:t xml:space="preserve"> </w:t>
      </w:r>
      <w:sdt>
        <w:sdtPr>
          <w:rPr>
            <w:rFonts w:ascii="Arial" w:hAnsi="Arial" w:cs="Arial"/>
          </w:rPr>
          <w:id w:val="926156829"/>
          <w:citation/>
        </w:sdtPr>
        <w:sdtContent>
          <w:r w:rsidR="00160AC0">
            <w:rPr>
              <w:rFonts w:ascii="Arial" w:hAnsi="Arial" w:cs="Arial"/>
            </w:rPr>
            <w:fldChar w:fldCharType="begin"/>
          </w:r>
          <w:r w:rsidR="00160AC0">
            <w:rPr>
              <w:rFonts w:ascii="Arial" w:hAnsi="Arial" w:cs="Arial"/>
              <w:lang w:val="en-US"/>
            </w:rPr>
            <w:instrText xml:space="preserve"> CITATION Ter18 \l 1033 </w:instrText>
          </w:r>
          <w:r w:rsidR="00160AC0">
            <w:rPr>
              <w:rFonts w:ascii="Arial" w:hAnsi="Arial" w:cs="Arial"/>
            </w:rPr>
            <w:fldChar w:fldCharType="separate"/>
          </w:r>
          <w:r w:rsidR="001E393B" w:rsidRPr="001E393B">
            <w:rPr>
              <w:rFonts w:ascii="Arial" w:hAnsi="Arial" w:cs="Arial"/>
              <w:noProof/>
              <w:lang w:val="en-US"/>
            </w:rPr>
            <w:t>(Terracciano, et al., 2018)</w:t>
          </w:r>
          <w:r w:rsidR="00160AC0">
            <w:rPr>
              <w:rFonts w:ascii="Arial" w:hAnsi="Arial" w:cs="Arial"/>
            </w:rPr>
            <w:fldChar w:fldCharType="end"/>
          </w:r>
        </w:sdtContent>
      </w:sdt>
      <w:r w:rsidRPr="6E4EE4D1">
        <w:rPr>
          <w:rFonts w:ascii="Arial" w:hAnsi="Arial" w:cs="Arial"/>
        </w:rPr>
        <w:t xml:space="preserve">. In fact, recent estimates say that </w:t>
      </w:r>
      <w:r w:rsidR="003E4F5F" w:rsidRPr="6E4EE4D1">
        <w:rPr>
          <w:rFonts w:ascii="Arial" w:hAnsi="Arial" w:cs="Arial"/>
        </w:rPr>
        <w:t>around</w:t>
      </w:r>
      <w:r w:rsidRPr="6E4EE4D1">
        <w:rPr>
          <w:rFonts w:ascii="Arial" w:hAnsi="Arial" w:cs="Arial"/>
        </w:rPr>
        <w:t xml:space="preserve"> 9</w:t>
      </w:r>
      <w:r w:rsidR="003E4F5F" w:rsidRPr="6E4EE4D1">
        <w:rPr>
          <w:rFonts w:ascii="Arial" w:hAnsi="Arial" w:cs="Arial"/>
        </w:rPr>
        <w:t>82</w:t>
      </w:r>
      <w:r w:rsidRPr="6E4EE4D1">
        <w:rPr>
          <w:rFonts w:ascii="Arial" w:hAnsi="Arial" w:cs="Arial"/>
        </w:rPr>
        <w:t xml:space="preserve">,000 people in the </w:t>
      </w:r>
      <w:r w:rsidR="20348E0A" w:rsidRPr="6E4EE4D1">
        <w:rPr>
          <w:rFonts w:ascii="Arial" w:hAnsi="Arial" w:cs="Arial"/>
        </w:rPr>
        <w:t>United Kingdon (UK)</w:t>
      </w:r>
      <w:r w:rsidRPr="6E4EE4D1">
        <w:rPr>
          <w:rFonts w:ascii="Arial" w:hAnsi="Arial" w:cs="Arial"/>
        </w:rPr>
        <w:t xml:space="preserve"> have the condition</w:t>
      </w:r>
      <w:r w:rsidR="00B91513" w:rsidRPr="6E4EE4D1">
        <w:rPr>
          <w:rFonts w:ascii="Arial" w:hAnsi="Arial" w:cs="Arial"/>
        </w:rPr>
        <w:t xml:space="preserve">, however, over one-third of individuals with the condition remain undiagnosed </w:t>
      </w:r>
      <w:sdt>
        <w:sdtPr>
          <w:rPr>
            <w:rFonts w:ascii="Arial" w:hAnsi="Arial" w:cs="Arial"/>
          </w:rPr>
          <w:id w:val="-1800220222"/>
          <w:citation/>
        </w:sdtPr>
        <w:sdtContent>
          <w:r w:rsidR="005E382D">
            <w:rPr>
              <w:rFonts w:ascii="Arial" w:hAnsi="Arial" w:cs="Arial"/>
            </w:rPr>
            <w:fldChar w:fldCharType="begin"/>
          </w:r>
          <w:r w:rsidR="005E382D">
            <w:rPr>
              <w:rFonts w:ascii="Arial" w:hAnsi="Arial" w:cs="Arial"/>
              <w:lang w:val="en-US"/>
            </w:rPr>
            <w:instrText xml:space="preserve"> CITATION NHS25 \l 1033 </w:instrText>
          </w:r>
          <w:r w:rsidR="005E382D">
            <w:rPr>
              <w:rFonts w:ascii="Arial" w:hAnsi="Arial" w:cs="Arial"/>
            </w:rPr>
            <w:fldChar w:fldCharType="separate"/>
          </w:r>
          <w:r w:rsidR="001E393B" w:rsidRPr="001E393B">
            <w:rPr>
              <w:rFonts w:ascii="Arial" w:hAnsi="Arial" w:cs="Arial"/>
              <w:noProof/>
              <w:lang w:val="en-US"/>
            </w:rPr>
            <w:t>(NHS, 2025)</w:t>
          </w:r>
          <w:r w:rsidR="005E382D">
            <w:rPr>
              <w:rFonts w:ascii="Arial" w:hAnsi="Arial" w:cs="Arial"/>
            </w:rPr>
            <w:fldChar w:fldCharType="end"/>
          </w:r>
        </w:sdtContent>
      </w:sdt>
      <w:r w:rsidR="005E382D">
        <w:rPr>
          <w:rFonts w:ascii="Arial" w:hAnsi="Arial" w:cs="Arial"/>
        </w:rPr>
        <w:t>.</w:t>
      </w:r>
      <w:r w:rsidRPr="6E4EE4D1">
        <w:rPr>
          <w:rFonts w:ascii="Arial" w:hAnsi="Arial" w:cs="Arial"/>
        </w:rPr>
        <w:t xml:space="preserve"> </w:t>
      </w:r>
      <w:bookmarkStart w:id="11" w:name="_Toc12217"/>
      <w:r w:rsidR="00B91513" w:rsidRPr="6E4EE4D1">
        <w:rPr>
          <w:rFonts w:ascii="Arial" w:hAnsi="Arial" w:cs="Arial"/>
        </w:rPr>
        <w:t xml:space="preserve">By </w:t>
      </w:r>
      <w:r w:rsidR="711E5AEB" w:rsidRPr="6E4EE4D1">
        <w:rPr>
          <w:rFonts w:ascii="Arial" w:hAnsi="Arial" w:cs="Arial"/>
        </w:rPr>
        <w:t xml:space="preserve">the year </w:t>
      </w:r>
      <w:r w:rsidR="00B91513" w:rsidRPr="6E4EE4D1">
        <w:rPr>
          <w:rFonts w:ascii="Arial" w:hAnsi="Arial" w:cs="Arial"/>
        </w:rPr>
        <w:t xml:space="preserve">2040, this number is anticipated to exceed 1.4 million, underscoring the necessity for effective legislation and strategies in healthcare. </w:t>
      </w:r>
    </w:p>
    <w:p w14:paraId="3586C338" w14:textId="0AF462DF" w:rsidR="0090046F" w:rsidRDefault="0090046F" w:rsidP="0090046F">
      <w:pPr>
        <w:spacing w:after="0" w:line="360" w:lineRule="auto"/>
        <w:rPr>
          <w:rFonts w:ascii="Arial" w:hAnsi="Arial" w:cs="Arial"/>
        </w:rPr>
      </w:pPr>
      <w:r w:rsidRPr="0090046F">
        <w:rPr>
          <w:rFonts w:ascii="Arial" w:hAnsi="Arial" w:cs="Arial"/>
        </w:rPr>
        <w:t xml:space="preserve">More and more people are realising that timely diagnosis and early intervention are important for dementia patients to have a better quality of life and fewer mental health problems. Early diagnosis helps with better symptom management, starting psychosocial support on time, and planning for advanced care, all of which help delay institutionalisation and reduce psychological distress </w:t>
      </w:r>
      <w:sdt>
        <w:sdtPr>
          <w:rPr>
            <w:rFonts w:ascii="Arial" w:hAnsi="Arial" w:cs="Arial"/>
          </w:rPr>
          <w:id w:val="281160508"/>
          <w:citation/>
        </w:sdtPr>
        <w:sdtContent>
          <w:r w:rsidR="00F923A5">
            <w:rPr>
              <w:rFonts w:ascii="Arial" w:hAnsi="Arial" w:cs="Arial"/>
            </w:rPr>
            <w:fldChar w:fldCharType="begin"/>
          </w:r>
          <w:r w:rsidR="00F923A5">
            <w:rPr>
              <w:rFonts w:ascii="Arial" w:hAnsi="Arial" w:cs="Arial"/>
              <w:lang w:val="en-US"/>
            </w:rPr>
            <w:instrText xml:space="preserve"> CITATION Bradford \l 1033 </w:instrText>
          </w:r>
          <w:r w:rsidR="00F923A5">
            <w:rPr>
              <w:rFonts w:ascii="Arial" w:hAnsi="Arial" w:cs="Arial"/>
            </w:rPr>
            <w:fldChar w:fldCharType="separate"/>
          </w:r>
          <w:r w:rsidR="001E393B" w:rsidRPr="001E393B">
            <w:rPr>
              <w:rFonts w:ascii="Arial" w:hAnsi="Arial" w:cs="Arial"/>
              <w:noProof/>
              <w:lang w:val="en-US"/>
            </w:rPr>
            <w:t>(Bradford, et al., 2009)</w:t>
          </w:r>
          <w:r w:rsidR="00F923A5">
            <w:rPr>
              <w:rFonts w:ascii="Arial" w:hAnsi="Arial" w:cs="Arial"/>
            </w:rPr>
            <w:fldChar w:fldCharType="end"/>
          </w:r>
        </w:sdtContent>
      </w:sdt>
      <w:r w:rsidRPr="0090046F">
        <w:rPr>
          <w:rFonts w:ascii="Arial" w:hAnsi="Arial" w:cs="Arial"/>
        </w:rPr>
        <w:t>. On the other hand, a diagnosis made late in the disease's progression often comes with more anxiety, depression, and stress for carers, making the disease's challenges even harder to deal with.</w:t>
      </w:r>
    </w:p>
    <w:p w14:paraId="4115BF59" w14:textId="3C534F18" w:rsidR="001F1B76" w:rsidRDefault="001F1B76" w:rsidP="001F1B76">
      <w:pPr>
        <w:spacing w:after="0" w:line="360" w:lineRule="auto"/>
        <w:rPr>
          <w:rFonts w:ascii="Arial" w:hAnsi="Arial" w:cs="Arial"/>
        </w:rPr>
      </w:pPr>
      <w:r w:rsidRPr="6E4EE4D1">
        <w:rPr>
          <w:rFonts w:ascii="Arial" w:hAnsi="Arial" w:cs="Arial"/>
        </w:rPr>
        <w:t xml:space="preserve">This dissertation examines the importance of early diagnosis and intervention in improving mental health </w:t>
      </w:r>
      <w:r w:rsidR="1C7AF3AB" w:rsidRPr="6E4EE4D1">
        <w:rPr>
          <w:rFonts w:ascii="Arial" w:hAnsi="Arial" w:cs="Arial"/>
        </w:rPr>
        <w:t xml:space="preserve">outcomes </w:t>
      </w:r>
      <w:r w:rsidRPr="6E4EE4D1">
        <w:rPr>
          <w:rFonts w:ascii="Arial" w:hAnsi="Arial" w:cs="Arial"/>
        </w:rPr>
        <w:t xml:space="preserve">for dementia patients in the UK. The aim </w:t>
      </w:r>
      <w:r w:rsidR="02464BC2" w:rsidRPr="6E4EE4D1">
        <w:rPr>
          <w:rFonts w:ascii="Arial" w:hAnsi="Arial" w:cs="Arial"/>
        </w:rPr>
        <w:t xml:space="preserve">of this research </w:t>
      </w:r>
      <w:r w:rsidRPr="6E4EE4D1">
        <w:rPr>
          <w:rFonts w:ascii="Arial" w:hAnsi="Arial" w:cs="Arial"/>
        </w:rPr>
        <w:t>is to find out whether early detection and intervention for dementia correlate with decreased emotional distress, a reduced risk of depression and anxiety, and increased overall wellbeing, compared to diagnosis at a more advanced stage of the neurological disorder.</w:t>
      </w:r>
    </w:p>
    <w:p w14:paraId="561CDD83" w14:textId="77777777" w:rsidR="008D4A36" w:rsidRDefault="008D4A36" w:rsidP="001F1B76">
      <w:pPr>
        <w:spacing w:after="0" w:line="360" w:lineRule="auto"/>
        <w:rPr>
          <w:rFonts w:ascii="Arial" w:hAnsi="Arial" w:cs="Arial"/>
        </w:rPr>
      </w:pPr>
    </w:p>
    <w:p w14:paraId="67E311DF" w14:textId="6058A6CC" w:rsidR="006F3BDC" w:rsidRPr="008D4A36" w:rsidRDefault="00251165" w:rsidP="008D4A36">
      <w:pPr>
        <w:pStyle w:val="Heading2"/>
        <w:spacing w:line="360" w:lineRule="auto"/>
        <w:jc w:val="left"/>
        <w:rPr>
          <w:rFonts w:ascii="Arial" w:hAnsi="Arial" w:cs="Arial"/>
        </w:rPr>
      </w:pPr>
      <w:bookmarkStart w:id="12" w:name="_Toc210677346"/>
      <w:r>
        <w:rPr>
          <w:rFonts w:ascii="Arial" w:hAnsi="Arial" w:cs="Arial"/>
        </w:rPr>
        <w:t xml:space="preserve">1.2 </w:t>
      </w:r>
      <w:r w:rsidR="008D4A36" w:rsidRPr="008D4A36">
        <w:rPr>
          <w:rFonts w:ascii="Arial" w:hAnsi="Arial" w:cs="Arial"/>
        </w:rPr>
        <w:t>Background and Context</w:t>
      </w:r>
      <w:bookmarkEnd w:id="12"/>
    </w:p>
    <w:p w14:paraId="3A4004F7" w14:textId="66154B46" w:rsidR="006F3BDC" w:rsidRDefault="006F3BDC" w:rsidP="006F3BDC">
      <w:pPr>
        <w:spacing w:after="0" w:line="360" w:lineRule="auto"/>
        <w:rPr>
          <w:rFonts w:ascii="Arial" w:hAnsi="Arial" w:cs="Arial"/>
        </w:rPr>
      </w:pPr>
      <w:r w:rsidRPr="6E4EE4D1">
        <w:rPr>
          <w:rFonts w:ascii="Arial" w:hAnsi="Arial" w:cs="Arial"/>
        </w:rPr>
        <w:t>Recently, there has been</w:t>
      </w:r>
      <w:r w:rsidR="008A7534">
        <w:rPr>
          <w:rFonts w:ascii="Arial" w:hAnsi="Arial" w:cs="Arial"/>
        </w:rPr>
        <w:t xml:space="preserve"> </w:t>
      </w:r>
      <w:r w:rsidRPr="6E4EE4D1">
        <w:rPr>
          <w:rFonts w:ascii="Arial" w:hAnsi="Arial" w:cs="Arial"/>
        </w:rPr>
        <w:t xml:space="preserve">increasing political and clinical focus on strengthening dementia care in the UK. The </w:t>
      </w:r>
      <w:r w:rsidR="008B00EB" w:rsidRPr="6E4EE4D1">
        <w:rPr>
          <w:rFonts w:ascii="Arial" w:hAnsi="Arial" w:cs="Arial"/>
        </w:rPr>
        <w:t>Department of Health</w:t>
      </w:r>
      <w:r w:rsidRPr="6E4EE4D1">
        <w:rPr>
          <w:rFonts w:ascii="Arial" w:hAnsi="Arial" w:cs="Arial"/>
        </w:rPr>
        <w:t xml:space="preserve"> (2009), succeeded by the Prime Minister’s Challenge on Dementia (2012, renewed in 2015), pointed out the significance of early diagnosis as a crucial mechanism to improve the independence of patients and quality of life. These policy initiatives aimed to improve diagnostic rates, increase post-diagnostic support, and minimise stigma associated with dementia.</w:t>
      </w:r>
    </w:p>
    <w:p w14:paraId="79242ADA" w14:textId="525660EB" w:rsidR="008B00EB" w:rsidRPr="008B00EB" w:rsidRDefault="008B00EB" w:rsidP="008B00EB">
      <w:pPr>
        <w:spacing w:after="0" w:line="360" w:lineRule="auto"/>
        <w:rPr>
          <w:rFonts w:ascii="Arial" w:hAnsi="Arial" w:cs="Arial"/>
        </w:rPr>
      </w:pPr>
      <w:r w:rsidRPr="008B00EB">
        <w:rPr>
          <w:rFonts w:ascii="Arial" w:hAnsi="Arial" w:cs="Arial"/>
        </w:rPr>
        <w:lastRenderedPageBreak/>
        <w:t xml:space="preserve">Despite these initiatives, obstacles to early diagnosis exist. General practitioners frequently lack the appropriate education or confidence to recognise early symptoms, whereas stigma, denial, and lack of understanding among patients and families increase delays in seeking assistance </w:t>
      </w:r>
      <w:sdt>
        <w:sdtPr>
          <w:rPr>
            <w:rFonts w:ascii="Arial" w:hAnsi="Arial" w:cs="Arial"/>
          </w:rPr>
          <w:id w:val="1161967078"/>
          <w:citation/>
        </w:sdtPr>
        <w:sdtContent>
          <w:r>
            <w:rPr>
              <w:rFonts w:ascii="Arial" w:hAnsi="Arial" w:cs="Arial"/>
            </w:rPr>
            <w:fldChar w:fldCharType="begin"/>
          </w:r>
          <w:r>
            <w:rPr>
              <w:rFonts w:ascii="Arial" w:hAnsi="Arial" w:cs="Arial"/>
              <w:lang w:val="en-US"/>
            </w:rPr>
            <w:instrText xml:space="preserve"> CITATION Ani19 \l 1033 </w:instrText>
          </w:r>
          <w:r>
            <w:rPr>
              <w:rFonts w:ascii="Arial" w:hAnsi="Arial" w:cs="Arial"/>
            </w:rPr>
            <w:fldChar w:fldCharType="separate"/>
          </w:r>
          <w:r w:rsidR="001E393B" w:rsidRPr="001E393B">
            <w:rPr>
              <w:rFonts w:ascii="Arial" w:hAnsi="Arial" w:cs="Arial"/>
              <w:noProof/>
              <w:lang w:val="en-US"/>
            </w:rPr>
            <w:t>(Chithiramohan, et al., 2019)</w:t>
          </w:r>
          <w:r>
            <w:rPr>
              <w:rFonts w:ascii="Arial" w:hAnsi="Arial" w:cs="Arial"/>
            </w:rPr>
            <w:fldChar w:fldCharType="end"/>
          </w:r>
        </w:sdtContent>
      </w:sdt>
      <w:r w:rsidRPr="008B00EB">
        <w:rPr>
          <w:rFonts w:ascii="Arial" w:hAnsi="Arial" w:cs="Arial"/>
        </w:rPr>
        <w:t>. Additionally, systemic constraints, including restricted access to specialist services and extensive waiting periods, limit timely diagnosis</w:t>
      </w:r>
      <w:r w:rsidR="00D903E8">
        <w:rPr>
          <w:rFonts w:ascii="Arial" w:hAnsi="Arial" w:cs="Arial"/>
        </w:rPr>
        <w:t xml:space="preserve"> </w:t>
      </w:r>
      <w:sdt>
        <w:sdtPr>
          <w:rPr>
            <w:rFonts w:ascii="Arial" w:hAnsi="Arial" w:cs="Arial"/>
          </w:rPr>
          <w:id w:val="-374778804"/>
          <w:citation/>
        </w:sdtPr>
        <w:sdtContent>
          <w:r w:rsidR="00D903E8">
            <w:rPr>
              <w:rFonts w:ascii="Arial" w:hAnsi="Arial" w:cs="Arial"/>
            </w:rPr>
            <w:fldChar w:fldCharType="begin"/>
          </w:r>
          <w:r w:rsidR="00D903E8">
            <w:rPr>
              <w:rFonts w:ascii="Arial" w:hAnsi="Arial" w:cs="Arial"/>
              <w:lang w:val="en-US"/>
            </w:rPr>
            <w:instrText xml:space="preserve"> CITATION Ami12 \l 1033 </w:instrText>
          </w:r>
          <w:r w:rsidR="00D903E8">
            <w:rPr>
              <w:rFonts w:ascii="Arial" w:hAnsi="Arial" w:cs="Arial"/>
            </w:rPr>
            <w:fldChar w:fldCharType="separate"/>
          </w:r>
          <w:r w:rsidR="001E393B" w:rsidRPr="001E393B">
            <w:rPr>
              <w:rFonts w:ascii="Arial" w:hAnsi="Arial" w:cs="Arial"/>
              <w:noProof/>
              <w:lang w:val="en-US"/>
            </w:rPr>
            <w:t>(Faranak, et al., 2012)</w:t>
          </w:r>
          <w:r w:rsidR="00D903E8">
            <w:rPr>
              <w:rFonts w:ascii="Arial" w:hAnsi="Arial" w:cs="Arial"/>
            </w:rPr>
            <w:fldChar w:fldCharType="end"/>
          </w:r>
        </w:sdtContent>
      </w:sdt>
      <w:r w:rsidRPr="008B00EB">
        <w:rPr>
          <w:rFonts w:ascii="Arial" w:hAnsi="Arial" w:cs="Arial"/>
        </w:rPr>
        <w:t>.</w:t>
      </w:r>
    </w:p>
    <w:p w14:paraId="4AD1D600" w14:textId="7BD1E1DF" w:rsidR="00D903E8" w:rsidRDefault="00D903E8" w:rsidP="00D903E8">
      <w:pPr>
        <w:spacing w:after="0" w:line="360" w:lineRule="auto"/>
        <w:rPr>
          <w:rFonts w:ascii="Arial" w:hAnsi="Arial" w:cs="Arial"/>
        </w:rPr>
      </w:pPr>
      <w:r w:rsidRPr="00D903E8">
        <w:rPr>
          <w:rFonts w:ascii="Arial" w:hAnsi="Arial" w:cs="Arial"/>
        </w:rPr>
        <w:t>The impact of dementia goes above cognitive deterioration; mental health consequences are frequently poorly managed within the care continuum. Multiple studies have demonstrated that individuals with dementia are particularly vulnerable to experiencing depressive symptoms, anxiety, and withdrawal from society, especially when diagnosis is delayed and appropriate support systems are not in place (</w:t>
      </w:r>
      <w:r w:rsidR="00220BFF">
        <w:rPr>
          <w:rFonts w:ascii="Arial" w:hAnsi="Arial" w:cs="Arial"/>
        </w:rPr>
        <w:t>Usha, et al., 2023; Singh-</w:t>
      </w:r>
      <w:proofErr w:type="spellStart"/>
      <w:r w:rsidR="00220BFF">
        <w:rPr>
          <w:rFonts w:ascii="Arial" w:hAnsi="Arial" w:cs="Arial"/>
        </w:rPr>
        <w:t>Manoux</w:t>
      </w:r>
      <w:proofErr w:type="spellEnd"/>
      <w:r w:rsidR="00220BFF">
        <w:rPr>
          <w:rFonts w:ascii="Arial" w:hAnsi="Arial" w:cs="Arial"/>
        </w:rPr>
        <w:t>, et al., 2017)</w:t>
      </w:r>
      <w:r w:rsidRPr="00D903E8">
        <w:rPr>
          <w:rFonts w:ascii="Arial" w:hAnsi="Arial" w:cs="Arial"/>
        </w:rPr>
        <w:t>. However, mental health continues to be a relatively unexplored domain in dementia research, especially addressing early intervention strategies.</w:t>
      </w:r>
    </w:p>
    <w:p w14:paraId="16BF447B" w14:textId="77777777" w:rsidR="008D4A36" w:rsidRDefault="008D4A36" w:rsidP="00D903E8">
      <w:pPr>
        <w:spacing w:after="0" w:line="360" w:lineRule="auto"/>
        <w:rPr>
          <w:rFonts w:ascii="Arial" w:hAnsi="Arial" w:cs="Arial"/>
        </w:rPr>
      </w:pPr>
    </w:p>
    <w:p w14:paraId="0A1DEB73" w14:textId="792237DE" w:rsidR="008D4A36" w:rsidRDefault="00251165" w:rsidP="008D4A36">
      <w:pPr>
        <w:pStyle w:val="Heading2"/>
        <w:spacing w:line="360" w:lineRule="auto"/>
        <w:jc w:val="left"/>
        <w:rPr>
          <w:rFonts w:ascii="Arial" w:hAnsi="Arial" w:cs="Arial"/>
        </w:rPr>
      </w:pPr>
      <w:bookmarkStart w:id="13" w:name="_Toc210677347"/>
      <w:r>
        <w:rPr>
          <w:rFonts w:ascii="Arial" w:hAnsi="Arial" w:cs="Arial"/>
        </w:rPr>
        <w:t xml:space="preserve">1.3 </w:t>
      </w:r>
      <w:r w:rsidR="008D4A36" w:rsidRPr="008D4A36">
        <w:rPr>
          <w:rFonts w:ascii="Arial" w:hAnsi="Arial" w:cs="Arial"/>
        </w:rPr>
        <w:t>The Current State of Research</w:t>
      </w:r>
      <w:bookmarkEnd w:id="13"/>
    </w:p>
    <w:p w14:paraId="066E64BF" w14:textId="212C1A04" w:rsidR="00B350B3" w:rsidRPr="00B350B3" w:rsidRDefault="00B350B3" w:rsidP="00B350B3">
      <w:pPr>
        <w:spacing w:line="360" w:lineRule="auto"/>
        <w:rPr>
          <w:rFonts w:ascii="Arial" w:hAnsi="Arial" w:cs="Arial"/>
        </w:rPr>
      </w:pPr>
      <w:r w:rsidRPr="6E4EE4D1">
        <w:rPr>
          <w:rFonts w:ascii="Arial" w:hAnsi="Arial" w:cs="Arial"/>
        </w:rPr>
        <w:t>The current literature has examined the advantages of early diagnosis from various points of view, including reduced healthcare costs, delayed institutionalisation, and improved carer satisfaction. However, the literature continues to develop regarding the precise effects of early diagnosis and intervention on mental health outcomes. Numerous systematic reviews (</w:t>
      </w:r>
      <w:r w:rsidR="00FF65C9" w:rsidRPr="6E4EE4D1">
        <w:rPr>
          <w:rFonts w:ascii="Arial" w:hAnsi="Arial" w:cs="Arial"/>
        </w:rPr>
        <w:t>Naaheed, et al.</w:t>
      </w:r>
      <w:r w:rsidRPr="6E4EE4D1">
        <w:rPr>
          <w:rFonts w:ascii="Arial" w:hAnsi="Arial" w:cs="Arial"/>
        </w:rPr>
        <w:t>, 20</w:t>
      </w:r>
      <w:r w:rsidR="00FF65C9" w:rsidRPr="6E4EE4D1">
        <w:rPr>
          <w:rFonts w:ascii="Arial" w:hAnsi="Arial" w:cs="Arial"/>
        </w:rPr>
        <w:t>15</w:t>
      </w:r>
      <w:r w:rsidRPr="6E4EE4D1">
        <w:rPr>
          <w:rFonts w:ascii="Arial" w:hAnsi="Arial" w:cs="Arial"/>
        </w:rPr>
        <w:t xml:space="preserve">; </w:t>
      </w:r>
      <w:r w:rsidR="00FF65C9" w:rsidRPr="6E4EE4D1">
        <w:rPr>
          <w:rFonts w:ascii="Arial" w:hAnsi="Arial" w:cs="Arial"/>
        </w:rPr>
        <w:t>Catherine,</w:t>
      </w:r>
      <w:r w:rsidRPr="6E4EE4D1">
        <w:rPr>
          <w:rFonts w:ascii="Arial" w:hAnsi="Arial" w:cs="Arial"/>
        </w:rPr>
        <w:t xml:space="preserve"> et al., 2015) have emphasised improved patient experiences with early intervention programs, whereas others highlight the variability in outcomes based on dementia type, age of development, and accessibility to community services</w:t>
      </w:r>
      <w:r w:rsidR="005E382D">
        <w:rPr>
          <w:rFonts w:ascii="Arial" w:hAnsi="Arial" w:cs="Arial"/>
        </w:rPr>
        <w:t xml:space="preserve"> </w:t>
      </w:r>
      <w:r w:rsidR="005E382D" w:rsidRPr="6E4EE4D1">
        <w:rPr>
          <w:rFonts w:ascii="Arial" w:hAnsi="Arial" w:cs="Arial"/>
        </w:rPr>
        <w:t xml:space="preserve">(Chen, et al., 2022; </w:t>
      </w:r>
      <w:proofErr w:type="spellStart"/>
      <w:r w:rsidR="005E382D" w:rsidRPr="6E4EE4D1">
        <w:rPr>
          <w:rFonts w:ascii="Arial" w:hAnsi="Arial" w:cs="Arial"/>
        </w:rPr>
        <w:t>Dershini</w:t>
      </w:r>
      <w:proofErr w:type="spellEnd"/>
      <w:r w:rsidR="005E382D" w:rsidRPr="6E4EE4D1">
        <w:rPr>
          <w:rFonts w:ascii="Arial" w:hAnsi="Arial" w:cs="Arial"/>
        </w:rPr>
        <w:t>, et al., 2021)</w:t>
      </w:r>
      <w:r w:rsidRPr="6E4EE4D1">
        <w:rPr>
          <w:rFonts w:ascii="Arial" w:hAnsi="Arial" w:cs="Arial"/>
        </w:rPr>
        <w:t>.</w:t>
      </w:r>
    </w:p>
    <w:p w14:paraId="6E430CDB" w14:textId="2363F30E" w:rsidR="00FD59AF" w:rsidRPr="00FD59AF" w:rsidRDefault="00FD59AF" w:rsidP="00FD59AF">
      <w:pPr>
        <w:spacing w:line="360" w:lineRule="auto"/>
        <w:rPr>
          <w:rFonts w:ascii="Arial" w:hAnsi="Arial" w:cs="Arial"/>
        </w:rPr>
      </w:pPr>
      <w:r w:rsidRPr="00FD59AF">
        <w:rPr>
          <w:rFonts w:ascii="Arial" w:hAnsi="Arial" w:cs="Arial"/>
        </w:rPr>
        <w:t xml:space="preserve">Recent research conducted in the UK indicates that early intervention services, including memory clinics and community outreach programs, significantly improve patient wellbeing by offering timely support, therapeutic options, and guidance </w:t>
      </w:r>
      <w:sdt>
        <w:sdtPr>
          <w:rPr>
            <w:rFonts w:ascii="Arial" w:hAnsi="Arial" w:cs="Arial"/>
          </w:rPr>
          <w:id w:val="794018198"/>
          <w:citation/>
        </w:sdtPr>
        <w:sdtContent>
          <w:r w:rsidR="00040E72">
            <w:rPr>
              <w:rFonts w:ascii="Arial" w:hAnsi="Arial" w:cs="Arial"/>
            </w:rPr>
            <w:fldChar w:fldCharType="begin"/>
          </w:r>
          <w:r w:rsidR="00040E72">
            <w:rPr>
              <w:rFonts w:ascii="Arial" w:hAnsi="Arial" w:cs="Arial"/>
              <w:lang w:val="en-US"/>
            </w:rPr>
            <w:instrText xml:space="preserve"> CITATION Wat23 \l 1033 </w:instrText>
          </w:r>
          <w:r w:rsidR="00040E72">
            <w:rPr>
              <w:rFonts w:ascii="Arial" w:hAnsi="Arial" w:cs="Arial"/>
            </w:rPr>
            <w:fldChar w:fldCharType="separate"/>
          </w:r>
          <w:r w:rsidR="001E393B" w:rsidRPr="001E393B">
            <w:rPr>
              <w:rFonts w:ascii="Arial" w:hAnsi="Arial" w:cs="Arial"/>
              <w:noProof/>
              <w:lang w:val="en-US"/>
            </w:rPr>
            <w:t>(Julie, et al., 2023)</w:t>
          </w:r>
          <w:r w:rsidR="00040E72">
            <w:rPr>
              <w:rFonts w:ascii="Arial" w:hAnsi="Arial" w:cs="Arial"/>
            </w:rPr>
            <w:fldChar w:fldCharType="end"/>
          </w:r>
        </w:sdtContent>
      </w:sdt>
      <w:r w:rsidRPr="00FD59AF">
        <w:rPr>
          <w:rFonts w:ascii="Arial" w:hAnsi="Arial" w:cs="Arial"/>
        </w:rPr>
        <w:t xml:space="preserve">. However, discrepancies remain in the comparison of outcomes between individuals detected early and those detected at more advanced stages. Furthermore, the psychological repercussions of early compared to late diagnosis remain insufficiently explored in UK healthcare settings through qualitative </w:t>
      </w:r>
      <w:r w:rsidR="005E382D">
        <w:rPr>
          <w:rFonts w:ascii="Arial" w:hAnsi="Arial" w:cs="Arial"/>
        </w:rPr>
        <w:t>research,</w:t>
      </w:r>
      <w:r w:rsidRPr="00FD59AF">
        <w:rPr>
          <w:rFonts w:ascii="Arial" w:hAnsi="Arial" w:cs="Arial"/>
        </w:rPr>
        <w:t xml:space="preserve"> suggesting a significant necessity for additional research.</w:t>
      </w:r>
    </w:p>
    <w:p w14:paraId="65C0198B" w14:textId="2B992AD3" w:rsidR="008D4A36" w:rsidRPr="00040E72" w:rsidRDefault="00251165" w:rsidP="00040E72">
      <w:pPr>
        <w:pStyle w:val="Heading2"/>
        <w:spacing w:line="360" w:lineRule="auto"/>
        <w:jc w:val="left"/>
        <w:rPr>
          <w:rFonts w:ascii="Arial" w:hAnsi="Arial" w:cs="Arial"/>
        </w:rPr>
      </w:pPr>
      <w:bookmarkStart w:id="14" w:name="_Toc210677348"/>
      <w:r>
        <w:rPr>
          <w:rFonts w:ascii="Arial" w:hAnsi="Arial" w:cs="Arial"/>
        </w:rPr>
        <w:t xml:space="preserve">1.4 </w:t>
      </w:r>
      <w:r w:rsidR="00040E72" w:rsidRPr="00040E72">
        <w:rPr>
          <w:rFonts w:ascii="Arial" w:hAnsi="Arial" w:cs="Arial"/>
        </w:rPr>
        <w:t>Narrowing the Focus</w:t>
      </w:r>
      <w:bookmarkEnd w:id="14"/>
    </w:p>
    <w:p w14:paraId="4F5CA3DE" w14:textId="52A20DB7" w:rsidR="00476948" w:rsidRPr="00476948" w:rsidRDefault="00476948" w:rsidP="00476948">
      <w:pPr>
        <w:spacing w:after="0" w:line="360" w:lineRule="auto"/>
        <w:rPr>
          <w:rFonts w:ascii="Arial" w:hAnsi="Arial" w:cs="Arial"/>
        </w:rPr>
      </w:pPr>
      <w:r w:rsidRPr="6E4EE4D1">
        <w:rPr>
          <w:rFonts w:ascii="Arial" w:hAnsi="Arial" w:cs="Arial"/>
        </w:rPr>
        <w:t xml:space="preserve">This </w:t>
      </w:r>
      <w:r w:rsidR="009B53A5" w:rsidRPr="6E4EE4D1">
        <w:rPr>
          <w:rFonts w:ascii="Arial" w:hAnsi="Arial" w:cs="Arial"/>
        </w:rPr>
        <w:t>research examines</w:t>
      </w:r>
      <w:r w:rsidRPr="6E4EE4D1">
        <w:rPr>
          <w:rFonts w:ascii="Arial" w:hAnsi="Arial" w:cs="Arial"/>
        </w:rPr>
        <w:t xml:space="preserve"> the effects of early diagnosis and intervention on mental health outcomes, embracing anxiety, depression, emotional wellbeing, and quality of life among dementia patients in the UK healthcare system. The primary focus is on non-pharmacological psychosocial interventions and support strategies implemented post-</w:t>
      </w:r>
      <w:r w:rsidRPr="6E4EE4D1">
        <w:rPr>
          <w:rFonts w:ascii="Arial" w:hAnsi="Arial" w:cs="Arial"/>
        </w:rPr>
        <w:lastRenderedPageBreak/>
        <w:t>diagnosis. The review will consist of studies published from 2014 to 2024 that compare early and late diagnosis while reporting measurable mental health outcomes. Only peer-reviewed articles conducted in the UK or in comparable systems of healthcare will be included. This strategy seeks to guarantee contextual relevance and lead policy and practice across the National Health Service (NHS) framework.</w:t>
      </w:r>
      <w:r>
        <w:br/>
      </w:r>
      <w:r w:rsidRPr="6E4EE4D1">
        <w:rPr>
          <w:rFonts w:ascii="Arial" w:hAnsi="Arial" w:cs="Arial"/>
        </w:rPr>
        <w:t xml:space="preserve">This </w:t>
      </w:r>
      <w:r w:rsidR="009B53A5">
        <w:rPr>
          <w:rFonts w:ascii="Arial" w:hAnsi="Arial" w:cs="Arial"/>
        </w:rPr>
        <w:t>study</w:t>
      </w:r>
      <w:r w:rsidRPr="6E4EE4D1">
        <w:rPr>
          <w:rFonts w:ascii="Arial" w:hAnsi="Arial" w:cs="Arial"/>
        </w:rPr>
        <w:t xml:space="preserve"> seeks to summarise existing knowledge through a systematic literature review, identify patterns and discrepancies in findings, and evaluate the methodological quality of current studies to formulate evidence-based recommendations.</w:t>
      </w:r>
    </w:p>
    <w:p w14:paraId="63D41D49" w14:textId="77777777" w:rsidR="008D4A36" w:rsidRDefault="008D4A36" w:rsidP="00D903E8">
      <w:pPr>
        <w:spacing w:after="0" w:line="360" w:lineRule="auto"/>
        <w:rPr>
          <w:rFonts w:ascii="Arial" w:hAnsi="Arial" w:cs="Arial"/>
        </w:rPr>
      </w:pPr>
    </w:p>
    <w:p w14:paraId="1B61F1E4" w14:textId="169414E9" w:rsidR="00504721" w:rsidRDefault="00251165" w:rsidP="00504721">
      <w:pPr>
        <w:pStyle w:val="Heading2"/>
        <w:spacing w:line="360" w:lineRule="auto"/>
        <w:jc w:val="left"/>
        <w:rPr>
          <w:rFonts w:ascii="Arial" w:hAnsi="Arial" w:cs="Arial"/>
        </w:rPr>
      </w:pPr>
      <w:bookmarkStart w:id="15" w:name="_Toc210677349"/>
      <w:r>
        <w:rPr>
          <w:rFonts w:ascii="Arial" w:hAnsi="Arial" w:cs="Arial"/>
        </w:rPr>
        <w:t xml:space="preserve">1.5 </w:t>
      </w:r>
      <w:r w:rsidR="00476948" w:rsidRPr="009D79E8">
        <w:rPr>
          <w:rFonts w:ascii="Arial" w:hAnsi="Arial" w:cs="Arial"/>
        </w:rPr>
        <w:t>Research Question and Objectives</w:t>
      </w:r>
      <w:bookmarkEnd w:id="15"/>
    </w:p>
    <w:p w14:paraId="32E6CAC8" w14:textId="7B5A9750" w:rsidR="009D79E8" w:rsidRPr="00504721" w:rsidRDefault="009D79E8" w:rsidP="00504721">
      <w:pPr>
        <w:spacing w:line="360" w:lineRule="auto"/>
        <w:rPr>
          <w:rFonts w:ascii="Arial" w:hAnsi="Arial" w:cs="Arial"/>
        </w:rPr>
      </w:pPr>
      <w:r w:rsidRPr="00504721">
        <w:rPr>
          <w:rFonts w:ascii="Arial" w:hAnsi="Arial" w:cs="Arial"/>
        </w:rPr>
        <w:t xml:space="preserve">The primary </w:t>
      </w:r>
      <w:r w:rsidR="123AC7E1" w:rsidRPr="00504721">
        <w:rPr>
          <w:rFonts w:ascii="Arial" w:hAnsi="Arial" w:cs="Arial"/>
        </w:rPr>
        <w:t xml:space="preserve">focus </w:t>
      </w:r>
      <w:r w:rsidR="65E2893B" w:rsidRPr="00504721">
        <w:rPr>
          <w:rFonts w:ascii="Arial" w:hAnsi="Arial" w:cs="Arial"/>
        </w:rPr>
        <w:t>of this research is to examine</w:t>
      </w:r>
      <w:r w:rsidR="00504721" w:rsidRPr="00504721">
        <w:rPr>
          <w:rFonts w:ascii="Arial" w:hAnsi="Arial" w:cs="Arial"/>
        </w:rPr>
        <w:t xml:space="preserve"> </w:t>
      </w:r>
      <w:r w:rsidRPr="00504721">
        <w:rPr>
          <w:rFonts w:ascii="Arial" w:hAnsi="Arial" w:cs="Arial"/>
        </w:rPr>
        <w:t>the impact of early diagnosis and intervention on mental health outcomes of dementia patients in the UK</w:t>
      </w:r>
      <w:r w:rsidR="003F05AD">
        <w:rPr>
          <w:rFonts w:ascii="Arial" w:hAnsi="Arial" w:cs="Arial"/>
        </w:rPr>
        <w:t>.</w:t>
      </w:r>
    </w:p>
    <w:p w14:paraId="5F8F576A" w14:textId="6AAAE9DB" w:rsidR="00D42AC6" w:rsidRDefault="00D42AC6" w:rsidP="003F05AD">
      <w:pPr>
        <w:spacing w:after="0" w:line="360" w:lineRule="auto"/>
        <w:rPr>
          <w:rFonts w:ascii="Arial" w:eastAsia="Times New Roman" w:hAnsi="Arial" w:cs="Arial"/>
          <w:kern w:val="0"/>
          <w:lang w:eastAsia="en-GB"/>
          <w14:ligatures w14:val="none"/>
        </w:rPr>
      </w:pPr>
      <w:r w:rsidRPr="00D42AC6">
        <w:rPr>
          <w:rFonts w:ascii="Arial" w:eastAsia="Times New Roman" w:hAnsi="Arial" w:cs="Arial"/>
          <w:kern w:val="0"/>
          <w:lang w:eastAsia="en-GB"/>
          <w14:ligatures w14:val="none"/>
        </w:rPr>
        <w:t xml:space="preserve">The following objectives </w:t>
      </w:r>
      <w:r w:rsidR="7A0B9E5D" w:rsidRPr="00D42AC6">
        <w:rPr>
          <w:rFonts w:ascii="Arial" w:eastAsia="Times New Roman" w:hAnsi="Arial" w:cs="Arial"/>
          <w:kern w:val="0"/>
          <w:lang w:eastAsia="en-GB"/>
          <w14:ligatures w14:val="none"/>
        </w:rPr>
        <w:t xml:space="preserve">will </w:t>
      </w:r>
      <w:r w:rsidR="3D9B1C2A" w:rsidRPr="00D42AC6">
        <w:rPr>
          <w:rFonts w:ascii="Arial" w:eastAsia="Times New Roman" w:hAnsi="Arial" w:cs="Arial"/>
          <w:kern w:val="0"/>
          <w:lang w:eastAsia="en-GB"/>
          <w14:ligatures w14:val="none"/>
        </w:rPr>
        <w:t>also be considered in answering this question:</w:t>
      </w:r>
    </w:p>
    <w:p w14:paraId="04E17810" w14:textId="611AE350" w:rsidR="00D42AC6" w:rsidRPr="00D42AC6" w:rsidRDefault="00D42AC6" w:rsidP="00504721">
      <w:pPr>
        <w:pStyle w:val="ListParagraph"/>
        <w:numPr>
          <w:ilvl w:val="0"/>
          <w:numId w:val="10"/>
        </w:numPr>
        <w:spacing w:after="0" w:line="360" w:lineRule="auto"/>
        <w:rPr>
          <w:rFonts w:ascii="Arial" w:eastAsia="Times New Roman" w:hAnsi="Arial" w:cs="Arial"/>
          <w:kern w:val="0"/>
          <w:lang w:eastAsia="en-GB"/>
          <w14:ligatures w14:val="none"/>
        </w:rPr>
      </w:pPr>
      <w:r w:rsidRPr="00D42AC6">
        <w:rPr>
          <w:rFonts w:ascii="Arial" w:eastAsia="Times New Roman" w:hAnsi="Arial" w:cs="Arial"/>
          <w:kern w:val="0"/>
          <w:lang w:eastAsia="en-GB"/>
          <w14:ligatures w14:val="none"/>
        </w:rPr>
        <w:t>To look at the current practices and clinical guidelines for diagnosing and treating dementia early in the UK.</w:t>
      </w:r>
    </w:p>
    <w:p w14:paraId="1B75B934" w14:textId="77777777" w:rsidR="00D42AC6" w:rsidRDefault="00D42AC6" w:rsidP="00D42AC6">
      <w:pPr>
        <w:pStyle w:val="ListParagraph"/>
        <w:numPr>
          <w:ilvl w:val="0"/>
          <w:numId w:val="10"/>
        </w:numPr>
        <w:spacing w:after="0" w:line="360" w:lineRule="auto"/>
        <w:rPr>
          <w:rFonts w:ascii="Arial" w:eastAsia="Times New Roman" w:hAnsi="Arial" w:cs="Arial"/>
          <w:kern w:val="0"/>
          <w:lang w:eastAsia="en-GB"/>
          <w14:ligatures w14:val="none"/>
        </w:rPr>
      </w:pPr>
      <w:r w:rsidRPr="00D42AC6">
        <w:rPr>
          <w:rFonts w:ascii="Arial" w:eastAsia="Times New Roman" w:hAnsi="Arial" w:cs="Arial"/>
          <w:kern w:val="0"/>
          <w:lang w:eastAsia="en-GB"/>
          <w14:ligatures w14:val="none"/>
        </w:rPr>
        <w:t>To look at the mental health effects, like anxiety, depression, carer burden, and emotional well-being, of patients who were diagnosed early compared to those who were diagnosed later.</w:t>
      </w:r>
    </w:p>
    <w:p w14:paraId="3AC42CC1" w14:textId="33B8EAD2" w:rsidR="00D42AC6" w:rsidRPr="00D42AC6" w:rsidRDefault="00D42AC6" w:rsidP="00D42AC6">
      <w:pPr>
        <w:pStyle w:val="ListParagraph"/>
        <w:numPr>
          <w:ilvl w:val="0"/>
          <w:numId w:val="10"/>
        </w:numPr>
        <w:spacing w:after="0" w:line="360" w:lineRule="auto"/>
        <w:rPr>
          <w:rFonts w:ascii="Arial" w:eastAsia="Times New Roman" w:hAnsi="Arial" w:cs="Arial"/>
          <w:kern w:val="0"/>
          <w:lang w:eastAsia="en-GB"/>
          <w14:ligatures w14:val="none"/>
        </w:rPr>
      </w:pPr>
      <w:r w:rsidRPr="00D42AC6">
        <w:rPr>
          <w:rFonts w:ascii="Arial" w:eastAsia="Times New Roman" w:hAnsi="Arial" w:cs="Arial"/>
          <w:kern w:val="0"/>
          <w:lang w:eastAsia="en-GB"/>
          <w14:ligatures w14:val="none"/>
        </w:rPr>
        <w:t xml:space="preserve">To </w:t>
      </w:r>
      <w:r w:rsidR="16E618D0" w:rsidRPr="00D42AC6">
        <w:rPr>
          <w:rFonts w:ascii="Arial" w:eastAsia="Times New Roman" w:hAnsi="Arial" w:cs="Arial"/>
          <w:kern w:val="0"/>
          <w:lang w:eastAsia="en-GB"/>
          <w14:ligatures w14:val="none"/>
        </w:rPr>
        <w:t xml:space="preserve">identify </w:t>
      </w:r>
      <w:r w:rsidRPr="00D42AC6">
        <w:rPr>
          <w:rFonts w:ascii="Arial" w:eastAsia="Times New Roman" w:hAnsi="Arial" w:cs="Arial"/>
          <w:kern w:val="0"/>
          <w:lang w:eastAsia="en-GB"/>
          <w14:ligatures w14:val="none"/>
        </w:rPr>
        <w:t xml:space="preserve">barriers and </w:t>
      </w:r>
      <w:r w:rsidR="7ED6B0B6" w:rsidRPr="00D42AC6">
        <w:rPr>
          <w:rFonts w:ascii="Arial" w:eastAsia="Times New Roman" w:hAnsi="Arial" w:cs="Arial"/>
          <w:kern w:val="0"/>
          <w:lang w:eastAsia="en-GB"/>
          <w14:ligatures w14:val="none"/>
        </w:rPr>
        <w:t xml:space="preserve">facilitators that </w:t>
      </w:r>
      <w:r w:rsidR="20C021B4" w:rsidRPr="00D42AC6">
        <w:rPr>
          <w:rFonts w:ascii="Arial" w:eastAsia="Times New Roman" w:hAnsi="Arial" w:cs="Arial"/>
          <w:kern w:val="0"/>
          <w:lang w:eastAsia="en-GB"/>
          <w14:ligatures w14:val="none"/>
        </w:rPr>
        <w:t>influence</w:t>
      </w:r>
      <w:r w:rsidRPr="00D42AC6">
        <w:rPr>
          <w:rFonts w:ascii="Arial" w:eastAsia="Times New Roman" w:hAnsi="Arial" w:cs="Arial"/>
          <w:kern w:val="0"/>
          <w:lang w:eastAsia="en-GB"/>
          <w14:ligatures w14:val="none"/>
        </w:rPr>
        <w:t xml:space="preserve"> how quickly</w:t>
      </w:r>
      <w:r w:rsidR="64268A0E" w:rsidRPr="00D42AC6">
        <w:rPr>
          <w:rFonts w:ascii="Arial" w:eastAsia="Times New Roman" w:hAnsi="Arial" w:cs="Arial"/>
          <w:kern w:val="0"/>
          <w:lang w:eastAsia="en-GB"/>
          <w14:ligatures w14:val="none"/>
        </w:rPr>
        <w:t xml:space="preserve"> </w:t>
      </w:r>
      <w:r w:rsidRPr="00D42AC6">
        <w:rPr>
          <w:rFonts w:ascii="Arial" w:eastAsia="Times New Roman" w:hAnsi="Arial" w:cs="Arial"/>
          <w:kern w:val="0"/>
          <w:lang w:eastAsia="en-GB"/>
          <w14:ligatures w14:val="none"/>
        </w:rPr>
        <w:t>diagnosis and intervention practices are put into place.</w:t>
      </w:r>
    </w:p>
    <w:p w14:paraId="6195C12A" w14:textId="2DDC3590" w:rsidR="006D212A" w:rsidRDefault="006D212A" w:rsidP="006D212A">
      <w:pPr>
        <w:spacing w:after="0" w:line="360" w:lineRule="auto"/>
        <w:rPr>
          <w:rFonts w:ascii="Arial" w:eastAsia="Times New Roman" w:hAnsi="Arial" w:cs="Arial"/>
          <w:kern w:val="0"/>
          <w:lang w:eastAsia="en-GB"/>
          <w14:ligatures w14:val="none"/>
        </w:rPr>
      </w:pPr>
      <w:r w:rsidRPr="006D212A">
        <w:rPr>
          <w:rFonts w:ascii="Arial" w:eastAsia="Times New Roman" w:hAnsi="Arial" w:cs="Arial"/>
          <w:kern w:val="0"/>
          <w:lang w:eastAsia="en-GB"/>
          <w14:ligatures w14:val="none"/>
        </w:rPr>
        <w:t xml:space="preserve">This </w:t>
      </w:r>
      <w:r w:rsidR="00251165">
        <w:rPr>
          <w:rFonts w:ascii="Arial" w:eastAsia="Times New Roman" w:hAnsi="Arial" w:cs="Arial"/>
          <w:kern w:val="0"/>
          <w:lang w:eastAsia="en-GB"/>
          <w14:ligatures w14:val="none"/>
        </w:rPr>
        <w:t>study</w:t>
      </w:r>
      <w:r w:rsidRPr="006D212A">
        <w:rPr>
          <w:rFonts w:ascii="Arial" w:eastAsia="Times New Roman" w:hAnsi="Arial" w:cs="Arial"/>
          <w:kern w:val="0"/>
          <w:lang w:eastAsia="en-GB"/>
          <w14:ligatures w14:val="none"/>
        </w:rPr>
        <w:t xml:space="preserve"> will </w:t>
      </w:r>
      <w:r w:rsidR="47F18691" w:rsidRPr="006D212A">
        <w:rPr>
          <w:rFonts w:ascii="Arial" w:eastAsia="Times New Roman" w:hAnsi="Arial" w:cs="Arial"/>
          <w:kern w:val="0"/>
          <w:lang w:eastAsia="en-GB"/>
          <w14:ligatures w14:val="none"/>
        </w:rPr>
        <w:t xml:space="preserve">involve </w:t>
      </w:r>
      <w:r w:rsidR="6C8F757C" w:rsidRPr="006D212A">
        <w:rPr>
          <w:rFonts w:ascii="Arial" w:eastAsia="Times New Roman" w:hAnsi="Arial" w:cs="Arial"/>
          <w:kern w:val="0"/>
          <w:lang w:eastAsia="en-GB"/>
          <w14:ligatures w14:val="none"/>
        </w:rPr>
        <w:t xml:space="preserve">a </w:t>
      </w:r>
      <w:r w:rsidRPr="006D212A">
        <w:rPr>
          <w:rFonts w:ascii="Arial" w:eastAsia="Times New Roman" w:hAnsi="Arial" w:cs="Arial"/>
          <w:kern w:val="0"/>
          <w:lang w:eastAsia="en-GB"/>
          <w14:ligatures w14:val="none"/>
        </w:rPr>
        <w:t>systematic synthesis</w:t>
      </w:r>
      <w:r w:rsidR="1F56BD98" w:rsidRPr="006D212A">
        <w:rPr>
          <w:rFonts w:ascii="Arial" w:eastAsia="Times New Roman" w:hAnsi="Arial" w:cs="Arial"/>
          <w:kern w:val="0"/>
          <w:lang w:eastAsia="en-GB"/>
          <w14:ligatures w14:val="none"/>
        </w:rPr>
        <w:t xml:space="preserve"> of</w:t>
      </w:r>
      <w:r w:rsidRPr="006D212A">
        <w:rPr>
          <w:rFonts w:ascii="Arial" w:eastAsia="Times New Roman" w:hAnsi="Arial" w:cs="Arial"/>
          <w:kern w:val="0"/>
          <w:lang w:eastAsia="en-GB"/>
          <w14:ligatures w14:val="none"/>
        </w:rPr>
        <w:t xml:space="preserve"> ten selected peer-reviewed UK-based studies from the past decade, complying to PRISMA (Preferred Reporting Items for Systematic Reviews and Meta-Analyses) guidelines.</w:t>
      </w:r>
    </w:p>
    <w:p w14:paraId="7B951E28" w14:textId="77777777" w:rsidR="007C5CE0" w:rsidRPr="006D212A" w:rsidRDefault="007C5CE0" w:rsidP="006D212A">
      <w:pPr>
        <w:spacing w:after="0" w:line="360" w:lineRule="auto"/>
        <w:rPr>
          <w:rFonts w:ascii="Arial" w:eastAsia="Times New Roman" w:hAnsi="Arial" w:cs="Arial"/>
          <w:kern w:val="0"/>
          <w:lang w:eastAsia="en-GB"/>
          <w14:ligatures w14:val="none"/>
        </w:rPr>
      </w:pPr>
    </w:p>
    <w:p w14:paraId="6764E9BA" w14:textId="5B2A34F8" w:rsidR="009D79E8" w:rsidRDefault="00251165" w:rsidP="007C5CE0">
      <w:pPr>
        <w:pStyle w:val="Heading2"/>
        <w:jc w:val="left"/>
        <w:rPr>
          <w:rFonts w:ascii="Arial" w:hAnsi="Arial" w:cs="Arial"/>
        </w:rPr>
      </w:pPr>
      <w:bookmarkStart w:id="16" w:name="_Toc210677350"/>
      <w:r>
        <w:rPr>
          <w:rFonts w:ascii="Arial" w:hAnsi="Arial" w:cs="Arial"/>
        </w:rPr>
        <w:t xml:space="preserve">1.6 </w:t>
      </w:r>
      <w:r w:rsidR="007C5CE0" w:rsidRPr="007C5CE0">
        <w:rPr>
          <w:rFonts w:ascii="Arial" w:hAnsi="Arial" w:cs="Arial"/>
        </w:rPr>
        <w:t>Relevance and Justification</w:t>
      </w:r>
      <w:bookmarkEnd w:id="16"/>
    </w:p>
    <w:p w14:paraId="56342A97" w14:textId="044C2D60" w:rsidR="009A7A48" w:rsidRDefault="00E52280" w:rsidP="009A7A48">
      <w:pPr>
        <w:spacing w:line="360" w:lineRule="auto"/>
        <w:rPr>
          <w:rFonts w:ascii="Arial" w:hAnsi="Arial" w:cs="Arial"/>
        </w:rPr>
      </w:pPr>
      <w:r>
        <w:rPr>
          <w:rFonts w:ascii="Arial" w:hAnsi="Arial" w:cs="Arial"/>
        </w:rPr>
        <w:t>C</w:t>
      </w:r>
      <w:r w:rsidR="009A7A48" w:rsidRPr="6E4EE4D1">
        <w:rPr>
          <w:rFonts w:ascii="Arial" w:hAnsi="Arial" w:cs="Arial"/>
        </w:rPr>
        <w:t>onsidering the ageing UK population</w:t>
      </w:r>
      <w:r w:rsidR="00CA42A5">
        <w:rPr>
          <w:rFonts w:ascii="Arial" w:hAnsi="Arial" w:cs="Arial"/>
        </w:rPr>
        <w:t xml:space="preserve"> and the number of adults developing dementia</w:t>
      </w:r>
      <w:r w:rsidR="009A7A48" w:rsidRPr="6E4EE4D1">
        <w:rPr>
          <w:rFonts w:ascii="Arial" w:hAnsi="Arial" w:cs="Arial"/>
        </w:rPr>
        <w:t>, improving the treatment of dementia through early diagnosis may result in better individual outcomes and substantial long-term economic savings. Recent evidence indicates a significant correlation between emotional wellbeing and disease progression, making the investigation of early interventions that reduce mental health decline of particular importance (Safavi, et al., 2023; Mukadam, et al., 2020).</w:t>
      </w:r>
      <w:r w:rsidR="009A7A48">
        <w:br/>
      </w:r>
      <w:r w:rsidR="009A7A48" w:rsidRPr="6E4EE4D1">
        <w:rPr>
          <w:rFonts w:ascii="Arial" w:hAnsi="Arial" w:cs="Arial"/>
        </w:rPr>
        <w:t xml:space="preserve">The NHS Long Term Plan highlights the integration of mental health within holistic healthcare services, with dementia acting as a pivotal case study for assessing the integration of mental health support into long-term illness care strategies. This </w:t>
      </w:r>
      <w:r>
        <w:rPr>
          <w:rFonts w:ascii="Arial" w:hAnsi="Arial" w:cs="Arial"/>
        </w:rPr>
        <w:t>research</w:t>
      </w:r>
      <w:r w:rsidR="009A7A48" w:rsidRPr="6E4EE4D1">
        <w:rPr>
          <w:rFonts w:ascii="Arial" w:hAnsi="Arial" w:cs="Arial"/>
        </w:rPr>
        <w:t xml:space="preserve"> combines its findings with </w:t>
      </w:r>
      <w:r w:rsidR="009A7A48" w:rsidRPr="6E4EE4D1">
        <w:rPr>
          <w:rFonts w:ascii="Arial" w:hAnsi="Arial" w:cs="Arial"/>
        </w:rPr>
        <w:lastRenderedPageBreak/>
        <w:t>current policy objectives, providing actionable insights that will improve healthcare delivery, resource allocation, and future research efforts.</w:t>
      </w:r>
    </w:p>
    <w:p w14:paraId="3F1114A1" w14:textId="3985E90F" w:rsidR="00BC1F77" w:rsidRPr="00904B0F" w:rsidRDefault="00251165" w:rsidP="00904B0F">
      <w:pPr>
        <w:pStyle w:val="Heading2"/>
        <w:spacing w:line="360" w:lineRule="auto"/>
        <w:jc w:val="left"/>
        <w:rPr>
          <w:rFonts w:ascii="Arial" w:hAnsi="Arial" w:cs="Arial"/>
        </w:rPr>
      </w:pPr>
      <w:bookmarkStart w:id="17" w:name="_Toc210677351"/>
      <w:r>
        <w:rPr>
          <w:rFonts w:ascii="Arial" w:hAnsi="Arial" w:cs="Arial"/>
        </w:rPr>
        <w:t xml:space="preserve">1.7 </w:t>
      </w:r>
      <w:r w:rsidR="00904B0F" w:rsidRPr="00904B0F">
        <w:rPr>
          <w:rFonts w:ascii="Arial" w:hAnsi="Arial" w:cs="Arial"/>
        </w:rPr>
        <w:t>Overview of the Dissertation Structure</w:t>
      </w:r>
      <w:bookmarkEnd w:id="17"/>
    </w:p>
    <w:p w14:paraId="6D270B95" w14:textId="5A1FB1F3" w:rsidR="00904B0F" w:rsidRPr="00904B0F" w:rsidRDefault="00904B0F" w:rsidP="00904B0F">
      <w:pPr>
        <w:spacing w:after="0" w:line="360" w:lineRule="auto"/>
        <w:rPr>
          <w:rFonts w:ascii="Arial" w:eastAsia="Times New Roman" w:hAnsi="Arial" w:cs="Arial"/>
          <w:kern w:val="0"/>
          <w:lang w:eastAsia="en-GB"/>
          <w14:ligatures w14:val="none"/>
        </w:rPr>
      </w:pPr>
      <w:r w:rsidRPr="00904B0F">
        <w:rPr>
          <w:rFonts w:ascii="Arial" w:eastAsia="Times New Roman" w:hAnsi="Arial" w:cs="Arial"/>
          <w:kern w:val="0"/>
          <w:lang w:eastAsia="en-GB"/>
          <w14:ligatures w14:val="none"/>
        </w:rPr>
        <w:t xml:space="preserve">This </w:t>
      </w:r>
      <w:r w:rsidR="00CA42A5">
        <w:rPr>
          <w:rFonts w:ascii="Arial" w:eastAsia="Times New Roman" w:hAnsi="Arial" w:cs="Arial"/>
          <w:kern w:val="0"/>
          <w:lang w:eastAsia="en-GB"/>
          <w14:ligatures w14:val="none"/>
        </w:rPr>
        <w:t>study</w:t>
      </w:r>
      <w:r w:rsidRPr="00904B0F">
        <w:rPr>
          <w:rFonts w:ascii="Arial" w:eastAsia="Times New Roman" w:hAnsi="Arial" w:cs="Arial"/>
          <w:kern w:val="0"/>
          <w:lang w:eastAsia="en-GB"/>
          <w14:ligatures w14:val="none"/>
        </w:rPr>
        <w:t xml:space="preserve"> comprises six chapters, each addressing a distinct aspect of the research process:</w:t>
      </w:r>
    </w:p>
    <w:p w14:paraId="79196901" w14:textId="4046EC55" w:rsidR="00904B0F" w:rsidRDefault="00904B0F" w:rsidP="00904B0F">
      <w:pPr>
        <w:pStyle w:val="ListParagraph"/>
        <w:numPr>
          <w:ilvl w:val="0"/>
          <w:numId w:val="12"/>
        </w:numPr>
        <w:spacing w:line="360" w:lineRule="auto"/>
        <w:rPr>
          <w:rFonts w:ascii="Arial" w:hAnsi="Arial" w:cs="Arial"/>
        </w:rPr>
      </w:pPr>
      <w:r w:rsidRPr="00904B0F">
        <w:rPr>
          <w:rFonts w:ascii="Arial" w:hAnsi="Arial" w:cs="Arial"/>
        </w:rPr>
        <w:t>Chapter 1: Introduction</w:t>
      </w:r>
      <w:r>
        <w:rPr>
          <w:rFonts w:ascii="Arial" w:hAnsi="Arial" w:cs="Arial"/>
        </w:rPr>
        <w:t xml:space="preserve"> - </w:t>
      </w:r>
      <w:r w:rsidRPr="00904B0F">
        <w:rPr>
          <w:rFonts w:ascii="Arial" w:hAnsi="Arial" w:cs="Arial"/>
        </w:rPr>
        <w:t>gives the background for the research, explains the topic and scope, states the problem, and lists the research questions and goals.</w:t>
      </w:r>
    </w:p>
    <w:p w14:paraId="609AE4D0" w14:textId="25FCA187" w:rsidR="00904B0F" w:rsidRDefault="00904B0F" w:rsidP="00904B0F">
      <w:pPr>
        <w:pStyle w:val="ListParagraph"/>
        <w:numPr>
          <w:ilvl w:val="0"/>
          <w:numId w:val="12"/>
        </w:numPr>
        <w:spacing w:line="360" w:lineRule="auto"/>
        <w:rPr>
          <w:rFonts w:ascii="Arial" w:hAnsi="Arial" w:cs="Arial"/>
        </w:rPr>
      </w:pPr>
      <w:r w:rsidRPr="00904B0F">
        <w:rPr>
          <w:rFonts w:ascii="Arial" w:hAnsi="Arial" w:cs="Arial"/>
        </w:rPr>
        <w:t xml:space="preserve">Chapter 2: Literature Review </w:t>
      </w:r>
      <w:r>
        <w:rPr>
          <w:rFonts w:ascii="Arial" w:hAnsi="Arial" w:cs="Arial"/>
        </w:rPr>
        <w:t>-</w:t>
      </w:r>
      <w:r w:rsidRPr="00904B0F">
        <w:rPr>
          <w:rFonts w:ascii="Arial" w:hAnsi="Arial" w:cs="Arial"/>
        </w:rPr>
        <w:t xml:space="preserve"> This chapter looks at and combines existing research on early diagnosis, intervention, and mental health outcomes in dementia. It also points out the strengths, weaknesses, and gaps in the research methods used.</w:t>
      </w:r>
    </w:p>
    <w:p w14:paraId="7AA996A9" w14:textId="430E32A7" w:rsidR="00904B0F" w:rsidRPr="00D63495" w:rsidRDefault="00904B0F" w:rsidP="00D63495">
      <w:pPr>
        <w:pStyle w:val="ListParagraph"/>
        <w:numPr>
          <w:ilvl w:val="0"/>
          <w:numId w:val="12"/>
        </w:numPr>
        <w:spacing w:line="360" w:lineRule="auto"/>
        <w:rPr>
          <w:rFonts w:ascii="Arial" w:hAnsi="Arial" w:cs="Arial"/>
        </w:rPr>
      </w:pPr>
      <w:r w:rsidRPr="00904B0F">
        <w:rPr>
          <w:rFonts w:ascii="Arial" w:hAnsi="Arial" w:cs="Arial"/>
        </w:rPr>
        <w:t>Chapter 3: Methodology</w:t>
      </w:r>
      <w:r>
        <w:rPr>
          <w:rFonts w:ascii="Arial" w:hAnsi="Arial" w:cs="Arial"/>
        </w:rPr>
        <w:t xml:space="preserve"> - </w:t>
      </w:r>
      <w:r w:rsidR="00D63495" w:rsidRPr="00D63495">
        <w:rPr>
          <w:rFonts w:ascii="Arial" w:hAnsi="Arial" w:cs="Arial"/>
        </w:rPr>
        <w:t>Outlines the systematic review process, encompassing inclusion and exclusion criteria, data extraction methods, and the qualitative thematic synthesis approach employed to analyse the ten chosen articles.</w:t>
      </w:r>
    </w:p>
    <w:p w14:paraId="2D5E667C" w14:textId="77777777" w:rsidR="00904B0F" w:rsidRDefault="00904B0F" w:rsidP="00904B0F">
      <w:pPr>
        <w:pStyle w:val="ListParagraph"/>
        <w:numPr>
          <w:ilvl w:val="0"/>
          <w:numId w:val="12"/>
        </w:numPr>
        <w:spacing w:line="360" w:lineRule="auto"/>
        <w:rPr>
          <w:rFonts w:ascii="Arial" w:hAnsi="Arial" w:cs="Arial"/>
        </w:rPr>
      </w:pPr>
      <w:r w:rsidRPr="00904B0F">
        <w:rPr>
          <w:rFonts w:ascii="Arial" w:hAnsi="Arial" w:cs="Arial"/>
        </w:rPr>
        <w:t>Chapter 4: The Results – Presents the results of the systematic review, which are organised by new themes and backed up by data from the literature.</w:t>
      </w:r>
    </w:p>
    <w:p w14:paraId="1060294F" w14:textId="77777777" w:rsidR="00904B0F" w:rsidRDefault="00904B0F" w:rsidP="00904B0F">
      <w:pPr>
        <w:pStyle w:val="ListParagraph"/>
        <w:numPr>
          <w:ilvl w:val="0"/>
          <w:numId w:val="12"/>
        </w:numPr>
        <w:spacing w:line="360" w:lineRule="auto"/>
        <w:rPr>
          <w:rFonts w:ascii="Arial" w:hAnsi="Arial" w:cs="Arial"/>
        </w:rPr>
      </w:pPr>
      <w:r w:rsidRPr="00904B0F">
        <w:rPr>
          <w:rFonts w:ascii="Arial" w:hAnsi="Arial" w:cs="Arial"/>
        </w:rPr>
        <w:t>Chapter 5: Discussion—Looks at the results in light of the research questions and the larger body of literature, talking about what they mean, their limitations, and what they add to the field.</w:t>
      </w:r>
    </w:p>
    <w:p w14:paraId="7A2BDBE0" w14:textId="19BC3B1E" w:rsidR="00904B0F" w:rsidRPr="00904B0F" w:rsidRDefault="00904B0F" w:rsidP="00904B0F">
      <w:pPr>
        <w:pStyle w:val="ListParagraph"/>
        <w:numPr>
          <w:ilvl w:val="0"/>
          <w:numId w:val="12"/>
        </w:numPr>
        <w:spacing w:line="360" w:lineRule="auto"/>
        <w:rPr>
          <w:rFonts w:ascii="Arial" w:hAnsi="Arial" w:cs="Arial"/>
        </w:rPr>
      </w:pPr>
      <w:r w:rsidRPr="00904B0F">
        <w:rPr>
          <w:rFonts w:ascii="Arial" w:hAnsi="Arial" w:cs="Arial"/>
        </w:rPr>
        <w:t>Chapter 6: Conclusion—summarizes the main findings, talks about how important they are, and suggests ways to use them in practice and areas for future research.</w:t>
      </w:r>
    </w:p>
    <w:p w14:paraId="034112CA" w14:textId="5DB41B04" w:rsidR="00B91513" w:rsidRPr="00B91513" w:rsidRDefault="00904B0F" w:rsidP="00D63495">
      <w:pPr>
        <w:spacing w:line="360" w:lineRule="auto"/>
        <w:rPr>
          <w:rFonts w:ascii="Arial" w:hAnsi="Arial" w:cs="Arial"/>
        </w:rPr>
      </w:pPr>
      <w:r w:rsidRPr="6E4EE4D1">
        <w:rPr>
          <w:rFonts w:ascii="Arial" w:hAnsi="Arial" w:cs="Arial"/>
        </w:rPr>
        <w:t>The goal of this structure is to give a full, evidence-based assessment of how early diagnosis and treatment affect the mental health of people with dementia in the UK.</w:t>
      </w:r>
    </w:p>
    <w:p w14:paraId="0F28B479" w14:textId="667F5B48" w:rsidR="009706D0" w:rsidRPr="007F1C8A" w:rsidRDefault="009706D0" w:rsidP="00B91513">
      <w:pPr>
        <w:spacing w:after="0" w:line="360" w:lineRule="auto"/>
        <w:rPr>
          <w:rFonts w:asciiTheme="minorBidi" w:eastAsia="Times New Roman" w:hAnsiTheme="minorBidi"/>
          <w:b/>
          <w:color w:val="000000"/>
          <w:sz w:val="24"/>
        </w:rPr>
      </w:pPr>
    </w:p>
    <w:p w14:paraId="121CDA14" w14:textId="0523FF9A" w:rsidR="009F64C5" w:rsidRPr="00E65C9C" w:rsidRDefault="008D6BF7" w:rsidP="371E3AF7">
      <w:pPr>
        <w:pStyle w:val="Heading1"/>
        <w:spacing w:after="610"/>
        <w:ind w:left="12" w:right="6"/>
        <w:rPr>
          <w:rFonts w:asciiTheme="minorBidi" w:hAnsiTheme="minorBidi" w:cstheme="minorBidi"/>
          <w:sz w:val="28"/>
          <w:szCs w:val="28"/>
        </w:rPr>
      </w:pPr>
      <w:bookmarkStart w:id="18" w:name="_Toc210677352"/>
      <w:r w:rsidRPr="371E3AF7">
        <w:rPr>
          <w:rFonts w:asciiTheme="minorBidi" w:hAnsiTheme="minorBidi" w:cstheme="minorBidi"/>
          <w:sz w:val="28"/>
          <w:szCs w:val="28"/>
        </w:rPr>
        <w:t>Chapter</w:t>
      </w:r>
      <w:r w:rsidR="00DD7AA5" w:rsidRPr="371E3AF7">
        <w:rPr>
          <w:rFonts w:asciiTheme="minorBidi" w:hAnsiTheme="minorBidi" w:cstheme="minorBidi"/>
          <w:sz w:val="28"/>
          <w:szCs w:val="28"/>
        </w:rPr>
        <w:t xml:space="preserve"> 2</w:t>
      </w:r>
      <w:r w:rsidRPr="371E3AF7">
        <w:rPr>
          <w:rFonts w:asciiTheme="minorBidi" w:hAnsiTheme="minorBidi" w:cstheme="minorBidi"/>
          <w:sz w:val="28"/>
          <w:szCs w:val="28"/>
        </w:rPr>
        <w:t xml:space="preserve">: </w:t>
      </w:r>
      <w:r w:rsidR="009F64C5" w:rsidRPr="371E3AF7">
        <w:rPr>
          <w:rFonts w:asciiTheme="minorBidi" w:hAnsiTheme="minorBidi" w:cstheme="minorBidi"/>
          <w:sz w:val="28"/>
          <w:szCs w:val="28"/>
        </w:rPr>
        <w:t>Literature review/theoretical framework</w:t>
      </w:r>
      <w:bookmarkEnd w:id="18"/>
      <w:r w:rsidR="009F64C5" w:rsidRPr="371E3AF7">
        <w:rPr>
          <w:rFonts w:asciiTheme="minorBidi" w:hAnsiTheme="minorBidi" w:cstheme="minorBidi"/>
          <w:sz w:val="28"/>
          <w:szCs w:val="28"/>
        </w:rPr>
        <w:t xml:space="preserve"> </w:t>
      </w:r>
      <w:bookmarkEnd w:id="11"/>
      <w:r w:rsidR="00765471" w:rsidRPr="371E3AF7">
        <w:rPr>
          <w:rFonts w:asciiTheme="minorBidi" w:hAnsiTheme="minorBidi" w:cstheme="minorBidi"/>
          <w:sz w:val="28"/>
          <w:szCs w:val="28"/>
        </w:rPr>
        <w:t xml:space="preserve">  </w:t>
      </w:r>
    </w:p>
    <w:p w14:paraId="7B8540B9" w14:textId="09A7F893" w:rsidR="001934AA" w:rsidRDefault="001934AA" w:rsidP="001934AA">
      <w:pPr>
        <w:pStyle w:val="Heading2"/>
        <w:spacing w:line="360" w:lineRule="auto"/>
        <w:jc w:val="left"/>
        <w:rPr>
          <w:rFonts w:ascii="Arial" w:hAnsi="Arial" w:cs="Arial"/>
        </w:rPr>
      </w:pPr>
      <w:bookmarkStart w:id="19" w:name="_Toc210677353"/>
      <w:r w:rsidRPr="001934AA">
        <w:rPr>
          <w:rFonts w:ascii="Arial" w:hAnsi="Arial" w:cs="Arial"/>
        </w:rPr>
        <w:t>2.1 Introduction</w:t>
      </w:r>
      <w:bookmarkEnd w:id="19"/>
    </w:p>
    <w:p w14:paraId="4860E472" w14:textId="0073E695" w:rsidR="001934AA" w:rsidRDefault="001934AA" w:rsidP="001934AA">
      <w:pPr>
        <w:spacing w:line="360" w:lineRule="auto"/>
        <w:rPr>
          <w:rFonts w:ascii="Arial" w:hAnsi="Arial" w:cs="Arial"/>
        </w:rPr>
      </w:pPr>
      <w:r w:rsidRPr="001934AA">
        <w:rPr>
          <w:rFonts w:ascii="Arial" w:hAnsi="Arial" w:cs="Arial"/>
        </w:rPr>
        <w:t>Dementia is a complex and progressive neurological disorder defined by the gradual deterioration of cognitive functions, covering memory, language, reasoning, and behavioural abilities</w:t>
      </w:r>
      <w:r w:rsidR="00EA0B60">
        <w:rPr>
          <w:rFonts w:ascii="Arial" w:hAnsi="Arial" w:cs="Arial"/>
        </w:rPr>
        <w:t xml:space="preserve"> </w:t>
      </w:r>
      <w:sdt>
        <w:sdtPr>
          <w:rPr>
            <w:rFonts w:ascii="Arial" w:hAnsi="Arial" w:cs="Arial"/>
          </w:rPr>
          <w:id w:val="-1429424117"/>
          <w:citation/>
        </w:sdtPr>
        <w:sdtContent>
          <w:r w:rsidR="00EA0B60">
            <w:rPr>
              <w:rFonts w:ascii="Arial" w:hAnsi="Arial" w:cs="Arial"/>
            </w:rPr>
            <w:fldChar w:fldCharType="begin"/>
          </w:r>
          <w:r w:rsidR="00EA0B60">
            <w:rPr>
              <w:rFonts w:ascii="Arial" w:hAnsi="Arial" w:cs="Arial"/>
              <w:lang w:val="en-US"/>
            </w:rPr>
            <w:instrText xml:space="preserve"> CITATION Ami05 \l 1033 </w:instrText>
          </w:r>
          <w:r w:rsidR="00EA0B60">
            <w:rPr>
              <w:rFonts w:ascii="Arial" w:hAnsi="Arial" w:cs="Arial"/>
            </w:rPr>
            <w:fldChar w:fldCharType="separate"/>
          </w:r>
          <w:r w:rsidR="001E393B" w:rsidRPr="001E393B">
            <w:rPr>
              <w:rFonts w:ascii="Arial" w:hAnsi="Arial" w:cs="Arial"/>
              <w:noProof/>
              <w:lang w:val="en-US"/>
            </w:rPr>
            <w:t>(Hélène, et al., 2005)</w:t>
          </w:r>
          <w:r w:rsidR="00EA0B60">
            <w:rPr>
              <w:rFonts w:ascii="Arial" w:hAnsi="Arial" w:cs="Arial"/>
            </w:rPr>
            <w:fldChar w:fldCharType="end"/>
          </w:r>
        </w:sdtContent>
      </w:sdt>
      <w:r w:rsidRPr="001934AA">
        <w:rPr>
          <w:rFonts w:ascii="Arial" w:hAnsi="Arial" w:cs="Arial"/>
        </w:rPr>
        <w:t xml:space="preserve">. It ultimately affects an individual's capacity to engage in daily activities and preserve social relationships. As the condition advances, individuals frequently </w:t>
      </w:r>
      <w:r w:rsidR="324B05C2" w:rsidRPr="001934AA">
        <w:rPr>
          <w:rFonts w:ascii="Arial" w:hAnsi="Arial" w:cs="Arial"/>
        </w:rPr>
        <w:t xml:space="preserve">require </w:t>
      </w:r>
      <w:r w:rsidRPr="371E3AF7">
        <w:rPr>
          <w:rFonts w:ascii="Arial" w:hAnsi="Arial" w:cs="Arial"/>
        </w:rPr>
        <w:t>greater levels of care and support, causing a significant emotional, social, and financial burden on families, carers, and healthcare systems</w:t>
      </w:r>
      <w:r w:rsidR="00EA0B60" w:rsidRPr="001934AA">
        <w:rPr>
          <w:rFonts w:ascii="Arial" w:hAnsi="Arial" w:cs="Arial"/>
        </w:rPr>
        <w:t xml:space="preserve"> </w:t>
      </w:r>
      <w:sdt>
        <w:sdtPr>
          <w:rPr>
            <w:rFonts w:ascii="Arial" w:hAnsi="Arial" w:cs="Arial"/>
          </w:rPr>
          <w:id w:val="368106632"/>
          <w:citation/>
        </w:sdtPr>
        <w:sdtContent>
          <w:r w:rsidR="00EA0B60">
            <w:rPr>
              <w:rFonts w:ascii="Arial" w:hAnsi="Arial" w:cs="Arial"/>
            </w:rPr>
            <w:fldChar w:fldCharType="begin"/>
          </w:r>
          <w:r w:rsidR="00EA0B60">
            <w:rPr>
              <w:rFonts w:ascii="Arial" w:hAnsi="Arial" w:cs="Arial"/>
              <w:lang w:val="en-US"/>
            </w:rPr>
            <w:instrText xml:space="preserve"> CITATION Chi21 \l 1033 </w:instrText>
          </w:r>
          <w:r w:rsidR="00EA0B60">
            <w:rPr>
              <w:rFonts w:ascii="Arial" w:hAnsi="Arial" w:cs="Arial"/>
            </w:rPr>
            <w:fldChar w:fldCharType="separate"/>
          </w:r>
          <w:r w:rsidR="001E393B" w:rsidRPr="001E393B">
            <w:rPr>
              <w:rFonts w:ascii="Arial" w:hAnsi="Arial" w:cs="Arial"/>
              <w:noProof/>
              <w:lang w:val="en-US"/>
            </w:rPr>
            <w:t>(Annalisa, et al., 2021)</w:t>
          </w:r>
          <w:r w:rsidR="00EA0B60">
            <w:rPr>
              <w:rFonts w:ascii="Arial" w:hAnsi="Arial" w:cs="Arial"/>
            </w:rPr>
            <w:fldChar w:fldCharType="end"/>
          </w:r>
        </w:sdtContent>
      </w:sdt>
      <w:r w:rsidRPr="001934AA">
        <w:rPr>
          <w:rFonts w:ascii="Arial" w:hAnsi="Arial" w:cs="Arial"/>
        </w:rPr>
        <w:t>. The Alzheimer’s Society (202</w:t>
      </w:r>
      <w:r w:rsidR="00EA0B60">
        <w:rPr>
          <w:rFonts w:ascii="Arial" w:hAnsi="Arial" w:cs="Arial"/>
        </w:rPr>
        <w:t>4</w:t>
      </w:r>
      <w:r w:rsidRPr="001934AA">
        <w:rPr>
          <w:rFonts w:ascii="Arial" w:hAnsi="Arial" w:cs="Arial"/>
        </w:rPr>
        <w:t xml:space="preserve">) reports that dementia currently impacts over 944,000 individuals in the United Kingdom, with estimates suggesting this figure will exceed one million by </w:t>
      </w:r>
      <w:r w:rsidR="00EA0B60">
        <w:rPr>
          <w:rFonts w:ascii="Arial" w:hAnsi="Arial" w:cs="Arial"/>
        </w:rPr>
        <w:t xml:space="preserve">the </w:t>
      </w:r>
      <w:r w:rsidR="00EA0B60">
        <w:rPr>
          <w:rFonts w:ascii="Arial" w:hAnsi="Arial" w:cs="Arial"/>
        </w:rPr>
        <w:lastRenderedPageBreak/>
        <w:t xml:space="preserve">year </w:t>
      </w:r>
      <w:r w:rsidRPr="001934AA">
        <w:rPr>
          <w:rFonts w:ascii="Arial" w:hAnsi="Arial" w:cs="Arial"/>
        </w:rPr>
        <w:t xml:space="preserve">2025 and reach 1.6 million by </w:t>
      </w:r>
      <w:r w:rsidR="00EA0B60">
        <w:rPr>
          <w:rFonts w:ascii="Arial" w:hAnsi="Arial" w:cs="Arial"/>
        </w:rPr>
        <w:t xml:space="preserve">the year </w:t>
      </w:r>
      <w:r w:rsidRPr="001934AA">
        <w:rPr>
          <w:rFonts w:ascii="Arial" w:hAnsi="Arial" w:cs="Arial"/>
        </w:rPr>
        <w:t xml:space="preserve">2040 in the absence of preventive or therapeutic measures. Dementia has been identified as the most common cause of disability among the elderly </w:t>
      </w:r>
      <w:r w:rsidR="00EA0B60" w:rsidRPr="001934AA">
        <w:rPr>
          <w:rFonts w:ascii="Arial" w:hAnsi="Arial" w:cs="Arial"/>
        </w:rPr>
        <w:t>worldwide</w:t>
      </w:r>
      <w:r w:rsidRPr="001934AA">
        <w:rPr>
          <w:rFonts w:ascii="Arial" w:hAnsi="Arial" w:cs="Arial"/>
        </w:rPr>
        <w:t>, highlighting the critical need for better diagnosis, care strategies, and results</w:t>
      </w:r>
      <w:r w:rsidR="00EA0B60">
        <w:rPr>
          <w:rFonts w:ascii="Arial" w:hAnsi="Arial" w:cs="Arial"/>
        </w:rPr>
        <w:t xml:space="preserve"> </w:t>
      </w:r>
      <w:sdt>
        <w:sdtPr>
          <w:rPr>
            <w:rFonts w:ascii="Arial" w:hAnsi="Arial" w:cs="Arial"/>
          </w:rPr>
          <w:id w:val="249005917"/>
          <w:citation/>
        </w:sdtPr>
        <w:sdtContent>
          <w:r w:rsidR="00EA0B60">
            <w:rPr>
              <w:rFonts w:ascii="Arial" w:hAnsi="Arial" w:cs="Arial"/>
            </w:rPr>
            <w:fldChar w:fldCharType="begin"/>
          </w:r>
          <w:r w:rsidR="00EA0B60">
            <w:rPr>
              <w:rFonts w:ascii="Arial" w:hAnsi="Arial" w:cs="Arial"/>
              <w:lang w:val="en-US"/>
            </w:rPr>
            <w:instrText xml:space="preserve"> CITATION Liu25 \l 1033 </w:instrText>
          </w:r>
          <w:r w:rsidR="00EA0B60">
            <w:rPr>
              <w:rFonts w:ascii="Arial" w:hAnsi="Arial" w:cs="Arial"/>
            </w:rPr>
            <w:fldChar w:fldCharType="separate"/>
          </w:r>
          <w:r w:rsidR="001E393B" w:rsidRPr="001E393B">
            <w:rPr>
              <w:rFonts w:ascii="Arial" w:hAnsi="Arial" w:cs="Arial"/>
              <w:noProof/>
              <w:lang w:val="en-US"/>
            </w:rPr>
            <w:t>(Wen, et al., 2025)</w:t>
          </w:r>
          <w:r w:rsidR="00EA0B60">
            <w:rPr>
              <w:rFonts w:ascii="Arial" w:hAnsi="Arial" w:cs="Arial"/>
            </w:rPr>
            <w:fldChar w:fldCharType="end"/>
          </w:r>
        </w:sdtContent>
      </w:sdt>
      <w:r w:rsidRPr="001934AA">
        <w:rPr>
          <w:rFonts w:ascii="Arial" w:hAnsi="Arial" w:cs="Arial"/>
        </w:rPr>
        <w:t>.</w:t>
      </w:r>
    </w:p>
    <w:p w14:paraId="745D9F54" w14:textId="11F44BC2" w:rsidR="00ED1CD5" w:rsidRDefault="00ED1CD5" w:rsidP="00ED1CD5">
      <w:pPr>
        <w:spacing w:line="360" w:lineRule="auto"/>
        <w:rPr>
          <w:rFonts w:ascii="Arial" w:hAnsi="Arial" w:cs="Arial"/>
        </w:rPr>
      </w:pPr>
      <w:r w:rsidRPr="00ED1CD5">
        <w:rPr>
          <w:rFonts w:ascii="Arial" w:hAnsi="Arial" w:cs="Arial"/>
        </w:rPr>
        <w:t xml:space="preserve">Dementia has been recognised as a national public health priority in the UK. The National Dementia Strategy (2009) by the Department of Health and Social Care and the Prime Minister’s Challenge on Dementia (2012, updated in 2020) aim to improve the lives of individuals with dementia through early diagnosis, increased awareness, and better care quality. A fundamental principle of these policies is the promotion for early detection and intervention, based on the belief that timely diagnosis provides individuals and their families with additional time to </w:t>
      </w:r>
      <w:r w:rsidR="00B5295E">
        <w:rPr>
          <w:rFonts w:ascii="Arial" w:hAnsi="Arial" w:cs="Arial"/>
        </w:rPr>
        <w:t>plan</w:t>
      </w:r>
      <w:r w:rsidRPr="00ED1CD5">
        <w:rPr>
          <w:rFonts w:ascii="Arial" w:hAnsi="Arial" w:cs="Arial"/>
        </w:rPr>
        <w:t xml:space="preserve">, access services, and emotionally adapt to the diagnosis. Timely diagnosis is considered essential for beginning both pharmacological and non-pharmacological interventions at a point when they are likely to be most effective in maintaining cognitive function and quality of life </w:t>
      </w:r>
      <w:sdt>
        <w:sdtPr>
          <w:rPr>
            <w:rFonts w:ascii="Arial" w:hAnsi="Arial" w:cs="Arial"/>
          </w:rPr>
          <w:id w:val="1284763022"/>
          <w:citation/>
        </w:sdtPr>
        <w:sdtContent>
          <w:r w:rsidR="00B5295E">
            <w:rPr>
              <w:rFonts w:ascii="Arial" w:hAnsi="Arial" w:cs="Arial"/>
            </w:rPr>
            <w:fldChar w:fldCharType="begin"/>
          </w:r>
          <w:r w:rsidR="00B5295E">
            <w:rPr>
              <w:rFonts w:ascii="Arial" w:hAnsi="Arial" w:cs="Arial"/>
              <w:lang w:val="en-US"/>
            </w:rPr>
            <w:instrText xml:space="preserve"> CITATION Chr13 \l 1033 </w:instrText>
          </w:r>
          <w:r w:rsidR="00B5295E">
            <w:rPr>
              <w:rFonts w:ascii="Arial" w:hAnsi="Arial" w:cs="Arial"/>
            </w:rPr>
            <w:fldChar w:fldCharType="separate"/>
          </w:r>
          <w:r w:rsidR="001E393B" w:rsidRPr="001E393B">
            <w:rPr>
              <w:rFonts w:ascii="Arial" w:hAnsi="Arial" w:cs="Arial"/>
              <w:noProof/>
              <w:lang w:val="en-US"/>
            </w:rPr>
            <w:t>(Fox, et al., 2013)</w:t>
          </w:r>
          <w:r w:rsidR="00B5295E">
            <w:rPr>
              <w:rFonts w:ascii="Arial" w:hAnsi="Arial" w:cs="Arial"/>
            </w:rPr>
            <w:fldChar w:fldCharType="end"/>
          </w:r>
        </w:sdtContent>
      </w:sdt>
      <w:r w:rsidRPr="00ED1CD5">
        <w:rPr>
          <w:rFonts w:ascii="Arial" w:hAnsi="Arial" w:cs="Arial"/>
        </w:rPr>
        <w:t>.</w:t>
      </w:r>
    </w:p>
    <w:p w14:paraId="66240158" w14:textId="0ACA07B8" w:rsidR="001964E7" w:rsidRPr="001964E7" w:rsidRDefault="001964E7" w:rsidP="001964E7">
      <w:pPr>
        <w:spacing w:line="360" w:lineRule="auto"/>
        <w:rPr>
          <w:rFonts w:ascii="Arial" w:hAnsi="Arial" w:cs="Arial"/>
        </w:rPr>
      </w:pPr>
      <w:r w:rsidRPr="371E3AF7">
        <w:rPr>
          <w:rFonts w:ascii="Arial" w:hAnsi="Arial" w:cs="Arial"/>
        </w:rPr>
        <w:t>This literature review</w:t>
      </w:r>
      <w:r w:rsidR="10ABBA52" w:rsidRPr="371E3AF7">
        <w:rPr>
          <w:rFonts w:ascii="Arial" w:hAnsi="Arial" w:cs="Arial"/>
        </w:rPr>
        <w:t xml:space="preserve"> compares</w:t>
      </w:r>
      <w:r w:rsidRPr="371E3AF7">
        <w:rPr>
          <w:rFonts w:ascii="Arial" w:hAnsi="Arial" w:cs="Arial"/>
        </w:rPr>
        <w:t xml:space="preserve"> existing evidence on effects of early </w:t>
      </w:r>
      <w:r w:rsidR="71AEE26C" w:rsidRPr="371E3AF7">
        <w:rPr>
          <w:rFonts w:ascii="Arial" w:hAnsi="Arial" w:cs="Arial"/>
        </w:rPr>
        <w:t xml:space="preserve">and </w:t>
      </w:r>
      <w:r w:rsidRPr="371E3AF7">
        <w:rPr>
          <w:rFonts w:ascii="Arial" w:hAnsi="Arial" w:cs="Arial"/>
        </w:rPr>
        <w:t>late diagnos</w:t>
      </w:r>
      <w:r w:rsidR="33FAF692" w:rsidRPr="371E3AF7">
        <w:rPr>
          <w:rFonts w:ascii="Arial" w:hAnsi="Arial" w:cs="Arial"/>
        </w:rPr>
        <w:t>e</w:t>
      </w:r>
      <w:r w:rsidRPr="371E3AF7">
        <w:rPr>
          <w:rFonts w:ascii="Arial" w:hAnsi="Arial" w:cs="Arial"/>
        </w:rPr>
        <w:t xml:space="preserve">s </w:t>
      </w:r>
      <w:r w:rsidR="2A7ED426" w:rsidRPr="371E3AF7">
        <w:rPr>
          <w:rFonts w:ascii="Arial" w:hAnsi="Arial" w:cs="Arial"/>
        </w:rPr>
        <w:t xml:space="preserve">for people with dementia. </w:t>
      </w:r>
      <w:r w:rsidR="4615EFA1" w:rsidRPr="371E3AF7">
        <w:rPr>
          <w:rFonts w:ascii="Arial" w:hAnsi="Arial" w:cs="Arial"/>
        </w:rPr>
        <w:t>Moreover</w:t>
      </w:r>
      <w:r w:rsidR="2A7ED426" w:rsidRPr="371E3AF7">
        <w:rPr>
          <w:rFonts w:ascii="Arial" w:hAnsi="Arial" w:cs="Arial"/>
        </w:rPr>
        <w:t xml:space="preserve">, it compares mental health outcomes </w:t>
      </w:r>
      <w:r w:rsidR="53A6CC9C" w:rsidRPr="371E3AF7">
        <w:rPr>
          <w:rFonts w:ascii="Arial" w:hAnsi="Arial" w:cs="Arial"/>
        </w:rPr>
        <w:t xml:space="preserve">between those who receive interventions during the early </w:t>
      </w:r>
      <w:r w:rsidR="7E81EC3B" w:rsidRPr="371E3AF7">
        <w:rPr>
          <w:rFonts w:ascii="Arial" w:hAnsi="Arial" w:cs="Arial"/>
        </w:rPr>
        <w:t>compared with</w:t>
      </w:r>
      <w:r w:rsidR="53A6CC9C" w:rsidRPr="371E3AF7">
        <w:rPr>
          <w:rFonts w:ascii="Arial" w:hAnsi="Arial" w:cs="Arial"/>
        </w:rPr>
        <w:t xml:space="preserve"> later stages of dementia. </w:t>
      </w:r>
      <w:r w:rsidRPr="371E3AF7">
        <w:rPr>
          <w:rFonts w:ascii="Arial" w:hAnsi="Arial" w:cs="Arial"/>
        </w:rPr>
        <w:t xml:space="preserve"> </w:t>
      </w:r>
      <w:r w:rsidR="6D995898" w:rsidRPr="371E3AF7">
        <w:rPr>
          <w:rFonts w:ascii="Arial" w:hAnsi="Arial" w:cs="Arial"/>
        </w:rPr>
        <w:t xml:space="preserve">The review will focus on findings </w:t>
      </w:r>
      <w:r w:rsidR="020CE250" w:rsidRPr="371E3AF7">
        <w:rPr>
          <w:rFonts w:ascii="Arial" w:hAnsi="Arial" w:cs="Arial"/>
        </w:rPr>
        <w:t>discussed</w:t>
      </w:r>
      <w:r w:rsidR="6D995898" w:rsidRPr="371E3AF7">
        <w:rPr>
          <w:rFonts w:ascii="Arial" w:hAnsi="Arial" w:cs="Arial"/>
        </w:rPr>
        <w:t xml:space="preserve"> in</w:t>
      </w:r>
      <w:r w:rsidR="6E7CF0DE" w:rsidRPr="371E3AF7">
        <w:rPr>
          <w:rFonts w:ascii="Arial" w:hAnsi="Arial" w:cs="Arial"/>
        </w:rPr>
        <w:t xml:space="preserve"> p</w:t>
      </w:r>
      <w:r w:rsidRPr="371E3AF7">
        <w:rPr>
          <w:rFonts w:ascii="Arial" w:hAnsi="Arial" w:cs="Arial"/>
        </w:rPr>
        <w:t xml:space="preserve">eer-reviewed academic sources published in the </w:t>
      </w:r>
      <w:r w:rsidR="54C771F5" w:rsidRPr="371E3AF7">
        <w:rPr>
          <w:rFonts w:ascii="Arial" w:hAnsi="Arial" w:cs="Arial"/>
        </w:rPr>
        <w:t>l</w:t>
      </w:r>
      <w:r w:rsidRPr="371E3AF7">
        <w:rPr>
          <w:rFonts w:ascii="Arial" w:hAnsi="Arial" w:cs="Arial"/>
        </w:rPr>
        <w:t>ast decade</w:t>
      </w:r>
      <w:r w:rsidR="79293CDC" w:rsidRPr="371E3AF7">
        <w:rPr>
          <w:rFonts w:ascii="Arial" w:hAnsi="Arial" w:cs="Arial"/>
        </w:rPr>
        <w:t>. Only</w:t>
      </w:r>
      <w:r w:rsidRPr="371E3AF7">
        <w:rPr>
          <w:rFonts w:ascii="Arial" w:hAnsi="Arial" w:cs="Arial"/>
        </w:rPr>
        <w:t xml:space="preserve"> </w:t>
      </w:r>
      <w:r w:rsidR="33F16BE2" w:rsidRPr="371E3AF7">
        <w:rPr>
          <w:rFonts w:ascii="Arial" w:hAnsi="Arial" w:cs="Arial"/>
        </w:rPr>
        <w:t xml:space="preserve">research </w:t>
      </w:r>
      <w:r w:rsidRPr="371E3AF7">
        <w:rPr>
          <w:rFonts w:ascii="Arial" w:hAnsi="Arial" w:cs="Arial"/>
        </w:rPr>
        <w:t>conducted within the UK healthcare context</w:t>
      </w:r>
      <w:r w:rsidR="749BA7C8" w:rsidRPr="371E3AF7">
        <w:rPr>
          <w:rFonts w:ascii="Arial" w:hAnsi="Arial" w:cs="Arial"/>
        </w:rPr>
        <w:t xml:space="preserve"> will be considered</w:t>
      </w:r>
      <w:r w:rsidRPr="371E3AF7">
        <w:rPr>
          <w:rFonts w:ascii="Arial" w:hAnsi="Arial" w:cs="Arial"/>
        </w:rPr>
        <w:t xml:space="preserve">. The purpose of this </w:t>
      </w:r>
      <w:r w:rsidR="0D364AEB" w:rsidRPr="371E3AF7">
        <w:rPr>
          <w:rFonts w:ascii="Arial" w:hAnsi="Arial" w:cs="Arial"/>
        </w:rPr>
        <w:t>review</w:t>
      </w:r>
      <w:r w:rsidRPr="371E3AF7">
        <w:rPr>
          <w:rFonts w:ascii="Arial" w:hAnsi="Arial" w:cs="Arial"/>
        </w:rPr>
        <w:t xml:space="preserve"> is to consolidate existing findings, critically evaluate methodological approaches, and highlight recurring themes and gaps that necessitate further investigation. This review seeks to clarify the point to which early diagnosis improves psychological well-being and to what extent the current methods align with this goal.</w:t>
      </w:r>
    </w:p>
    <w:p w14:paraId="3FFE849B" w14:textId="6B0E5E97" w:rsidR="004D4274" w:rsidRDefault="001964E7" w:rsidP="371E3AF7">
      <w:pPr>
        <w:spacing w:line="360" w:lineRule="auto"/>
        <w:rPr>
          <w:rFonts w:ascii="Arial" w:hAnsi="Arial" w:cs="Arial"/>
        </w:rPr>
      </w:pPr>
      <w:r w:rsidRPr="371E3AF7">
        <w:rPr>
          <w:rFonts w:ascii="Arial" w:hAnsi="Arial" w:cs="Arial"/>
        </w:rPr>
        <w:t xml:space="preserve">This chapter defines the theoretical frameworks that drive the analysis of early diagnosis and mental health in dementia care, comprising the biopsychosocial model, stress and coping theory, and person-centred care. These frameworks offer a systematic perspective for analysing the data and understanding the complex nature of dementia and its effects on mental health. This foundation </w:t>
      </w:r>
      <w:r w:rsidR="07C90E5D" w:rsidRPr="371E3AF7">
        <w:rPr>
          <w:rFonts w:ascii="Arial" w:hAnsi="Arial" w:cs="Arial"/>
        </w:rPr>
        <w:t>will inform the focus for a systematic review described in later chapters.</w:t>
      </w:r>
    </w:p>
    <w:p w14:paraId="7E249CEA" w14:textId="1F62C32B" w:rsidR="004D4274" w:rsidRDefault="00E641AD" w:rsidP="371E3AF7">
      <w:pPr>
        <w:pStyle w:val="Heading2"/>
        <w:jc w:val="left"/>
        <w:rPr>
          <w:rFonts w:ascii="Arial" w:eastAsia="Arial" w:hAnsi="Arial" w:cs="Arial"/>
        </w:rPr>
      </w:pPr>
      <w:bookmarkStart w:id="20" w:name="_Toc210677354"/>
      <w:r w:rsidRPr="371E3AF7">
        <w:rPr>
          <w:rFonts w:ascii="Arial" w:eastAsia="Arial" w:hAnsi="Arial" w:cs="Arial"/>
        </w:rPr>
        <w:t xml:space="preserve">2.2 </w:t>
      </w:r>
      <w:r w:rsidR="00D46212" w:rsidRPr="371E3AF7">
        <w:rPr>
          <w:rFonts w:ascii="Arial" w:eastAsia="Arial" w:hAnsi="Arial" w:cs="Arial"/>
        </w:rPr>
        <w:t>Scope and Depth of Existing Research</w:t>
      </w:r>
      <w:bookmarkEnd w:id="20"/>
    </w:p>
    <w:p w14:paraId="09A6BE87" w14:textId="428ED7F7" w:rsidR="00D46212" w:rsidRPr="000849AC" w:rsidRDefault="00D46212" w:rsidP="00D46212">
      <w:pPr>
        <w:pStyle w:val="Heading3"/>
        <w:spacing w:line="360" w:lineRule="auto"/>
        <w:ind w:left="720"/>
        <w:rPr>
          <w:rFonts w:ascii="Arial" w:hAnsi="Arial" w:cs="Arial"/>
          <w:sz w:val="22"/>
          <w:u w:val="none"/>
        </w:rPr>
      </w:pPr>
      <w:bookmarkStart w:id="21" w:name="_Toc210677355"/>
      <w:r w:rsidRPr="000849AC">
        <w:rPr>
          <w:rFonts w:ascii="Arial" w:hAnsi="Arial" w:cs="Arial"/>
          <w:sz w:val="22"/>
          <w:u w:val="none"/>
        </w:rPr>
        <w:t>2.2.1 General Trends in Dementia Research</w:t>
      </w:r>
      <w:bookmarkEnd w:id="21"/>
    </w:p>
    <w:p w14:paraId="2CE170BB" w14:textId="61BEAA6B" w:rsidR="00D46212" w:rsidRDefault="00D46212" w:rsidP="00D46212">
      <w:pPr>
        <w:spacing w:line="360" w:lineRule="auto"/>
        <w:rPr>
          <w:rFonts w:ascii="Arial" w:hAnsi="Arial" w:cs="Arial"/>
        </w:rPr>
      </w:pPr>
      <w:r w:rsidRPr="00D46212">
        <w:rPr>
          <w:rFonts w:ascii="Arial" w:hAnsi="Arial" w:cs="Arial"/>
        </w:rPr>
        <w:t xml:space="preserve">In the last twenty years, dementia research has changed significantly from primarily concentrating on biomedical and pharmacological interventions </w:t>
      </w:r>
      <w:sdt>
        <w:sdtPr>
          <w:rPr>
            <w:rFonts w:ascii="Arial" w:hAnsi="Arial" w:cs="Arial"/>
          </w:rPr>
          <w:id w:val="-503206416"/>
          <w:citation/>
        </w:sdtPr>
        <w:sdtContent>
          <w:r w:rsidR="007E261B">
            <w:rPr>
              <w:rFonts w:ascii="Arial" w:hAnsi="Arial" w:cs="Arial"/>
            </w:rPr>
            <w:fldChar w:fldCharType="begin"/>
          </w:r>
          <w:r w:rsidR="007E261B">
            <w:rPr>
              <w:rFonts w:ascii="Arial" w:hAnsi="Arial" w:cs="Arial"/>
              <w:lang w:val="en-US"/>
            </w:rPr>
            <w:instrText xml:space="preserve"> CITATION Gil17 \l 1033 </w:instrText>
          </w:r>
          <w:r w:rsidR="007E261B">
            <w:rPr>
              <w:rFonts w:ascii="Arial" w:hAnsi="Arial" w:cs="Arial"/>
            </w:rPr>
            <w:fldChar w:fldCharType="separate"/>
          </w:r>
          <w:r w:rsidR="001E393B" w:rsidRPr="001E393B">
            <w:rPr>
              <w:rFonts w:ascii="Arial" w:hAnsi="Arial" w:cs="Arial"/>
              <w:noProof/>
              <w:lang w:val="en-US"/>
            </w:rPr>
            <w:t>(Livingston, et al., 2017)</w:t>
          </w:r>
          <w:r w:rsidR="007E261B">
            <w:rPr>
              <w:rFonts w:ascii="Arial" w:hAnsi="Arial" w:cs="Arial"/>
            </w:rPr>
            <w:fldChar w:fldCharType="end"/>
          </w:r>
        </w:sdtContent>
      </w:sdt>
      <w:r w:rsidRPr="00D46212">
        <w:rPr>
          <w:rFonts w:ascii="Arial" w:hAnsi="Arial" w:cs="Arial"/>
        </w:rPr>
        <w:t xml:space="preserve"> to a greater focus on psychosocial and person-centred aspects of care</w:t>
      </w:r>
      <w:r w:rsidR="007E261B">
        <w:rPr>
          <w:rFonts w:ascii="Arial" w:hAnsi="Arial" w:cs="Arial"/>
        </w:rPr>
        <w:t xml:space="preserve"> </w:t>
      </w:r>
      <w:sdt>
        <w:sdtPr>
          <w:rPr>
            <w:rFonts w:ascii="Arial" w:hAnsi="Arial" w:cs="Arial"/>
          </w:rPr>
          <w:id w:val="-1514834053"/>
          <w:citation/>
        </w:sdtPr>
        <w:sdtContent>
          <w:r w:rsidR="007E261B">
            <w:rPr>
              <w:rFonts w:ascii="Arial" w:hAnsi="Arial" w:cs="Arial"/>
            </w:rPr>
            <w:fldChar w:fldCharType="begin"/>
          </w:r>
          <w:r w:rsidR="007E261B">
            <w:rPr>
              <w:rFonts w:ascii="Arial" w:hAnsi="Arial" w:cs="Arial"/>
              <w:lang w:val="en-US"/>
            </w:rPr>
            <w:instrText xml:space="preserve"> CITATION Vas22 \l 1033 </w:instrText>
          </w:r>
          <w:r w:rsidR="007E261B">
            <w:rPr>
              <w:rFonts w:ascii="Arial" w:hAnsi="Arial" w:cs="Arial"/>
            </w:rPr>
            <w:fldChar w:fldCharType="separate"/>
          </w:r>
          <w:r w:rsidR="001E393B" w:rsidRPr="001E393B">
            <w:rPr>
              <w:rFonts w:ascii="Arial" w:hAnsi="Arial" w:cs="Arial"/>
              <w:noProof/>
              <w:lang w:val="en-US"/>
            </w:rPr>
            <w:t>(Orgeta, et al., 2022)</w:t>
          </w:r>
          <w:r w:rsidR="007E261B">
            <w:rPr>
              <w:rFonts w:ascii="Arial" w:hAnsi="Arial" w:cs="Arial"/>
            </w:rPr>
            <w:fldChar w:fldCharType="end"/>
          </w:r>
        </w:sdtContent>
      </w:sdt>
      <w:r w:rsidRPr="00D46212">
        <w:rPr>
          <w:rFonts w:ascii="Arial" w:hAnsi="Arial" w:cs="Arial"/>
        </w:rPr>
        <w:t xml:space="preserve">. </w:t>
      </w:r>
      <w:r w:rsidRPr="00D46212">
        <w:rPr>
          <w:rFonts w:ascii="Arial" w:hAnsi="Arial" w:cs="Arial"/>
        </w:rPr>
        <w:lastRenderedPageBreak/>
        <w:t>Previous pharmacological studies explored cholinesterase inhibitors or memantine; however, emerging evidence has underscored the limitations of purely pharmacological interventions in improving quality of life or relieving psychological distress</w:t>
      </w:r>
      <w:r w:rsidR="007E261B">
        <w:rPr>
          <w:rFonts w:ascii="Arial" w:hAnsi="Arial" w:cs="Arial"/>
        </w:rPr>
        <w:t xml:space="preserve"> </w:t>
      </w:r>
      <w:sdt>
        <w:sdtPr>
          <w:rPr>
            <w:rFonts w:ascii="Arial" w:hAnsi="Arial" w:cs="Arial"/>
          </w:rPr>
          <w:id w:val="-1900581669"/>
          <w:citation/>
        </w:sdtPr>
        <w:sdtContent>
          <w:r w:rsidR="007E261B">
            <w:rPr>
              <w:rFonts w:ascii="Arial" w:hAnsi="Arial" w:cs="Arial"/>
            </w:rPr>
            <w:fldChar w:fldCharType="begin"/>
          </w:r>
          <w:r w:rsidR="007E261B">
            <w:rPr>
              <w:rFonts w:ascii="Arial" w:hAnsi="Arial" w:cs="Arial"/>
              <w:lang w:val="en-US"/>
            </w:rPr>
            <w:instrText xml:space="preserve"> CITATION LiY15 \l 1033 </w:instrText>
          </w:r>
          <w:r w:rsidR="007E261B">
            <w:rPr>
              <w:rFonts w:ascii="Arial" w:hAnsi="Arial" w:cs="Arial"/>
            </w:rPr>
            <w:fldChar w:fldCharType="separate"/>
          </w:r>
          <w:r w:rsidR="001E393B" w:rsidRPr="001E393B">
            <w:rPr>
              <w:rFonts w:ascii="Arial" w:hAnsi="Arial" w:cs="Arial"/>
              <w:noProof/>
              <w:lang w:val="en-US"/>
            </w:rPr>
            <w:t>(Ying, et al., 2015)</w:t>
          </w:r>
          <w:r w:rsidR="007E261B">
            <w:rPr>
              <w:rFonts w:ascii="Arial" w:hAnsi="Arial" w:cs="Arial"/>
            </w:rPr>
            <w:fldChar w:fldCharType="end"/>
          </w:r>
        </w:sdtContent>
      </w:sdt>
      <w:r w:rsidRPr="00D46212">
        <w:rPr>
          <w:rFonts w:ascii="Arial" w:hAnsi="Arial" w:cs="Arial"/>
        </w:rPr>
        <w:t>.</w:t>
      </w:r>
    </w:p>
    <w:p w14:paraId="34F8F15C" w14:textId="6C548F25" w:rsidR="006036DB" w:rsidRDefault="006036DB" w:rsidP="006036DB">
      <w:pPr>
        <w:spacing w:line="360" w:lineRule="auto"/>
        <w:rPr>
          <w:rFonts w:ascii="Arial" w:hAnsi="Arial" w:cs="Arial"/>
        </w:rPr>
      </w:pPr>
      <w:r w:rsidRPr="006036DB">
        <w:rPr>
          <w:rFonts w:ascii="Arial" w:hAnsi="Arial" w:cs="Arial"/>
        </w:rPr>
        <w:t>This change has resulted in greater interest in non-pharmacological interventions, including cognitive-behavioural therapy (CBT), psychosocial education, memory clinic interventions, and family support programs</w:t>
      </w:r>
      <w:r w:rsidR="0057473C">
        <w:rPr>
          <w:rFonts w:ascii="Arial" w:hAnsi="Arial" w:cs="Arial"/>
        </w:rPr>
        <w:t xml:space="preserve"> </w:t>
      </w:r>
      <w:sdt>
        <w:sdtPr>
          <w:rPr>
            <w:rFonts w:ascii="Arial" w:hAnsi="Arial" w:cs="Arial"/>
          </w:rPr>
          <w:id w:val="1181097047"/>
          <w:citation/>
        </w:sdtPr>
        <w:sdtContent>
          <w:r w:rsidR="0057473C">
            <w:rPr>
              <w:rFonts w:ascii="Arial" w:hAnsi="Arial" w:cs="Arial"/>
            </w:rPr>
            <w:fldChar w:fldCharType="begin"/>
          </w:r>
          <w:r w:rsidR="0057473C">
            <w:rPr>
              <w:rFonts w:ascii="Arial" w:hAnsi="Arial" w:cs="Arial"/>
              <w:lang w:val="en-US"/>
            </w:rPr>
            <w:instrText xml:space="preserve"> CITATION Sim04 \l 1033 </w:instrText>
          </w:r>
          <w:r w:rsidR="0057473C">
            <w:rPr>
              <w:rFonts w:ascii="Arial" w:hAnsi="Arial" w:cs="Arial"/>
            </w:rPr>
            <w:fldChar w:fldCharType="separate"/>
          </w:r>
          <w:r w:rsidR="001E393B" w:rsidRPr="001E393B">
            <w:rPr>
              <w:rFonts w:ascii="Arial" w:hAnsi="Arial" w:cs="Arial"/>
              <w:noProof/>
              <w:lang w:val="en-US"/>
            </w:rPr>
            <w:t>(Douglas, et al., 2004)</w:t>
          </w:r>
          <w:r w:rsidR="0057473C">
            <w:rPr>
              <w:rFonts w:ascii="Arial" w:hAnsi="Arial" w:cs="Arial"/>
            </w:rPr>
            <w:fldChar w:fldCharType="end"/>
          </w:r>
        </w:sdtContent>
      </w:sdt>
      <w:r w:rsidRPr="006036DB">
        <w:rPr>
          <w:rFonts w:ascii="Arial" w:hAnsi="Arial" w:cs="Arial"/>
        </w:rPr>
        <w:t xml:space="preserve">. </w:t>
      </w:r>
      <w:r w:rsidR="03DA7CB8" w:rsidRPr="006036DB">
        <w:rPr>
          <w:rFonts w:ascii="Arial" w:hAnsi="Arial" w:cs="Arial"/>
        </w:rPr>
        <w:t xml:space="preserve">For example, </w:t>
      </w:r>
      <w:r w:rsidRPr="006036DB">
        <w:rPr>
          <w:rFonts w:ascii="Arial" w:hAnsi="Arial" w:cs="Arial"/>
        </w:rPr>
        <w:t>Spector et al. (201</w:t>
      </w:r>
      <w:r w:rsidR="0057473C">
        <w:rPr>
          <w:rFonts w:ascii="Arial" w:hAnsi="Arial" w:cs="Arial"/>
        </w:rPr>
        <w:t>8</w:t>
      </w:r>
      <w:r w:rsidRPr="006036DB">
        <w:rPr>
          <w:rFonts w:ascii="Arial" w:hAnsi="Arial" w:cs="Arial"/>
        </w:rPr>
        <w:t xml:space="preserve">) conducted a ten-session cognitive-behavioural therapy intervention for anxiety in individuals with mild dementia, demonstrating significant reductions in depression </w:t>
      </w:r>
      <w:r w:rsidR="763F7748" w:rsidRPr="006036DB">
        <w:rPr>
          <w:rFonts w:ascii="Arial" w:hAnsi="Arial" w:cs="Arial"/>
        </w:rPr>
        <w:t xml:space="preserve">which </w:t>
      </w:r>
      <w:r w:rsidRPr="006036DB">
        <w:rPr>
          <w:rFonts w:ascii="Arial" w:hAnsi="Arial" w:cs="Arial"/>
        </w:rPr>
        <w:t>persisted at a six-month follow-up. The results showed that psychologically informed therapies can considerably contribute to emotional adjustment after diagnosis.</w:t>
      </w:r>
    </w:p>
    <w:p w14:paraId="7232A6EF" w14:textId="2048B819" w:rsidR="00CA097E" w:rsidRDefault="00CA097E" w:rsidP="00CA097E">
      <w:pPr>
        <w:spacing w:line="360" w:lineRule="auto"/>
        <w:rPr>
          <w:rFonts w:ascii="Arial" w:hAnsi="Arial" w:cs="Arial"/>
        </w:rPr>
      </w:pPr>
      <w:r w:rsidRPr="371E3AF7">
        <w:rPr>
          <w:rFonts w:ascii="Arial" w:hAnsi="Arial" w:cs="Arial"/>
        </w:rPr>
        <w:t>Qualitative and mixed-methods research has increasingly focused on stigma and emotional distress associated with dementia diagnosis.</w:t>
      </w:r>
      <w:r w:rsidR="691DEBAC" w:rsidRPr="371E3AF7">
        <w:rPr>
          <w:rFonts w:ascii="Arial" w:hAnsi="Arial" w:cs="Arial"/>
        </w:rPr>
        <w:t xml:space="preserve"> Bunn et al. (2021) performed a systematic review of interventions that focused on improving emotional resilience and discovered that early diagnosis might help in planning, yet frequently increased emotional distress in the absence of enough support. </w:t>
      </w:r>
      <w:r w:rsidRPr="371E3AF7">
        <w:rPr>
          <w:rFonts w:ascii="Arial" w:hAnsi="Arial" w:cs="Arial"/>
        </w:rPr>
        <w:t>These findings indicate that the absence of post-diagnostic therapy or psychosocial support could worsen suffering rather than reduce it.</w:t>
      </w:r>
    </w:p>
    <w:p w14:paraId="36B01407" w14:textId="4F28AACB" w:rsidR="00CA097E" w:rsidRDefault="00CA097E" w:rsidP="00CA097E">
      <w:pPr>
        <w:spacing w:line="360" w:lineRule="auto"/>
        <w:rPr>
          <w:rFonts w:ascii="Arial" w:hAnsi="Arial" w:cs="Arial"/>
        </w:rPr>
      </w:pPr>
      <w:r w:rsidRPr="00CA097E">
        <w:rPr>
          <w:rFonts w:ascii="Arial" w:hAnsi="Arial" w:cs="Arial"/>
        </w:rPr>
        <w:t>Recent studies explore early biomarkers and risk factors, such as depression and anxiety, that may predict a dementia diagnosis, as highlighted in retrospective cohort studies that identify these symptoms years befor</w:t>
      </w:r>
      <w:r w:rsidR="49707E33" w:rsidRPr="00CA097E">
        <w:rPr>
          <w:rFonts w:ascii="Arial" w:hAnsi="Arial" w:cs="Arial"/>
        </w:rPr>
        <w:t>e they manifest</w:t>
      </w:r>
      <w:r w:rsidRPr="00CA097E">
        <w:rPr>
          <w:rFonts w:ascii="Arial" w:hAnsi="Arial" w:cs="Arial"/>
        </w:rPr>
        <w:t xml:space="preserve"> </w:t>
      </w:r>
      <w:sdt>
        <w:sdtPr>
          <w:rPr>
            <w:rFonts w:ascii="Arial" w:hAnsi="Arial" w:cs="Arial"/>
          </w:rPr>
          <w:id w:val="1876194383"/>
          <w:citation/>
        </w:sdtPr>
        <w:sdtContent>
          <w:r>
            <w:rPr>
              <w:rFonts w:ascii="Arial" w:hAnsi="Arial" w:cs="Arial"/>
            </w:rPr>
            <w:fldChar w:fldCharType="begin"/>
          </w:r>
          <w:r>
            <w:rPr>
              <w:rFonts w:ascii="Arial" w:hAnsi="Arial" w:cs="Arial"/>
              <w:lang w:val="en-US"/>
            </w:rPr>
            <w:instrText xml:space="preserve"> CITATION You19 \l 1033 </w:instrText>
          </w:r>
          <w:r>
            <w:rPr>
              <w:rFonts w:ascii="Arial" w:hAnsi="Arial" w:cs="Arial"/>
            </w:rPr>
            <w:fldChar w:fldCharType="separate"/>
          </w:r>
          <w:r w:rsidR="001E393B" w:rsidRPr="001E393B">
            <w:rPr>
              <w:rFonts w:ascii="Arial" w:hAnsi="Arial" w:cs="Arial"/>
              <w:noProof/>
              <w:lang w:val="en-US"/>
            </w:rPr>
            <w:t>(Laurent, et al., 2019)</w:t>
          </w:r>
          <w:r>
            <w:rPr>
              <w:rFonts w:ascii="Arial" w:hAnsi="Arial" w:cs="Arial"/>
            </w:rPr>
            <w:fldChar w:fldCharType="end"/>
          </w:r>
        </w:sdtContent>
      </w:sdt>
      <w:r w:rsidRPr="00CA097E">
        <w:rPr>
          <w:rFonts w:ascii="Arial" w:hAnsi="Arial" w:cs="Arial"/>
        </w:rPr>
        <w:t>.</w:t>
      </w:r>
      <w:r w:rsidRPr="00CA097E">
        <w:rPr>
          <w:rFonts w:ascii="Arial" w:hAnsi="Arial" w:cs="Arial"/>
        </w:rPr>
        <w:br/>
        <w:t>Such studies are guiding initiatives for earlier detection and, possibly, earlier intervention to reduce risk.</w:t>
      </w:r>
    </w:p>
    <w:p w14:paraId="482D0890" w14:textId="6BA60DD8" w:rsidR="00C64738" w:rsidRPr="000849AC" w:rsidRDefault="00C64738" w:rsidP="00C64738">
      <w:pPr>
        <w:pStyle w:val="Heading3"/>
        <w:spacing w:line="360" w:lineRule="auto"/>
        <w:ind w:left="720"/>
        <w:rPr>
          <w:rFonts w:ascii="Arial" w:hAnsi="Arial" w:cs="Arial"/>
          <w:sz w:val="22"/>
          <w:u w:val="none"/>
        </w:rPr>
      </w:pPr>
      <w:bookmarkStart w:id="22" w:name="_Toc210677356"/>
      <w:r w:rsidRPr="000849AC">
        <w:rPr>
          <w:rFonts w:ascii="Arial" w:hAnsi="Arial" w:cs="Arial"/>
          <w:sz w:val="22"/>
          <w:u w:val="none"/>
        </w:rPr>
        <w:t>2.2.2 Research in the UK Context</w:t>
      </w:r>
      <w:bookmarkEnd w:id="22"/>
    </w:p>
    <w:p w14:paraId="516BEC98" w14:textId="582FF92C" w:rsidR="002343A9" w:rsidRDefault="002343A9" w:rsidP="002343A9">
      <w:pPr>
        <w:spacing w:line="360" w:lineRule="auto"/>
        <w:rPr>
          <w:rFonts w:ascii="Arial" w:hAnsi="Arial" w:cs="Arial"/>
        </w:rPr>
      </w:pPr>
      <w:r w:rsidRPr="002343A9">
        <w:rPr>
          <w:rFonts w:ascii="Arial" w:hAnsi="Arial" w:cs="Arial"/>
        </w:rPr>
        <w:t>Policy and Practice of Early Diagnosis</w:t>
      </w:r>
      <w:r w:rsidRPr="002343A9">
        <w:rPr>
          <w:rFonts w:ascii="Arial" w:hAnsi="Arial" w:cs="Arial"/>
        </w:rPr>
        <w:br/>
        <w:t>The National Dementia Strategy of the UK (Department of Health, 20</w:t>
      </w:r>
      <w:r>
        <w:rPr>
          <w:rFonts w:ascii="Arial" w:hAnsi="Arial" w:cs="Arial"/>
        </w:rPr>
        <w:t>11</w:t>
      </w:r>
      <w:r w:rsidRPr="002343A9">
        <w:rPr>
          <w:rFonts w:ascii="Arial" w:hAnsi="Arial" w:cs="Arial"/>
        </w:rPr>
        <w:t xml:space="preserve">) prioritised early detection in the process of care. Following to its implementation, research indicated improved referral rates to memory clinics and a rise in formal dementia diagnoses within primary care settings </w:t>
      </w:r>
      <w:sdt>
        <w:sdtPr>
          <w:rPr>
            <w:rFonts w:ascii="Arial" w:hAnsi="Arial" w:cs="Arial"/>
          </w:rPr>
          <w:id w:val="209768667"/>
          <w:citation/>
        </w:sdtPr>
        <w:sdtContent>
          <w:r>
            <w:rPr>
              <w:rFonts w:ascii="Arial" w:hAnsi="Arial" w:cs="Arial"/>
            </w:rPr>
            <w:fldChar w:fldCharType="begin"/>
          </w:r>
          <w:r>
            <w:rPr>
              <w:rFonts w:ascii="Arial" w:hAnsi="Arial" w:cs="Arial"/>
              <w:lang w:val="en-US"/>
            </w:rPr>
            <w:instrText xml:space="preserve"> CITATION Chr13 \l 1033 </w:instrText>
          </w:r>
          <w:r>
            <w:rPr>
              <w:rFonts w:ascii="Arial" w:hAnsi="Arial" w:cs="Arial"/>
            </w:rPr>
            <w:fldChar w:fldCharType="separate"/>
          </w:r>
          <w:r w:rsidR="001E393B" w:rsidRPr="001E393B">
            <w:rPr>
              <w:rFonts w:ascii="Arial" w:hAnsi="Arial" w:cs="Arial"/>
              <w:noProof/>
              <w:lang w:val="en-US"/>
            </w:rPr>
            <w:t>(Fox, et al., 2013)</w:t>
          </w:r>
          <w:r>
            <w:rPr>
              <w:rFonts w:ascii="Arial" w:hAnsi="Arial" w:cs="Arial"/>
            </w:rPr>
            <w:fldChar w:fldCharType="end"/>
          </w:r>
        </w:sdtContent>
      </w:sdt>
      <w:r w:rsidRPr="002343A9">
        <w:rPr>
          <w:rFonts w:ascii="Arial" w:hAnsi="Arial" w:cs="Arial"/>
        </w:rPr>
        <w:t>. However, disparities persisted in diagnostic timeframes across regions, characterised by insufficient access and variability in the performance metrics of memory clinics.</w:t>
      </w:r>
    </w:p>
    <w:p w14:paraId="351AEE51" w14:textId="77777777" w:rsidR="00555B42" w:rsidRDefault="00555B42" w:rsidP="00555B42">
      <w:pPr>
        <w:spacing w:line="360" w:lineRule="auto"/>
        <w:rPr>
          <w:rFonts w:ascii="Arial" w:hAnsi="Arial" w:cs="Arial"/>
        </w:rPr>
      </w:pPr>
      <w:r w:rsidRPr="00555B42">
        <w:rPr>
          <w:rFonts w:ascii="Arial" w:hAnsi="Arial" w:cs="Arial"/>
        </w:rPr>
        <w:t>Cohort and Record-Linkage Research</w:t>
      </w:r>
      <w:r w:rsidRPr="00555B42">
        <w:rPr>
          <w:rFonts w:ascii="Arial" w:hAnsi="Arial" w:cs="Arial"/>
        </w:rPr>
        <w:br/>
        <w:t xml:space="preserve">Pujades-Rodriguez et al. (2018) utilised the CALIBER linked dataset in England to determine the precision and patterns of diagnosis. Individuals diagnosed early were more likely to receive additional treatment and demonstrated a slightly reduced number of crisis admissions, indicating more effectively managed care pathways; however, mental health </w:t>
      </w:r>
      <w:r w:rsidRPr="00555B42">
        <w:rPr>
          <w:rFonts w:ascii="Arial" w:hAnsi="Arial" w:cs="Arial"/>
        </w:rPr>
        <w:lastRenderedPageBreak/>
        <w:t>outcomes were frequently assessed through healthcare utilisation rather than using validated psychometric tools.</w:t>
      </w:r>
    </w:p>
    <w:p w14:paraId="39D38C0D" w14:textId="77777777" w:rsidR="00F90498" w:rsidRDefault="00F90498" w:rsidP="00F90498">
      <w:pPr>
        <w:spacing w:line="360" w:lineRule="auto"/>
        <w:rPr>
          <w:rFonts w:ascii="Arial" w:hAnsi="Arial" w:cs="Arial"/>
        </w:rPr>
      </w:pPr>
      <w:r w:rsidRPr="00F90498">
        <w:rPr>
          <w:rFonts w:ascii="Arial" w:hAnsi="Arial" w:cs="Arial"/>
        </w:rPr>
        <w:t>In 2021, O’Malley et al. conducted an audit of clinical records for young-onset cases of dementia and reported significant variations in the accuracy of assessments, suggesting inconsistent diagnostic techniques that may affect emotional and psychological experiences following diagnosis.</w:t>
      </w:r>
    </w:p>
    <w:p w14:paraId="048ECEBA" w14:textId="2DD444EB" w:rsidR="00F83DD7" w:rsidRDefault="00F83DD7" w:rsidP="00F83DD7">
      <w:pPr>
        <w:spacing w:line="360" w:lineRule="auto"/>
        <w:rPr>
          <w:rFonts w:ascii="Arial" w:hAnsi="Arial" w:cs="Arial"/>
        </w:rPr>
      </w:pPr>
      <w:r w:rsidRPr="00F83DD7">
        <w:rPr>
          <w:rFonts w:ascii="Arial" w:hAnsi="Arial" w:cs="Arial"/>
        </w:rPr>
        <w:t>Qualitative and Interventional Studies</w:t>
      </w:r>
      <w:r w:rsidRPr="00F83DD7">
        <w:rPr>
          <w:rFonts w:ascii="Arial" w:hAnsi="Arial" w:cs="Arial"/>
        </w:rPr>
        <w:br/>
        <w:t>Bamford et al. (20</w:t>
      </w:r>
      <w:r w:rsidR="00D4081B">
        <w:rPr>
          <w:rFonts w:ascii="Arial" w:hAnsi="Arial" w:cs="Arial"/>
        </w:rPr>
        <w:t>23</w:t>
      </w:r>
      <w:r w:rsidRPr="00F83DD7">
        <w:rPr>
          <w:rFonts w:ascii="Arial" w:hAnsi="Arial" w:cs="Arial"/>
        </w:rPr>
        <w:t>) assessed post-diagnosis support models and found that early intervention via memory clinics and organised occupational therapy boosted emotional wellbeing and lowered carer burden over time. A memory clinic-based psychosocial intervention, implemented in collaboration with general practitioners, demonstrated lasting beneficial effects on patient moods and family coping over a 12-month period</w:t>
      </w:r>
      <w:r w:rsidR="00D4081B">
        <w:rPr>
          <w:rFonts w:ascii="Arial" w:hAnsi="Arial" w:cs="Arial"/>
        </w:rPr>
        <w:t xml:space="preserve"> </w:t>
      </w:r>
      <w:sdt>
        <w:sdtPr>
          <w:rPr>
            <w:rFonts w:ascii="Arial" w:hAnsi="Arial" w:cs="Arial"/>
          </w:rPr>
          <w:id w:val="-25954785"/>
          <w:citation/>
        </w:sdtPr>
        <w:sdtContent>
          <w:r w:rsidR="00D4081B">
            <w:rPr>
              <w:rFonts w:ascii="Arial" w:hAnsi="Arial" w:cs="Arial"/>
            </w:rPr>
            <w:fldChar w:fldCharType="begin"/>
          </w:r>
          <w:r w:rsidR="00D4081B">
            <w:rPr>
              <w:rFonts w:ascii="Arial" w:hAnsi="Arial" w:cs="Arial"/>
              <w:lang w:val="en-US"/>
            </w:rPr>
            <w:instrText xml:space="preserve"> CITATION Esm23 \l 1033 </w:instrText>
          </w:r>
          <w:r w:rsidR="00D4081B">
            <w:rPr>
              <w:rFonts w:ascii="Arial" w:hAnsi="Arial" w:cs="Arial"/>
            </w:rPr>
            <w:fldChar w:fldCharType="separate"/>
          </w:r>
          <w:r w:rsidR="001E393B" w:rsidRPr="001E393B">
            <w:rPr>
              <w:rFonts w:ascii="Arial" w:hAnsi="Arial" w:cs="Arial"/>
              <w:noProof/>
              <w:lang w:val="en-US"/>
            </w:rPr>
            <w:t>(Moniz-Cook &amp; Mountain, 2023)</w:t>
          </w:r>
          <w:r w:rsidR="00D4081B">
            <w:rPr>
              <w:rFonts w:ascii="Arial" w:hAnsi="Arial" w:cs="Arial"/>
            </w:rPr>
            <w:fldChar w:fldCharType="end"/>
          </w:r>
        </w:sdtContent>
      </w:sdt>
      <w:r w:rsidRPr="00F83DD7">
        <w:rPr>
          <w:rFonts w:ascii="Arial" w:hAnsi="Arial" w:cs="Arial"/>
        </w:rPr>
        <w:t>.</w:t>
      </w:r>
    </w:p>
    <w:p w14:paraId="65D3B4E4" w14:textId="4A679134" w:rsidR="007F29CB" w:rsidRDefault="007F29CB" w:rsidP="007F29CB">
      <w:pPr>
        <w:spacing w:line="360" w:lineRule="auto"/>
        <w:rPr>
          <w:rFonts w:ascii="Arial" w:hAnsi="Arial" w:cs="Arial"/>
        </w:rPr>
      </w:pPr>
      <w:r w:rsidRPr="007F29CB">
        <w:rPr>
          <w:rFonts w:ascii="Arial" w:hAnsi="Arial" w:cs="Arial"/>
        </w:rPr>
        <w:t xml:space="preserve">Giebel </w:t>
      </w:r>
      <w:r w:rsidR="001C6B5A">
        <w:rPr>
          <w:rFonts w:ascii="Arial" w:hAnsi="Arial" w:cs="Arial"/>
        </w:rPr>
        <w:t>&amp; Heath</w:t>
      </w:r>
      <w:r w:rsidRPr="007F29CB">
        <w:rPr>
          <w:rFonts w:ascii="Arial" w:hAnsi="Arial" w:cs="Arial"/>
        </w:rPr>
        <w:t xml:space="preserve"> (2023) completed an online survey throughout UK regions and observed that post-diagnostic support often fell short, even prior to the confirmation of early diagnosis. A significant number of patients did not obtain psychological counselling or planned follow-up support soon after diagnosis, indicating a disparity between early detection and emotional support.</w:t>
      </w:r>
    </w:p>
    <w:p w14:paraId="32113916" w14:textId="7E54FBB0" w:rsidR="002C3C81" w:rsidRDefault="002C3C81" w:rsidP="002C3C81">
      <w:pPr>
        <w:spacing w:line="360" w:lineRule="auto"/>
        <w:rPr>
          <w:rFonts w:ascii="Arial" w:hAnsi="Arial" w:cs="Arial"/>
        </w:rPr>
      </w:pPr>
      <w:r w:rsidRPr="002C3C81">
        <w:rPr>
          <w:rFonts w:ascii="Arial" w:hAnsi="Arial" w:cs="Arial"/>
        </w:rPr>
        <w:t>Access to Psychological Therapy and Its Outcomes</w:t>
      </w:r>
      <w:r w:rsidRPr="002C3C81">
        <w:rPr>
          <w:rFonts w:ascii="Arial" w:hAnsi="Arial" w:cs="Arial"/>
        </w:rPr>
        <w:br/>
        <w:t>IAPT (Improving Access to Psychological Therapies), a national program for combating depression and anxiety, has been tested in older adults. A UCL-led study involving approximately 120,000 adults aged over 65 observed that individuals receiving talking therapies for depression demonstrated a slightly lower future risk of dementia, suggesting possible long-term mental health and cognitive advantages of early psychological intervention</w:t>
      </w:r>
      <w:r w:rsidR="00FE1EC8">
        <w:rPr>
          <w:rFonts w:ascii="Arial" w:hAnsi="Arial" w:cs="Arial"/>
        </w:rPr>
        <w:t xml:space="preserve"> </w:t>
      </w:r>
      <w:sdt>
        <w:sdtPr>
          <w:rPr>
            <w:rFonts w:ascii="Arial" w:hAnsi="Arial" w:cs="Arial"/>
          </w:rPr>
          <w:id w:val="1772812614"/>
          <w:citation/>
        </w:sdtPr>
        <w:sdtContent>
          <w:r w:rsidR="00FE1EC8">
            <w:rPr>
              <w:rFonts w:ascii="Arial" w:hAnsi="Arial" w:cs="Arial"/>
            </w:rPr>
            <w:fldChar w:fldCharType="begin"/>
          </w:r>
          <w:r w:rsidR="00FE1EC8">
            <w:rPr>
              <w:rFonts w:ascii="Arial" w:hAnsi="Arial" w:cs="Arial"/>
              <w:lang w:val="en-US"/>
            </w:rPr>
            <w:instrText xml:space="preserve"> CITATION UCL23 \l 1033 </w:instrText>
          </w:r>
          <w:r w:rsidR="00FE1EC8">
            <w:rPr>
              <w:rFonts w:ascii="Arial" w:hAnsi="Arial" w:cs="Arial"/>
            </w:rPr>
            <w:fldChar w:fldCharType="separate"/>
          </w:r>
          <w:r w:rsidR="001E393B" w:rsidRPr="001E393B">
            <w:rPr>
              <w:rFonts w:ascii="Arial" w:hAnsi="Arial" w:cs="Arial"/>
              <w:noProof/>
              <w:lang w:val="en-US"/>
            </w:rPr>
            <w:t>(UCL, 2023)</w:t>
          </w:r>
          <w:r w:rsidR="00FE1EC8">
            <w:rPr>
              <w:rFonts w:ascii="Arial" w:hAnsi="Arial" w:cs="Arial"/>
            </w:rPr>
            <w:fldChar w:fldCharType="end"/>
          </w:r>
        </w:sdtContent>
      </w:sdt>
      <w:r w:rsidRPr="002C3C81">
        <w:rPr>
          <w:rFonts w:ascii="Arial" w:hAnsi="Arial" w:cs="Arial"/>
        </w:rPr>
        <w:t>.</w:t>
      </w:r>
    </w:p>
    <w:p w14:paraId="7BAB66DD" w14:textId="26D02F0A" w:rsidR="00FE1EC8" w:rsidRDefault="00FE1EC8" w:rsidP="00FE1EC8">
      <w:pPr>
        <w:spacing w:line="360" w:lineRule="auto"/>
        <w:rPr>
          <w:rFonts w:ascii="Arial" w:hAnsi="Arial" w:cs="Arial"/>
        </w:rPr>
      </w:pPr>
      <w:r w:rsidRPr="00FE1EC8">
        <w:rPr>
          <w:rFonts w:ascii="Arial" w:hAnsi="Arial" w:cs="Arial"/>
        </w:rPr>
        <w:t>Other UK studies adopting Cochrane meta-analysis showed that CBT interventions enhanced depressive symptoms and quality of life for adults with dementia or mild cognitive decline, especially when provided early in the disease progression</w:t>
      </w:r>
      <w:r>
        <w:rPr>
          <w:rFonts w:ascii="Arial" w:hAnsi="Arial" w:cs="Arial"/>
        </w:rPr>
        <w:t xml:space="preserve"> </w:t>
      </w:r>
      <w:sdt>
        <w:sdtPr>
          <w:rPr>
            <w:rFonts w:ascii="Arial" w:hAnsi="Arial" w:cs="Arial"/>
          </w:rPr>
          <w:id w:val="-457492211"/>
          <w:citation/>
        </w:sdtPr>
        <w:sdtContent>
          <w:r>
            <w:rPr>
              <w:rFonts w:ascii="Arial" w:hAnsi="Arial" w:cs="Arial"/>
            </w:rPr>
            <w:fldChar w:fldCharType="begin"/>
          </w:r>
          <w:r>
            <w:rPr>
              <w:rFonts w:ascii="Arial" w:hAnsi="Arial" w:cs="Arial"/>
              <w:lang w:val="en-US"/>
            </w:rPr>
            <w:instrText xml:space="preserve"> CITATION Gor02 \l 1033 </w:instrText>
          </w:r>
          <w:r>
            <w:rPr>
              <w:rFonts w:ascii="Arial" w:hAnsi="Arial" w:cs="Arial"/>
            </w:rPr>
            <w:fldChar w:fldCharType="separate"/>
          </w:r>
          <w:r w:rsidR="001E393B" w:rsidRPr="001E393B">
            <w:rPr>
              <w:rFonts w:ascii="Arial" w:hAnsi="Arial" w:cs="Arial"/>
              <w:noProof/>
              <w:lang w:val="en-US"/>
            </w:rPr>
            <w:t>(Asmundson &amp; Andersson, 2002)</w:t>
          </w:r>
          <w:r>
            <w:rPr>
              <w:rFonts w:ascii="Arial" w:hAnsi="Arial" w:cs="Arial"/>
            </w:rPr>
            <w:fldChar w:fldCharType="end"/>
          </w:r>
        </w:sdtContent>
      </w:sdt>
      <w:r>
        <w:rPr>
          <w:rFonts w:ascii="Arial" w:hAnsi="Arial" w:cs="Arial"/>
        </w:rPr>
        <w:t>.</w:t>
      </w:r>
    </w:p>
    <w:p w14:paraId="64B96FED" w14:textId="61B7ECB9" w:rsidR="008559D0" w:rsidRDefault="008559D0" w:rsidP="008559D0">
      <w:pPr>
        <w:spacing w:line="360" w:lineRule="auto"/>
        <w:rPr>
          <w:rFonts w:ascii="Arial" w:hAnsi="Arial" w:cs="Arial"/>
        </w:rPr>
      </w:pPr>
      <w:r w:rsidRPr="008559D0">
        <w:rPr>
          <w:rFonts w:ascii="Arial" w:hAnsi="Arial" w:cs="Arial"/>
        </w:rPr>
        <w:t xml:space="preserve">The </w:t>
      </w:r>
      <w:r>
        <w:rPr>
          <w:rFonts w:ascii="Arial" w:hAnsi="Arial" w:cs="Arial"/>
        </w:rPr>
        <w:t>s</w:t>
      </w:r>
      <w:r w:rsidRPr="00D46212">
        <w:rPr>
          <w:rFonts w:ascii="Arial" w:hAnsi="Arial" w:cs="Arial"/>
        </w:rPr>
        <w:t xml:space="preserve">cope and </w:t>
      </w:r>
      <w:r>
        <w:rPr>
          <w:rFonts w:ascii="Arial" w:hAnsi="Arial" w:cs="Arial"/>
        </w:rPr>
        <w:t>d</w:t>
      </w:r>
      <w:r w:rsidRPr="00D46212">
        <w:rPr>
          <w:rFonts w:ascii="Arial" w:hAnsi="Arial" w:cs="Arial"/>
        </w:rPr>
        <w:t xml:space="preserve">epth </w:t>
      </w:r>
      <w:r w:rsidRPr="008559D0">
        <w:rPr>
          <w:rFonts w:ascii="Arial" w:hAnsi="Arial" w:cs="Arial"/>
        </w:rPr>
        <w:t xml:space="preserve">of UK dementia research </w:t>
      </w:r>
      <w:proofErr w:type="gramStart"/>
      <w:r w:rsidRPr="008559D0">
        <w:rPr>
          <w:rFonts w:ascii="Arial" w:hAnsi="Arial" w:cs="Arial"/>
        </w:rPr>
        <w:t>shows</w:t>
      </w:r>
      <w:proofErr w:type="gramEnd"/>
      <w:r w:rsidRPr="008559D0">
        <w:rPr>
          <w:rFonts w:ascii="Arial" w:hAnsi="Arial" w:cs="Arial"/>
        </w:rPr>
        <w:t xml:space="preserve"> a distinct progression from biomedical treatment approaches to broad, psychosocial strategies. Evidence indicates that early diagnosis, when associated with organised psychosocial interventions, can result in better mental health outcomes and a superior quality of life. However, limitations in establishing definitions of early diagnosis, diverse diagnostic practices, and inconsistent availability to </w:t>
      </w:r>
      <w:r w:rsidRPr="008559D0">
        <w:rPr>
          <w:rFonts w:ascii="Arial" w:hAnsi="Arial" w:cs="Arial"/>
        </w:rPr>
        <w:lastRenderedPageBreak/>
        <w:t>follow-up support consistently limit both research and practice. The present work expands on existing UK literature in order to improve the understanding of how the timing and context of diagnosis affect emotional wellbeing in dementia, addressing a recognised deficit in the evidence base.</w:t>
      </w:r>
    </w:p>
    <w:p w14:paraId="33D07E77" w14:textId="3E670E41" w:rsidR="000D5E12" w:rsidRDefault="000D5E12" w:rsidP="00743B17">
      <w:pPr>
        <w:pStyle w:val="Heading2"/>
        <w:spacing w:line="360" w:lineRule="auto"/>
        <w:jc w:val="left"/>
        <w:rPr>
          <w:rFonts w:ascii="Arial" w:hAnsi="Arial" w:cs="Arial"/>
        </w:rPr>
      </w:pPr>
      <w:bookmarkStart w:id="23" w:name="_Toc210677357"/>
      <w:r w:rsidRPr="00743B17">
        <w:rPr>
          <w:rFonts w:ascii="Arial" w:hAnsi="Arial" w:cs="Arial"/>
        </w:rPr>
        <w:t xml:space="preserve">2.3 </w:t>
      </w:r>
      <w:r w:rsidR="00743B17" w:rsidRPr="00743B17">
        <w:rPr>
          <w:rFonts w:ascii="Arial" w:hAnsi="Arial" w:cs="Arial"/>
        </w:rPr>
        <w:t>Synthesis of Key Findings</w:t>
      </w:r>
      <w:bookmarkEnd w:id="23"/>
    </w:p>
    <w:p w14:paraId="37675563" w14:textId="0A523EA2" w:rsidR="00743B17" w:rsidRPr="000849AC" w:rsidRDefault="00743B17" w:rsidP="00743B17">
      <w:pPr>
        <w:pStyle w:val="Heading3"/>
        <w:spacing w:line="360" w:lineRule="auto"/>
        <w:ind w:left="720"/>
        <w:rPr>
          <w:rFonts w:ascii="Arial" w:hAnsi="Arial" w:cs="Arial"/>
          <w:sz w:val="22"/>
          <w:u w:val="none"/>
        </w:rPr>
      </w:pPr>
      <w:bookmarkStart w:id="24" w:name="_Toc210677358"/>
      <w:r w:rsidRPr="000849AC">
        <w:rPr>
          <w:rFonts w:ascii="Arial" w:hAnsi="Arial" w:cs="Arial"/>
          <w:sz w:val="22"/>
          <w:u w:val="none"/>
        </w:rPr>
        <w:t>2.3.1 Early Diagnosis and Mental Health Outcomes</w:t>
      </w:r>
      <w:bookmarkEnd w:id="24"/>
    </w:p>
    <w:p w14:paraId="41C9CC4E" w14:textId="49200647" w:rsidR="00743B17" w:rsidRDefault="00743B17" w:rsidP="00743B17">
      <w:pPr>
        <w:spacing w:line="360" w:lineRule="auto"/>
        <w:rPr>
          <w:rFonts w:ascii="Arial" w:hAnsi="Arial" w:cs="Arial"/>
        </w:rPr>
      </w:pPr>
      <w:r w:rsidRPr="00743B17">
        <w:rPr>
          <w:rFonts w:ascii="Arial" w:hAnsi="Arial" w:cs="Arial"/>
        </w:rPr>
        <w:t xml:space="preserve">Early diagnosis is increasingly acknowledged as a pathway for prompt intervention and personalised dementia care. It helps individuals and families to make </w:t>
      </w:r>
      <w:r w:rsidR="0F83C2ED" w:rsidRPr="00743B17">
        <w:rPr>
          <w:rFonts w:ascii="Arial" w:hAnsi="Arial" w:cs="Arial"/>
        </w:rPr>
        <w:t>plans</w:t>
      </w:r>
      <w:r w:rsidRPr="00743B17">
        <w:rPr>
          <w:rFonts w:ascii="Arial" w:hAnsi="Arial" w:cs="Arial"/>
        </w:rPr>
        <w:t xml:space="preserve">, access support services right away, and address symptoms proactively. Studies indicate that with sufficient support, an early diagnosis may reduce emotional distress while improving psychological outcomes </w:t>
      </w:r>
      <w:sdt>
        <w:sdtPr>
          <w:rPr>
            <w:rFonts w:ascii="Arial" w:hAnsi="Arial" w:cs="Arial"/>
          </w:rPr>
          <w:id w:val="-2034110014"/>
          <w:citation/>
        </w:sdtPr>
        <w:sdtContent>
          <w:r>
            <w:rPr>
              <w:rFonts w:ascii="Arial" w:hAnsi="Arial" w:cs="Arial"/>
            </w:rPr>
            <w:fldChar w:fldCharType="begin"/>
          </w:r>
          <w:r>
            <w:rPr>
              <w:rFonts w:ascii="Arial" w:hAnsi="Arial" w:cs="Arial"/>
              <w:lang w:val="en-US"/>
            </w:rPr>
            <w:instrText xml:space="preserve"> CITATION Fra17 \l 1033 </w:instrText>
          </w:r>
          <w:r>
            <w:rPr>
              <w:rFonts w:ascii="Arial" w:hAnsi="Arial" w:cs="Arial"/>
            </w:rPr>
            <w:fldChar w:fldCharType="separate"/>
          </w:r>
          <w:r w:rsidR="001E393B" w:rsidRPr="001E393B">
            <w:rPr>
              <w:rFonts w:ascii="Arial" w:hAnsi="Arial" w:cs="Arial"/>
              <w:noProof/>
              <w:lang w:val="en-US"/>
            </w:rPr>
            <w:t>(Bunn, et al., 2017)</w:t>
          </w:r>
          <w:r>
            <w:rPr>
              <w:rFonts w:ascii="Arial" w:hAnsi="Arial" w:cs="Arial"/>
            </w:rPr>
            <w:fldChar w:fldCharType="end"/>
          </w:r>
        </w:sdtContent>
      </w:sdt>
      <w:r w:rsidRPr="00743B17">
        <w:rPr>
          <w:rFonts w:ascii="Arial" w:hAnsi="Arial" w:cs="Arial"/>
        </w:rPr>
        <w:t>.</w:t>
      </w:r>
    </w:p>
    <w:p w14:paraId="2B63CA4E" w14:textId="3493023D" w:rsidR="007848E6" w:rsidRDefault="007848E6" w:rsidP="007848E6">
      <w:pPr>
        <w:spacing w:line="360" w:lineRule="auto"/>
        <w:rPr>
          <w:rFonts w:ascii="Arial" w:hAnsi="Arial" w:cs="Arial"/>
        </w:rPr>
      </w:pPr>
      <w:r w:rsidRPr="007848E6">
        <w:rPr>
          <w:rFonts w:ascii="Arial" w:hAnsi="Arial" w:cs="Arial"/>
        </w:rPr>
        <w:t>Bunn et al. (20</w:t>
      </w:r>
      <w:r>
        <w:rPr>
          <w:rFonts w:ascii="Arial" w:hAnsi="Arial" w:cs="Arial"/>
        </w:rPr>
        <w:t>17</w:t>
      </w:r>
      <w:r w:rsidRPr="007848E6">
        <w:rPr>
          <w:rFonts w:ascii="Arial" w:hAnsi="Arial" w:cs="Arial"/>
        </w:rPr>
        <w:t xml:space="preserve">) identified that individuals diagnosed early frequently experience a multifaceted variety of emotions, including relief from understanding their condition and grief regarding how it affects them. However, they are more likely to take part in planning, utilise counselling services, and keep better mental health if measures are implemented quickly after diagnosis. Giebel </w:t>
      </w:r>
      <w:r>
        <w:rPr>
          <w:rFonts w:ascii="Arial" w:hAnsi="Arial" w:cs="Arial"/>
        </w:rPr>
        <w:t>&amp; Heath</w:t>
      </w:r>
      <w:r w:rsidRPr="007848E6">
        <w:rPr>
          <w:rFonts w:ascii="Arial" w:hAnsi="Arial" w:cs="Arial"/>
        </w:rPr>
        <w:t xml:space="preserve"> (202</w:t>
      </w:r>
      <w:r>
        <w:rPr>
          <w:rFonts w:ascii="Arial" w:hAnsi="Arial" w:cs="Arial"/>
        </w:rPr>
        <w:t>3</w:t>
      </w:r>
      <w:r w:rsidRPr="007848E6">
        <w:rPr>
          <w:rFonts w:ascii="Arial" w:hAnsi="Arial" w:cs="Arial"/>
        </w:rPr>
        <w:t>) validated this by demonstrating that organised post-diagnostic support, incorporating psychosocial interventions and occupational therapy, may significantly decrease anxiety and depression rates in individuals diagnosed earlier.</w:t>
      </w:r>
    </w:p>
    <w:p w14:paraId="215C7F12" w14:textId="30EB58A4" w:rsidR="007848E6" w:rsidRDefault="007848E6" w:rsidP="007848E6">
      <w:pPr>
        <w:spacing w:line="360" w:lineRule="auto"/>
        <w:rPr>
          <w:rFonts w:ascii="Arial" w:hAnsi="Arial" w:cs="Arial"/>
        </w:rPr>
      </w:pPr>
      <w:r w:rsidRPr="007848E6">
        <w:rPr>
          <w:rFonts w:ascii="Arial" w:hAnsi="Arial" w:cs="Arial"/>
        </w:rPr>
        <w:t xml:space="preserve">The advantages of early diagnosis are significantly influenced by the accessibility and quality of subsequent medical treatment. </w:t>
      </w:r>
      <w:r w:rsidR="005F4A29">
        <w:rPr>
          <w:rFonts w:ascii="Arial" w:hAnsi="Arial" w:cs="Arial"/>
        </w:rPr>
        <w:t>Monica et al.</w:t>
      </w:r>
      <w:r w:rsidRPr="007848E6">
        <w:rPr>
          <w:rFonts w:ascii="Arial" w:hAnsi="Arial" w:cs="Arial"/>
        </w:rPr>
        <w:t xml:space="preserve"> (20</w:t>
      </w:r>
      <w:r w:rsidR="005F4A29">
        <w:rPr>
          <w:rFonts w:ascii="Arial" w:hAnsi="Arial" w:cs="Arial"/>
        </w:rPr>
        <w:t>19</w:t>
      </w:r>
      <w:r w:rsidRPr="007848E6">
        <w:rPr>
          <w:rFonts w:ascii="Arial" w:hAnsi="Arial" w:cs="Arial"/>
        </w:rPr>
        <w:t>) stated that providing an early diagnosis without concomitant support services could increase fear, confusion, and hopelessness. In certain instances, it can increase anxiety, particularly when individuals sense a flood of information and a lack of support from healthcare professionals.</w:t>
      </w:r>
    </w:p>
    <w:p w14:paraId="46BA2BFD" w14:textId="28E93D5F" w:rsidR="00A81102" w:rsidRDefault="00A81102" w:rsidP="00A81102">
      <w:pPr>
        <w:spacing w:line="360" w:lineRule="auto"/>
        <w:rPr>
          <w:rFonts w:ascii="Arial" w:hAnsi="Arial" w:cs="Arial"/>
        </w:rPr>
      </w:pPr>
      <w:r w:rsidRPr="00A81102">
        <w:rPr>
          <w:rFonts w:ascii="Arial" w:hAnsi="Arial" w:cs="Arial"/>
        </w:rPr>
        <w:t>On the other hand, integrated multidisciplinary approaches, such as occupational therapy, cognitive stimulation, and reminiscence therapy, demonstrate beneficial effects on mental wellbeing</w:t>
      </w:r>
      <w:r w:rsidR="008E3675">
        <w:rPr>
          <w:rFonts w:ascii="Arial" w:hAnsi="Arial" w:cs="Arial"/>
        </w:rPr>
        <w:t xml:space="preserve"> </w:t>
      </w:r>
      <w:sdt>
        <w:sdtPr>
          <w:rPr>
            <w:rFonts w:ascii="Arial" w:hAnsi="Arial" w:cs="Arial"/>
          </w:rPr>
          <w:id w:val="1381279920"/>
          <w:citation/>
        </w:sdtPr>
        <w:sdtContent>
          <w:r w:rsidR="008E3675">
            <w:rPr>
              <w:rFonts w:ascii="Arial" w:hAnsi="Arial" w:cs="Arial"/>
            </w:rPr>
            <w:fldChar w:fldCharType="begin"/>
          </w:r>
          <w:r w:rsidR="008E3675">
            <w:rPr>
              <w:rFonts w:ascii="Arial" w:hAnsi="Arial" w:cs="Arial"/>
              <w:lang w:val="en-US"/>
            </w:rPr>
            <w:instrText xml:space="preserve"> CITATION Kim20 \l 1033 </w:instrText>
          </w:r>
          <w:r w:rsidR="008E3675">
            <w:rPr>
              <w:rFonts w:ascii="Arial" w:hAnsi="Arial" w:cs="Arial"/>
            </w:rPr>
            <w:fldChar w:fldCharType="separate"/>
          </w:r>
          <w:r w:rsidR="001E393B" w:rsidRPr="001E393B">
            <w:rPr>
              <w:rFonts w:ascii="Arial" w:hAnsi="Arial" w:cs="Arial"/>
              <w:noProof/>
              <w:lang w:val="en-US"/>
            </w:rPr>
            <w:t>(DeokJu, 2020)</w:t>
          </w:r>
          <w:r w:rsidR="008E3675">
            <w:rPr>
              <w:rFonts w:ascii="Arial" w:hAnsi="Arial" w:cs="Arial"/>
            </w:rPr>
            <w:fldChar w:fldCharType="end"/>
          </w:r>
        </w:sdtContent>
      </w:sdt>
      <w:r w:rsidRPr="00A81102">
        <w:rPr>
          <w:rFonts w:ascii="Arial" w:hAnsi="Arial" w:cs="Arial"/>
        </w:rPr>
        <w:t xml:space="preserve">. These methods are particularly efficient when delivered promptly after diagnosis while involving both patients and their </w:t>
      </w:r>
      <w:proofErr w:type="spellStart"/>
      <w:r w:rsidRPr="00A81102">
        <w:rPr>
          <w:rFonts w:ascii="Arial" w:hAnsi="Arial" w:cs="Arial"/>
        </w:rPr>
        <w:t>carers</w:t>
      </w:r>
      <w:proofErr w:type="spellEnd"/>
      <w:r w:rsidRPr="00A81102">
        <w:rPr>
          <w:rFonts w:ascii="Arial" w:hAnsi="Arial" w:cs="Arial"/>
        </w:rPr>
        <w:t xml:space="preserve"> in the therapeutic process.</w:t>
      </w:r>
    </w:p>
    <w:p w14:paraId="74F4F994" w14:textId="77777777" w:rsidR="008E3675" w:rsidRPr="008E3675" w:rsidRDefault="008E3675" w:rsidP="008E3675">
      <w:pPr>
        <w:spacing w:line="360" w:lineRule="auto"/>
        <w:rPr>
          <w:rFonts w:ascii="Arial" w:hAnsi="Arial" w:cs="Arial"/>
        </w:rPr>
      </w:pPr>
      <w:r w:rsidRPr="371E3AF7">
        <w:rPr>
          <w:rFonts w:ascii="Arial" w:hAnsi="Arial" w:cs="Arial"/>
        </w:rPr>
        <w:t>Milne (2010) states that whilst early diagnosis can empower individuals, there is also a risk that medicalisation and a culture of surveillance may accidentally stigmatise patients. For early diagnosis to be advantageous, it must be customised within individualised treatment that values the individual's autonomy and preferences.</w:t>
      </w:r>
    </w:p>
    <w:p w14:paraId="7DE66C82" w14:textId="072EEE9D" w:rsidR="194B74E7" w:rsidRDefault="194B74E7" w:rsidP="371E3AF7">
      <w:pPr>
        <w:spacing w:line="360" w:lineRule="auto"/>
        <w:rPr>
          <w:rFonts w:ascii="Arial" w:hAnsi="Arial" w:cs="Arial"/>
        </w:rPr>
      </w:pPr>
      <w:r w:rsidRPr="371E3AF7">
        <w:rPr>
          <w:rFonts w:ascii="Arial" w:hAnsi="Arial" w:cs="Arial"/>
        </w:rPr>
        <w:lastRenderedPageBreak/>
        <w:t>Early diagnosis has significant potential for improving mental health outcomes, if it is accompanied by accessible, customised, and compassionate post-diagnostic support systems.</w:t>
      </w:r>
    </w:p>
    <w:p w14:paraId="1AD1E81F" w14:textId="2427B413" w:rsidR="008E3675" w:rsidRPr="000849AC" w:rsidRDefault="008E3675" w:rsidP="008E3675">
      <w:pPr>
        <w:pStyle w:val="Heading3"/>
        <w:spacing w:line="360" w:lineRule="auto"/>
        <w:ind w:left="720"/>
        <w:rPr>
          <w:rFonts w:ascii="Arial" w:hAnsi="Arial" w:cs="Arial"/>
          <w:sz w:val="22"/>
          <w:u w:val="none"/>
        </w:rPr>
      </w:pPr>
      <w:bookmarkStart w:id="25" w:name="_Toc210677359"/>
      <w:r w:rsidRPr="000849AC">
        <w:rPr>
          <w:rFonts w:ascii="Arial" w:hAnsi="Arial" w:cs="Arial"/>
          <w:sz w:val="22"/>
          <w:u w:val="none"/>
        </w:rPr>
        <w:t>2.3.2 Late Diagnosis and Emotional Burden</w:t>
      </w:r>
      <w:bookmarkEnd w:id="25"/>
    </w:p>
    <w:p w14:paraId="77F77B24" w14:textId="72D3EAC6" w:rsidR="008D365F" w:rsidRDefault="008D365F" w:rsidP="008D365F">
      <w:pPr>
        <w:spacing w:line="360" w:lineRule="auto"/>
        <w:rPr>
          <w:rFonts w:ascii="Arial" w:hAnsi="Arial" w:cs="Arial"/>
        </w:rPr>
      </w:pPr>
      <w:r w:rsidRPr="008D365F">
        <w:rPr>
          <w:rFonts w:ascii="Arial" w:hAnsi="Arial" w:cs="Arial"/>
        </w:rPr>
        <w:t xml:space="preserve">In contrast, a diagnosis of dementia in the late stages is usually linked to worse mental health outcomes. People who are diagnosed at advanced stages often have a quick decline in their cognitive and functional abilities, with little time to adjust, plan, or get the right help. This can make people feel more confused, helpless, and depressed </w:t>
      </w:r>
      <w:sdt>
        <w:sdtPr>
          <w:rPr>
            <w:rFonts w:ascii="Arial" w:hAnsi="Arial" w:cs="Arial"/>
          </w:rPr>
          <w:id w:val="277305794"/>
          <w:citation/>
        </w:sdtPr>
        <w:sdtContent>
          <w:r>
            <w:rPr>
              <w:rFonts w:ascii="Arial" w:hAnsi="Arial" w:cs="Arial"/>
            </w:rPr>
            <w:fldChar w:fldCharType="begin"/>
          </w:r>
          <w:r>
            <w:rPr>
              <w:rFonts w:ascii="Arial" w:hAnsi="Arial" w:cs="Arial"/>
              <w:lang w:val="en-US"/>
            </w:rPr>
            <w:instrText xml:space="preserve"> CITATION Max24 \l 1033 </w:instrText>
          </w:r>
          <w:r>
            <w:rPr>
              <w:rFonts w:ascii="Arial" w:hAnsi="Arial" w:cs="Arial"/>
            </w:rPr>
            <w:fldChar w:fldCharType="separate"/>
          </w:r>
          <w:r w:rsidR="001E393B" w:rsidRPr="001E393B">
            <w:rPr>
              <w:rFonts w:ascii="Arial" w:hAnsi="Arial" w:cs="Arial"/>
              <w:noProof/>
              <w:lang w:val="en-US"/>
            </w:rPr>
            <w:t>(Maxine, 2024)</w:t>
          </w:r>
          <w:r>
            <w:rPr>
              <w:rFonts w:ascii="Arial" w:hAnsi="Arial" w:cs="Arial"/>
            </w:rPr>
            <w:fldChar w:fldCharType="end"/>
          </w:r>
        </w:sdtContent>
      </w:sdt>
      <w:r w:rsidRPr="008D365F">
        <w:rPr>
          <w:rFonts w:ascii="Arial" w:hAnsi="Arial" w:cs="Arial"/>
        </w:rPr>
        <w:t>.</w:t>
      </w:r>
    </w:p>
    <w:p w14:paraId="4316B688" w14:textId="59D8973B" w:rsidR="00E933F7" w:rsidRPr="00E933F7" w:rsidRDefault="00E933F7" w:rsidP="00E933F7">
      <w:pPr>
        <w:spacing w:line="360" w:lineRule="auto"/>
        <w:rPr>
          <w:rFonts w:ascii="Arial" w:hAnsi="Arial" w:cs="Arial"/>
        </w:rPr>
      </w:pPr>
      <w:r w:rsidRPr="371E3AF7">
        <w:rPr>
          <w:rFonts w:ascii="Arial" w:hAnsi="Arial" w:cs="Arial"/>
        </w:rPr>
        <w:t>Bunn et al. (2017) found that people who are diagnosed later in the disease process report higher rates of emotional trauma and loss of identity. This is because the diagnosis comes out of nowhere and they</w:t>
      </w:r>
      <w:r w:rsidR="4CCE9261" w:rsidRPr="371E3AF7">
        <w:rPr>
          <w:rFonts w:ascii="Arial" w:hAnsi="Arial" w:cs="Arial"/>
        </w:rPr>
        <w:t xml:space="preserve"> do not </w:t>
      </w:r>
      <w:r w:rsidRPr="371E3AF7">
        <w:rPr>
          <w:rFonts w:ascii="Arial" w:hAnsi="Arial" w:cs="Arial"/>
        </w:rPr>
        <w:t>have any coping strategies in place. Given that their cognitive abilities are lower, these people may also not be able to make decisions, resulting in them feeling even more powerless.</w:t>
      </w:r>
    </w:p>
    <w:p w14:paraId="5FE6312A" w14:textId="1B1B5220" w:rsidR="00E933F7" w:rsidRDefault="00E933F7" w:rsidP="00E933F7">
      <w:pPr>
        <w:spacing w:line="360" w:lineRule="auto"/>
        <w:rPr>
          <w:rFonts w:ascii="Arial" w:hAnsi="Arial" w:cs="Arial"/>
        </w:rPr>
      </w:pPr>
      <w:r w:rsidRPr="371E3AF7">
        <w:rPr>
          <w:rFonts w:ascii="Arial" w:hAnsi="Arial" w:cs="Arial"/>
        </w:rPr>
        <w:t xml:space="preserve">Pujades-Rodriguez et al. (2018) used the CALIBER dataset to show that there were systemic delays in diagnosis, with patients often showing symptoms years before they were officially diagnosed. Some of the reasons for this are that general practitioners frequently fail to recognise early signs, there is a stigma around dementia, and primary care </w:t>
      </w:r>
      <w:r w:rsidR="0562BA28" w:rsidRPr="371E3AF7">
        <w:rPr>
          <w:rFonts w:ascii="Arial" w:hAnsi="Arial" w:cs="Arial"/>
        </w:rPr>
        <w:t xml:space="preserve">does not </w:t>
      </w:r>
      <w:r w:rsidRPr="371E3AF7">
        <w:rPr>
          <w:rFonts w:ascii="Arial" w:hAnsi="Arial" w:cs="Arial"/>
        </w:rPr>
        <w:t>always do routine cognitive assessments.</w:t>
      </w:r>
    </w:p>
    <w:p w14:paraId="43BF1153" w14:textId="2C858BC1" w:rsidR="00E933F7" w:rsidRDefault="00E933F7" w:rsidP="00E933F7">
      <w:pPr>
        <w:spacing w:line="360" w:lineRule="auto"/>
        <w:rPr>
          <w:rFonts w:ascii="Arial" w:hAnsi="Arial" w:cs="Arial"/>
        </w:rPr>
      </w:pPr>
      <w:r w:rsidRPr="00E933F7">
        <w:rPr>
          <w:rFonts w:ascii="Arial" w:hAnsi="Arial" w:cs="Arial"/>
        </w:rPr>
        <w:t>These delays result in reduced opportunities for intervention and intensify the burden on families, who frequently undertake caregiving responsibilities without proper support or guidance. Fox et al. (201</w:t>
      </w:r>
      <w:r w:rsidR="00715DCD">
        <w:rPr>
          <w:rFonts w:ascii="Arial" w:hAnsi="Arial" w:cs="Arial"/>
        </w:rPr>
        <w:t>3</w:t>
      </w:r>
      <w:r w:rsidRPr="00E933F7">
        <w:rPr>
          <w:rFonts w:ascii="Arial" w:hAnsi="Arial" w:cs="Arial"/>
        </w:rPr>
        <w:t>) demonstrated that carers of patients diagnosed late showed higher levels of depression, stress, and burnout, particularly when they felt responsible for missing the first signs.</w:t>
      </w:r>
    </w:p>
    <w:p w14:paraId="2BC11D0C" w14:textId="75F532D6" w:rsidR="0003006D" w:rsidRDefault="0003006D" w:rsidP="0003006D">
      <w:pPr>
        <w:spacing w:line="360" w:lineRule="auto"/>
        <w:rPr>
          <w:rFonts w:ascii="Arial" w:hAnsi="Arial" w:cs="Arial"/>
        </w:rPr>
      </w:pPr>
      <w:r w:rsidRPr="0003006D">
        <w:rPr>
          <w:rFonts w:ascii="Arial" w:hAnsi="Arial" w:cs="Arial"/>
        </w:rPr>
        <w:t xml:space="preserve">Delayed diagnosis reduces access to specific treatments and support services, some of which are most effective in the initial stages of dementia. </w:t>
      </w:r>
      <w:r>
        <w:rPr>
          <w:rFonts w:ascii="Arial" w:hAnsi="Arial" w:cs="Arial"/>
        </w:rPr>
        <w:t>Maxine</w:t>
      </w:r>
      <w:r w:rsidRPr="0003006D">
        <w:rPr>
          <w:rFonts w:ascii="Arial" w:hAnsi="Arial" w:cs="Arial"/>
        </w:rPr>
        <w:t xml:space="preserve"> (20</w:t>
      </w:r>
      <w:r>
        <w:rPr>
          <w:rFonts w:ascii="Arial" w:hAnsi="Arial" w:cs="Arial"/>
        </w:rPr>
        <w:t>24</w:t>
      </w:r>
      <w:r w:rsidRPr="0003006D">
        <w:rPr>
          <w:rFonts w:ascii="Arial" w:hAnsi="Arial" w:cs="Arial"/>
        </w:rPr>
        <w:t>) emphasised that individuals diagnosed later experienced reduced opportunities for therapeutic participation, advance care planning, or enrolment in memory clinics, all of which are linked to improved mental wellbeing.</w:t>
      </w:r>
    </w:p>
    <w:p w14:paraId="33B88CF6" w14:textId="77777777" w:rsidR="0003006D" w:rsidRPr="0003006D" w:rsidRDefault="0003006D" w:rsidP="0003006D">
      <w:pPr>
        <w:spacing w:line="360" w:lineRule="auto"/>
        <w:rPr>
          <w:rFonts w:ascii="Arial" w:hAnsi="Arial" w:cs="Arial"/>
        </w:rPr>
      </w:pPr>
      <w:r w:rsidRPr="0003006D">
        <w:rPr>
          <w:rFonts w:ascii="Arial" w:hAnsi="Arial" w:cs="Arial"/>
        </w:rPr>
        <w:t>To conclude, early diagnosis facilitates improved emotional outcomes, whereas late diagnosis contributes to psychological distress and restricts possibilities for treatment for both patients and carers. These findings highlight the importance of prompt, supported, and contextually relevant diagnostic methods in dementia care.</w:t>
      </w:r>
    </w:p>
    <w:p w14:paraId="1CF49FB2" w14:textId="62E52684" w:rsidR="0003006D" w:rsidRDefault="00D530F6" w:rsidP="00D530F6">
      <w:pPr>
        <w:pStyle w:val="Heading2"/>
        <w:spacing w:line="360" w:lineRule="auto"/>
        <w:jc w:val="left"/>
        <w:rPr>
          <w:rFonts w:ascii="Arial" w:hAnsi="Arial" w:cs="Arial"/>
        </w:rPr>
      </w:pPr>
      <w:bookmarkStart w:id="26" w:name="_Toc210677360"/>
      <w:r w:rsidRPr="00D530F6">
        <w:rPr>
          <w:rFonts w:ascii="Arial" w:hAnsi="Arial" w:cs="Arial"/>
        </w:rPr>
        <w:lastRenderedPageBreak/>
        <w:t>2.4 Methodological Strengths and Limitations in Existing Research</w:t>
      </w:r>
      <w:bookmarkEnd w:id="26"/>
    </w:p>
    <w:p w14:paraId="1AA6758F" w14:textId="5FFA58F6" w:rsidR="000B404D" w:rsidRDefault="000B404D" w:rsidP="000B404D">
      <w:pPr>
        <w:spacing w:line="360" w:lineRule="auto"/>
        <w:rPr>
          <w:rFonts w:ascii="Arial" w:hAnsi="Arial" w:cs="Arial"/>
        </w:rPr>
      </w:pPr>
      <w:r w:rsidRPr="000B404D">
        <w:rPr>
          <w:rFonts w:ascii="Arial" w:hAnsi="Arial" w:cs="Arial"/>
        </w:rPr>
        <w:t>A common theme in dementia literature is the recognition of early diagnosis as an effective intervention</w:t>
      </w:r>
      <w:r>
        <w:rPr>
          <w:rFonts w:ascii="Arial" w:hAnsi="Arial" w:cs="Arial"/>
        </w:rPr>
        <w:t xml:space="preserve"> </w:t>
      </w:r>
      <w:sdt>
        <w:sdtPr>
          <w:rPr>
            <w:rFonts w:ascii="Arial" w:hAnsi="Arial" w:cs="Arial"/>
          </w:rPr>
          <w:id w:val="105472816"/>
          <w:citation/>
        </w:sdtPr>
        <w:sdtContent>
          <w:r>
            <w:rPr>
              <w:rFonts w:ascii="Arial" w:hAnsi="Arial" w:cs="Arial"/>
            </w:rPr>
            <w:fldChar w:fldCharType="begin"/>
          </w:r>
          <w:r>
            <w:rPr>
              <w:rFonts w:ascii="Arial" w:hAnsi="Arial" w:cs="Arial"/>
              <w:lang w:val="en-US"/>
            </w:rPr>
            <w:instrText xml:space="preserve"> CITATION deV \l 1033 </w:instrText>
          </w:r>
          <w:r>
            <w:rPr>
              <w:rFonts w:ascii="Arial" w:hAnsi="Arial" w:cs="Arial"/>
            </w:rPr>
            <w:fldChar w:fldCharType="separate"/>
          </w:r>
          <w:r w:rsidR="001E393B" w:rsidRPr="001E393B">
            <w:rPr>
              <w:rFonts w:ascii="Arial" w:hAnsi="Arial" w:cs="Arial"/>
              <w:noProof/>
              <w:lang w:val="en-US"/>
            </w:rPr>
            <w:t>(Vugt &amp; Verhey, 2013)</w:t>
          </w:r>
          <w:r>
            <w:rPr>
              <w:rFonts w:ascii="Arial" w:hAnsi="Arial" w:cs="Arial"/>
            </w:rPr>
            <w:fldChar w:fldCharType="end"/>
          </w:r>
        </w:sdtContent>
      </w:sdt>
      <w:r w:rsidRPr="000B404D">
        <w:rPr>
          <w:rFonts w:ascii="Arial" w:hAnsi="Arial" w:cs="Arial"/>
        </w:rPr>
        <w:t>. The methodological diversity and occasional contradiction among existing studies present a challenge for making comparable or definitive conclusions</w:t>
      </w:r>
      <w:r>
        <w:rPr>
          <w:rFonts w:ascii="Arial" w:hAnsi="Arial" w:cs="Arial"/>
        </w:rPr>
        <w:t xml:space="preserve"> </w:t>
      </w:r>
      <w:sdt>
        <w:sdtPr>
          <w:rPr>
            <w:rFonts w:ascii="Arial" w:hAnsi="Arial" w:cs="Arial"/>
          </w:rPr>
          <w:id w:val="994385371"/>
          <w:citation/>
        </w:sdtPr>
        <w:sdtContent>
          <w:r>
            <w:rPr>
              <w:rFonts w:ascii="Arial" w:hAnsi="Arial" w:cs="Arial"/>
            </w:rPr>
            <w:fldChar w:fldCharType="begin"/>
          </w:r>
          <w:r>
            <w:rPr>
              <w:rFonts w:ascii="Arial" w:hAnsi="Arial" w:cs="Arial"/>
              <w:lang w:val="en-US"/>
            </w:rPr>
            <w:instrText xml:space="preserve"> CITATION Jac22 \l 1033 </w:instrText>
          </w:r>
          <w:r>
            <w:rPr>
              <w:rFonts w:ascii="Arial" w:hAnsi="Arial" w:cs="Arial"/>
            </w:rPr>
            <w:fldChar w:fldCharType="separate"/>
          </w:r>
          <w:r w:rsidR="001E393B" w:rsidRPr="001E393B">
            <w:rPr>
              <w:rFonts w:ascii="Arial" w:hAnsi="Arial" w:cs="Arial"/>
              <w:noProof/>
              <w:lang w:val="en-US"/>
            </w:rPr>
            <w:t>(Jonathan, 2022)</w:t>
          </w:r>
          <w:r>
            <w:rPr>
              <w:rFonts w:ascii="Arial" w:hAnsi="Arial" w:cs="Arial"/>
            </w:rPr>
            <w:fldChar w:fldCharType="end"/>
          </w:r>
        </w:sdtContent>
      </w:sdt>
      <w:r w:rsidRPr="000B404D">
        <w:rPr>
          <w:rFonts w:ascii="Arial" w:hAnsi="Arial" w:cs="Arial"/>
        </w:rPr>
        <w:t>. Research in this domain includes a wide range of methodologies, from extensive quantitative database analyses to minimal qualitative investigations</w:t>
      </w:r>
      <w:r>
        <w:rPr>
          <w:rFonts w:ascii="Arial" w:hAnsi="Arial" w:cs="Arial"/>
        </w:rPr>
        <w:t xml:space="preserve"> </w:t>
      </w:r>
      <w:sdt>
        <w:sdtPr>
          <w:rPr>
            <w:rFonts w:ascii="Arial" w:hAnsi="Arial" w:cs="Arial"/>
          </w:rPr>
          <w:id w:val="-1062637443"/>
          <w:citation/>
        </w:sdtPr>
        <w:sdtContent>
          <w:r>
            <w:rPr>
              <w:rFonts w:ascii="Arial" w:hAnsi="Arial" w:cs="Arial"/>
            </w:rPr>
            <w:fldChar w:fldCharType="begin"/>
          </w:r>
          <w:r>
            <w:rPr>
              <w:rFonts w:ascii="Arial" w:hAnsi="Arial" w:cs="Arial"/>
              <w:lang w:val="en-US"/>
            </w:rPr>
            <w:instrText xml:space="preserve"> CITATION Ved20 \l 1033 </w:instrText>
          </w:r>
          <w:r>
            <w:rPr>
              <w:rFonts w:ascii="Arial" w:hAnsi="Arial" w:cs="Arial"/>
            </w:rPr>
            <w:fldChar w:fldCharType="separate"/>
          </w:r>
          <w:r w:rsidR="001E393B" w:rsidRPr="001E393B">
            <w:rPr>
              <w:rFonts w:ascii="Arial" w:hAnsi="Arial" w:cs="Arial"/>
              <w:noProof/>
              <w:lang w:val="en-US"/>
            </w:rPr>
            <w:t>(Isabelle, et al., 2020)</w:t>
          </w:r>
          <w:r>
            <w:rPr>
              <w:rFonts w:ascii="Arial" w:hAnsi="Arial" w:cs="Arial"/>
            </w:rPr>
            <w:fldChar w:fldCharType="end"/>
          </w:r>
        </w:sdtContent>
      </w:sdt>
      <w:r w:rsidRPr="000B404D">
        <w:rPr>
          <w:rFonts w:ascii="Arial" w:hAnsi="Arial" w:cs="Arial"/>
        </w:rPr>
        <w:t>. This diversity improves the evidence base but also introduces variation in results, demographic characteristics, and interpretations.</w:t>
      </w:r>
    </w:p>
    <w:p w14:paraId="6D7F7393" w14:textId="2C6BA77E" w:rsidR="00C3481D" w:rsidRPr="000849AC" w:rsidRDefault="00C3481D" w:rsidP="00C3481D">
      <w:pPr>
        <w:pStyle w:val="Heading3"/>
        <w:spacing w:line="360" w:lineRule="auto"/>
        <w:ind w:left="720"/>
        <w:rPr>
          <w:rFonts w:ascii="Arial" w:hAnsi="Arial" w:cs="Arial"/>
          <w:sz w:val="22"/>
          <w:u w:val="none"/>
        </w:rPr>
      </w:pPr>
      <w:bookmarkStart w:id="27" w:name="_Toc210677361"/>
      <w:r w:rsidRPr="000849AC">
        <w:rPr>
          <w:rFonts w:ascii="Arial" w:hAnsi="Arial" w:cs="Arial"/>
          <w:sz w:val="22"/>
          <w:u w:val="none"/>
        </w:rPr>
        <w:t>2.4.1 Quantitative Approaches: Broad Without Depth</w:t>
      </w:r>
      <w:bookmarkEnd w:id="27"/>
    </w:p>
    <w:p w14:paraId="0C34DEF0" w14:textId="3F3CA9F6" w:rsidR="007D60B7" w:rsidRDefault="007D60B7" w:rsidP="007D60B7">
      <w:pPr>
        <w:spacing w:line="360" w:lineRule="auto"/>
        <w:rPr>
          <w:rFonts w:ascii="Arial" w:hAnsi="Arial" w:cs="Arial"/>
        </w:rPr>
      </w:pPr>
      <w:r w:rsidRPr="007D60B7">
        <w:rPr>
          <w:rFonts w:ascii="Arial" w:hAnsi="Arial" w:cs="Arial"/>
        </w:rPr>
        <w:t>Quantitative studies in dementia research often use secondary data sources, including general practice records, hospital episode data, and mortality data (</w:t>
      </w:r>
      <w:r w:rsidR="007A0895">
        <w:rPr>
          <w:rFonts w:ascii="Arial" w:hAnsi="Arial" w:cs="Arial"/>
        </w:rPr>
        <w:t>Wolters &amp; Ikram</w:t>
      </w:r>
      <w:r w:rsidRPr="007D60B7">
        <w:rPr>
          <w:rFonts w:ascii="Arial" w:hAnsi="Arial" w:cs="Arial"/>
        </w:rPr>
        <w:t xml:space="preserve"> 2018; Pujades-Rodriguez et al., 2018). These datasets facilitate the identification of trends in diagnostic rates, service utilisation, comorbidity, and mortality over the course of time. Their strength relies in their ability to incorporate extensive, representative samples of the overall population and produce statistically significant findings with high external validity.</w:t>
      </w:r>
    </w:p>
    <w:p w14:paraId="13C8A2C2" w14:textId="70BB2A53" w:rsidR="007A0895" w:rsidRPr="007A0895" w:rsidRDefault="007A0895" w:rsidP="007A0895">
      <w:pPr>
        <w:spacing w:line="360" w:lineRule="auto"/>
        <w:rPr>
          <w:rFonts w:ascii="Arial" w:hAnsi="Arial" w:cs="Arial"/>
        </w:rPr>
      </w:pPr>
      <w:r w:rsidRPr="007A0895">
        <w:rPr>
          <w:rFonts w:ascii="Arial" w:hAnsi="Arial" w:cs="Arial"/>
        </w:rPr>
        <w:t xml:space="preserve">For instance, the CALIBER dataset utilised in the record-linkage cohort study conducted by Pujades-Rodriguez et al. (2018) included more than 47,000 individuals with dementia, enabling researchers to investigate the timing of diagnosis and the impact it has on mortality and healthcare burden. A significant limitation of these studies is their reliance on coded data, which may miss crucial psychosocial factors such as anxiety, depression, resilience to emotion, or lived experience. These extensive datasets typically highlight clinical or biomedical variables, frequently neglecting the subjective and emotional aspects relevant to the diagnostic experience </w:t>
      </w:r>
      <w:sdt>
        <w:sdtPr>
          <w:rPr>
            <w:rFonts w:ascii="Arial" w:hAnsi="Arial" w:cs="Arial"/>
          </w:rPr>
          <w:id w:val="-994022637"/>
          <w:citation/>
        </w:sdtPr>
        <w:sdtContent>
          <w:r>
            <w:rPr>
              <w:rFonts w:ascii="Arial" w:hAnsi="Arial" w:cs="Arial"/>
            </w:rPr>
            <w:fldChar w:fldCharType="begin"/>
          </w:r>
          <w:r>
            <w:rPr>
              <w:rFonts w:ascii="Arial" w:hAnsi="Arial" w:cs="Arial"/>
              <w:lang w:val="en-US"/>
            </w:rPr>
            <w:instrText xml:space="preserve"> CITATION Chr13 \l 1033 </w:instrText>
          </w:r>
          <w:r>
            <w:rPr>
              <w:rFonts w:ascii="Arial" w:hAnsi="Arial" w:cs="Arial"/>
            </w:rPr>
            <w:fldChar w:fldCharType="separate"/>
          </w:r>
          <w:r w:rsidR="001E393B" w:rsidRPr="001E393B">
            <w:rPr>
              <w:rFonts w:ascii="Arial" w:hAnsi="Arial" w:cs="Arial"/>
              <w:noProof/>
              <w:lang w:val="en-US"/>
            </w:rPr>
            <w:t>(Fox, et al., 2013)</w:t>
          </w:r>
          <w:r>
            <w:rPr>
              <w:rFonts w:ascii="Arial" w:hAnsi="Arial" w:cs="Arial"/>
            </w:rPr>
            <w:fldChar w:fldCharType="end"/>
          </w:r>
        </w:sdtContent>
      </w:sdt>
      <w:r w:rsidRPr="007A0895">
        <w:rPr>
          <w:rFonts w:ascii="Arial" w:hAnsi="Arial" w:cs="Arial"/>
        </w:rPr>
        <w:t>.</w:t>
      </w:r>
    </w:p>
    <w:p w14:paraId="5D8CFF74" w14:textId="0D8155E5" w:rsidR="007A0895" w:rsidRDefault="007A0895" w:rsidP="007A0895">
      <w:pPr>
        <w:spacing w:line="360" w:lineRule="auto"/>
        <w:rPr>
          <w:rFonts w:ascii="Arial" w:hAnsi="Arial" w:cs="Arial"/>
        </w:rPr>
      </w:pPr>
      <w:r w:rsidRPr="007A0895">
        <w:rPr>
          <w:rFonts w:ascii="Arial" w:hAnsi="Arial" w:cs="Arial"/>
        </w:rPr>
        <w:t xml:space="preserve">Furthermore, diagnoses in electronic health records can encounter diagnostic delays, discrepancies in general practitioner coding practices, or underreporting, elements that may affect the accuracy of outcome data </w:t>
      </w:r>
      <w:sdt>
        <w:sdtPr>
          <w:rPr>
            <w:rFonts w:ascii="Arial" w:hAnsi="Arial" w:cs="Arial"/>
          </w:rPr>
          <w:id w:val="-894900639"/>
          <w:citation/>
        </w:sdtPr>
        <w:sdtContent>
          <w:r>
            <w:rPr>
              <w:rFonts w:ascii="Arial" w:hAnsi="Arial" w:cs="Arial"/>
            </w:rPr>
            <w:fldChar w:fldCharType="begin"/>
          </w:r>
          <w:r>
            <w:rPr>
              <w:rFonts w:ascii="Arial" w:hAnsi="Arial" w:cs="Arial"/>
              <w:lang w:val="en-US"/>
            </w:rPr>
            <w:instrText xml:space="preserve"> CITATION Fra181 \l 1033 </w:instrText>
          </w:r>
          <w:r>
            <w:rPr>
              <w:rFonts w:ascii="Arial" w:hAnsi="Arial" w:cs="Arial"/>
            </w:rPr>
            <w:fldChar w:fldCharType="separate"/>
          </w:r>
          <w:r w:rsidR="001E393B" w:rsidRPr="001E393B">
            <w:rPr>
              <w:rFonts w:ascii="Arial" w:hAnsi="Arial" w:cs="Arial"/>
              <w:noProof/>
              <w:lang w:val="en-US"/>
            </w:rPr>
            <w:t>(Wolters &amp; Ikram, 2018)</w:t>
          </w:r>
          <w:r>
            <w:rPr>
              <w:rFonts w:ascii="Arial" w:hAnsi="Arial" w:cs="Arial"/>
            </w:rPr>
            <w:fldChar w:fldCharType="end"/>
          </w:r>
        </w:sdtContent>
      </w:sdt>
      <w:r w:rsidRPr="007A0895">
        <w:rPr>
          <w:rFonts w:ascii="Arial" w:hAnsi="Arial" w:cs="Arial"/>
        </w:rPr>
        <w:t>. Furthermore, quantitative studies generally function within a positivist framework that assumes connections between variables yet frequently lack the interpretive depth necessary to clarify "how" and "why" early diagnosis affects mental health.</w:t>
      </w:r>
    </w:p>
    <w:p w14:paraId="7845E003" w14:textId="126DE5C6" w:rsidR="007A0895" w:rsidRDefault="007A0895" w:rsidP="007A0895">
      <w:pPr>
        <w:pStyle w:val="Heading3"/>
        <w:spacing w:line="360" w:lineRule="auto"/>
        <w:ind w:left="720"/>
        <w:rPr>
          <w:rFonts w:ascii="Arial" w:hAnsi="Arial" w:cs="Arial"/>
          <w:sz w:val="22"/>
          <w:u w:val="none"/>
        </w:rPr>
      </w:pPr>
      <w:bookmarkStart w:id="28" w:name="_Toc210677362"/>
      <w:r w:rsidRPr="000849AC">
        <w:rPr>
          <w:rFonts w:ascii="Arial" w:hAnsi="Arial" w:cs="Arial"/>
          <w:sz w:val="22"/>
          <w:u w:val="none"/>
        </w:rPr>
        <w:t>2.4.2 Qualitative Approaches: Depth Yet Not Broad</w:t>
      </w:r>
      <w:bookmarkEnd w:id="28"/>
    </w:p>
    <w:p w14:paraId="70A0C6DB" w14:textId="1D2F7EF8" w:rsidR="009A3630" w:rsidRDefault="009A3630" w:rsidP="009A3630">
      <w:pPr>
        <w:spacing w:line="360" w:lineRule="auto"/>
        <w:rPr>
          <w:rFonts w:ascii="Arial" w:hAnsi="Arial" w:cs="Arial"/>
        </w:rPr>
      </w:pPr>
      <w:r w:rsidRPr="009A3630">
        <w:rPr>
          <w:rFonts w:ascii="Arial" w:hAnsi="Arial" w:cs="Arial"/>
        </w:rPr>
        <w:t xml:space="preserve">In contrast, qualitative research in this arena has provided significant insights into the psychological and emotional reactions linked to dementia diagnosis. Qualitative studies have examined themes including stigma, identity disruption, and the changing emotional </w:t>
      </w:r>
      <w:r w:rsidRPr="009A3630">
        <w:rPr>
          <w:rFonts w:ascii="Arial" w:hAnsi="Arial" w:cs="Arial"/>
        </w:rPr>
        <w:lastRenderedPageBreak/>
        <w:t xml:space="preserve">landscape following diagnosis through interviews, focus groups, and ethnographic observations (Milne, 2010; </w:t>
      </w:r>
      <w:r w:rsidR="00AB69F2">
        <w:rPr>
          <w:rFonts w:ascii="Arial" w:hAnsi="Arial" w:cs="Arial"/>
        </w:rPr>
        <w:t>Remco</w:t>
      </w:r>
      <w:r w:rsidRPr="009A3630">
        <w:rPr>
          <w:rFonts w:ascii="Arial" w:hAnsi="Arial" w:cs="Arial"/>
        </w:rPr>
        <w:t xml:space="preserve"> et al., 2021).</w:t>
      </w:r>
    </w:p>
    <w:p w14:paraId="75DC5E12" w14:textId="4BBEDAD3" w:rsidR="00AB69F2" w:rsidRDefault="00AB69F2" w:rsidP="00AB69F2">
      <w:pPr>
        <w:spacing w:line="360" w:lineRule="auto"/>
        <w:rPr>
          <w:rFonts w:ascii="Arial" w:hAnsi="Arial" w:cs="Arial"/>
        </w:rPr>
      </w:pPr>
      <w:r w:rsidRPr="00AB69F2">
        <w:rPr>
          <w:rFonts w:ascii="Arial" w:hAnsi="Arial" w:cs="Arial"/>
        </w:rPr>
        <w:t xml:space="preserve">Milne (2010) examined the medicalisation of dementia diagnosis, observing that early intervention, although clinically advantageous, may unintentionally result in distress or stigma if misrepresented. </w:t>
      </w:r>
      <w:r>
        <w:rPr>
          <w:rFonts w:ascii="Arial" w:hAnsi="Arial" w:cs="Arial"/>
        </w:rPr>
        <w:t>Remco</w:t>
      </w:r>
      <w:r w:rsidRPr="00AB69F2">
        <w:rPr>
          <w:rFonts w:ascii="Arial" w:hAnsi="Arial" w:cs="Arial"/>
        </w:rPr>
        <w:t xml:space="preserve"> et al. (2021) examined the acceptance of diagnosis by carers and patients, revealing that early-stage identification facilitates emotional preparation only when accompanied by suitable psychosocial support.</w:t>
      </w:r>
    </w:p>
    <w:p w14:paraId="1348F4E5" w14:textId="1CBFE3A7" w:rsidR="005C31D7" w:rsidRPr="005C31D7" w:rsidRDefault="005C31D7" w:rsidP="005C31D7">
      <w:pPr>
        <w:spacing w:line="360" w:lineRule="auto"/>
        <w:rPr>
          <w:rFonts w:ascii="Arial" w:hAnsi="Arial" w:cs="Arial"/>
        </w:rPr>
      </w:pPr>
      <w:r w:rsidRPr="005C31D7">
        <w:rPr>
          <w:rFonts w:ascii="Arial" w:hAnsi="Arial" w:cs="Arial"/>
        </w:rPr>
        <w:t>However, these qualitative studies frequently experience restricted sample sizes, limiting their ability for generalisation. Many research projects are performed within specific regions or service frameworks and may not represent wider national or international experiences. Moreover, methodological inconsistencies, including inadequately defined sampling strategies or inconsistent application of theoretical frameworks, may compromise their analytical accuracy (</w:t>
      </w:r>
      <w:r w:rsidR="00DA3CF0">
        <w:rPr>
          <w:rFonts w:ascii="Arial" w:hAnsi="Arial" w:cs="Arial"/>
        </w:rPr>
        <w:t>Yehuda</w:t>
      </w:r>
      <w:r w:rsidRPr="005C31D7">
        <w:rPr>
          <w:rFonts w:ascii="Arial" w:hAnsi="Arial" w:cs="Arial"/>
        </w:rPr>
        <w:t xml:space="preserve"> et al., 20</w:t>
      </w:r>
      <w:r w:rsidR="00DA3CF0">
        <w:rPr>
          <w:rFonts w:ascii="Arial" w:hAnsi="Arial" w:cs="Arial"/>
        </w:rPr>
        <w:t>25</w:t>
      </w:r>
      <w:r w:rsidRPr="005C31D7">
        <w:rPr>
          <w:rFonts w:ascii="Arial" w:hAnsi="Arial" w:cs="Arial"/>
        </w:rPr>
        <w:t>). Qualitative research often excessively represents middle-class, white, and older demographics, therefore marginalising the perspectives of ethnic minorities and individuals with young-onset dementia (Orgeta et al., 20</w:t>
      </w:r>
      <w:r w:rsidR="00DA3CF0">
        <w:rPr>
          <w:rFonts w:ascii="Arial" w:hAnsi="Arial" w:cs="Arial"/>
        </w:rPr>
        <w:t>22</w:t>
      </w:r>
      <w:r w:rsidRPr="005C31D7">
        <w:rPr>
          <w:rFonts w:ascii="Arial" w:hAnsi="Arial" w:cs="Arial"/>
        </w:rPr>
        <w:t>; Giebel et al., 202</w:t>
      </w:r>
      <w:r w:rsidR="00DA3CF0">
        <w:rPr>
          <w:rFonts w:ascii="Arial" w:hAnsi="Arial" w:cs="Arial"/>
        </w:rPr>
        <w:t>3</w:t>
      </w:r>
      <w:r w:rsidRPr="005C31D7">
        <w:rPr>
          <w:rFonts w:ascii="Arial" w:hAnsi="Arial" w:cs="Arial"/>
        </w:rPr>
        <w:t>).</w:t>
      </w:r>
    </w:p>
    <w:p w14:paraId="19DCB5B5" w14:textId="0EF2B4D5" w:rsidR="00AB69F2" w:rsidRDefault="00DA3CF0" w:rsidP="00DA3CF0">
      <w:pPr>
        <w:pStyle w:val="Heading3"/>
        <w:ind w:left="720"/>
        <w:rPr>
          <w:rFonts w:ascii="Arial" w:hAnsi="Arial" w:cs="Arial"/>
          <w:sz w:val="22"/>
          <w:u w:val="none"/>
        </w:rPr>
      </w:pPr>
      <w:bookmarkStart w:id="29" w:name="_Toc210677363"/>
      <w:r w:rsidRPr="00DA3CF0">
        <w:rPr>
          <w:rFonts w:ascii="Arial" w:hAnsi="Arial" w:cs="Arial"/>
          <w:sz w:val="22"/>
          <w:u w:val="none"/>
        </w:rPr>
        <w:t>2.4.3 Underrepresentation and Sampling Bias</w:t>
      </w:r>
      <w:bookmarkEnd w:id="29"/>
    </w:p>
    <w:p w14:paraId="2CF78941" w14:textId="7731462F" w:rsidR="00293DE5" w:rsidRDefault="00293DE5" w:rsidP="00293DE5">
      <w:pPr>
        <w:spacing w:line="360" w:lineRule="auto"/>
        <w:rPr>
          <w:rFonts w:ascii="Arial" w:hAnsi="Arial" w:cs="Arial"/>
        </w:rPr>
      </w:pPr>
      <w:r w:rsidRPr="00293DE5">
        <w:rPr>
          <w:rFonts w:ascii="Arial" w:hAnsi="Arial" w:cs="Arial"/>
        </w:rPr>
        <w:t xml:space="preserve">A significant limitation in the existing literature is the inadequate representation of marginalised groups. Despite increasing awareness of dementia's disparities on various ethnic and socioeconomic groups, numerous studies have neglected to consider demographic variability. </w:t>
      </w:r>
      <w:r>
        <w:rPr>
          <w:rFonts w:ascii="Arial" w:hAnsi="Arial" w:cs="Arial"/>
        </w:rPr>
        <w:t>Yehuda</w:t>
      </w:r>
      <w:r w:rsidRPr="00293DE5">
        <w:rPr>
          <w:rFonts w:ascii="Arial" w:hAnsi="Arial" w:cs="Arial"/>
        </w:rPr>
        <w:t xml:space="preserve"> et al. (20</w:t>
      </w:r>
      <w:r>
        <w:rPr>
          <w:rFonts w:ascii="Arial" w:hAnsi="Arial" w:cs="Arial"/>
        </w:rPr>
        <w:t>25</w:t>
      </w:r>
      <w:r w:rsidRPr="00293DE5">
        <w:rPr>
          <w:rFonts w:ascii="Arial" w:hAnsi="Arial" w:cs="Arial"/>
        </w:rPr>
        <w:t>) observe that young-onset dementia, accounting for roughly 5–9% of dementia cases in the UK, frequently gets overlooked from policy and research discussions. The lack of inclusion limits the relevance of the findings, especially as younger individuals may possess distinct psychological needs and positions in society, including active employment or parental responsibilities.</w:t>
      </w:r>
    </w:p>
    <w:p w14:paraId="1CE50B17" w14:textId="24260ABA" w:rsidR="00382921" w:rsidRDefault="00382921" w:rsidP="00382921">
      <w:pPr>
        <w:spacing w:line="360" w:lineRule="auto"/>
        <w:rPr>
          <w:rFonts w:ascii="Arial" w:hAnsi="Arial" w:cs="Arial"/>
        </w:rPr>
      </w:pPr>
      <w:r w:rsidRPr="00382921">
        <w:rPr>
          <w:rFonts w:ascii="Arial" w:hAnsi="Arial" w:cs="Arial"/>
        </w:rPr>
        <w:t xml:space="preserve">Additionally, minority ethnic groups face distinct cultural and linguistic obstacles to diagnosis and treatment. Their restricted participation in research results in findings that may not be relevant or applicable to all communities, thereby compromising the principle of equal access to healthcare </w:t>
      </w:r>
      <w:sdt>
        <w:sdtPr>
          <w:rPr>
            <w:rFonts w:ascii="Arial" w:hAnsi="Arial" w:cs="Arial"/>
          </w:rPr>
          <w:id w:val="-613979034"/>
          <w:citation/>
        </w:sdtPr>
        <w:sdtContent>
          <w:r>
            <w:rPr>
              <w:rFonts w:ascii="Arial" w:hAnsi="Arial" w:cs="Arial"/>
            </w:rPr>
            <w:fldChar w:fldCharType="begin"/>
          </w:r>
          <w:r>
            <w:rPr>
              <w:rFonts w:ascii="Arial" w:hAnsi="Arial" w:cs="Arial"/>
              <w:lang w:val="en-US"/>
            </w:rPr>
            <w:instrText xml:space="preserve"> CITATION Fra17 \l 1033 </w:instrText>
          </w:r>
          <w:r>
            <w:rPr>
              <w:rFonts w:ascii="Arial" w:hAnsi="Arial" w:cs="Arial"/>
            </w:rPr>
            <w:fldChar w:fldCharType="separate"/>
          </w:r>
          <w:r w:rsidR="001E393B" w:rsidRPr="001E393B">
            <w:rPr>
              <w:rFonts w:ascii="Arial" w:hAnsi="Arial" w:cs="Arial"/>
              <w:noProof/>
              <w:lang w:val="en-US"/>
            </w:rPr>
            <w:t>(Bunn, et al., 2017)</w:t>
          </w:r>
          <w:r>
            <w:rPr>
              <w:rFonts w:ascii="Arial" w:hAnsi="Arial" w:cs="Arial"/>
            </w:rPr>
            <w:fldChar w:fldCharType="end"/>
          </w:r>
        </w:sdtContent>
      </w:sdt>
      <w:r w:rsidRPr="00382921">
        <w:rPr>
          <w:rFonts w:ascii="Arial" w:hAnsi="Arial" w:cs="Arial"/>
        </w:rPr>
        <w:t>.</w:t>
      </w:r>
    </w:p>
    <w:p w14:paraId="402063B4" w14:textId="3521A7FE" w:rsidR="00382921" w:rsidRDefault="004D5EA5" w:rsidP="004D5EA5">
      <w:pPr>
        <w:pStyle w:val="Heading3"/>
        <w:spacing w:line="360" w:lineRule="auto"/>
        <w:ind w:left="720"/>
        <w:rPr>
          <w:rFonts w:ascii="Arial" w:hAnsi="Arial" w:cs="Arial"/>
          <w:sz w:val="22"/>
          <w:u w:val="none"/>
        </w:rPr>
      </w:pPr>
      <w:bookmarkStart w:id="30" w:name="_Toc210677364"/>
      <w:r w:rsidRPr="004D5EA5">
        <w:rPr>
          <w:rFonts w:ascii="Arial" w:hAnsi="Arial" w:cs="Arial"/>
          <w:sz w:val="22"/>
          <w:u w:val="none"/>
        </w:rPr>
        <w:t>2.4.4 Thematic and Systematic Reviews: Mixed Quality</w:t>
      </w:r>
      <w:bookmarkEnd w:id="30"/>
    </w:p>
    <w:p w14:paraId="3EE43095" w14:textId="4870C134" w:rsidR="004D5EA5" w:rsidRDefault="004D5EA5" w:rsidP="004D5EA5">
      <w:pPr>
        <w:spacing w:line="360" w:lineRule="auto"/>
        <w:rPr>
          <w:rFonts w:ascii="Arial" w:hAnsi="Arial" w:cs="Arial"/>
        </w:rPr>
      </w:pPr>
      <w:r w:rsidRPr="004D5EA5">
        <w:rPr>
          <w:rFonts w:ascii="Arial" w:hAnsi="Arial" w:cs="Arial"/>
        </w:rPr>
        <w:t>Systematic reviews and meta-analyses are frequently used to bring together existing evidence and inform policy or clinical guidelines. Although these reviews provide thorough overviews, their rigorousness in their methodology is varied. Some reviews, including Orgeta et al. (20</w:t>
      </w:r>
      <w:r>
        <w:rPr>
          <w:rFonts w:ascii="Arial" w:hAnsi="Arial" w:cs="Arial"/>
        </w:rPr>
        <w:t>22</w:t>
      </w:r>
      <w:r w:rsidRPr="004D5EA5">
        <w:rPr>
          <w:rFonts w:ascii="Arial" w:hAnsi="Arial" w:cs="Arial"/>
        </w:rPr>
        <w:t xml:space="preserve">), primarily concentrate on cognitive and functional outcomes of early </w:t>
      </w:r>
      <w:r w:rsidRPr="004D5EA5">
        <w:rPr>
          <w:rFonts w:ascii="Arial" w:hAnsi="Arial" w:cs="Arial"/>
        </w:rPr>
        <w:lastRenderedPageBreak/>
        <w:t xml:space="preserve">intervention, while inadequately addressing psychological effects such as anxiety and depression. Some may completely ignore qualitative evidence, thereby missing significant perspectives of patients and carers </w:t>
      </w:r>
      <w:sdt>
        <w:sdtPr>
          <w:rPr>
            <w:rFonts w:ascii="Arial" w:hAnsi="Arial" w:cs="Arial"/>
          </w:rPr>
          <w:id w:val="-1156146988"/>
          <w:citation/>
        </w:sdtPr>
        <w:sdtContent>
          <w:r>
            <w:rPr>
              <w:rFonts w:ascii="Arial" w:hAnsi="Arial" w:cs="Arial"/>
            </w:rPr>
            <w:fldChar w:fldCharType="begin"/>
          </w:r>
          <w:r>
            <w:rPr>
              <w:rFonts w:ascii="Arial" w:hAnsi="Arial" w:cs="Arial"/>
              <w:lang w:val="en-US"/>
            </w:rPr>
            <w:instrText xml:space="preserve"> CITATION Gil17 \l 1033 </w:instrText>
          </w:r>
          <w:r>
            <w:rPr>
              <w:rFonts w:ascii="Arial" w:hAnsi="Arial" w:cs="Arial"/>
            </w:rPr>
            <w:fldChar w:fldCharType="separate"/>
          </w:r>
          <w:r w:rsidR="001E393B" w:rsidRPr="001E393B">
            <w:rPr>
              <w:rFonts w:ascii="Arial" w:hAnsi="Arial" w:cs="Arial"/>
              <w:noProof/>
              <w:lang w:val="en-US"/>
            </w:rPr>
            <w:t>(Livingston, et al., 2017)</w:t>
          </w:r>
          <w:r>
            <w:rPr>
              <w:rFonts w:ascii="Arial" w:hAnsi="Arial" w:cs="Arial"/>
            </w:rPr>
            <w:fldChar w:fldCharType="end"/>
          </w:r>
        </w:sdtContent>
      </w:sdt>
      <w:r>
        <w:rPr>
          <w:rFonts w:ascii="Arial" w:hAnsi="Arial" w:cs="Arial"/>
        </w:rPr>
        <w:t>.</w:t>
      </w:r>
    </w:p>
    <w:p w14:paraId="00800499" w14:textId="0A198170" w:rsidR="00302E08" w:rsidRDefault="00302E08" w:rsidP="00302E08">
      <w:pPr>
        <w:spacing w:line="360" w:lineRule="auto"/>
        <w:rPr>
          <w:rFonts w:ascii="Arial" w:hAnsi="Arial" w:cs="Arial"/>
        </w:rPr>
      </w:pPr>
      <w:r w:rsidRPr="00302E08">
        <w:rPr>
          <w:rFonts w:ascii="Arial" w:hAnsi="Arial" w:cs="Arial"/>
        </w:rPr>
        <w:t xml:space="preserve">Moreover, many evaluations demonstrate poor transparency in their search methodologies, inconsistent execution of inclusion criteria, and neglect of publication bias. These issues limit the likelihood of replication as well as accuracy of the results they find </w:t>
      </w:r>
      <w:sdt>
        <w:sdtPr>
          <w:rPr>
            <w:rFonts w:ascii="Arial" w:hAnsi="Arial" w:cs="Arial"/>
          </w:rPr>
          <w:id w:val="248934745"/>
          <w:citation/>
        </w:sdtPr>
        <w:sdtContent>
          <w:r>
            <w:rPr>
              <w:rFonts w:ascii="Arial" w:hAnsi="Arial" w:cs="Arial"/>
            </w:rPr>
            <w:fldChar w:fldCharType="begin"/>
          </w:r>
          <w:r>
            <w:rPr>
              <w:rFonts w:ascii="Arial" w:hAnsi="Arial" w:cs="Arial"/>
              <w:lang w:val="en-US"/>
            </w:rPr>
            <w:instrText xml:space="preserve"> CITATION Cla231 \l 1033 </w:instrText>
          </w:r>
          <w:r>
            <w:rPr>
              <w:rFonts w:ascii="Arial" w:hAnsi="Arial" w:cs="Arial"/>
            </w:rPr>
            <w:fldChar w:fldCharType="separate"/>
          </w:r>
          <w:r w:rsidR="001E393B" w:rsidRPr="001E393B">
            <w:rPr>
              <w:rFonts w:ascii="Arial" w:hAnsi="Arial" w:cs="Arial"/>
              <w:noProof/>
              <w:lang w:val="en-US"/>
            </w:rPr>
            <w:t>(Giebel &amp; Heath, 2023)</w:t>
          </w:r>
          <w:r>
            <w:rPr>
              <w:rFonts w:ascii="Arial" w:hAnsi="Arial" w:cs="Arial"/>
            </w:rPr>
            <w:fldChar w:fldCharType="end"/>
          </w:r>
        </w:sdtContent>
      </w:sdt>
      <w:r w:rsidRPr="00302E08">
        <w:rPr>
          <w:rFonts w:ascii="Arial" w:hAnsi="Arial" w:cs="Arial"/>
        </w:rPr>
        <w:t>.</w:t>
      </w:r>
    </w:p>
    <w:p w14:paraId="4135792C" w14:textId="22B41088" w:rsidR="00302E08" w:rsidRDefault="00302E08" w:rsidP="00996A5A">
      <w:pPr>
        <w:pStyle w:val="Heading3"/>
        <w:spacing w:line="360" w:lineRule="auto"/>
        <w:ind w:left="720"/>
        <w:rPr>
          <w:rFonts w:ascii="Arial" w:hAnsi="Arial" w:cs="Arial"/>
          <w:sz w:val="22"/>
          <w:u w:val="none"/>
        </w:rPr>
      </w:pPr>
      <w:bookmarkStart w:id="31" w:name="_Toc210677365"/>
      <w:r w:rsidRPr="00996A5A">
        <w:rPr>
          <w:rFonts w:ascii="Arial" w:hAnsi="Arial" w:cs="Arial"/>
          <w:sz w:val="22"/>
          <w:u w:val="none"/>
        </w:rPr>
        <w:t xml:space="preserve">2.4.5 </w:t>
      </w:r>
      <w:r w:rsidR="00996A5A" w:rsidRPr="00996A5A">
        <w:rPr>
          <w:rFonts w:ascii="Arial" w:hAnsi="Arial" w:cs="Arial"/>
          <w:sz w:val="22"/>
          <w:u w:val="none"/>
        </w:rPr>
        <w:t>Strength in Methodological Diversity</w:t>
      </w:r>
      <w:bookmarkEnd w:id="31"/>
    </w:p>
    <w:p w14:paraId="3592457E" w14:textId="290F1897" w:rsidR="00550C8D" w:rsidRDefault="00550C8D" w:rsidP="00550C8D">
      <w:pPr>
        <w:spacing w:line="360" w:lineRule="auto"/>
        <w:rPr>
          <w:rFonts w:ascii="Arial" w:hAnsi="Arial" w:cs="Arial"/>
        </w:rPr>
      </w:pPr>
      <w:r w:rsidRPr="00550C8D">
        <w:rPr>
          <w:rFonts w:ascii="Arial" w:hAnsi="Arial" w:cs="Arial"/>
        </w:rPr>
        <w:t>Despite these constraints, the application of mixed methodologies has improved the triangulation of results across diverse contexts and populations. Randomised controlled trials (RCTs), longitudinal cohort studies, thematic analyses, and grounded theory methodologies each uniquely improve the evidence base</w:t>
      </w:r>
      <w:r>
        <w:rPr>
          <w:rFonts w:ascii="Arial" w:hAnsi="Arial" w:cs="Arial"/>
        </w:rPr>
        <w:t xml:space="preserve"> </w:t>
      </w:r>
      <w:sdt>
        <w:sdtPr>
          <w:rPr>
            <w:rFonts w:ascii="Arial" w:hAnsi="Arial" w:cs="Arial"/>
          </w:rPr>
          <w:id w:val="1571073092"/>
          <w:citation/>
        </w:sdtPr>
        <w:sdtContent>
          <w:r>
            <w:rPr>
              <w:rFonts w:ascii="Arial" w:hAnsi="Arial" w:cs="Arial"/>
            </w:rPr>
            <w:fldChar w:fldCharType="begin"/>
          </w:r>
          <w:r>
            <w:rPr>
              <w:rFonts w:ascii="Arial" w:hAnsi="Arial" w:cs="Arial"/>
              <w:lang w:val="en-US"/>
            </w:rPr>
            <w:instrText xml:space="preserve"> CITATION Vic04 \l 1033 </w:instrText>
          </w:r>
          <w:r>
            <w:rPr>
              <w:rFonts w:ascii="Arial" w:hAnsi="Arial" w:cs="Arial"/>
            </w:rPr>
            <w:fldChar w:fldCharType="separate"/>
          </w:r>
          <w:r w:rsidR="001E393B" w:rsidRPr="001E393B">
            <w:rPr>
              <w:rFonts w:ascii="Arial" w:hAnsi="Arial" w:cs="Arial"/>
              <w:noProof/>
              <w:lang w:val="en-US"/>
            </w:rPr>
            <w:t>(Cesar, et al., 2004)</w:t>
          </w:r>
          <w:r>
            <w:rPr>
              <w:rFonts w:ascii="Arial" w:hAnsi="Arial" w:cs="Arial"/>
            </w:rPr>
            <w:fldChar w:fldCharType="end"/>
          </w:r>
        </w:sdtContent>
      </w:sdt>
      <w:r w:rsidRPr="00550C8D">
        <w:rPr>
          <w:rFonts w:ascii="Arial" w:hAnsi="Arial" w:cs="Arial"/>
        </w:rPr>
        <w:t>.</w:t>
      </w:r>
    </w:p>
    <w:p w14:paraId="6260036C" w14:textId="59B455E1" w:rsidR="00550C8D" w:rsidRDefault="00550C8D" w:rsidP="00550C8D">
      <w:pPr>
        <w:spacing w:line="360" w:lineRule="auto"/>
        <w:rPr>
          <w:rFonts w:ascii="Arial" w:hAnsi="Arial" w:cs="Arial"/>
        </w:rPr>
      </w:pPr>
      <w:r w:rsidRPr="00550C8D">
        <w:rPr>
          <w:rFonts w:ascii="Arial" w:hAnsi="Arial" w:cs="Arial"/>
        </w:rPr>
        <w:t xml:space="preserve">For example, the integration of data-driven results from longitudinal studies </w:t>
      </w:r>
      <w:sdt>
        <w:sdtPr>
          <w:rPr>
            <w:rFonts w:ascii="Arial" w:hAnsi="Arial" w:cs="Arial"/>
          </w:rPr>
          <w:id w:val="803890414"/>
          <w:citation/>
        </w:sdtPr>
        <w:sdtContent>
          <w:r>
            <w:rPr>
              <w:rFonts w:ascii="Arial" w:hAnsi="Arial" w:cs="Arial"/>
            </w:rPr>
            <w:fldChar w:fldCharType="begin"/>
          </w:r>
          <w:r w:rsidR="009C55ED">
            <w:rPr>
              <w:rFonts w:ascii="Arial" w:hAnsi="Arial" w:cs="Arial"/>
              <w:lang w:val="en-US"/>
            </w:rPr>
            <w:instrText xml:space="preserve">CITATION Mar18 \l 1033 </w:instrText>
          </w:r>
          <w:r>
            <w:rPr>
              <w:rFonts w:ascii="Arial" w:hAnsi="Arial" w:cs="Arial"/>
            </w:rPr>
            <w:fldChar w:fldCharType="separate"/>
          </w:r>
          <w:r w:rsidR="001E393B" w:rsidRPr="001E393B">
            <w:rPr>
              <w:rFonts w:ascii="Arial" w:hAnsi="Arial" w:cs="Arial"/>
              <w:noProof/>
              <w:lang w:val="en-US"/>
            </w:rPr>
            <w:t>(Pujades-Rodriguez, et al., 2018)</w:t>
          </w:r>
          <w:r>
            <w:rPr>
              <w:rFonts w:ascii="Arial" w:hAnsi="Arial" w:cs="Arial"/>
            </w:rPr>
            <w:fldChar w:fldCharType="end"/>
          </w:r>
        </w:sdtContent>
      </w:sdt>
      <w:r>
        <w:rPr>
          <w:rFonts w:ascii="Arial" w:hAnsi="Arial" w:cs="Arial"/>
        </w:rPr>
        <w:t xml:space="preserve"> </w:t>
      </w:r>
      <w:r w:rsidRPr="00550C8D">
        <w:rPr>
          <w:rFonts w:ascii="Arial" w:hAnsi="Arial" w:cs="Arial"/>
        </w:rPr>
        <w:t xml:space="preserve">and thematic insights from qualitative interviews </w:t>
      </w:r>
      <w:sdt>
        <w:sdtPr>
          <w:rPr>
            <w:rFonts w:ascii="Arial" w:hAnsi="Arial" w:cs="Arial"/>
          </w:rPr>
          <w:id w:val="-1119683680"/>
          <w:citation/>
        </w:sdtPr>
        <w:sdtContent>
          <w:r>
            <w:rPr>
              <w:rFonts w:ascii="Arial" w:hAnsi="Arial" w:cs="Arial"/>
            </w:rPr>
            <w:fldChar w:fldCharType="begin"/>
          </w:r>
          <w:r>
            <w:rPr>
              <w:rFonts w:ascii="Arial" w:hAnsi="Arial" w:cs="Arial"/>
              <w:lang w:val="en-US"/>
            </w:rPr>
            <w:instrText xml:space="preserve"> CITATION Tui21 \l 1033 </w:instrText>
          </w:r>
          <w:r>
            <w:rPr>
              <w:rFonts w:ascii="Arial" w:hAnsi="Arial" w:cs="Arial"/>
            </w:rPr>
            <w:fldChar w:fldCharType="separate"/>
          </w:r>
          <w:r w:rsidR="001E393B" w:rsidRPr="001E393B">
            <w:rPr>
              <w:rFonts w:ascii="Arial" w:hAnsi="Arial" w:cs="Arial"/>
              <w:noProof/>
              <w:lang w:val="en-US"/>
            </w:rPr>
            <w:t>(Remco, et al., 2021)</w:t>
          </w:r>
          <w:r>
            <w:rPr>
              <w:rFonts w:ascii="Arial" w:hAnsi="Arial" w:cs="Arial"/>
            </w:rPr>
            <w:fldChar w:fldCharType="end"/>
          </w:r>
        </w:sdtContent>
      </w:sdt>
      <w:r>
        <w:rPr>
          <w:rFonts w:ascii="Arial" w:hAnsi="Arial" w:cs="Arial"/>
        </w:rPr>
        <w:t xml:space="preserve"> </w:t>
      </w:r>
      <w:r w:rsidRPr="00550C8D">
        <w:rPr>
          <w:rFonts w:ascii="Arial" w:hAnsi="Arial" w:cs="Arial"/>
        </w:rPr>
        <w:t>facilitates a deeper understanding of the impact of diagnosis timing on mental health outcomes. This integration is crucial for informing holistic dementia care models.</w:t>
      </w:r>
    </w:p>
    <w:p w14:paraId="1EB3BAE7" w14:textId="77777777" w:rsidR="002F0FEE" w:rsidRDefault="002F0FEE" w:rsidP="002F0FEE">
      <w:pPr>
        <w:spacing w:line="360" w:lineRule="auto"/>
        <w:rPr>
          <w:rFonts w:ascii="Arial" w:hAnsi="Arial" w:cs="Arial"/>
        </w:rPr>
      </w:pPr>
      <w:r w:rsidRPr="002F0FEE">
        <w:rPr>
          <w:rFonts w:ascii="Arial" w:hAnsi="Arial" w:cs="Arial"/>
        </w:rPr>
        <w:t>This dissertation addresses a significant gap in the existing literature by conducting a systematic review that specifically examines the mental health outcomes of early versus late diagnosis. It seeks to balance broadness with depth by selecting studies that employ diverse methodologies, thereby guaranteeing a more comprehensive analysis of the evidence.</w:t>
      </w:r>
    </w:p>
    <w:p w14:paraId="23DE49D0" w14:textId="77777777" w:rsidR="003078CC" w:rsidRPr="002F0FEE" w:rsidRDefault="003078CC" w:rsidP="002F0FEE">
      <w:pPr>
        <w:spacing w:line="360" w:lineRule="auto"/>
        <w:rPr>
          <w:rFonts w:ascii="Arial" w:hAnsi="Arial" w:cs="Arial"/>
        </w:rPr>
      </w:pPr>
    </w:p>
    <w:p w14:paraId="3B3928EB" w14:textId="4CEEB9F5" w:rsidR="00550C8D" w:rsidRDefault="003078CC" w:rsidP="003078CC">
      <w:pPr>
        <w:pStyle w:val="Heading2"/>
        <w:spacing w:line="360" w:lineRule="auto"/>
        <w:jc w:val="left"/>
        <w:rPr>
          <w:rFonts w:ascii="Arial" w:hAnsi="Arial" w:cs="Arial"/>
        </w:rPr>
      </w:pPr>
      <w:bookmarkStart w:id="32" w:name="_Toc210677366"/>
      <w:r w:rsidRPr="003078CC">
        <w:rPr>
          <w:rFonts w:ascii="Arial" w:hAnsi="Arial" w:cs="Arial"/>
        </w:rPr>
        <w:t>2.5 Identified Gaps in the Literature</w:t>
      </w:r>
      <w:bookmarkEnd w:id="32"/>
    </w:p>
    <w:p w14:paraId="51F19DDE" w14:textId="77777777" w:rsidR="003078CC" w:rsidRDefault="003078CC" w:rsidP="003078CC">
      <w:pPr>
        <w:spacing w:line="360" w:lineRule="auto"/>
        <w:rPr>
          <w:rFonts w:ascii="Arial" w:hAnsi="Arial" w:cs="Arial"/>
        </w:rPr>
      </w:pPr>
      <w:r w:rsidRPr="003078CC">
        <w:rPr>
          <w:rFonts w:ascii="Arial" w:hAnsi="Arial" w:cs="Arial"/>
        </w:rPr>
        <w:t>Despite an increasing body of research on dementia care, significant gaps continue to exist especially concerning the impact of early diagnosis on patients' emotional and psychological outcomes. The shortcomings are methodological, conceptual, and demographic, significantly impacting the relevance and comprehensiveness of current findings. This section points out several important domains requiring further research and situates the present study to address these deficiencies.</w:t>
      </w:r>
    </w:p>
    <w:p w14:paraId="3943862B" w14:textId="77777777" w:rsidR="003078CC" w:rsidRDefault="003078CC" w:rsidP="003078CC">
      <w:pPr>
        <w:pStyle w:val="Heading3"/>
        <w:spacing w:line="360" w:lineRule="auto"/>
        <w:ind w:left="720"/>
        <w:rPr>
          <w:rFonts w:ascii="Arial" w:hAnsi="Arial" w:cs="Arial"/>
          <w:sz w:val="22"/>
          <w:u w:val="none"/>
        </w:rPr>
      </w:pPr>
      <w:bookmarkStart w:id="33" w:name="_Toc210677367"/>
      <w:r w:rsidRPr="003078CC">
        <w:rPr>
          <w:rFonts w:ascii="Arial" w:hAnsi="Arial" w:cs="Arial"/>
          <w:sz w:val="22"/>
          <w:u w:val="none"/>
        </w:rPr>
        <w:t>2.5.1 The absence of Standardisation in Definitions of Diagnostic Timeline</w:t>
      </w:r>
      <w:bookmarkEnd w:id="33"/>
    </w:p>
    <w:p w14:paraId="66F9D923" w14:textId="546BCC85" w:rsidR="003078CC" w:rsidRDefault="003078CC" w:rsidP="003078CC">
      <w:pPr>
        <w:spacing w:line="360" w:lineRule="auto"/>
        <w:rPr>
          <w:rFonts w:ascii="Arial" w:hAnsi="Arial" w:cs="Arial"/>
        </w:rPr>
      </w:pPr>
      <w:r w:rsidRPr="003078CC">
        <w:rPr>
          <w:rFonts w:ascii="Arial" w:hAnsi="Arial" w:cs="Arial"/>
        </w:rPr>
        <w:t xml:space="preserve">A significant methodological challenge in dementia research is the lack of a consistent and operationalised definition separating "early" from "late" diagnosis. </w:t>
      </w:r>
      <w:proofErr w:type="spellStart"/>
      <w:r w:rsidR="00975720">
        <w:rPr>
          <w:rFonts w:ascii="Arial" w:hAnsi="Arial" w:cs="Arial"/>
        </w:rPr>
        <w:t>Creavin</w:t>
      </w:r>
      <w:proofErr w:type="spellEnd"/>
      <w:r w:rsidRPr="003078CC">
        <w:rPr>
          <w:rFonts w:ascii="Arial" w:hAnsi="Arial" w:cs="Arial"/>
        </w:rPr>
        <w:t xml:space="preserve"> et al. (202</w:t>
      </w:r>
      <w:r w:rsidR="00975720">
        <w:rPr>
          <w:rFonts w:ascii="Arial" w:hAnsi="Arial" w:cs="Arial"/>
        </w:rPr>
        <w:t>2</w:t>
      </w:r>
      <w:r w:rsidRPr="003078CC">
        <w:rPr>
          <w:rFonts w:ascii="Arial" w:hAnsi="Arial" w:cs="Arial"/>
        </w:rPr>
        <w:t xml:space="preserve">) observe that diagnostic timing is frequently evaluated retrospectively, relying on symptom </w:t>
      </w:r>
      <w:r w:rsidRPr="003078CC">
        <w:rPr>
          <w:rFonts w:ascii="Arial" w:hAnsi="Arial" w:cs="Arial"/>
        </w:rPr>
        <w:lastRenderedPageBreak/>
        <w:t>severity or duration since initial presentation, instead of established criteria. The absence of standardisation affects comparative research and meta-analysis, as studies may categorise similar clinical presentations variously based on context, sample, or methodology.</w:t>
      </w:r>
    </w:p>
    <w:p w14:paraId="5E1443D9" w14:textId="1A6491E5" w:rsidR="00273D67" w:rsidRDefault="00273D67" w:rsidP="00273D67">
      <w:pPr>
        <w:spacing w:line="360" w:lineRule="auto"/>
        <w:rPr>
          <w:rFonts w:ascii="Arial" w:hAnsi="Arial" w:cs="Arial"/>
        </w:rPr>
      </w:pPr>
      <w:r w:rsidRPr="00273D67">
        <w:rPr>
          <w:rFonts w:ascii="Arial" w:hAnsi="Arial" w:cs="Arial"/>
        </w:rPr>
        <w:t xml:space="preserve">Certain studies connect early diagnosis with the mild cognitive impairment (MCI) stage, yet others characterise it by the lack of functional decline </w:t>
      </w:r>
      <w:sdt>
        <w:sdtPr>
          <w:rPr>
            <w:rFonts w:ascii="Arial" w:hAnsi="Arial" w:cs="Arial"/>
          </w:rPr>
          <w:id w:val="-894037181"/>
          <w:citation/>
        </w:sdtPr>
        <w:sdtContent>
          <w:r>
            <w:rPr>
              <w:rFonts w:ascii="Arial" w:hAnsi="Arial" w:cs="Arial"/>
            </w:rPr>
            <w:fldChar w:fldCharType="begin"/>
          </w:r>
          <w:r>
            <w:rPr>
              <w:rFonts w:ascii="Arial" w:hAnsi="Arial" w:cs="Arial"/>
              <w:lang w:val="en-US"/>
            </w:rPr>
            <w:instrText xml:space="preserve"> CITATION Vas22 \l 1033 </w:instrText>
          </w:r>
          <w:r>
            <w:rPr>
              <w:rFonts w:ascii="Arial" w:hAnsi="Arial" w:cs="Arial"/>
            </w:rPr>
            <w:fldChar w:fldCharType="separate"/>
          </w:r>
          <w:r w:rsidR="001E393B" w:rsidRPr="001E393B">
            <w:rPr>
              <w:rFonts w:ascii="Arial" w:hAnsi="Arial" w:cs="Arial"/>
              <w:noProof/>
              <w:lang w:val="en-US"/>
            </w:rPr>
            <w:t>(Orgeta, et al., 2022)</w:t>
          </w:r>
          <w:r>
            <w:rPr>
              <w:rFonts w:ascii="Arial" w:hAnsi="Arial" w:cs="Arial"/>
            </w:rPr>
            <w:fldChar w:fldCharType="end"/>
          </w:r>
        </w:sdtContent>
      </w:sdt>
      <w:r w:rsidRPr="00273D67">
        <w:rPr>
          <w:rFonts w:ascii="Arial" w:hAnsi="Arial" w:cs="Arial"/>
        </w:rPr>
        <w:t>. As a result, initiatives to evaluate mental health outcomes across the diagnostic range face obstacles by inconsistent boundaries, making generalisation problematic. Defining more precise diagnostic staging criteria would improve the validity of upcoming research and policy assessment.</w:t>
      </w:r>
    </w:p>
    <w:p w14:paraId="1D51796D" w14:textId="0C7D6A4C" w:rsidR="00273D67" w:rsidRDefault="00273D67" w:rsidP="00273D67">
      <w:pPr>
        <w:pStyle w:val="Heading3"/>
        <w:spacing w:line="360" w:lineRule="auto"/>
        <w:ind w:left="720"/>
        <w:rPr>
          <w:rFonts w:ascii="Arial" w:hAnsi="Arial" w:cs="Arial"/>
          <w:sz w:val="22"/>
          <w:u w:val="none"/>
        </w:rPr>
      </w:pPr>
      <w:bookmarkStart w:id="34" w:name="_Toc210677368"/>
      <w:r w:rsidRPr="00273D67">
        <w:rPr>
          <w:rFonts w:ascii="Arial" w:hAnsi="Arial" w:cs="Arial"/>
          <w:sz w:val="22"/>
          <w:u w:val="none"/>
        </w:rPr>
        <w:t>2.5.2 Limited Focus on Mental Health Outcomes</w:t>
      </w:r>
      <w:bookmarkEnd w:id="34"/>
    </w:p>
    <w:p w14:paraId="5379672D" w14:textId="48361DBD" w:rsidR="00EE2EAF" w:rsidRDefault="00EE2EAF" w:rsidP="00EE2EAF">
      <w:pPr>
        <w:spacing w:line="360" w:lineRule="auto"/>
        <w:rPr>
          <w:rFonts w:ascii="Arial" w:hAnsi="Arial" w:cs="Arial"/>
        </w:rPr>
      </w:pPr>
      <w:r w:rsidRPr="00EE2EAF">
        <w:rPr>
          <w:rFonts w:ascii="Arial" w:hAnsi="Arial" w:cs="Arial"/>
        </w:rPr>
        <w:t>Despite cognitive decline, functional deterioration, and carer burden have been extensively studied in dementia studies, the mental health of people living with dementia (PLWD) remains a relatively neglected domain. Numerous studies highlight quantitative clinical endpoints, such as MMSE scores or adherence to medication, while overlooking the subjective feelings of diagnosed people (Orgeta et al., 20</w:t>
      </w:r>
      <w:r>
        <w:rPr>
          <w:rFonts w:ascii="Arial" w:hAnsi="Arial" w:cs="Arial"/>
        </w:rPr>
        <w:t>22</w:t>
      </w:r>
      <w:r w:rsidRPr="00EE2EAF">
        <w:rPr>
          <w:rFonts w:ascii="Arial" w:hAnsi="Arial" w:cs="Arial"/>
        </w:rPr>
        <w:t>; Livingston et al., 2017).</w:t>
      </w:r>
    </w:p>
    <w:p w14:paraId="66F2688F" w14:textId="605B09D4" w:rsidR="00EE2EAF" w:rsidRDefault="00EE2EAF" w:rsidP="00EE2EAF">
      <w:pPr>
        <w:spacing w:line="360" w:lineRule="auto"/>
        <w:rPr>
          <w:rFonts w:ascii="Arial" w:hAnsi="Arial" w:cs="Arial"/>
        </w:rPr>
      </w:pPr>
      <w:r w:rsidRPr="00EE2EAF">
        <w:rPr>
          <w:rFonts w:ascii="Arial" w:hAnsi="Arial" w:cs="Arial"/>
        </w:rPr>
        <w:t>Bunn et al. (20</w:t>
      </w:r>
      <w:r>
        <w:rPr>
          <w:rFonts w:ascii="Arial" w:hAnsi="Arial" w:cs="Arial"/>
        </w:rPr>
        <w:t>17</w:t>
      </w:r>
      <w:r w:rsidRPr="00EE2EAF">
        <w:rPr>
          <w:rFonts w:ascii="Arial" w:hAnsi="Arial" w:cs="Arial"/>
        </w:rPr>
        <w:t>) say that mental health outcomes, including anxiety, depression, self-efficacy, and emotional resilience, are fundamental to patient-centred care however often serve as the primary focus of clinical studies. More specifically, little research provides longitudinal evaluations of mental health post-diagnosis, resulting in a gap in our understanding of the chronological progression of psychological well-being. This research paper highlights these outcomes, bringing emotional and mental well-being at the centre of its analysis.</w:t>
      </w:r>
    </w:p>
    <w:p w14:paraId="1DBDC951" w14:textId="77777777" w:rsidR="00534808" w:rsidRDefault="00EE2EAF" w:rsidP="00534808">
      <w:pPr>
        <w:pStyle w:val="Heading3"/>
        <w:spacing w:line="360" w:lineRule="auto"/>
        <w:ind w:left="720"/>
        <w:rPr>
          <w:rFonts w:ascii="Arial" w:hAnsi="Arial" w:cs="Arial"/>
          <w:sz w:val="22"/>
          <w:u w:val="none"/>
        </w:rPr>
      </w:pPr>
      <w:bookmarkStart w:id="35" w:name="_Toc210677369"/>
      <w:r w:rsidRPr="00534808">
        <w:rPr>
          <w:rFonts w:ascii="Arial" w:hAnsi="Arial" w:cs="Arial"/>
          <w:sz w:val="22"/>
          <w:u w:val="none"/>
        </w:rPr>
        <w:t xml:space="preserve">2.5.3 </w:t>
      </w:r>
      <w:r w:rsidR="00534808" w:rsidRPr="00534808">
        <w:rPr>
          <w:rFonts w:ascii="Arial" w:hAnsi="Arial" w:cs="Arial"/>
          <w:sz w:val="22"/>
          <w:u w:val="none"/>
        </w:rPr>
        <w:t>Inadequate Evaluation of Post-Diagnosis Support Services</w:t>
      </w:r>
      <w:bookmarkEnd w:id="35"/>
    </w:p>
    <w:p w14:paraId="7E80209B" w14:textId="10D6BF68" w:rsidR="00695626" w:rsidRDefault="00695626" w:rsidP="00695626">
      <w:pPr>
        <w:spacing w:line="360" w:lineRule="auto"/>
        <w:rPr>
          <w:rFonts w:ascii="Arial" w:hAnsi="Arial" w:cs="Arial"/>
        </w:rPr>
      </w:pPr>
      <w:r w:rsidRPr="00695626">
        <w:rPr>
          <w:rFonts w:ascii="Arial" w:hAnsi="Arial" w:cs="Arial"/>
        </w:rPr>
        <w:t xml:space="preserve">While many studies acknowledge that early diagnosis is most beneficial when accompanied by structured intervention, the quality, accessibility, and nature of post-diagnosis support remain significantly inconsistent and insufficiently examined. Despite the potential demonstrated by interventions such as cognitive stimulation therapy (CST), occupational therapy, and reminiscence therapy </w:t>
      </w:r>
      <w:sdt>
        <w:sdtPr>
          <w:rPr>
            <w:rFonts w:ascii="Arial" w:hAnsi="Arial" w:cs="Arial"/>
          </w:rPr>
          <w:id w:val="-617225293"/>
          <w:citation/>
        </w:sdtPr>
        <w:sdtContent>
          <w:r>
            <w:rPr>
              <w:rFonts w:ascii="Arial" w:hAnsi="Arial" w:cs="Arial"/>
            </w:rPr>
            <w:fldChar w:fldCharType="begin"/>
          </w:r>
          <w:r>
            <w:rPr>
              <w:rFonts w:ascii="Arial" w:hAnsi="Arial" w:cs="Arial"/>
              <w:lang w:val="en-US"/>
            </w:rPr>
            <w:instrText xml:space="preserve"> CITATION Dav22 \l 1033 </w:instrText>
          </w:r>
          <w:r>
            <w:rPr>
              <w:rFonts w:ascii="Arial" w:hAnsi="Arial" w:cs="Arial"/>
            </w:rPr>
            <w:fldChar w:fldCharType="separate"/>
          </w:r>
          <w:r w:rsidR="001E393B" w:rsidRPr="001E393B">
            <w:rPr>
              <w:rFonts w:ascii="Arial" w:hAnsi="Arial" w:cs="Arial"/>
              <w:noProof/>
              <w:lang w:val="en-US"/>
            </w:rPr>
            <w:t>(Cammisuli, et al., 2022)</w:t>
          </w:r>
          <w:r>
            <w:rPr>
              <w:rFonts w:ascii="Arial" w:hAnsi="Arial" w:cs="Arial"/>
            </w:rPr>
            <w:fldChar w:fldCharType="end"/>
          </w:r>
        </w:sdtContent>
      </w:sdt>
      <w:r w:rsidRPr="00695626">
        <w:rPr>
          <w:rFonts w:ascii="Arial" w:hAnsi="Arial" w:cs="Arial"/>
        </w:rPr>
        <w:t>, there is a lack of comparative evidence regarding the impact of various support models on emotional health outcomes post-diagnosis.</w:t>
      </w:r>
    </w:p>
    <w:p w14:paraId="21C652DC" w14:textId="3B002609" w:rsidR="00695626" w:rsidRPr="00695626" w:rsidRDefault="00695626" w:rsidP="00695626">
      <w:pPr>
        <w:spacing w:line="360" w:lineRule="auto"/>
        <w:rPr>
          <w:rFonts w:ascii="Arial" w:hAnsi="Arial" w:cs="Arial"/>
        </w:rPr>
      </w:pPr>
      <w:r w:rsidRPr="00695626">
        <w:rPr>
          <w:rFonts w:ascii="Arial" w:hAnsi="Arial" w:cs="Arial"/>
        </w:rPr>
        <w:t xml:space="preserve">Additionally, the NHS and local authorities frequently provide post-diagnostic services in a fragmented manner, resulting in disparities in care based on geographic and socioeconomic factors </w:t>
      </w:r>
      <w:sdt>
        <w:sdtPr>
          <w:rPr>
            <w:rFonts w:ascii="Arial" w:hAnsi="Arial" w:cs="Arial"/>
          </w:rPr>
          <w:id w:val="-93707123"/>
          <w:citation/>
        </w:sdtPr>
        <w:sdtContent>
          <w:r w:rsidR="006A7FD3">
            <w:rPr>
              <w:rFonts w:ascii="Arial" w:hAnsi="Arial" w:cs="Arial"/>
            </w:rPr>
            <w:fldChar w:fldCharType="begin"/>
          </w:r>
          <w:r w:rsidR="006A7FD3">
            <w:rPr>
              <w:rFonts w:ascii="Arial" w:hAnsi="Arial" w:cs="Arial"/>
              <w:lang w:val="en-US"/>
            </w:rPr>
            <w:instrText xml:space="preserve"> CITATION Cla18 \l 1033 </w:instrText>
          </w:r>
          <w:r w:rsidR="006A7FD3">
            <w:rPr>
              <w:rFonts w:ascii="Arial" w:hAnsi="Arial" w:cs="Arial"/>
            </w:rPr>
            <w:fldChar w:fldCharType="separate"/>
          </w:r>
          <w:r w:rsidR="001E393B" w:rsidRPr="001E393B">
            <w:rPr>
              <w:rFonts w:ascii="Arial" w:hAnsi="Arial" w:cs="Arial"/>
              <w:noProof/>
              <w:lang w:val="en-US"/>
            </w:rPr>
            <w:t>(Wolfs, et al., 2018)</w:t>
          </w:r>
          <w:r w:rsidR="006A7FD3">
            <w:rPr>
              <w:rFonts w:ascii="Arial" w:hAnsi="Arial" w:cs="Arial"/>
            </w:rPr>
            <w:fldChar w:fldCharType="end"/>
          </w:r>
        </w:sdtContent>
      </w:sdt>
      <w:r w:rsidRPr="00695626">
        <w:rPr>
          <w:rFonts w:ascii="Arial" w:hAnsi="Arial" w:cs="Arial"/>
        </w:rPr>
        <w:t xml:space="preserve">. </w:t>
      </w:r>
      <w:r w:rsidR="006A7FD3">
        <w:rPr>
          <w:rFonts w:ascii="Arial" w:hAnsi="Arial" w:cs="Arial"/>
        </w:rPr>
        <w:t>Wolters and Ikram</w:t>
      </w:r>
      <w:r w:rsidRPr="00695626">
        <w:rPr>
          <w:rFonts w:ascii="Arial" w:hAnsi="Arial" w:cs="Arial"/>
        </w:rPr>
        <w:t xml:space="preserve"> (2018) note that patients receiving an early diagnosis do not consistently experience psychological advantages unless the diagnosis is </w:t>
      </w:r>
      <w:r w:rsidRPr="00695626">
        <w:rPr>
          <w:rFonts w:ascii="Arial" w:hAnsi="Arial" w:cs="Arial"/>
        </w:rPr>
        <w:lastRenderedPageBreak/>
        <w:t>paired with clear pathways for emotional and practical support. The absence of systematic assessment of these services constitutes a significant gap in the literature.</w:t>
      </w:r>
    </w:p>
    <w:p w14:paraId="322A6FB6" w14:textId="71FE497D" w:rsidR="00695626" w:rsidRDefault="000E22E7" w:rsidP="000E22E7">
      <w:pPr>
        <w:pStyle w:val="Heading3"/>
        <w:spacing w:line="360" w:lineRule="auto"/>
        <w:ind w:left="720"/>
        <w:rPr>
          <w:rFonts w:ascii="Arial" w:hAnsi="Arial" w:cs="Arial"/>
          <w:sz w:val="22"/>
          <w:u w:val="none"/>
        </w:rPr>
      </w:pPr>
      <w:bookmarkStart w:id="36" w:name="_Toc210677370"/>
      <w:r w:rsidRPr="000E22E7">
        <w:rPr>
          <w:rFonts w:ascii="Arial" w:hAnsi="Arial" w:cs="Arial"/>
          <w:sz w:val="22"/>
          <w:u w:val="none"/>
        </w:rPr>
        <w:t>2.5.4 Cultural, Ethnic, and Socioeconomic Underrepresentation</w:t>
      </w:r>
      <w:bookmarkEnd w:id="36"/>
    </w:p>
    <w:p w14:paraId="45C99618" w14:textId="6A98BD19" w:rsidR="000E22E7" w:rsidRDefault="000E22E7" w:rsidP="000E22E7">
      <w:pPr>
        <w:spacing w:line="360" w:lineRule="auto"/>
        <w:rPr>
          <w:rFonts w:ascii="Arial" w:hAnsi="Arial" w:cs="Arial"/>
        </w:rPr>
      </w:pPr>
      <w:r w:rsidRPr="000E22E7">
        <w:rPr>
          <w:rFonts w:ascii="Arial" w:hAnsi="Arial" w:cs="Arial"/>
        </w:rPr>
        <w:t xml:space="preserve">An important limitation in current research is the insufficient inclusion of individuals representing minority ethnic backgrounds and lower socioeconomic classes. Despite their increased susceptibility for late diagnosis and limited access to care, these populations are rarely the focus of empirical studies (Pujades-Rodriguez et al., 2018; </w:t>
      </w:r>
      <w:r>
        <w:rPr>
          <w:rFonts w:ascii="Arial" w:hAnsi="Arial" w:cs="Arial"/>
        </w:rPr>
        <w:t>Remco</w:t>
      </w:r>
      <w:r w:rsidRPr="000E22E7">
        <w:rPr>
          <w:rFonts w:ascii="Arial" w:hAnsi="Arial" w:cs="Arial"/>
        </w:rPr>
        <w:t xml:space="preserve"> et al., 2021).</w:t>
      </w:r>
    </w:p>
    <w:p w14:paraId="235F30EE" w14:textId="0B58A639" w:rsidR="000E22E7" w:rsidRDefault="000E22E7" w:rsidP="000E22E7">
      <w:pPr>
        <w:spacing w:line="360" w:lineRule="auto"/>
        <w:rPr>
          <w:rFonts w:ascii="Arial" w:hAnsi="Arial" w:cs="Arial"/>
        </w:rPr>
      </w:pPr>
      <w:r w:rsidRPr="000E22E7">
        <w:rPr>
          <w:rFonts w:ascii="Arial" w:hAnsi="Arial" w:cs="Arial"/>
        </w:rPr>
        <w:t xml:space="preserve">This demographic gap affects findings and interferes with the design of inclusive dementia care solutions. Diagnostic tools and services may lack cultural sensitivity and linguistic suitability, resulting in under-diagnosis and misperception of mental health symptoms. Giebel </w:t>
      </w:r>
      <w:r>
        <w:rPr>
          <w:rFonts w:ascii="Arial" w:hAnsi="Arial" w:cs="Arial"/>
        </w:rPr>
        <w:t>and Heath</w:t>
      </w:r>
      <w:r w:rsidRPr="000E22E7">
        <w:rPr>
          <w:rFonts w:ascii="Arial" w:hAnsi="Arial" w:cs="Arial"/>
        </w:rPr>
        <w:t xml:space="preserve"> (202</w:t>
      </w:r>
      <w:r>
        <w:rPr>
          <w:rFonts w:ascii="Arial" w:hAnsi="Arial" w:cs="Arial"/>
        </w:rPr>
        <w:t>3</w:t>
      </w:r>
      <w:r w:rsidRPr="000E22E7">
        <w:rPr>
          <w:rFonts w:ascii="Arial" w:hAnsi="Arial" w:cs="Arial"/>
        </w:rPr>
        <w:t>) highlight that social determinants of health significantly impact the timing of diagnosis and later mental health trajectories. Correcting these fundamental inequalities is essential for promoting equal access to healthcare in dementia care.</w:t>
      </w:r>
    </w:p>
    <w:p w14:paraId="5060DF24" w14:textId="2E7B6207" w:rsidR="000E22E7" w:rsidRDefault="00150DED" w:rsidP="00150DED">
      <w:pPr>
        <w:pStyle w:val="Heading3"/>
        <w:spacing w:line="360" w:lineRule="auto"/>
        <w:ind w:left="720"/>
        <w:rPr>
          <w:rFonts w:ascii="Arial" w:hAnsi="Arial" w:cs="Arial"/>
          <w:sz w:val="22"/>
          <w:u w:val="none"/>
        </w:rPr>
      </w:pPr>
      <w:bookmarkStart w:id="37" w:name="_Toc210677371"/>
      <w:r w:rsidRPr="00150DED">
        <w:rPr>
          <w:rFonts w:ascii="Arial" w:hAnsi="Arial" w:cs="Arial"/>
          <w:sz w:val="22"/>
          <w:u w:val="none"/>
        </w:rPr>
        <w:t>2.5.5 Insufficient Integration of Multidisciplinary Perspectives</w:t>
      </w:r>
      <w:bookmarkEnd w:id="37"/>
    </w:p>
    <w:p w14:paraId="75286BEE" w14:textId="5812FAD8" w:rsidR="00150DED" w:rsidRDefault="00150DED" w:rsidP="00150DED">
      <w:pPr>
        <w:spacing w:line="360" w:lineRule="auto"/>
        <w:rPr>
          <w:rFonts w:ascii="Arial" w:hAnsi="Arial" w:cs="Arial"/>
        </w:rPr>
      </w:pPr>
      <w:r w:rsidRPr="00150DED">
        <w:rPr>
          <w:rFonts w:ascii="Arial" w:hAnsi="Arial" w:cs="Arial"/>
        </w:rPr>
        <w:t>A significant part of the current literature is generated within disciplinary silos</w:t>
      </w:r>
      <w:r w:rsidR="00C86854">
        <w:rPr>
          <w:rFonts w:ascii="Arial" w:hAnsi="Arial" w:cs="Arial"/>
        </w:rPr>
        <w:t xml:space="preserve"> - </w:t>
      </w:r>
      <w:r w:rsidRPr="00150DED">
        <w:rPr>
          <w:rFonts w:ascii="Arial" w:hAnsi="Arial" w:cs="Arial"/>
        </w:rPr>
        <w:t>neurology, psychiatry, public health, or social work, each providing valuable insights yet often lacking inter-domain interaction. Limited research takes a comprehensive approach that synthesises clinical, psychological, and social care views. Milne (2010) proposes for an expanded conceptualisation of dementia diagnosis that incorporates not only biological pathology but also the ways in which individuals experience and emotionally react to their diagnosis.</w:t>
      </w:r>
    </w:p>
    <w:p w14:paraId="31F54F17" w14:textId="06936AD1" w:rsidR="00482944" w:rsidRDefault="00C86854" w:rsidP="00C25876">
      <w:pPr>
        <w:spacing w:line="360" w:lineRule="auto"/>
        <w:rPr>
          <w:rFonts w:ascii="Arial" w:hAnsi="Arial" w:cs="Arial"/>
        </w:rPr>
      </w:pPr>
      <w:r w:rsidRPr="00C86854">
        <w:rPr>
          <w:rFonts w:ascii="Arial" w:hAnsi="Arial" w:cs="Arial"/>
        </w:rPr>
        <w:t>In the absence of this integration, the understanding of dementia care remains fragmented, limiting the possibility of solid, person-centred approaches to diagnosis and support. The present paper seeks to bring together these disciplinary differences by methodically reviewing literature from diverse fields that together explore the emotional consequences of diagnosis timing.</w:t>
      </w:r>
    </w:p>
    <w:p w14:paraId="392BDACF" w14:textId="5D1F71A8" w:rsidR="00C9348C" w:rsidRDefault="00482944" w:rsidP="00482944">
      <w:pPr>
        <w:pStyle w:val="Heading2"/>
        <w:spacing w:line="360" w:lineRule="auto"/>
        <w:jc w:val="left"/>
        <w:rPr>
          <w:rFonts w:ascii="Arial" w:hAnsi="Arial" w:cs="Arial"/>
        </w:rPr>
      </w:pPr>
      <w:bookmarkStart w:id="38" w:name="_Toc210677372"/>
      <w:r w:rsidRPr="00482944">
        <w:rPr>
          <w:rFonts w:ascii="Arial" w:hAnsi="Arial" w:cs="Arial"/>
        </w:rPr>
        <w:t>2.6 Theoretical Framework</w:t>
      </w:r>
      <w:bookmarkEnd w:id="38"/>
    </w:p>
    <w:p w14:paraId="7B905BB4" w14:textId="7D071FC9" w:rsidR="00353135" w:rsidRDefault="00353135" w:rsidP="00353135">
      <w:pPr>
        <w:spacing w:line="360" w:lineRule="auto"/>
        <w:rPr>
          <w:rFonts w:ascii="Arial" w:hAnsi="Arial" w:cs="Arial"/>
        </w:rPr>
      </w:pPr>
      <w:r w:rsidRPr="00353135">
        <w:rPr>
          <w:rFonts w:ascii="Arial" w:hAnsi="Arial" w:cs="Arial"/>
        </w:rPr>
        <w:t xml:space="preserve">This research's theoretical framework is based on the Stress Process Model (SPM) </w:t>
      </w:r>
      <w:sdt>
        <w:sdtPr>
          <w:rPr>
            <w:rFonts w:ascii="Arial" w:hAnsi="Arial" w:cs="Arial"/>
          </w:rPr>
          <w:id w:val="1416979000"/>
          <w:citation/>
        </w:sdtPr>
        <w:sdtContent>
          <w:r>
            <w:rPr>
              <w:rFonts w:ascii="Arial" w:hAnsi="Arial" w:cs="Arial"/>
            </w:rPr>
            <w:fldChar w:fldCharType="begin"/>
          </w:r>
          <w:r>
            <w:rPr>
              <w:rFonts w:ascii="Arial" w:hAnsi="Arial" w:cs="Arial"/>
              <w:lang w:val="en-US"/>
            </w:rPr>
            <w:instrText xml:space="preserve"> CITATION Leo81 \l 1033 </w:instrText>
          </w:r>
          <w:r>
            <w:rPr>
              <w:rFonts w:ascii="Arial" w:hAnsi="Arial" w:cs="Arial"/>
            </w:rPr>
            <w:fldChar w:fldCharType="separate"/>
          </w:r>
          <w:r w:rsidR="001E393B" w:rsidRPr="001E393B">
            <w:rPr>
              <w:rFonts w:ascii="Arial" w:hAnsi="Arial" w:cs="Arial"/>
              <w:noProof/>
              <w:lang w:val="en-US"/>
            </w:rPr>
            <w:t>(Pearlin, et al., 1981)</w:t>
          </w:r>
          <w:r>
            <w:rPr>
              <w:rFonts w:ascii="Arial" w:hAnsi="Arial" w:cs="Arial"/>
            </w:rPr>
            <w:fldChar w:fldCharType="end"/>
          </w:r>
        </w:sdtContent>
      </w:sdt>
      <w:r>
        <w:rPr>
          <w:rFonts w:ascii="Arial" w:hAnsi="Arial" w:cs="Arial"/>
        </w:rPr>
        <w:t xml:space="preserve"> </w:t>
      </w:r>
      <w:r w:rsidRPr="00353135">
        <w:rPr>
          <w:rFonts w:ascii="Arial" w:hAnsi="Arial" w:cs="Arial"/>
        </w:rPr>
        <w:t xml:space="preserve">and is further supported by three established theories: the Biopsychosocial Model </w:t>
      </w:r>
      <w:sdt>
        <w:sdtPr>
          <w:rPr>
            <w:rFonts w:ascii="Arial" w:hAnsi="Arial" w:cs="Arial"/>
          </w:rPr>
          <w:id w:val="721483538"/>
          <w:citation/>
        </w:sdtPr>
        <w:sdtContent>
          <w:r>
            <w:rPr>
              <w:rFonts w:ascii="Arial" w:hAnsi="Arial" w:cs="Arial"/>
            </w:rPr>
            <w:fldChar w:fldCharType="begin"/>
          </w:r>
          <w:r>
            <w:rPr>
              <w:rFonts w:ascii="Arial" w:hAnsi="Arial" w:cs="Arial"/>
              <w:lang w:val="en-US"/>
            </w:rPr>
            <w:instrText xml:space="preserve"> CITATION Geo77 \l 1033 </w:instrText>
          </w:r>
          <w:r>
            <w:rPr>
              <w:rFonts w:ascii="Arial" w:hAnsi="Arial" w:cs="Arial"/>
            </w:rPr>
            <w:fldChar w:fldCharType="separate"/>
          </w:r>
          <w:r w:rsidR="001E393B" w:rsidRPr="001E393B">
            <w:rPr>
              <w:rFonts w:ascii="Arial" w:hAnsi="Arial" w:cs="Arial"/>
              <w:noProof/>
              <w:lang w:val="en-US"/>
            </w:rPr>
            <w:t>(Engel, 1977)</w:t>
          </w:r>
          <w:r>
            <w:rPr>
              <w:rFonts w:ascii="Arial" w:hAnsi="Arial" w:cs="Arial"/>
            </w:rPr>
            <w:fldChar w:fldCharType="end"/>
          </w:r>
        </w:sdtContent>
      </w:sdt>
      <w:r w:rsidRPr="00353135">
        <w:rPr>
          <w:rFonts w:ascii="Arial" w:hAnsi="Arial" w:cs="Arial"/>
        </w:rPr>
        <w:t xml:space="preserve">, Stress and Coping Theory </w:t>
      </w:r>
      <w:sdt>
        <w:sdtPr>
          <w:rPr>
            <w:rFonts w:ascii="Arial" w:hAnsi="Arial" w:cs="Arial"/>
          </w:rPr>
          <w:id w:val="-27563153"/>
          <w:citation/>
        </w:sdtPr>
        <w:sdtContent>
          <w:r w:rsidR="005F2A6B">
            <w:rPr>
              <w:rFonts w:ascii="Arial" w:hAnsi="Arial" w:cs="Arial"/>
            </w:rPr>
            <w:fldChar w:fldCharType="begin"/>
          </w:r>
          <w:r w:rsidR="005F2A6B">
            <w:rPr>
              <w:rFonts w:ascii="Arial" w:hAnsi="Arial" w:cs="Arial"/>
              <w:lang w:val="en-US"/>
            </w:rPr>
            <w:instrText xml:space="preserve"> CITATION Ric84 \l 1033 </w:instrText>
          </w:r>
          <w:r w:rsidR="005F2A6B">
            <w:rPr>
              <w:rFonts w:ascii="Arial" w:hAnsi="Arial" w:cs="Arial"/>
            </w:rPr>
            <w:fldChar w:fldCharType="separate"/>
          </w:r>
          <w:r w:rsidR="001E393B" w:rsidRPr="001E393B">
            <w:rPr>
              <w:rFonts w:ascii="Arial" w:hAnsi="Arial" w:cs="Arial"/>
              <w:noProof/>
              <w:lang w:val="en-US"/>
            </w:rPr>
            <w:t>(Lazarus &amp; Folkman, 1984)</w:t>
          </w:r>
          <w:r w:rsidR="005F2A6B">
            <w:rPr>
              <w:rFonts w:ascii="Arial" w:hAnsi="Arial" w:cs="Arial"/>
            </w:rPr>
            <w:fldChar w:fldCharType="end"/>
          </w:r>
        </w:sdtContent>
      </w:sdt>
      <w:r w:rsidRPr="00353135">
        <w:rPr>
          <w:rFonts w:ascii="Arial" w:hAnsi="Arial" w:cs="Arial"/>
        </w:rPr>
        <w:t xml:space="preserve">, and Person-Centred Care (PCC) </w:t>
      </w:r>
      <w:sdt>
        <w:sdtPr>
          <w:rPr>
            <w:rFonts w:ascii="Arial" w:hAnsi="Arial" w:cs="Arial"/>
          </w:rPr>
          <w:id w:val="249394033"/>
          <w:citation/>
        </w:sdtPr>
        <w:sdtContent>
          <w:r w:rsidR="005F2A6B">
            <w:rPr>
              <w:rFonts w:ascii="Arial" w:hAnsi="Arial" w:cs="Arial"/>
            </w:rPr>
            <w:fldChar w:fldCharType="begin"/>
          </w:r>
          <w:r w:rsidR="005F2A6B">
            <w:rPr>
              <w:rFonts w:ascii="Arial" w:hAnsi="Arial" w:cs="Arial"/>
              <w:lang w:val="en-US"/>
            </w:rPr>
            <w:instrText xml:space="preserve"> CITATION Tom97 \l 1033 </w:instrText>
          </w:r>
          <w:r w:rsidR="005F2A6B">
            <w:rPr>
              <w:rFonts w:ascii="Arial" w:hAnsi="Arial" w:cs="Arial"/>
            </w:rPr>
            <w:fldChar w:fldCharType="separate"/>
          </w:r>
          <w:r w:rsidR="001E393B" w:rsidRPr="001E393B">
            <w:rPr>
              <w:rFonts w:ascii="Arial" w:hAnsi="Arial" w:cs="Arial"/>
              <w:noProof/>
              <w:lang w:val="en-US"/>
            </w:rPr>
            <w:t>(Kitwood &amp; Brooker, 1997)</w:t>
          </w:r>
          <w:r w:rsidR="005F2A6B">
            <w:rPr>
              <w:rFonts w:ascii="Arial" w:hAnsi="Arial" w:cs="Arial"/>
            </w:rPr>
            <w:fldChar w:fldCharType="end"/>
          </w:r>
        </w:sdtContent>
      </w:sdt>
      <w:r w:rsidRPr="00353135">
        <w:rPr>
          <w:rFonts w:ascii="Arial" w:hAnsi="Arial" w:cs="Arial"/>
        </w:rPr>
        <w:t>. Collectively, these frameworks provide a thorough perspective for evaluating the relationship between diagnostic timing in dementia and mental health outcomes, specifically depression, anxiety, and psychological distress, for both patients and carers.</w:t>
      </w:r>
    </w:p>
    <w:p w14:paraId="27DA8DE7" w14:textId="08317DD2" w:rsidR="005F2A6B" w:rsidRDefault="005F2A6B" w:rsidP="005F2A6B">
      <w:pPr>
        <w:spacing w:line="360" w:lineRule="auto"/>
        <w:rPr>
          <w:rFonts w:ascii="Arial" w:hAnsi="Arial" w:cs="Arial"/>
        </w:rPr>
      </w:pPr>
      <w:r w:rsidRPr="005F2A6B">
        <w:rPr>
          <w:rFonts w:ascii="Arial" w:hAnsi="Arial" w:cs="Arial"/>
        </w:rPr>
        <w:lastRenderedPageBreak/>
        <w:t xml:space="preserve">The SPM serves as the main conceptual framework due to its ability in explaining the development and ramifications of chronic illness stressors. Developed by </w:t>
      </w:r>
      <w:proofErr w:type="spellStart"/>
      <w:r w:rsidRPr="005F2A6B">
        <w:rPr>
          <w:rFonts w:ascii="Arial" w:hAnsi="Arial" w:cs="Arial"/>
        </w:rPr>
        <w:t>Pearlin</w:t>
      </w:r>
      <w:proofErr w:type="spellEnd"/>
      <w:r w:rsidRPr="005F2A6B">
        <w:rPr>
          <w:rFonts w:ascii="Arial" w:hAnsi="Arial" w:cs="Arial"/>
        </w:rPr>
        <w:t xml:space="preserve"> et al. (19</w:t>
      </w:r>
      <w:r>
        <w:rPr>
          <w:rFonts w:ascii="Arial" w:hAnsi="Arial" w:cs="Arial"/>
        </w:rPr>
        <w:t>81</w:t>
      </w:r>
      <w:r w:rsidRPr="005F2A6B">
        <w:rPr>
          <w:rFonts w:ascii="Arial" w:hAnsi="Arial" w:cs="Arial"/>
        </w:rPr>
        <w:t>), the model accentuates three principal domains:</w:t>
      </w:r>
    </w:p>
    <w:p w14:paraId="4331FB15" w14:textId="1442B702" w:rsidR="005F2A6B" w:rsidRPr="005F2A6B" w:rsidRDefault="005F2A6B" w:rsidP="005F2A6B">
      <w:pPr>
        <w:pStyle w:val="Heading3"/>
        <w:spacing w:line="360" w:lineRule="auto"/>
        <w:rPr>
          <w:rFonts w:ascii="Arial" w:hAnsi="Arial" w:cs="Arial"/>
          <w:u w:val="none"/>
        </w:rPr>
      </w:pPr>
      <w:bookmarkStart w:id="39" w:name="_Toc210677373"/>
      <w:r w:rsidRPr="005F2A6B">
        <w:rPr>
          <w:rFonts w:ascii="Arial" w:hAnsi="Arial" w:cs="Arial"/>
          <w:u w:val="none"/>
        </w:rPr>
        <w:t>2.6.1 Primary stressors</w:t>
      </w:r>
      <w:bookmarkEnd w:id="39"/>
    </w:p>
    <w:p w14:paraId="33DE5E12" w14:textId="77777777" w:rsidR="005F2A6B" w:rsidRDefault="005F2A6B" w:rsidP="005F2A6B">
      <w:pPr>
        <w:spacing w:line="360" w:lineRule="auto"/>
        <w:rPr>
          <w:rFonts w:ascii="Arial" w:hAnsi="Arial" w:cs="Arial"/>
        </w:rPr>
      </w:pPr>
      <w:r w:rsidRPr="005F2A6B">
        <w:rPr>
          <w:rFonts w:ascii="Arial" w:hAnsi="Arial" w:cs="Arial"/>
        </w:rPr>
        <w:t>Primary stressors – stress directly associated with the illness, including memory impairment, behavioural alterations, or confusion regarding diagnosis. The timing of diagnosis in dementia is a crucial primary stressor, influencing whether the illness trajectory commences with clarity and awareness or with confusion and postponed support.</w:t>
      </w:r>
    </w:p>
    <w:p w14:paraId="77F0A901" w14:textId="6F8085A9" w:rsidR="00E165F3" w:rsidRDefault="005F2A6B" w:rsidP="0003653B">
      <w:pPr>
        <w:pStyle w:val="Heading3"/>
        <w:spacing w:line="360" w:lineRule="auto"/>
        <w:rPr>
          <w:rFonts w:ascii="Arial" w:hAnsi="Arial" w:cs="Arial"/>
          <w:u w:val="none"/>
        </w:rPr>
      </w:pPr>
      <w:bookmarkStart w:id="40" w:name="_Toc210677374"/>
      <w:r w:rsidRPr="0003653B">
        <w:rPr>
          <w:rFonts w:ascii="Arial" w:hAnsi="Arial" w:cs="Arial"/>
          <w:u w:val="none"/>
        </w:rPr>
        <w:t>2.6.2 Secondary stressors</w:t>
      </w:r>
      <w:bookmarkEnd w:id="40"/>
    </w:p>
    <w:p w14:paraId="4CDDE868" w14:textId="204D3BAA" w:rsidR="008C102F" w:rsidRPr="008C102F" w:rsidRDefault="008C102F" w:rsidP="008C102F">
      <w:pPr>
        <w:spacing w:line="360" w:lineRule="auto"/>
      </w:pPr>
      <w:r w:rsidRPr="00E165F3">
        <w:rPr>
          <w:rFonts w:ascii="Arial" w:hAnsi="Arial" w:cs="Arial"/>
        </w:rPr>
        <w:t>Secondary stressors are those that result from the wider ramifications of the illness, such as familial conflict, social isolation, financial pressure, or the alteration of family dynamics. A postponed diagnosis frequently exacerbates these secondary stressors by limiting the time allocated for proactive care planning and imposing sudden pressure on families to adapt to rapidly changing needs.</w:t>
      </w:r>
    </w:p>
    <w:p w14:paraId="5B909EDA" w14:textId="75DE77DA" w:rsidR="00E165F3" w:rsidRDefault="00E165F3" w:rsidP="00E165F3">
      <w:pPr>
        <w:pStyle w:val="Heading3"/>
        <w:spacing w:line="360" w:lineRule="auto"/>
        <w:rPr>
          <w:rFonts w:ascii="Arial" w:hAnsi="Arial" w:cs="Arial"/>
          <w:u w:val="none"/>
        </w:rPr>
      </w:pPr>
      <w:bookmarkStart w:id="41" w:name="_Toc210677375"/>
      <w:r w:rsidRPr="00E165F3">
        <w:rPr>
          <w:rFonts w:ascii="Arial" w:hAnsi="Arial" w:cs="Arial"/>
          <w:u w:val="none"/>
        </w:rPr>
        <w:t>2.6.3 Mediators and moderators</w:t>
      </w:r>
      <w:bookmarkEnd w:id="41"/>
    </w:p>
    <w:p w14:paraId="57FB0840" w14:textId="74817BFB" w:rsidR="00E165F3" w:rsidRDefault="00E165F3" w:rsidP="002D4C61">
      <w:pPr>
        <w:spacing w:line="360" w:lineRule="auto"/>
      </w:pPr>
      <w:r w:rsidRPr="002D4C61">
        <w:rPr>
          <w:rFonts w:ascii="Arial" w:hAnsi="Arial" w:cs="Arial"/>
        </w:rPr>
        <w:t>Mediators and moderators – safeguarding factors including coping mechanisms, social assistance, and availability of services. These mediators determine the extent to which stressors contribute to negative outcomes. For instance, an early diagnosis can initiate mediators such as carer support groups, psychological therapies, or community dementia services, relieving the mental consequences of the disease</w:t>
      </w:r>
      <w:r w:rsidRPr="00E165F3">
        <w:t>.</w:t>
      </w:r>
    </w:p>
    <w:p w14:paraId="6D7303D1" w14:textId="77777777" w:rsidR="007520ED" w:rsidRPr="007520ED" w:rsidRDefault="007520ED" w:rsidP="007520ED">
      <w:pPr>
        <w:spacing w:line="360" w:lineRule="auto"/>
        <w:rPr>
          <w:rFonts w:ascii="Arial" w:hAnsi="Arial" w:cs="Arial"/>
        </w:rPr>
      </w:pPr>
      <w:r w:rsidRPr="007520ED">
        <w:rPr>
          <w:rFonts w:ascii="Arial" w:hAnsi="Arial" w:cs="Arial"/>
        </w:rPr>
        <w:t>A principal advantage of the SPM is its dynamic viewpoint, acknowledging that the effects of dementia develop over time rather than staying fixed. It recognises that individuals and families adjust differently based on resources, coping mechanisms, and the social environment. The SPM offers a solid foundation for examining the impact of early versus late diagnosis on the long-term pattern of mental health outcomes. An early diagnosis may diminish uncertainty, improve preparedness, and facilitate coping, while a late diagnosis could intensify distress and restrict the utilisation of protective mediators.</w:t>
      </w:r>
    </w:p>
    <w:p w14:paraId="07F77CE8" w14:textId="77777777" w:rsidR="00104239" w:rsidRDefault="00104239" w:rsidP="00104239">
      <w:pPr>
        <w:spacing w:line="360" w:lineRule="auto"/>
        <w:rPr>
          <w:rFonts w:ascii="Arial" w:hAnsi="Arial" w:cs="Arial"/>
        </w:rPr>
      </w:pPr>
      <w:r w:rsidRPr="00104239">
        <w:rPr>
          <w:rFonts w:ascii="Arial" w:hAnsi="Arial" w:cs="Arial"/>
        </w:rPr>
        <w:t>The SPM serves as the primary model, while three supplementary frameworks strengthen the analysis by placing the stress process within wider health, psychological, and ethical aspects.</w:t>
      </w:r>
    </w:p>
    <w:p w14:paraId="13A33542" w14:textId="77777777" w:rsidR="00280241" w:rsidRDefault="00280241" w:rsidP="00104239">
      <w:pPr>
        <w:spacing w:line="360" w:lineRule="auto"/>
        <w:rPr>
          <w:rFonts w:ascii="Arial" w:hAnsi="Arial" w:cs="Arial"/>
        </w:rPr>
      </w:pPr>
    </w:p>
    <w:p w14:paraId="038A3748" w14:textId="77777777" w:rsidR="00280241" w:rsidRPr="00104239" w:rsidRDefault="00280241" w:rsidP="00104239">
      <w:pPr>
        <w:spacing w:line="360" w:lineRule="auto"/>
        <w:rPr>
          <w:rFonts w:ascii="Arial" w:hAnsi="Arial" w:cs="Arial"/>
        </w:rPr>
      </w:pPr>
    </w:p>
    <w:p w14:paraId="37B892D5" w14:textId="3F14530E" w:rsidR="00104239" w:rsidRDefault="00104239" w:rsidP="00104239">
      <w:pPr>
        <w:pStyle w:val="ListParagraph"/>
        <w:numPr>
          <w:ilvl w:val="0"/>
          <w:numId w:val="23"/>
        </w:numPr>
        <w:spacing w:line="360" w:lineRule="auto"/>
        <w:rPr>
          <w:rFonts w:ascii="Arial" w:hAnsi="Arial" w:cs="Arial"/>
        </w:rPr>
      </w:pPr>
      <w:r w:rsidRPr="00104239">
        <w:rPr>
          <w:rFonts w:ascii="Arial" w:hAnsi="Arial" w:cs="Arial"/>
        </w:rPr>
        <w:lastRenderedPageBreak/>
        <w:t xml:space="preserve">The Biopsychosocial Model </w:t>
      </w:r>
      <w:sdt>
        <w:sdtPr>
          <w:rPr>
            <w:rFonts w:ascii="Arial" w:hAnsi="Arial" w:cs="Arial"/>
          </w:rPr>
          <w:id w:val="-1122295136"/>
          <w:citation/>
        </w:sdtPr>
        <w:sdtContent>
          <w:r>
            <w:rPr>
              <w:rFonts w:ascii="Arial" w:hAnsi="Arial" w:cs="Arial"/>
            </w:rPr>
            <w:fldChar w:fldCharType="begin"/>
          </w:r>
          <w:r>
            <w:rPr>
              <w:rFonts w:ascii="Arial" w:hAnsi="Arial" w:cs="Arial"/>
              <w:lang w:val="en-US"/>
            </w:rPr>
            <w:instrText xml:space="preserve"> CITATION Geo77 \l 1033 </w:instrText>
          </w:r>
          <w:r>
            <w:rPr>
              <w:rFonts w:ascii="Arial" w:hAnsi="Arial" w:cs="Arial"/>
            </w:rPr>
            <w:fldChar w:fldCharType="separate"/>
          </w:r>
          <w:r w:rsidR="001E393B" w:rsidRPr="001E393B">
            <w:rPr>
              <w:rFonts w:ascii="Arial" w:hAnsi="Arial" w:cs="Arial"/>
              <w:noProof/>
              <w:lang w:val="en-US"/>
            </w:rPr>
            <w:t>(Engel, 1977)</w:t>
          </w:r>
          <w:r>
            <w:rPr>
              <w:rFonts w:ascii="Arial" w:hAnsi="Arial" w:cs="Arial"/>
            </w:rPr>
            <w:fldChar w:fldCharType="end"/>
          </w:r>
        </w:sdtContent>
      </w:sdt>
    </w:p>
    <w:p w14:paraId="7F3A3FF0" w14:textId="6119D977" w:rsidR="00104239" w:rsidRDefault="00104239" w:rsidP="00104239">
      <w:pPr>
        <w:spacing w:line="360" w:lineRule="auto"/>
        <w:rPr>
          <w:rFonts w:ascii="Arial" w:hAnsi="Arial" w:cs="Arial"/>
        </w:rPr>
      </w:pPr>
      <w:r w:rsidRPr="00104239">
        <w:rPr>
          <w:rFonts w:ascii="Arial" w:hAnsi="Arial" w:cs="Arial"/>
        </w:rPr>
        <w:t>The biopsychosocial model underscores the complex relationship of biological, psychological, and social elements in determining health outcomes. Dementia is not just a neurological disorder; it is significantly affected by psychosocial elements including stigma, familial support, and the accessibility for care services. Early diagnosis operates across three domains: biologically, it enables medical interventions that reduce symptoms; psychologically, it decreases uncertainty and fosters emotional adaptability; and socially, it creates pathways for support networks and care coordination. This strengthens the SPM by contextualising stress processes within a broad health framework.</w:t>
      </w:r>
    </w:p>
    <w:p w14:paraId="6A272E29" w14:textId="3AA8F81A" w:rsidR="00104239" w:rsidRDefault="005F1D71" w:rsidP="005F1D71">
      <w:pPr>
        <w:pStyle w:val="ListParagraph"/>
        <w:numPr>
          <w:ilvl w:val="0"/>
          <w:numId w:val="23"/>
        </w:numPr>
        <w:spacing w:line="360" w:lineRule="auto"/>
        <w:rPr>
          <w:rFonts w:ascii="Arial" w:hAnsi="Arial" w:cs="Arial"/>
        </w:rPr>
      </w:pPr>
      <w:r w:rsidRPr="005F1D71">
        <w:rPr>
          <w:rFonts w:ascii="Arial" w:hAnsi="Arial" w:cs="Arial"/>
        </w:rPr>
        <w:t>Stress and Coping Theory</w:t>
      </w:r>
      <w:r>
        <w:rPr>
          <w:rFonts w:ascii="Arial" w:hAnsi="Arial" w:cs="Arial"/>
        </w:rPr>
        <w:t xml:space="preserve"> </w:t>
      </w:r>
      <w:sdt>
        <w:sdtPr>
          <w:rPr>
            <w:rFonts w:ascii="Arial" w:hAnsi="Arial" w:cs="Arial"/>
          </w:rPr>
          <w:id w:val="-1035654220"/>
          <w:citation/>
        </w:sdtPr>
        <w:sdtContent>
          <w:r>
            <w:rPr>
              <w:rFonts w:ascii="Arial" w:hAnsi="Arial" w:cs="Arial"/>
            </w:rPr>
            <w:fldChar w:fldCharType="begin"/>
          </w:r>
          <w:r>
            <w:rPr>
              <w:rFonts w:ascii="Arial" w:hAnsi="Arial" w:cs="Arial"/>
              <w:lang w:val="en-US"/>
            </w:rPr>
            <w:instrText xml:space="preserve"> CITATION Ric84 \l 1033 </w:instrText>
          </w:r>
          <w:r>
            <w:rPr>
              <w:rFonts w:ascii="Arial" w:hAnsi="Arial" w:cs="Arial"/>
            </w:rPr>
            <w:fldChar w:fldCharType="separate"/>
          </w:r>
          <w:r w:rsidR="001E393B" w:rsidRPr="001E393B">
            <w:rPr>
              <w:rFonts w:ascii="Arial" w:hAnsi="Arial" w:cs="Arial"/>
              <w:noProof/>
              <w:lang w:val="en-US"/>
            </w:rPr>
            <w:t>(Lazarus &amp; Folkman, 1984)</w:t>
          </w:r>
          <w:r>
            <w:rPr>
              <w:rFonts w:ascii="Arial" w:hAnsi="Arial" w:cs="Arial"/>
            </w:rPr>
            <w:fldChar w:fldCharType="end"/>
          </w:r>
        </w:sdtContent>
      </w:sdt>
    </w:p>
    <w:p w14:paraId="43ADBA79" w14:textId="776C5394" w:rsidR="005F1D71" w:rsidRDefault="005F1D71" w:rsidP="005F1D71">
      <w:pPr>
        <w:spacing w:line="360" w:lineRule="auto"/>
        <w:rPr>
          <w:rFonts w:ascii="Arial" w:hAnsi="Arial" w:cs="Arial"/>
        </w:rPr>
      </w:pPr>
      <w:r w:rsidRPr="005F1D71">
        <w:rPr>
          <w:rFonts w:ascii="Arial" w:hAnsi="Arial" w:cs="Arial"/>
        </w:rPr>
        <w:t>Lazarus and Folkman's theory expand upon the SPM by elucidating the micro-level mechanisms of appraisal and coping. Individuals perceive dementia-related stressors via primary appraisal (recognising threat or challenge) and secondary appraisal (evaluating coping resources). Timeliness of diagnosis is crucial: an early diagnosis provides greater opportunities for problem-focused coping (e.g., planning, reorganising daily activities, participating in therapy), whereas a delayed diagnosis may necessitate reliance on coping strategies centred on emotions (e.g., denial, withdrawal, avoidance), which could worsen anxiety and depression. Consequently, the theory adds complexity to the SPM's overarching classifications of stressors and mediators.</w:t>
      </w:r>
    </w:p>
    <w:p w14:paraId="5951E765" w14:textId="4818C892" w:rsidR="005F1D71" w:rsidRDefault="005F1D71" w:rsidP="005F1D71">
      <w:pPr>
        <w:pStyle w:val="ListParagraph"/>
        <w:numPr>
          <w:ilvl w:val="0"/>
          <w:numId w:val="23"/>
        </w:numPr>
        <w:spacing w:line="360" w:lineRule="auto"/>
        <w:rPr>
          <w:rFonts w:ascii="Arial" w:hAnsi="Arial" w:cs="Arial"/>
        </w:rPr>
      </w:pPr>
      <w:r w:rsidRPr="005F1D71">
        <w:rPr>
          <w:rFonts w:ascii="Arial" w:hAnsi="Arial" w:cs="Arial"/>
        </w:rPr>
        <w:t>Person-Centred Care (PCC)</w:t>
      </w:r>
      <w:r>
        <w:rPr>
          <w:rFonts w:ascii="Arial" w:hAnsi="Arial" w:cs="Arial"/>
        </w:rPr>
        <w:t xml:space="preserve"> </w:t>
      </w:r>
      <w:sdt>
        <w:sdtPr>
          <w:rPr>
            <w:rFonts w:ascii="Arial" w:hAnsi="Arial" w:cs="Arial"/>
          </w:rPr>
          <w:id w:val="716788874"/>
          <w:citation/>
        </w:sdtPr>
        <w:sdtContent>
          <w:r>
            <w:rPr>
              <w:rFonts w:ascii="Arial" w:hAnsi="Arial" w:cs="Arial"/>
            </w:rPr>
            <w:fldChar w:fldCharType="begin"/>
          </w:r>
          <w:r>
            <w:rPr>
              <w:rFonts w:ascii="Arial" w:hAnsi="Arial" w:cs="Arial"/>
              <w:lang w:val="en-US"/>
            </w:rPr>
            <w:instrText xml:space="preserve"> CITATION Tom97 \l 1033 </w:instrText>
          </w:r>
          <w:r>
            <w:rPr>
              <w:rFonts w:ascii="Arial" w:hAnsi="Arial" w:cs="Arial"/>
            </w:rPr>
            <w:fldChar w:fldCharType="separate"/>
          </w:r>
          <w:r w:rsidR="001E393B" w:rsidRPr="001E393B">
            <w:rPr>
              <w:rFonts w:ascii="Arial" w:hAnsi="Arial" w:cs="Arial"/>
              <w:noProof/>
              <w:lang w:val="en-US"/>
            </w:rPr>
            <w:t>(Kitwood &amp; Brooker, 1997)</w:t>
          </w:r>
          <w:r>
            <w:rPr>
              <w:rFonts w:ascii="Arial" w:hAnsi="Arial" w:cs="Arial"/>
            </w:rPr>
            <w:fldChar w:fldCharType="end"/>
          </w:r>
        </w:sdtContent>
      </w:sdt>
    </w:p>
    <w:p w14:paraId="649E3295" w14:textId="66BB2BDC" w:rsidR="005F1D71" w:rsidRDefault="005F1D71" w:rsidP="005F1D71">
      <w:pPr>
        <w:spacing w:line="360" w:lineRule="auto"/>
        <w:rPr>
          <w:rFonts w:ascii="Arial" w:hAnsi="Arial" w:cs="Arial"/>
        </w:rPr>
      </w:pPr>
      <w:proofErr w:type="spellStart"/>
      <w:r w:rsidRPr="005F1D71">
        <w:rPr>
          <w:rFonts w:ascii="Arial" w:hAnsi="Arial" w:cs="Arial"/>
        </w:rPr>
        <w:t>Kitwood</w:t>
      </w:r>
      <w:proofErr w:type="spellEnd"/>
      <w:r>
        <w:rPr>
          <w:rFonts w:ascii="Arial" w:hAnsi="Arial" w:cs="Arial"/>
        </w:rPr>
        <w:t xml:space="preserve"> and Brooker’s</w:t>
      </w:r>
      <w:r w:rsidRPr="005F1D71">
        <w:rPr>
          <w:rFonts w:ascii="Arial" w:hAnsi="Arial" w:cs="Arial"/>
        </w:rPr>
        <w:t xml:space="preserve"> concept of Person-Centred Care (PCC) refocuses dementia care on the individual's personhood, dignity, and autonomy. It improves the SPM by incorporating an ethical dimension: whereas the SPM clarifies how stressors influence mental health, PCC underscores the necessity for interventions that respect and work with the individual. An early diagnosis enables patients to express their preferences, participate in decision-making, and preserve identity, thereby boosting emotional wellbeing. On the other hand, delayed diagnosis frequently diminishes personhood, as significant deterioration restricts opportunities for participation.</w:t>
      </w:r>
    </w:p>
    <w:p w14:paraId="581A94D0" w14:textId="77777777" w:rsidR="007B36E2" w:rsidRDefault="007B36E2" w:rsidP="007B36E2">
      <w:pPr>
        <w:spacing w:line="360" w:lineRule="auto"/>
        <w:rPr>
          <w:rFonts w:ascii="Arial" w:hAnsi="Arial" w:cs="Arial"/>
        </w:rPr>
      </w:pPr>
      <w:r w:rsidRPr="007B36E2">
        <w:rPr>
          <w:rFonts w:ascii="Arial" w:hAnsi="Arial" w:cs="Arial"/>
        </w:rPr>
        <w:br/>
        <w:t>The integration of these frameworks establishes a multi-faceted conceptual perspective:</w:t>
      </w:r>
      <w:r w:rsidRPr="007B36E2">
        <w:rPr>
          <w:rFonts w:ascii="Arial" w:hAnsi="Arial" w:cs="Arial"/>
        </w:rPr>
        <w:br/>
      </w:r>
      <w:r>
        <w:rPr>
          <w:rFonts w:ascii="Arial" w:hAnsi="Arial" w:cs="Arial"/>
        </w:rPr>
        <w:t xml:space="preserve">- </w:t>
      </w:r>
      <w:r w:rsidRPr="007B36E2">
        <w:rPr>
          <w:rFonts w:ascii="Arial" w:hAnsi="Arial" w:cs="Arial"/>
        </w:rPr>
        <w:t>The SPM outlines the longitudinal trajectories through which dementia-related stressors develop and influence mental health.</w:t>
      </w:r>
      <w:r w:rsidRPr="007B36E2">
        <w:rPr>
          <w:rFonts w:ascii="Arial" w:hAnsi="Arial" w:cs="Arial"/>
        </w:rPr>
        <w:br/>
      </w:r>
      <w:r>
        <w:rPr>
          <w:rFonts w:ascii="Arial" w:hAnsi="Arial" w:cs="Arial"/>
        </w:rPr>
        <w:t xml:space="preserve">- </w:t>
      </w:r>
      <w:r w:rsidRPr="007B36E2">
        <w:rPr>
          <w:rFonts w:ascii="Arial" w:hAnsi="Arial" w:cs="Arial"/>
        </w:rPr>
        <w:t xml:space="preserve">The Biopsychosocial Model proposes that these processes should be viewed not in </w:t>
      </w:r>
      <w:r w:rsidRPr="007B36E2">
        <w:rPr>
          <w:rFonts w:ascii="Arial" w:hAnsi="Arial" w:cs="Arial"/>
        </w:rPr>
        <w:lastRenderedPageBreak/>
        <w:t>isolation, but as components of an interconnected system including biology, psychology, and society.</w:t>
      </w:r>
    </w:p>
    <w:p w14:paraId="14A5982B" w14:textId="1777288E" w:rsidR="007B36E2" w:rsidRDefault="007B36E2" w:rsidP="007B36E2">
      <w:pPr>
        <w:spacing w:line="360" w:lineRule="auto"/>
        <w:rPr>
          <w:rFonts w:ascii="Arial" w:hAnsi="Arial" w:cs="Arial"/>
        </w:rPr>
      </w:pPr>
      <w:r>
        <w:rPr>
          <w:rFonts w:ascii="Arial" w:hAnsi="Arial" w:cs="Arial"/>
        </w:rPr>
        <w:t xml:space="preserve">- </w:t>
      </w:r>
      <w:r w:rsidRPr="007B36E2">
        <w:rPr>
          <w:rFonts w:ascii="Arial" w:hAnsi="Arial" w:cs="Arial"/>
        </w:rPr>
        <w:t>The Stress and Coping Theory clarifies how patients and carers actively react to diagnostic stressors, influencing outcomes through coping mechanisms.</w:t>
      </w:r>
      <w:r w:rsidRPr="007B36E2">
        <w:rPr>
          <w:rFonts w:ascii="Arial" w:hAnsi="Arial" w:cs="Arial"/>
        </w:rPr>
        <w:br/>
      </w:r>
      <w:r>
        <w:rPr>
          <w:rFonts w:ascii="Arial" w:hAnsi="Arial" w:cs="Arial"/>
        </w:rPr>
        <w:t xml:space="preserve">- </w:t>
      </w:r>
      <w:r w:rsidRPr="007B36E2">
        <w:rPr>
          <w:rFonts w:ascii="Arial" w:hAnsi="Arial" w:cs="Arial"/>
        </w:rPr>
        <w:t>Person-Centred Care establishes a framework grounded in the principles of dignity, identity, and autonomy, thereby safeguarding emotional wellbeing.</w:t>
      </w:r>
    </w:p>
    <w:p w14:paraId="01079FFB" w14:textId="47EA4075" w:rsidR="005F2A6B" w:rsidRPr="00353135" w:rsidRDefault="007B36E2" w:rsidP="00353135">
      <w:pPr>
        <w:spacing w:line="360" w:lineRule="auto"/>
        <w:rPr>
          <w:rFonts w:ascii="Arial" w:hAnsi="Arial" w:cs="Arial"/>
        </w:rPr>
      </w:pPr>
      <w:r w:rsidRPr="007B36E2">
        <w:rPr>
          <w:rFonts w:ascii="Arial" w:hAnsi="Arial" w:cs="Arial"/>
        </w:rPr>
        <w:t>This unified framework improves the research paper in multiple aspects. It considers the variability of mental health outcomes among individuals and contexts, clarifies the interaction between diagnostic timing and stress pathways, and highlights ethical and person-centred principles. Furthermore, it situates this study within current theoretical discussions in dementia care and provides a systematic framework for analysing the results of the ten included studies.</w:t>
      </w:r>
    </w:p>
    <w:p w14:paraId="41CACAE3" w14:textId="77777777" w:rsidR="001934AA" w:rsidRPr="001934AA" w:rsidRDefault="001934AA" w:rsidP="001934AA"/>
    <w:p w14:paraId="523AB4EA" w14:textId="15E1590D" w:rsidR="009F64C5" w:rsidRPr="007F1C8A" w:rsidRDefault="00DD7AA5">
      <w:pPr>
        <w:pStyle w:val="Heading1"/>
        <w:ind w:left="12" w:right="4"/>
        <w:rPr>
          <w:rFonts w:asciiTheme="minorBidi" w:hAnsiTheme="minorBidi" w:cstheme="minorBidi"/>
        </w:rPr>
      </w:pPr>
      <w:bookmarkStart w:id="42" w:name="_Toc12218"/>
      <w:bookmarkStart w:id="43" w:name="_Toc210677376"/>
      <w:r w:rsidRPr="007F1C8A">
        <w:rPr>
          <w:rFonts w:asciiTheme="minorBidi" w:hAnsiTheme="minorBidi" w:cstheme="minorBidi"/>
        </w:rPr>
        <w:t xml:space="preserve">Chapter 3: </w:t>
      </w:r>
      <w:r w:rsidR="009F64C5" w:rsidRPr="007F1C8A">
        <w:rPr>
          <w:rFonts w:asciiTheme="minorBidi" w:hAnsiTheme="minorBidi" w:cstheme="minorBidi"/>
        </w:rPr>
        <w:t>Research Methodology</w:t>
      </w:r>
      <w:bookmarkEnd w:id="42"/>
      <w:bookmarkEnd w:id="43"/>
    </w:p>
    <w:p w14:paraId="313B54D8" w14:textId="77777777" w:rsidR="009F64C5" w:rsidRPr="007F1C8A" w:rsidRDefault="009F64C5">
      <w:pPr>
        <w:spacing w:after="158"/>
        <w:rPr>
          <w:rFonts w:asciiTheme="minorBidi" w:hAnsiTheme="minorBidi"/>
        </w:rPr>
      </w:pPr>
      <w:r w:rsidRPr="007F1C8A">
        <w:rPr>
          <w:rFonts w:asciiTheme="minorBidi" w:eastAsia="Times New Roman" w:hAnsiTheme="minorBidi"/>
          <w:b/>
        </w:rPr>
        <w:t xml:space="preserve"> </w:t>
      </w:r>
    </w:p>
    <w:p w14:paraId="135DDBCB" w14:textId="5F04A12A" w:rsidR="00BE12B5" w:rsidRDefault="00147588" w:rsidP="00BE12B5">
      <w:pPr>
        <w:pStyle w:val="Heading2"/>
        <w:numPr>
          <w:ilvl w:val="1"/>
          <w:numId w:val="10"/>
        </w:numPr>
        <w:spacing w:line="360" w:lineRule="auto"/>
        <w:jc w:val="left"/>
        <w:rPr>
          <w:rFonts w:ascii="Arial" w:hAnsi="Arial" w:cs="Arial"/>
        </w:rPr>
      </w:pPr>
      <w:bookmarkStart w:id="44" w:name="_Toc12219"/>
      <w:bookmarkStart w:id="45" w:name="_Toc210677377"/>
      <w:r w:rsidRPr="00147588">
        <w:rPr>
          <w:rFonts w:ascii="Arial" w:hAnsi="Arial" w:cs="Arial"/>
        </w:rPr>
        <w:t>Introduction</w:t>
      </w:r>
      <w:bookmarkEnd w:id="45"/>
    </w:p>
    <w:p w14:paraId="0A8D464D" w14:textId="1AFA1299" w:rsidR="00BE12B5" w:rsidRDefault="00BE12B5" w:rsidP="00BE12B5">
      <w:pPr>
        <w:spacing w:after="0" w:line="360" w:lineRule="auto"/>
        <w:rPr>
          <w:rFonts w:ascii="Arial" w:eastAsia="Times New Roman" w:hAnsi="Arial" w:cs="Arial"/>
          <w:kern w:val="0"/>
          <w:lang w:eastAsia="en-GB"/>
          <w14:ligatures w14:val="none"/>
        </w:rPr>
      </w:pPr>
      <w:r w:rsidRPr="00BE12B5">
        <w:rPr>
          <w:rFonts w:ascii="Arial" w:eastAsia="Times New Roman" w:hAnsi="Arial" w:cs="Arial"/>
          <w:kern w:val="0"/>
          <w:lang w:eastAsia="en-GB"/>
          <w14:ligatures w14:val="none"/>
        </w:rPr>
        <w:t xml:space="preserve">This chapter explores the methodological framework used to carry out the systematic literature review evaluating the impact of early diagnosis and intervention on mental health outcomes in dementia patients in the UK. The methodology has been developed to guarantee a transparent, replicable, and rigorous process in accordance with the </w:t>
      </w:r>
      <w:r w:rsidR="00AF4A3C">
        <w:rPr>
          <w:rFonts w:ascii="Arial" w:eastAsia="Times New Roman" w:hAnsi="Arial" w:cs="Arial"/>
          <w:kern w:val="0"/>
          <w:lang w:eastAsia="en-GB"/>
          <w14:ligatures w14:val="none"/>
        </w:rPr>
        <w:t>Preferred Reporting Items for Systematic reviews and Meta-Analyses (</w:t>
      </w:r>
      <w:r w:rsidRPr="00BE12B5">
        <w:rPr>
          <w:rFonts w:ascii="Arial" w:eastAsia="Times New Roman" w:hAnsi="Arial" w:cs="Arial"/>
          <w:kern w:val="0"/>
          <w:lang w:eastAsia="en-GB"/>
          <w14:ligatures w14:val="none"/>
        </w:rPr>
        <w:t>PRISMA</w:t>
      </w:r>
      <w:r w:rsidR="00AF4A3C">
        <w:rPr>
          <w:rFonts w:ascii="Arial" w:eastAsia="Times New Roman" w:hAnsi="Arial" w:cs="Arial"/>
          <w:kern w:val="0"/>
          <w:lang w:eastAsia="en-GB"/>
          <w14:ligatures w14:val="none"/>
        </w:rPr>
        <w:t>)</w:t>
      </w:r>
      <w:r w:rsidRPr="00BE12B5">
        <w:rPr>
          <w:rFonts w:ascii="Arial" w:eastAsia="Times New Roman" w:hAnsi="Arial" w:cs="Arial"/>
          <w:kern w:val="0"/>
          <w:lang w:eastAsia="en-GB"/>
          <w14:ligatures w14:val="none"/>
        </w:rPr>
        <w:t> guidelines</w:t>
      </w:r>
      <w:r w:rsidR="001202FE">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1694269921"/>
          <w:citation/>
        </w:sdtPr>
        <w:sdtContent>
          <w:r w:rsidR="001202FE">
            <w:rPr>
              <w:rFonts w:ascii="Arial" w:eastAsia="Times New Roman" w:hAnsi="Arial" w:cs="Arial"/>
              <w:kern w:val="0"/>
              <w:lang w:eastAsia="en-GB"/>
              <w14:ligatures w14:val="none"/>
            </w:rPr>
            <w:fldChar w:fldCharType="begin"/>
          </w:r>
          <w:r w:rsidR="001202FE">
            <w:rPr>
              <w:rFonts w:ascii="Arial" w:eastAsia="Times New Roman" w:hAnsi="Arial" w:cs="Arial"/>
              <w:kern w:val="0"/>
              <w:lang w:val="en-US" w:eastAsia="en-GB"/>
              <w14:ligatures w14:val="none"/>
            </w:rPr>
            <w:instrText xml:space="preserve"> CITATION Mat21 \l 1033 </w:instrText>
          </w:r>
          <w:r w:rsidR="001202FE">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(Page, et al., 2021)</w:t>
          </w:r>
          <w:r w:rsidR="001202FE">
            <w:rPr>
              <w:rFonts w:ascii="Arial" w:eastAsia="Times New Roman" w:hAnsi="Arial" w:cs="Arial"/>
              <w:kern w:val="0"/>
              <w:lang w:eastAsia="en-GB"/>
              <w14:ligatures w14:val="none"/>
            </w:rPr>
            <w:fldChar w:fldCharType="end"/>
          </w:r>
        </w:sdtContent>
      </w:sdt>
      <w:r w:rsidRPr="00BE12B5">
        <w:rPr>
          <w:rFonts w:ascii="Arial" w:eastAsia="Times New Roman" w:hAnsi="Arial" w:cs="Arial"/>
          <w:kern w:val="0"/>
          <w:lang w:eastAsia="en-GB"/>
          <w14:ligatures w14:val="none"/>
        </w:rPr>
        <w:t>. The chapter defines the research design, criteria for inclusion and exclusion, search strategy, selection process, data extraction, and thematic synthesis. It additionally addresses ethical considerations and offers an in-depth evaluation of the selected methodology.</w:t>
      </w:r>
    </w:p>
    <w:p w14:paraId="7F448B99" w14:textId="77777777" w:rsidR="00BE12B5" w:rsidRDefault="00BE12B5" w:rsidP="00BE12B5">
      <w:pPr>
        <w:spacing w:after="0" w:line="360" w:lineRule="auto"/>
        <w:rPr>
          <w:rFonts w:ascii="Arial" w:eastAsia="Times New Roman" w:hAnsi="Arial" w:cs="Arial"/>
          <w:kern w:val="0"/>
          <w:lang w:eastAsia="en-GB"/>
          <w14:ligatures w14:val="none"/>
        </w:rPr>
      </w:pPr>
    </w:p>
    <w:p w14:paraId="2CEA9104" w14:textId="17743939" w:rsidR="00BE12B5" w:rsidRDefault="00BE12B5" w:rsidP="00BE12B5">
      <w:pPr>
        <w:pStyle w:val="Heading2"/>
        <w:numPr>
          <w:ilvl w:val="1"/>
          <w:numId w:val="10"/>
        </w:numPr>
        <w:spacing w:line="360" w:lineRule="auto"/>
        <w:jc w:val="left"/>
        <w:rPr>
          <w:rFonts w:ascii="Arial" w:hAnsi="Arial" w:cs="Arial"/>
          <w:lang w:eastAsia="en-GB"/>
        </w:rPr>
      </w:pPr>
      <w:bookmarkStart w:id="46" w:name="_Toc210677378"/>
      <w:r w:rsidRPr="00BE12B5">
        <w:rPr>
          <w:rFonts w:ascii="Arial" w:hAnsi="Arial" w:cs="Arial"/>
          <w:lang w:eastAsia="en-GB"/>
        </w:rPr>
        <w:t>Overall Research Approach</w:t>
      </w:r>
      <w:bookmarkEnd w:id="46"/>
    </w:p>
    <w:p w14:paraId="7093BB49" w14:textId="77777777" w:rsidR="00BE12B5" w:rsidRDefault="00BE12B5" w:rsidP="00BE12B5">
      <w:pPr>
        <w:spacing w:after="0" w:line="360" w:lineRule="auto"/>
        <w:rPr>
          <w:rFonts w:ascii="Arial" w:eastAsia="Times New Roman" w:hAnsi="Arial" w:cs="Arial"/>
          <w:kern w:val="0"/>
          <w:lang w:eastAsia="en-GB"/>
          <w14:ligatures w14:val="none"/>
        </w:rPr>
      </w:pPr>
      <w:r w:rsidRPr="00BE12B5">
        <w:rPr>
          <w:rFonts w:ascii="Arial" w:eastAsia="Times New Roman" w:hAnsi="Arial" w:cs="Arial"/>
          <w:kern w:val="0"/>
          <w:lang w:eastAsia="en-GB"/>
          <w14:ligatures w14:val="none"/>
        </w:rPr>
        <w:t>This study adopts a qualitative systematic literature review (SLR) method. Although quantitative data from the included studies, such as prevalence rates, statistical associations, and demographic patterns, were recorded where relevant, the predominant analytical focus remains qualitative. The primary aim is not to generate new statistical estimates but to investigate, interpret, and synthesise how dementia patients and their carers experience and report mental health outcomes relating the timing of diagnosis.</w:t>
      </w:r>
    </w:p>
    <w:p w14:paraId="1151D8BD" w14:textId="2560D28F" w:rsidR="00BE12B5" w:rsidRDefault="00BE12B5" w:rsidP="00BE12B5">
      <w:pPr>
        <w:spacing w:after="0" w:line="360" w:lineRule="auto"/>
        <w:rPr>
          <w:rFonts w:ascii="Arial" w:eastAsia="Times New Roman" w:hAnsi="Arial" w:cs="Arial"/>
          <w:kern w:val="0"/>
          <w:lang w:eastAsia="en-GB"/>
          <w14:ligatures w14:val="none"/>
        </w:rPr>
      </w:pPr>
      <w:r w:rsidRPr="00BE12B5">
        <w:rPr>
          <w:rFonts w:ascii="Arial" w:eastAsia="Times New Roman" w:hAnsi="Arial" w:cs="Arial"/>
          <w:kern w:val="0"/>
          <w:lang w:eastAsia="en-GB"/>
          <w14:ligatures w14:val="none"/>
        </w:rPr>
        <w:t>The choice to use an SLR was influenced by multiple aspects:</w:t>
      </w:r>
    </w:p>
    <w:p w14:paraId="3665D59C" w14:textId="33C9BE0B" w:rsidR="001E5290" w:rsidRDefault="00BE12B5" w:rsidP="001E5290">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 xml:space="preserve">- </w:t>
      </w:r>
      <w:r w:rsidR="001E5290" w:rsidRPr="001E5290">
        <w:rPr>
          <w:rFonts w:ascii="Arial" w:eastAsia="Times New Roman" w:hAnsi="Arial" w:cs="Arial"/>
          <w:kern w:val="0"/>
          <w:lang w:eastAsia="en-GB"/>
          <w14:ligatures w14:val="none"/>
        </w:rPr>
        <w:t>Incorporation of varied methods of study</w:t>
      </w:r>
      <w:r w:rsidR="001E5290">
        <w:rPr>
          <w:rFonts w:ascii="Arial" w:eastAsia="Times New Roman" w:hAnsi="Arial" w:cs="Arial"/>
          <w:kern w:val="0"/>
          <w:lang w:eastAsia="en-GB"/>
          <w14:ligatures w14:val="none"/>
        </w:rPr>
        <w:t>:</w:t>
      </w:r>
      <w:r w:rsidR="001E5290" w:rsidRPr="001E5290">
        <w:rPr>
          <w:rFonts w:ascii="Arial" w:eastAsia="Times New Roman" w:hAnsi="Arial" w:cs="Arial"/>
          <w:kern w:val="0"/>
          <w:lang w:eastAsia="en-GB"/>
          <w14:ligatures w14:val="none"/>
        </w:rPr>
        <w:t xml:space="preserve"> Dementia care research shows methodological variability, including longitudinal cohort studies, qualitative interviews, and mixed-methods evaluations. A systematic review offers an organised method that brings together diverse types of evidence, facilitating a thorough understanding</w:t>
      </w:r>
      <w:r w:rsidR="008B34F0">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1291325084"/>
          <w:citation/>
        </w:sdtPr>
        <w:sdtContent>
          <w:r w:rsidR="008B34F0">
            <w:rPr>
              <w:rFonts w:ascii="Arial" w:eastAsia="Times New Roman" w:hAnsi="Arial" w:cs="Arial"/>
              <w:kern w:val="0"/>
              <w:lang w:eastAsia="en-GB"/>
              <w14:ligatures w14:val="none"/>
            </w:rPr>
            <w:fldChar w:fldCharType="begin"/>
          </w:r>
          <w:r w:rsidR="008B34F0">
            <w:rPr>
              <w:rFonts w:ascii="Arial" w:eastAsia="Times New Roman" w:hAnsi="Arial" w:cs="Arial"/>
              <w:kern w:val="0"/>
              <w:lang w:val="en-US" w:eastAsia="en-GB"/>
              <w14:ligatures w14:val="none"/>
            </w:rPr>
            <w:instrText xml:space="preserve"> CITATION Gou17 \l 1033 </w:instrText>
          </w:r>
          <w:r w:rsidR="008B34F0">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(Gough, et al., 2017)</w:t>
          </w:r>
          <w:r w:rsidR="008B34F0">
            <w:rPr>
              <w:rFonts w:ascii="Arial" w:eastAsia="Times New Roman" w:hAnsi="Arial" w:cs="Arial"/>
              <w:kern w:val="0"/>
              <w:lang w:eastAsia="en-GB"/>
              <w14:ligatures w14:val="none"/>
            </w:rPr>
            <w:fldChar w:fldCharType="end"/>
          </w:r>
        </w:sdtContent>
      </w:sdt>
      <w:r w:rsidR="001E5290" w:rsidRPr="001E5290">
        <w:rPr>
          <w:rFonts w:ascii="Arial" w:eastAsia="Times New Roman" w:hAnsi="Arial" w:cs="Arial"/>
          <w:kern w:val="0"/>
          <w:lang w:eastAsia="en-GB"/>
          <w14:ligatures w14:val="none"/>
        </w:rPr>
        <w:t>.</w:t>
      </w:r>
    </w:p>
    <w:p w14:paraId="10DEB013" w14:textId="7322A68F" w:rsidR="008A4323" w:rsidRDefault="008A4323" w:rsidP="008A4323">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8A4323">
        <w:rPr>
          <w:rFonts w:ascii="Arial" w:eastAsia="Times New Roman" w:hAnsi="Arial" w:cs="Arial"/>
          <w:kern w:val="0"/>
          <w:lang w:eastAsia="en-GB"/>
          <w14:ligatures w14:val="none"/>
        </w:rPr>
        <w:t>Critical evaluation of evidence quality</w:t>
      </w:r>
      <w:r>
        <w:rPr>
          <w:rFonts w:ascii="Arial" w:eastAsia="Times New Roman" w:hAnsi="Arial" w:cs="Arial"/>
          <w:kern w:val="0"/>
          <w:lang w:eastAsia="en-GB"/>
          <w14:ligatures w14:val="none"/>
        </w:rPr>
        <w:t>:</w:t>
      </w:r>
      <w:r w:rsidRPr="008A4323">
        <w:rPr>
          <w:rFonts w:ascii="Arial" w:eastAsia="Times New Roman" w:hAnsi="Arial" w:cs="Arial"/>
          <w:kern w:val="0"/>
          <w:lang w:eastAsia="en-GB"/>
          <w14:ligatures w14:val="none"/>
        </w:rPr>
        <w:t xml:space="preserve"> The systematic approach's primary advantage lies in the formal utilisation of appraisal tools (e.g., CASP checklists) to evaluate methodological rigour, relevance, and bias risk in each study. This guarantees that the synthesis is both thorough and grounded in a review of evidence quality</w:t>
      </w:r>
      <w:r w:rsidR="008B34F0">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1900657059"/>
          <w:citation/>
        </w:sdtPr>
        <w:sdtContent>
          <w:r w:rsidR="008B34F0">
            <w:rPr>
              <w:rFonts w:ascii="Arial" w:eastAsia="Times New Roman" w:hAnsi="Arial" w:cs="Arial"/>
              <w:kern w:val="0"/>
              <w:lang w:eastAsia="en-GB"/>
              <w14:ligatures w14:val="none"/>
            </w:rPr>
            <w:fldChar w:fldCharType="begin"/>
          </w:r>
          <w:r w:rsidR="008B34F0">
            <w:rPr>
              <w:rFonts w:ascii="Arial" w:eastAsia="Times New Roman" w:hAnsi="Arial" w:cs="Arial"/>
              <w:kern w:val="0"/>
              <w:lang w:val="en-US" w:eastAsia="en-GB"/>
              <w14:ligatures w14:val="none"/>
            </w:rPr>
            <w:instrText xml:space="preserve"> CITATION Dav09 \l 1033 </w:instrText>
          </w:r>
          <w:r w:rsidR="008B34F0">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(Moher, et al., 2009)</w:t>
          </w:r>
          <w:r w:rsidR="008B34F0">
            <w:rPr>
              <w:rFonts w:ascii="Arial" w:eastAsia="Times New Roman" w:hAnsi="Arial" w:cs="Arial"/>
              <w:kern w:val="0"/>
              <w:lang w:eastAsia="en-GB"/>
              <w14:ligatures w14:val="none"/>
            </w:rPr>
            <w:fldChar w:fldCharType="end"/>
          </w:r>
        </w:sdtContent>
      </w:sdt>
      <w:r w:rsidRPr="008A4323">
        <w:rPr>
          <w:rFonts w:ascii="Arial" w:eastAsia="Times New Roman" w:hAnsi="Arial" w:cs="Arial"/>
          <w:kern w:val="0"/>
          <w:lang w:eastAsia="en-GB"/>
          <w14:ligatures w14:val="none"/>
        </w:rPr>
        <w:t>.</w:t>
      </w:r>
    </w:p>
    <w:p w14:paraId="4FA8F875" w14:textId="5DB7A15A" w:rsidR="008A4323" w:rsidRPr="008A4323" w:rsidRDefault="008A4323" w:rsidP="008A4323">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8A4323">
        <w:rPr>
          <w:rFonts w:ascii="Arial" w:eastAsia="Times New Roman" w:hAnsi="Arial" w:cs="Arial"/>
          <w:kern w:val="0"/>
          <w:lang w:eastAsia="en-GB"/>
          <w14:ligatures w14:val="none"/>
        </w:rPr>
        <w:t>Identification of thematic patterns</w:t>
      </w:r>
      <w:r w:rsidR="00B2109E">
        <w:rPr>
          <w:rFonts w:ascii="Arial" w:eastAsia="Times New Roman" w:hAnsi="Arial" w:cs="Arial"/>
          <w:kern w:val="0"/>
          <w:lang w:eastAsia="en-GB"/>
          <w14:ligatures w14:val="none"/>
        </w:rPr>
        <w:t>:</w:t>
      </w:r>
      <w:r w:rsidRPr="008A4323">
        <w:rPr>
          <w:rFonts w:ascii="Arial" w:eastAsia="Times New Roman" w:hAnsi="Arial" w:cs="Arial"/>
          <w:kern w:val="0"/>
          <w:lang w:eastAsia="en-GB"/>
          <w14:ligatures w14:val="none"/>
        </w:rPr>
        <w:t xml:space="preserve"> As mentioned in Chapter 2, the literature indicates recurrent themes, including the psychological relie</w:t>
      </w:r>
      <w:r w:rsidR="00AF4A3C">
        <w:rPr>
          <w:rFonts w:ascii="Arial" w:eastAsia="Times New Roman" w:hAnsi="Arial" w:cs="Arial"/>
          <w:kern w:val="0"/>
          <w:lang w:eastAsia="en-GB"/>
          <w14:ligatures w14:val="none"/>
        </w:rPr>
        <w:t>f</w:t>
      </w:r>
      <w:r w:rsidRPr="008A4323">
        <w:rPr>
          <w:rFonts w:ascii="Arial" w:eastAsia="Times New Roman" w:hAnsi="Arial" w:cs="Arial"/>
          <w:kern w:val="0"/>
          <w:lang w:eastAsia="en-GB"/>
          <w14:ligatures w14:val="none"/>
        </w:rPr>
        <w:t xml:space="preserve"> provided by early diagnosis, the distress created by insufficient post-diagnostic support, and the worsened emotional strain associated with late diagnosis. Systematic reviewing allows the mapping, comparison, and synthesis of these patterns across various contexts and participant groups</w:t>
      </w:r>
      <w:r w:rsidR="008B34F0">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888842461"/>
          <w:citation/>
        </w:sdtPr>
        <w:sdtContent>
          <w:r w:rsidR="008B34F0">
            <w:rPr>
              <w:rFonts w:ascii="Arial" w:eastAsia="Times New Roman" w:hAnsi="Arial" w:cs="Arial"/>
              <w:kern w:val="0"/>
              <w:lang w:eastAsia="en-GB"/>
              <w14:ligatures w14:val="none"/>
            </w:rPr>
            <w:fldChar w:fldCharType="begin"/>
          </w:r>
          <w:r w:rsidR="008B34F0">
            <w:rPr>
              <w:rFonts w:ascii="Arial" w:eastAsia="Times New Roman" w:hAnsi="Arial" w:cs="Arial"/>
              <w:kern w:val="0"/>
              <w:lang w:val="en-US" w:eastAsia="en-GB"/>
              <w14:ligatures w14:val="none"/>
            </w:rPr>
            <w:instrText xml:space="preserve"> CITATION Mat21 \l 1033 </w:instrText>
          </w:r>
          <w:r w:rsidR="008B34F0">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(Page, et al., 2021)</w:t>
          </w:r>
          <w:r w:rsidR="008B34F0">
            <w:rPr>
              <w:rFonts w:ascii="Arial" w:eastAsia="Times New Roman" w:hAnsi="Arial" w:cs="Arial"/>
              <w:kern w:val="0"/>
              <w:lang w:eastAsia="en-GB"/>
              <w14:ligatures w14:val="none"/>
            </w:rPr>
            <w:fldChar w:fldCharType="end"/>
          </w:r>
        </w:sdtContent>
      </w:sdt>
      <w:r w:rsidRPr="008A4323">
        <w:rPr>
          <w:rFonts w:ascii="Arial" w:eastAsia="Times New Roman" w:hAnsi="Arial" w:cs="Arial"/>
          <w:kern w:val="0"/>
          <w:lang w:eastAsia="en-GB"/>
          <w14:ligatures w14:val="none"/>
        </w:rPr>
        <w:t>.</w:t>
      </w:r>
    </w:p>
    <w:p w14:paraId="74CE2121" w14:textId="244B9850" w:rsidR="00B2109E" w:rsidRPr="00B2109E" w:rsidRDefault="00B2109E" w:rsidP="00B2109E">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B2109E">
        <w:rPr>
          <w:rFonts w:ascii="Arial" w:eastAsia="Times New Roman" w:hAnsi="Arial" w:cs="Arial"/>
          <w:kern w:val="0"/>
          <w:lang w:eastAsia="en-GB"/>
          <w14:ligatures w14:val="none"/>
        </w:rPr>
        <w:t>Focus on context and sensory information</w:t>
      </w:r>
      <w:r>
        <w:rPr>
          <w:rFonts w:ascii="Arial" w:eastAsia="Times New Roman" w:hAnsi="Arial" w:cs="Arial"/>
          <w:kern w:val="0"/>
          <w:lang w:eastAsia="en-GB"/>
          <w14:ligatures w14:val="none"/>
        </w:rPr>
        <w:t>:</w:t>
      </w:r>
      <w:r w:rsidRPr="00B2109E">
        <w:rPr>
          <w:rFonts w:ascii="Arial" w:eastAsia="Times New Roman" w:hAnsi="Arial" w:cs="Arial"/>
          <w:kern w:val="0"/>
          <w:lang w:eastAsia="en-GB"/>
          <w14:ligatures w14:val="none"/>
        </w:rPr>
        <w:t xml:space="preserve"> Quantitative metrics, although beneficial, frequently neglect the complex realities of experiencing dementia</w:t>
      </w:r>
      <w:sdt>
        <w:sdtPr>
          <w:rPr>
            <w:rFonts w:ascii="Arial" w:eastAsia="Times New Roman" w:hAnsi="Arial" w:cs="Arial"/>
            <w:kern w:val="0"/>
            <w:lang w:eastAsia="en-GB"/>
            <w14:ligatures w14:val="none"/>
          </w:rPr>
          <w:id w:val="-1157064437"/>
          <w:citation/>
        </w:sdtPr>
        <w:sdtContent>
          <w:r w:rsidR="00784EF5">
            <w:rPr>
              <w:rFonts w:ascii="Arial" w:eastAsia="Times New Roman" w:hAnsi="Arial" w:cs="Arial"/>
              <w:kern w:val="0"/>
              <w:lang w:eastAsia="en-GB"/>
              <w14:ligatures w14:val="none"/>
            </w:rPr>
            <w:fldChar w:fldCharType="begin"/>
          </w:r>
          <w:r w:rsidR="00784EF5">
            <w:rPr>
              <w:rFonts w:ascii="Arial" w:eastAsia="Times New Roman" w:hAnsi="Arial" w:cs="Arial"/>
              <w:kern w:val="0"/>
              <w:lang w:val="en-US" w:eastAsia="en-GB"/>
              <w14:ligatures w14:val="none"/>
            </w:rPr>
            <w:instrText xml:space="preserve"> CITATION Spr19 \l 1033 </w:instrText>
          </w:r>
          <w:r w:rsidR="00784EF5">
            <w:rPr>
              <w:rFonts w:ascii="Arial" w:eastAsia="Times New Roman" w:hAnsi="Arial" w:cs="Arial"/>
              <w:kern w:val="0"/>
              <w:lang w:eastAsia="en-GB"/>
              <w14:ligatures w14:val="none"/>
            </w:rPr>
            <w:fldChar w:fldCharType="separate"/>
          </w:r>
          <w:r w:rsidR="001E393B">
            <w:rPr>
              <w:rFonts w:ascii="Arial" w:eastAsia="Times New Roman" w:hAnsi="Arial" w:cs="Arial"/>
              <w:noProof/>
              <w:kern w:val="0"/>
              <w:lang w:val="en-US" w:eastAsia="en-GB"/>
              <w14:ligatures w14:val="none"/>
            </w:rPr>
            <w:t xml:space="preserve"> </w:t>
          </w:r>
          <w:r w:rsidR="001E393B" w:rsidRPr="001E393B">
            <w:rPr>
              <w:rFonts w:ascii="Arial" w:eastAsia="Times New Roman" w:hAnsi="Arial" w:cs="Arial"/>
              <w:noProof/>
              <w:kern w:val="0"/>
              <w:lang w:val="en-US" w:eastAsia="en-GB"/>
              <w14:ligatures w14:val="none"/>
            </w:rPr>
            <w:t>(John &amp; Christopher, 2019)</w:t>
          </w:r>
          <w:r w:rsidR="00784EF5">
            <w:rPr>
              <w:rFonts w:ascii="Arial" w:eastAsia="Times New Roman" w:hAnsi="Arial" w:cs="Arial"/>
              <w:kern w:val="0"/>
              <w:lang w:eastAsia="en-GB"/>
              <w14:ligatures w14:val="none"/>
            </w:rPr>
            <w:fldChar w:fldCharType="end"/>
          </w:r>
        </w:sdtContent>
      </w:sdt>
      <w:r w:rsidRPr="00B2109E">
        <w:rPr>
          <w:rFonts w:ascii="Arial" w:eastAsia="Times New Roman" w:hAnsi="Arial" w:cs="Arial"/>
          <w:kern w:val="0"/>
          <w:lang w:eastAsia="en-GB"/>
          <w14:ligatures w14:val="none"/>
        </w:rPr>
        <w:t>. This study highlights the experiences of patients and carers, focussing on their interpretation of diagnosis, emotional coping mechanisms, and navigation of support systems, consistent with the qualitative tradition of boosting lived experiences.</w:t>
      </w:r>
    </w:p>
    <w:p w14:paraId="652EAD82" w14:textId="73813364" w:rsidR="00B2109E" w:rsidRDefault="00B2109E" w:rsidP="00B2109E">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B2109E">
        <w:rPr>
          <w:rFonts w:ascii="Arial" w:eastAsia="Times New Roman" w:hAnsi="Arial" w:cs="Arial"/>
          <w:kern w:val="0"/>
          <w:lang w:eastAsia="en-GB"/>
          <w14:ligatures w14:val="none"/>
        </w:rPr>
        <w:t>Prevention of duplication</w:t>
      </w:r>
      <w:r>
        <w:rPr>
          <w:rFonts w:ascii="Arial" w:eastAsia="Times New Roman" w:hAnsi="Arial" w:cs="Arial"/>
          <w:kern w:val="0"/>
          <w:lang w:eastAsia="en-GB"/>
          <w14:ligatures w14:val="none"/>
        </w:rPr>
        <w:t>:</w:t>
      </w:r>
      <w:r w:rsidRPr="00B2109E">
        <w:rPr>
          <w:rFonts w:ascii="Arial" w:eastAsia="Times New Roman" w:hAnsi="Arial" w:cs="Arial"/>
          <w:kern w:val="0"/>
          <w:lang w:eastAsia="en-GB"/>
          <w14:ligatures w14:val="none"/>
        </w:rPr>
        <w:t xml:space="preserve"> Participating in primary research on this subject may lead to the replication of findings that are already widely recorded in the literature. A systematic literature review provides a method to consolidate current information while pinpointing inconsistencies and gaps that can guide future empirical research</w:t>
      </w:r>
      <w:r w:rsidR="008B34F0">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1066228419"/>
          <w:citation/>
        </w:sdtPr>
        <w:sdtContent>
          <w:r w:rsidR="008B34F0">
            <w:rPr>
              <w:rFonts w:ascii="Arial" w:eastAsia="Times New Roman" w:hAnsi="Arial" w:cs="Arial"/>
              <w:kern w:val="0"/>
              <w:lang w:eastAsia="en-GB"/>
              <w14:ligatures w14:val="none"/>
            </w:rPr>
            <w:fldChar w:fldCharType="begin"/>
          </w:r>
          <w:r w:rsidR="008B34F0">
            <w:rPr>
              <w:rFonts w:ascii="Arial" w:eastAsia="Times New Roman" w:hAnsi="Arial" w:cs="Arial"/>
              <w:kern w:val="0"/>
              <w:lang w:val="en-US" w:eastAsia="en-GB"/>
              <w14:ligatures w14:val="none"/>
            </w:rPr>
            <w:instrText xml:space="preserve"> CITATION Gou17 \l 1033 </w:instrText>
          </w:r>
          <w:r w:rsidR="008B34F0">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(Gough, et al., 2017)</w:t>
          </w:r>
          <w:r w:rsidR="008B34F0">
            <w:rPr>
              <w:rFonts w:ascii="Arial" w:eastAsia="Times New Roman" w:hAnsi="Arial" w:cs="Arial"/>
              <w:kern w:val="0"/>
              <w:lang w:eastAsia="en-GB"/>
              <w14:ligatures w14:val="none"/>
            </w:rPr>
            <w:fldChar w:fldCharType="end"/>
          </w:r>
        </w:sdtContent>
      </w:sdt>
      <w:r w:rsidRPr="00B2109E">
        <w:rPr>
          <w:rFonts w:ascii="Arial" w:eastAsia="Times New Roman" w:hAnsi="Arial" w:cs="Arial"/>
          <w:kern w:val="0"/>
          <w:lang w:eastAsia="en-GB"/>
          <w14:ligatures w14:val="none"/>
        </w:rPr>
        <w:t>.</w:t>
      </w:r>
    </w:p>
    <w:p w14:paraId="4371F82F" w14:textId="77777777" w:rsidR="00CF2FA3" w:rsidRDefault="00CF2FA3" w:rsidP="00CF2FA3">
      <w:pPr>
        <w:spacing w:after="0" w:line="360" w:lineRule="auto"/>
        <w:rPr>
          <w:rFonts w:ascii="Arial" w:eastAsia="Times New Roman" w:hAnsi="Arial" w:cs="Arial"/>
          <w:kern w:val="0"/>
          <w:lang w:eastAsia="en-GB"/>
          <w14:ligatures w14:val="none"/>
        </w:rPr>
      </w:pPr>
      <w:r w:rsidRPr="00CF2FA3">
        <w:rPr>
          <w:rFonts w:ascii="Arial" w:eastAsia="Times New Roman" w:hAnsi="Arial" w:cs="Arial"/>
          <w:kern w:val="0"/>
          <w:lang w:eastAsia="en-GB"/>
          <w14:ligatures w14:val="none"/>
        </w:rPr>
        <w:t>This approach guarantees that the review covers the complex nature of dementia diagnosis in relation to mental health outcomes, understanding individual findings within a wider evidence framework. This approach facilitates a thorough, individual-focused appreciation of the relationship among diagnostic timing, emotional wellbeing, and the care environment, which are essential factors for guiding both policy and practice in the UK dementia care environment.</w:t>
      </w:r>
    </w:p>
    <w:p w14:paraId="3D955B51" w14:textId="77777777" w:rsidR="00004535" w:rsidRPr="00CF2FA3" w:rsidRDefault="00004535" w:rsidP="00CF2FA3">
      <w:pPr>
        <w:spacing w:after="0" w:line="360" w:lineRule="auto"/>
        <w:rPr>
          <w:rFonts w:ascii="Arial" w:eastAsia="Times New Roman" w:hAnsi="Arial" w:cs="Arial"/>
          <w:kern w:val="0"/>
          <w:lang w:eastAsia="en-GB"/>
          <w14:ligatures w14:val="none"/>
        </w:rPr>
      </w:pPr>
    </w:p>
    <w:p w14:paraId="38354638" w14:textId="4D00144F" w:rsidR="00B2109E" w:rsidRDefault="00004535" w:rsidP="00004535">
      <w:pPr>
        <w:pStyle w:val="Heading2"/>
        <w:numPr>
          <w:ilvl w:val="1"/>
          <w:numId w:val="10"/>
        </w:numPr>
        <w:spacing w:line="360" w:lineRule="auto"/>
        <w:jc w:val="left"/>
        <w:rPr>
          <w:rFonts w:ascii="Arial" w:hAnsi="Arial" w:cs="Arial"/>
          <w:lang w:eastAsia="en-GB"/>
        </w:rPr>
      </w:pPr>
      <w:bookmarkStart w:id="47" w:name="_Toc210677379"/>
      <w:r w:rsidRPr="00004535">
        <w:rPr>
          <w:rFonts w:ascii="Arial" w:hAnsi="Arial" w:cs="Arial"/>
          <w:lang w:eastAsia="en-GB"/>
        </w:rPr>
        <w:t>Research Design</w:t>
      </w:r>
      <w:bookmarkEnd w:id="47"/>
    </w:p>
    <w:p w14:paraId="6E02BFED" w14:textId="77777777" w:rsidR="004E6FAA" w:rsidRDefault="004E6FAA" w:rsidP="004E6FAA">
      <w:pPr>
        <w:spacing w:after="0" w:line="360" w:lineRule="auto"/>
        <w:rPr>
          <w:rFonts w:ascii="Arial" w:eastAsia="Times New Roman" w:hAnsi="Arial" w:cs="Arial"/>
          <w:kern w:val="0"/>
          <w:lang w:eastAsia="en-GB"/>
          <w14:ligatures w14:val="none"/>
        </w:rPr>
      </w:pPr>
      <w:r w:rsidRPr="004E6FAA">
        <w:rPr>
          <w:rFonts w:ascii="Arial" w:eastAsia="Times New Roman" w:hAnsi="Arial" w:cs="Arial"/>
          <w:kern w:val="0"/>
          <w:lang w:eastAsia="en-GB"/>
          <w14:ligatures w14:val="none"/>
        </w:rPr>
        <w:t>The research design adhered to the PRISMA 2020 framework, an example for systematic reviews that improves transparency, reproducibility, and accuracy of methodology (Page et al., 2021). PRISMA offers a systematic reporting framework that guarantees transparency in the identification, screening, and synthesis of studies, thereby minimising bias while improving confidence in the results. The review was structured into four consecutive stages:</w:t>
      </w:r>
    </w:p>
    <w:p w14:paraId="18AAA991" w14:textId="74B9179A" w:rsidR="004E6FAA" w:rsidRDefault="00F470E2" w:rsidP="00F470E2">
      <w:pPr>
        <w:pStyle w:val="Heading3"/>
        <w:spacing w:line="360" w:lineRule="auto"/>
        <w:rPr>
          <w:rFonts w:ascii="Arial" w:hAnsi="Arial" w:cs="Arial"/>
          <w:u w:val="none"/>
          <w:lang w:eastAsia="en-GB"/>
        </w:rPr>
      </w:pPr>
      <w:bookmarkStart w:id="48" w:name="_Toc210677380"/>
      <w:r w:rsidRPr="00F470E2">
        <w:rPr>
          <w:rFonts w:ascii="Arial" w:hAnsi="Arial" w:cs="Arial"/>
          <w:u w:val="none"/>
          <w:lang w:eastAsia="en-GB"/>
        </w:rPr>
        <w:lastRenderedPageBreak/>
        <w:t>3.3</w:t>
      </w:r>
      <w:r w:rsidR="000E09CB">
        <w:rPr>
          <w:rFonts w:ascii="Arial" w:hAnsi="Arial" w:cs="Arial"/>
          <w:u w:val="none"/>
          <w:lang w:eastAsia="en-GB"/>
        </w:rPr>
        <w:t>.</w:t>
      </w:r>
      <w:r w:rsidRPr="00F470E2">
        <w:rPr>
          <w:rFonts w:ascii="Arial" w:hAnsi="Arial" w:cs="Arial"/>
          <w:u w:val="none"/>
          <w:lang w:eastAsia="en-GB"/>
        </w:rPr>
        <w:t>1 Database Search Strategy</w:t>
      </w:r>
      <w:bookmarkEnd w:id="48"/>
    </w:p>
    <w:p w14:paraId="1A60D8DF" w14:textId="77777777" w:rsidR="00F470E2" w:rsidRDefault="00F470E2" w:rsidP="00F470E2">
      <w:pPr>
        <w:spacing w:line="360" w:lineRule="auto"/>
        <w:rPr>
          <w:rFonts w:ascii="Arial" w:hAnsi="Arial" w:cs="Arial"/>
          <w:lang w:eastAsia="en-GB"/>
        </w:rPr>
      </w:pPr>
      <w:r w:rsidRPr="00F470E2">
        <w:rPr>
          <w:rFonts w:ascii="Arial" w:hAnsi="Arial" w:cs="Arial"/>
          <w:lang w:eastAsia="en-GB"/>
        </w:rPr>
        <w:t>An organised search strategy was implemented across four principal academic databases—PubMed, Cochrane Library, Google Scholar, and the University of Wales Trinity Saint David (UWTSD) Library online catalogue—to guarantee thorough coverage of both peer-reviewed and grey literature.</w:t>
      </w:r>
    </w:p>
    <w:p w14:paraId="0EC07FCA" w14:textId="787CD11C" w:rsidR="00F470E2" w:rsidRPr="00F470E2" w:rsidRDefault="00F470E2" w:rsidP="00F470E2">
      <w:pPr>
        <w:spacing w:line="360" w:lineRule="auto"/>
        <w:rPr>
          <w:rFonts w:ascii="Arial" w:hAnsi="Arial" w:cs="Arial"/>
          <w:lang w:eastAsia="en-GB"/>
        </w:rPr>
      </w:pPr>
      <w:r w:rsidRPr="00F470E2">
        <w:rPr>
          <w:rFonts w:ascii="Arial" w:hAnsi="Arial" w:cs="Arial"/>
          <w:lang w:eastAsia="en-GB"/>
        </w:rPr>
        <w:t>Boolean operators and Medical Subject Headings (</w:t>
      </w:r>
      <w:proofErr w:type="spellStart"/>
      <w:r w:rsidRPr="00F470E2">
        <w:rPr>
          <w:rFonts w:ascii="Arial" w:hAnsi="Arial" w:cs="Arial"/>
          <w:lang w:eastAsia="en-GB"/>
        </w:rPr>
        <w:t>MeSH</w:t>
      </w:r>
      <w:proofErr w:type="spellEnd"/>
      <w:r w:rsidRPr="00F470E2">
        <w:rPr>
          <w:rFonts w:ascii="Arial" w:hAnsi="Arial" w:cs="Arial"/>
          <w:lang w:eastAsia="en-GB"/>
        </w:rPr>
        <w:t>) were utilised for better searches, providing both sensitivity and specificity. A standard search included the following elements:</w:t>
      </w:r>
    </w:p>
    <w:p w14:paraId="79D3F920" w14:textId="77777777" w:rsidR="00F470E2" w:rsidRPr="006C5F2E" w:rsidRDefault="00F470E2" w:rsidP="00F470E2">
      <w:pPr>
        <w:spacing w:line="360" w:lineRule="auto"/>
        <w:rPr>
          <w:rFonts w:ascii="Arial" w:hAnsi="Arial" w:cs="Arial"/>
          <w:i/>
          <w:iCs/>
          <w:lang w:eastAsia="en-GB"/>
        </w:rPr>
      </w:pPr>
      <w:r w:rsidRPr="006C5F2E">
        <w:rPr>
          <w:rFonts w:ascii="Arial" w:hAnsi="Arial" w:cs="Arial"/>
          <w:i/>
          <w:iCs/>
          <w:lang w:eastAsia="en-GB"/>
        </w:rPr>
        <w:t xml:space="preserve">(dementia OR “Alzheimer’s disease” OR “cognitive impairment”) </w:t>
      </w:r>
    </w:p>
    <w:p w14:paraId="54094AF1" w14:textId="77777777" w:rsidR="00F470E2" w:rsidRPr="006C5F2E" w:rsidRDefault="00F470E2" w:rsidP="00F470E2">
      <w:pPr>
        <w:spacing w:line="360" w:lineRule="auto"/>
        <w:rPr>
          <w:rFonts w:ascii="Arial" w:hAnsi="Arial" w:cs="Arial"/>
          <w:i/>
          <w:iCs/>
          <w:lang w:eastAsia="en-GB"/>
        </w:rPr>
      </w:pPr>
      <w:r w:rsidRPr="006C5F2E">
        <w:rPr>
          <w:rFonts w:ascii="Arial" w:hAnsi="Arial" w:cs="Arial"/>
          <w:i/>
          <w:iCs/>
          <w:lang w:eastAsia="en-GB"/>
        </w:rPr>
        <w:t xml:space="preserve">AND (“early diagnosis” OR “timely diagnosis” OR “early detection”) </w:t>
      </w:r>
    </w:p>
    <w:p w14:paraId="1F47C539" w14:textId="038CE562" w:rsidR="00F470E2" w:rsidRPr="006C5F2E" w:rsidRDefault="00F470E2" w:rsidP="00F470E2">
      <w:pPr>
        <w:spacing w:line="360" w:lineRule="auto"/>
        <w:rPr>
          <w:rFonts w:ascii="Arial" w:hAnsi="Arial" w:cs="Arial"/>
          <w:i/>
          <w:iCs/>
          <w:lang w:eastAsia="en-GB"/>
        </w:rPr>
      </w:pPr>
      <w:r w:rsidRPr="006C5F2E">
        <w:rPr>
          <w:rFonts w:ascii="Arial" w:hAnsi="Arial" w:cs="Arial"/>
          <w:i/>
          <w:iCs/>
          <w:lang w:eastAsia="en-GB"/>
        </w:rPr>
        <w:t>AND (“mental health” OR depression OR anxiety OR wellbeing)</w:t>
      </w:r>
    </w:p>
    <w:p w14:paraId="10B64EDA" w14:textId="1D65FED0" w:rsidR="00F470E2" w:rsidRDefault="00F470E2" w:rsidP="00F470E2">
      <w:pPr>
        <w:spacing w:line="360" w:lineRule="auto"/>
        <w:rPr>
          <w:rFonts w:ascii="Arial" w:hAnsi="Arial" w:cs="Arial"/>
          <w:lang w:eastAsia="en-GB"/>
        </w:rPr>
      </w:pPr>
      <w:r w:rsidRPr="00F470E2">
        <w:rPr>
          <w:rFonts w:ascii="Arial" w:hAnsi="Arial" w:cs="Arial"/>
          <w:lang w:eastAsia="en-GB"/>
        </w:rPr>
        <w:t>Filters were implemented to limit results to peer-reviewed journal articles published in English from 2010 to 2024, covering research conducted after the launch of the UK National Dementia Strategy</w:t>
      </w:r>
      <w:r w:rsidR="000E09CB">
        <w:rPr>
          <w:rFonts w:ascii="Arial" w:hAnsi="Arial" w:cs="Arial"/>
          <w:lang w:eastAsia="en-GB"/>
        </w:rPr>
        <w:t xml:space="preserve"> </w:t>
      </w:r>
      <w:sdt>
        <w:sdtPr>
          <w:rPr>
            <w:rFonts w:ascii="Arial" w:hAnsi="Arial" w:cs="Arial"/>
            <w:lang w:eastAsia="en-GB"/>
          </w:rPr>
          <w:id w:val="1693195388"/>
          <w:citation/>
        </w:sdtPr>
        <w:sdtContent>
          <w:r w:rsidR="000E09CB">
            <w:rPr>
              <w:rFonts w:ascii="Arial" w:hAnsi="Arial" w:cs="Arial"/>
              <w:lang w:eastAsia="en-GB"/>
            </w:rPr>
            <w:fldChar w:fldCharType="begin"/>
          </w:r>
          <w:r w:rsidR="000E09CB">
            <w:rPr>
              <w:rFonts w:ascii="Arial" w:hAnsi="Arial" w:cs="Arial"/>
              <w:lang w:val="en-US" w:eastAsia="en-GB"/>
            </w:rPr>
            <w:instrText xml:space="preserve"> CITATION Ali09 \l 1033 </w:instrText>
          </w:r>
          <w:r w:rsidR="000E09CB">
            <w:rPr>
              <w:rFonts w:ascii="Arial" w:hAnsi="Arial" w:cs="Arial"/>
              <w:lang w:eastAsia="en-GB"/>
            </w:rPr>
            <w:fldChar w:fldCharType="separate"/>
          </w:r>
          <w:r w:rsidR="001E393B" w:rsidRPr="001E393B">
            <w:rPr>
              <w:rFonts w:ascii="Arial" w:hAnsi="Arial" w:cs="Arial"/>
              <w:noProof/>
              <w:lang w:val="en-US" w:eastAsia="en-GB"/>
            </w:rPr>
            <w:t>(Burns &amp; Robert, 2009)</w:t>
          </w:r>
          <w:r w:rsidR="000E09CB">
            <w:rPr>
              <w:rFonts w:ascii="Arial" w:hAnsi="Arial" w:cs="Arial"/>
              <w:lang w:eastAsia="en-GB"/>
            </w:rPr>
            <w:fldChar w:fldCharType="end"/>
          </w:r>
        </w:sdtContent>
      </w:sdt>
      <w:r>
        <w:rPr>
          <w:rFonts w:ascii="Arial" w:hAnsi="Arial" w:cs="Arial"/>
          <w:lang w:eastAsia="en-GB"/>
        </w:rPr>
        <w:t>.</w:t>
      </w:r>
    </w:p>
    <w:p w14:paraId="47626BE4" w14:textId="23CD70D7" w:rsidR="000E09CB" w:rsidRDefault="000E09CB" w:rsidP="000E09CB">
      <w:pPr>
        <w:pStyle w:val="Heading3"/>
        <w:spacing w:line="360" w:lineRule="auto"/>
        <w:rPr>
          <w:rFonts w:ascii="Arial" w:hAnsi="Arial" w:cs="Arial"/>
          <w:u w:val="none"/>
          <w:lang w:eastAsia="en-GB"/>
        </w:rPr>
      </w:pPr>
      <w:bookmarkStart w:id="49" w:name="_Toc210677381"/>
      <w:r w:rsidRPr="000E09CB">
        <w:rPr>
          <w:rFonts w:ascii="Arial" w:hAnsi="Arial" w:cs="Arial"/>
          <w:u w:val="none"/>
          <w:lang w:eastAsia="en-GB"/>
        </w:rPr>
        <w:t>3.3.2 Eligibility Criteria</w:t>
      </w:r>
      <w:bookmarkEnd w:id="49"/>
    </w:p>
    <w:p w14:paraId="346E6622" w14:textId="260CC599" w:rsidR="000E09CB" w:rsidRDefault="000E09CB" w:rsidP="000E09CB">
      <w:pPr>
        <w:spacing w:line="360" w:lineRule="auto"/>
        <w:rPr>
          <w:rFonts w:ascii="Arial" w:hAnsi="Arial" w:cs="Arial"/>
          <w:lang w:eastAsia="en-GB"/>
        </w:rPr>
      </w:pPr>
      <w:r w:rsidRPr="000E09CB">
        <w:rPr>
          <w:rFonts w:ascii="Arial" w:hAnsi="Arial" w:cs="Arial"/>
          <w:lang w:eastAsia="en-GB"/>
        </w:rPr>
        <w:t>Eligibility was assessed based on defined inclusion and exclusion criteria (outlined in Section 3.4). This guaranteed the inclusion of only studies with adequate methodological quality and relevance. Consistent application of eligibility filters reduced the risk of selection bias and improved the accuracy of the review's findings</w:t>
      </w:r>
      <w:r w:rsidR="00AF2D3F">
        <w:rPr>
          <w:rFonts w:ascii="Arial" w:hAnsi="Arial" w:cs="Arial"/>
          <w:lang w:eastAsia="en-GB"/>
        </w:rPr>
        <w:t xml:space="preserve"> </w:t>
      </w:r>
      <w:sdt>
        <w:sdtPr>
          <w:rPr>
            <w:rFonts w:ascii="Arial" w:hAnsi="Arial" w:cs="Arial"/>
            <w:lang w:eastAsia="en-GB"/>
          </w:rPr>
          <w:id w:val="1393778642"/>
          <w:citation/>
        </w:sdtPr>
        <w:sdtContent>
          <w:r w:rsidR="00AF2D3F">
            <w:rPr>
              <w:rFonts w:ascii="Arial" w:hAnsi="Arial" w:cs="Arial"/>
              <w:lang w:eastAsia="en-GB"/>
            </w:rPr>
            <w:fldChar w:fldCharType="begin"/>
          </w:r>
          <w:r w:rsidR="00AF2D3F">
            <w:rPr>
              <w:rFonts w:ascii="Arial" w:hAnsi="Arial" w:cs="Arial"/>
              <w:lang w:val="en-US" w:eastAsia="en-GB"/>
            </w:rPr>
            <w:instrText xml:space="preserve"> CITATION Mic10 \l 1033 </w:instrText>
          </w:r>
          <w:r w:rsidR="00AF2D3F">
            <w:rPr>
              <w:rFonts w:ascii="Arial" w:hAnsi="Arial" w:cs="Arial"/>
              <w:lang w:eastAsia="en-GB"/>
            </w:rPr>
            <w:fldChar w:fldCharType="separate"/>
          </w:r>
          <w:r w:rsidR="001E393B" w:rsidRPr="001E393B">
            <w:rPr>
              <w:rFonts w:ascii="Arial" w:hAnsi="Arial" w:cs="Arial"/>
              <w:noProof/>
              <w:lang w:val="en-US" w:eastAsia="en-GB"/>
            </w:rPr>
            <w:t>(Tarsilla, 2010)</w:t>
          </w:r>
          <w:r w:rsidR="00AF2D3F">
            <w:rPr>
              <w:rFonts w:ascii="Arial" w:hAnsi="Arial" w:cs="Arial"/>
              <w:lang w:eastAsia="en-GB"/>
            </w:rPr>
            <w:fldChar w:fldCharType="end"/>
          </w:r>
        </w:sdtContent>
      </w:sdt>
      <w:r w:rsidRPr="000E09CB">
        <w:rPr>
          <w:rFonts w:ascii="Arial" w:hAnsi="Arial" w:cs="Arial"/>
          <w:lang w:eastAsia="en-GB"/>
        </w:rPr>
        <w:t>.</w:t>
      </w:r>
    </w:p>
    <w:p w14:paraId="00056626" w14:textId="115BCC8B" w:rsidR="00AF2D3F" w:rsidRDefault="00AF2D3F" w:rsidP="00AF2D3F">
      <w:pPr>
        <w:pStyle w:val="Heading3"/>
        <w:spacing w:line="360" w:lineRule="auto"/>
        <w:rPr>
          <w:rFonts w:ascii="Arial" w:hAnsi="Arial" w:cs="Arial"/>
          <w:u w:val="none"/>
          <w:lang w:eastAsia="en-GB"/>
        </w:rPr>
      </w:pPr>
      <w:bookmarkStart w:id="50" w:name="_Toc210677382"/>
      <w:r w:rsidRPr="00AF2D3F">
        <w:rPr>
          <w:rFonts w:ascii="Arial" w:hAnsi="Arial" w:cs="Arial"/>
          <w:u w:val="none"/>
          <w:lang w:eastAsia="en-GB"/>
        </w:rPr>
        <w:t>3.3.3 Screening and Selection</w:t>
      </w:r>
      <w:bookmarkEnd w:id="50"/>
    </w:p>
    <w:p w14:paraId="2049BC30" w14:textId="5E940C60" w:rsidR="00AF2D3F" w:rsidRDefault="00AF2D3F" w:rsidP="00AF2D3F">
      <w:pPr>
        <w:spacing w:line="360" w:lineRule="auto"/>
        <w:rPr>
          <w:rFonts w:ascii="Arial" w:hAnsi="Arial" w:cs="Arial"/>
          <w:lang w:eastAsia="en-GB"/>
        </w:rPr>
      </w:pPr>
      <w:r w:rsidRPr="00AF2D3F">
        <w:rPr>
          <w:rFonts w:ascii="Arial" w:hAnsi="Arial" w:cs="Arial"/>
          <w:lang w:eastAsia="en-GB"/>
        </w:rPr>
        <w:t>The screening process occurred in two phases. Initially, titles and abstracts were examined to eliminate unrelated studies. The full texts of the remaining articles were evaluated according to the eligibility criteria. Exclusion reasons at each stage were carefully documented to ensure transparency. The procedure was made easier by the PRISMA flow diagram, which offered a visual overview of the studies identified, screened, excluded, and ultimately included</w:t>
      </w:r>
      <w:r>
        <w:rPr>
          <w:rFonts w:ascii="Arial" w:hAnsi="Arial" w:cs="Arial"/>
          <w:lang w:eastAsia="en-GB"/>
        </w:rPr>
        <w:t xml:space="preserve"> </w:t>
      </w:r>
      <w:sdt>
        <w:sdtPr>
          <w:rPr>
            <w:rFonts w:ascii="Arial" w:hAnsi="Arial" w:cs="Arial"/>
            <w:lang w:eastAsia="en-GB"/>
          </w:rPr>
          <w:id w:val="2040696919"/>
          <w:citation/>
        </w:sdtPr>
        <w:sdtContent>
          <w:r>
            <w:rPr>
              <w:rFonts w:ascii="Arial" w:hAnsi="Arial" w:cs="Arial"/>
              <w:lang w:eastAsia="en-GB"/>
            </w:rPr>
            <w:fldChar w:fldCharType="begin"/>
          </w:r>
          <w:r>
            <w:rPr>
              <w:rFonts w:ascii="Arial" w:hAnsi="Arial" w:cs="Arial"/>
              <w:lang w:val="en-US" w:eastAsia="en-GB"/>
            </w:rPr>
            <w:instrText xml:space="preserve"> CITATION Dav09 \l 1033 </w:instrText>
          </w:r>
          <w:r>
            <w:rPr>
              <w:rFonts w:ascii="Arial" w:hAnsi="Arial" w:cs="Arial"/>
              <w:lang w:eastAsia="en-GB"/>
            </w:rPr>
            <w:fldChar w:fldCharType="separate"/>
          </w:r>
          <w:r w:rsidR="001E393B" w:rsidRPr="001E393B">
            <w:rPr>
              <w:rFonts w:ascii="Arial" w:hAnsi="Arial" w:cs="Arial"/>
              <w:noProof/>
              <w:lang w:val="en-US" w:eastAsia="en-GB"/>
            </w:rPr>
            <w:t>(Moher, et al., 2009)</w:t>
          </w:r>
          <w:r>
            <w:rPr>
              <w:rFonts w:ascii="Arial" w:hAnsi="Arial" w:cs="Arial"/>
              <w:lang w:eastAsia="en-GB"/>
            </w:rPr>
            <w:fldChar w:fldCharType="end"/>
          </w:r>
        </w:sdtContent>
      </w:sdt>
      <w:r w:rsidRPr="00AF2D3F">
        <w:rPr>
          <w:rFonts w:ascii="Arial" w:hAnsi="Arial" w:cs="Arial"/>
          <w:lang w:eastAsia="en-GB"/>
        </w:rPr>
        <w:t>.</w:t>
      </w:r>
    </w:p>
    <w:p w14:paraId="33AF2966" w14:textId="44BDD655" w:rsidR="000E6FAB" w:rsidRDefault="000E6FAB" w:rsidP="00AF2D3F">
      <w:pPr>
        <w:spacing w:line="360" w:lineRule="auto"/>
        <w:rPr>
          <w:rFonts w:ascii="Arial" w:hAnsi="Arial" w:cs="Arial"/>
          <w:lang w:eastAsia="en-GB"/>
        </w:rPr>
      </w:pPr>
      <w:r>
        <w:rPr>
          <w:noProof/>
        </w:rPr>
        <w:lastRenderedPageBreak/>
        <w:drawing>
          <wp:inline distT="0" distB="0" distL="0" distR="0" wp14:anchorId="561423A2" wp14:editId="48E9EC28">
            <wp:extent cx="5731510" cy="3021330"/>
            <wp:effectExtent l="0" t="0" r="2540" b="7620"/>
            <wp:docPr id="718587039" name="Picture 1" descr="Details are in the caption following th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ils are in the caption following th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021330"/>
                    </a:xfrm>
                    <a:prstGeom prst="rect">
                      <a:avLst/>
                    </a:prstGeom>
                    <a:noFill/>
                    <a:ln>
                      <a:noFill/>
                    </a:ln>
                  </pic:spPr>
                </pic:pic>
              </a:graphicData>
            </a:graphic>
          </wp:inline>
        </w:drawing>
      </w:r>
    </w:p>
    <w:p w14:paraId="54CC2736" w14:textId="1229E548" w:rsidR="00F70EF8" w:rsidRDefault="00F70EF8" w:rsidP="001A0EA4">
      <w:pPr>
        <w:spacing w:line="360" w:lineRule="auto"/>
        <w:jc w:val="center"/>
        <w:rPr>
          <w:rFonts w:ascii="Arial" w:hAnsi="Arial" w:cs="Arial"/>
          <w:lang w:eastAsia="en-GB"/>
        </w:rPr>
      </w:pPr>
      <w:bookmarkStart w:id="51" w:name="_Toc210215503"/>
      <w:bookmarkStart w:id="52" w:name="_Toc210218502"/>
      <w:bookmarkStart w:id="53" w:name="_Toc210677427"/>
      <w:r w:rsidRPr="001A0EA4">
        <w:rPr>
          <w:rFonts w:ascii="Arial" w:hAnsi="Arial" w:cs="Arial"/>
          <w:i/>
          <w:iCs/>
        </w:rPr>
        <w:t xml:space="preserve">Figure </w:t>
      </w:r>
      <w:r w:rsidRPr="001A0EA4">
        <w:rPr>
          <w:rFonts w:ascii="Arial" w:hAnsi="Arial" w:cs="Arial"/>
          <w:i/>
          <w:iCs/>
        </w:rPr>
        <w:fldChar w:fldCharType="begin"/>
      </w:r>
      <w:r w:rsidRPr="001A0EA4">
        <w:rPr>
          <w:rFonts w:ascii="Arial" w:hAnsi="Arial" w:cs="Arial"/>
          <w:i/>
          <w:iCs/>
        </w:rPr>
        <w:instrText xml:space="preserve"> SEQ Figure \* ARABIC </w:instrText>
      </w:r>
      <w:r w:rsidRPr="001A0EA4">
        <w:rPr>
          <w:rFonts w:ascii="Arial" w:hAnsi="Arial" w:cs="Arial"/>
          <w:i/>
          <w:iCs/>
        </w:rPr>
        <w:fldChar w:fldCharType="separate"/>
      </w:r>
      <w:r w:rsidR="00A111DD">
        <w:rPr>
          <w:rFonts w:ascii="Arial" w:hAnsi="Arial" w:cs="Arial"/>
          <w:i/>
          <w:iCs/>
          <w:noProof/>
        </w:rPr>
        <w:t>1</w:t>
      </w:r>
      <w:r w:rsidRPr="001A0EA4">
        <w:rPr>
          <w:rFonts w:ascii="Arial" w:hAnsi="Arial" w:cs="Arial"/>
          <w:i/>
          <w:iCs/>
        </w:rPr>
        <w:fldChar w:fldCharType="end"/>
      </w:r>
      <w:r w:rsidRPr="001A0EA4">
        <w:rPr>
          <w:rFonts w:ascii="Arial" w:hAnsi="Arial" w:cs="Arial"/>
          <w:i/>
          <w:iCs/>
        </w:rPr>
        <w:t xml:space="preserve">: </w:t>
      </w:r>
      <w:r w:rsidRPr="001A0EA4">
        <w:rPr>
          <w:rFonts w:ascii="Arial" w:hAnsi="Arial" w:cs="Arial"/>
          <w:i/>
          <w:iCs/>
          <w:lang w:eastAsia="en-GB"/>
        </w:rPr>
        <w:t>PRISMA flow diagram</w:t>
      </w:r>
      <w:r>
        <w:rPr>
          <w:rFonts w:ascii="Arial" w:hAnsi="Arial" w:cs="Arial"/>
          <w:lang w:eastAsia="en-GB"/>
        </w:rPr>
        <w:t xml:space="preserve"> </w:t>
      </w:r>
      <w:sdt>
        <w:sdtPr>
          <w:rPr>
            <w:rFonts w:ascii="Arial" w:hAnsi="Arial" w:cs="Arial"/>
            <w:lang w:eastAsia="en-GB"/>
          </w:rPr>
          <w:id w:val="-1679655460"/>
          <w:citation/>
        </w:sdtPr>
        <w:sdtEndPr>
          <w:rPr>
            <w:i/>
            <w:iCs/>
          </w:rPr>
        </w:sdtEndPr>
        <w:sdtContent>
          <w:r w:rsidRPr="001A0EA4">
            <w:rPr>
              <w:rFonts w:ascii="Arial" w:hAnsi="Arial" w:cs="Arial"/>
              <w:i/>
              <w:iCs/>
              <w:lang w:eastAsia="en-GB"/>
            </w:rPr>
            <w:fldChar w:fldCharType="begin"/>
          </w:r>
          <w:r w:rsidRPr="001A0EA4">
            <w:rPr>
              <w:rFonts w:ascii="Arial" w:hAnsi="Arial" w:cs="Arial"/>
              <w:i/>
              <w:iCs/>
              <w:lang w:val="en-US" w:eastAsia="en-GB"/>
            </w:rPr>
            <w:instrText xml:space="preserve"> CITATION Had22 \l 1033 </w:instrText>
          </w:r>
          <w:r w:rsidRPr="001A0EA4">
            <w:rPr>
              <w:rFonts w:ascii="Arial" w:hAnsi="Arial" w:cs="Arial"/>
              <w:i/>
              <w:iCs/>
              <w:lang w:eastAsia="en-GB"/>
            </w:rPr>
            <w:fldChar w:fldCharType="separate"/>
          </w:r>
          <w:r w:rsidR="001E393B" w:rsidRPr="001E393B">
            <w:rPr>
              <w:rFonts w:ascii="Arial" w:hAnsi="Arial" w:cs="Arial"/>
              <w:noProof/>
              <w:lang w:val="en-US" w:eastAsia="en-GB"/>
            </w:rPr>
            <w:t>(Haddaway, et al., 2022)</w:t>
          </w:r>
          <w:r w:rsidRPr="001A0EA4">
            <w:rPr>
              <w:rFonts w:ascii="Arial" w:hAnsi="Arial" w:cs="Arial"/>
              <w:i/>
              <w:iCs/>
              <w:lang w:eastAsia="en-GB"/>
            </w:rPr>
            <w:fldChar w:fldCharType="end"/>
          </w:r>
        </w:sdtContent>
      </w:sdt>
      <w:bookmarkEnd w:id="51"/>
      <w:bookmarkEnd w:id="52"/>
      <w:bookmarkEnd w:id="53"/>
    </w:p>
    <w:p w14:paraId="241FC65E" w14:textId="77777777" w:rsidR="000E6FAB" w:rsidRDefault="000E6FAB" w:rsidP="00C04A00">
      <w:pPr>
        <w:spacing w:line="360" w:lineRule="auto"/>
        <w:rPr>
          <w:rFonts w:ascii="Arial" w:hAnsi="Arial" w:cs="Arial"/>
          <w:lang w:eastAsia="en-GB"/>
        </w:rPr>
      </w:pPr>
    </w:p>
    <w:p w14:paraId="1ED7C5C4" w14:textId="1FADFFDA" w:rsidR="00AF2D3F" w:rsidRDefault="00AF2D3F" w:rsidP="00AF2D3F">
      <w:pPr>
        <w:pStyle w:val="Heading3"/>
        <w:spacing w:line="360" w:lineRule="auto"/>
        <w:rPr>
          <w:rFonts w:ascii="Arial" w:hAnsi="Arial" w:cs="Arial"/>
          <w:u w:val="none"/>
          <w:lang w:eastAsia="en-GB"/>
        </w:rPr>
      </w:pPr>
      <w:bookmarkStart w:id="54" w:name="_Toc210677383"/>
      <w:r w:rsidRPr="00AF2D3F">
        <w:rPr>
          <w:rFonts w:ascii="Arial" w:hAnsi="Arial" w:cs="Arial"/>
          <w:u w:val="none"/>
          <w:lang w:eastAsia="en-GB"/>
        </w:rPr>
        <w:t>3.3.4 Data Extraction and Thematic Synthesis</w:t>
      </w:r>
      <w:bookmarkEnd w:id="54"/>
    </w:p>
    <w:p w14:paraId="292CCC8F" w14:textId="77777777" w:rsidR="006B147C" w:rsidRDefault="00AF2D3F" w:rsidP="006B147C">
      <w:pPr>
        <w:spacing w:line="360" w:lineRule="auto"/>
        <w:rPr>
          <w:rFonts w:ascii="Arial" w:hAnsi="Arial" w:cs="Arial"/>
          <w:lang w:eastAsia="en-GB"/>
        </w:rPr>
      </w:pPr>
      <w:r w:rsidRPr="006B147C">
        <w:rPr>
          <w:rFonts w:ascii="Arial" w:hAnsi="Arial" w:cs="Arial"/>
          <w:lang w:eastAsia="en-GB"/>
        </w:rPr>
        <w:t>A standardised data extraction form has been used to guarantee consistency across studies. The data collected includes author(s), publication year, country, study design, sample characteristics, type of intervention or exposure (early versus late diagnosis), and mental health outcomes (e.g., depression, anxiety, well-being, quality of life). The extracted data were analysed through thematic synthesis as outlined by Harden</w:t>
      </w:r>
      <w:r w:rsidR="00312733" w:rsidRPr="006B147C">
        <w:rPr>
          <w:rFonts w:ascii="Arial" w:hAnsi="Arial" w:cs="Arial"/>
          <w:lang w:eastAsia="en-GB"/>
        </w:rPr>
        <w:t xml:space="preserve"> and Thomas</w:t>
      </w:r>
      <w:r w:rsidRPr="006B147C">
        <w:rPr>
          <w:rFonts w:ascii="Arial" w:hAnsi="Arial" w:cs="Arial"/>
          <w:lang w:eastAsia="en-GB"/>
        </w:rPr>
        <w:t xml:space="preserve"> (2008). This included three stages:</w:t>
      </w:r>
    </w:p>
    <w:p w14:paraId="0B39FC44" w14:textId="77777777" w:rsidR="006B147C" w:rsidRDefault="00AF2D3F" w:rsidP="006B147C">
      <w:pPr>
        <w:pStyle w:val="ListParagraph"/>
        <w:numPr>
          <w:ilvl w:val="0"/>
          <w:numId w:val="15"/>
        </w:numPr>
        <w:spacing w:line="360" w:lineRule="auto"/>
        <w:rPr>
          <w:rFonts w:ascii="Arial" w:hAnsi="Arial" w:cs="Arial"/>
          <w:lang w:eastAsia="en-GB"/>
        </w:rPr>
      </w:pPr>
      <w:r w:rsidRPr="006B147C">
        <w:rPr>
          <w:rFonts w:ascii="Arial" w:hAnsi="Arial" w:cs="Arial"/>
          <w:lang w:eastAsia="en-GB"/>
        </w:rPr>
        <w:t>Consecutive coding of relevant text.</w:t>
      </w:r>
    </w:p>
    <w:p w14:paraId="0C270521" w14:textId="77777777" w:rsidR="006B147C" w:rsidRDefault="00AF2D3F" w:rsidP="006B147C">
      <w:pPr>
        <w:pStyle w:val="ListParagraph"/>
        <w:numPr>
          <w:ilvl w:val="0"/>
          <w:numId w:val="15"/>
        </w:numPr>
        <w:spacing w:line="360" w:lineRule="auto"/>
        <w:rPr>
          <w:rFonts w:ascii="Arial" w:hAnsi="Arial" w:cs="Arial"/>
          <w:lang w:eastAsia="en-GB"/>
        </w:rPr>
      </w:pPr>
      <w:r w:rsidRPr="006B147C">
        <w:rPr>
          <w:rFonts w:ascii="Arial" w:hAnsi="Arial" w:cs="Arial"/>
          <w:lang w:eastAsia="en-GB"/>
        </w:rPr>
        <w:t>Development of descriptive themes to categorise recurring findings.</w:t>
      </w:r>
    </w:p>
    <w:p w14:paraId="659BA5C0" w14:textId="455E0B8A" w:rsidR="00934BA1" w:rsidRPr="009D694A" w:rsidRDefault="00AF2D3F" w:rsidP="009D694A">
      <w:pPr>
        <w:pStyle w:val="ListParagraph"/>
        <w:numPr>
          <w:ilvl w:val="0"/>
          <w:numId w:val="15"/>
        </w:numPr>
        <w:spacing w:line="360" w:lineRule="auto"/>
        <w:rPr>
          <w:rFonts w:ascii="Arial" w:hAnsi="Arial" w:cs="Arial"/>
          <w:lang w:eastAsia="en-GB"/>
        </w:rPr>
      </w:pPr>
      <w:r w:rsidRPr="006B147C">
        <w:rPr>
          <w:rFonts w:ascii="Arial" w:hAnsi="Arial" w:cs="Arial"/>
          <w:lang w:eastAsia="en-GB"/>
        </w:rPr>
        <w:t>Development of analytical themes that surpassed individual studies to offer conceptual insights into the impact of diagnostic timing on mental health outcomes.</w:t>
      </w:r>
    </w:p>
    <w:p w14:paraId="07AA46B1" w14:textId="77777777" w:rsidR="00934BA1" w:rsidRDefault="00934BA1" w:rsidP="00934BA1">
      <w:pPr>
        <w:pStyle w:val="ListParagraph"/>
        <w:rPr>
          <w:lang w:eastAsia="en-GB"/>
        </w:rPr>
      </w:pPr>
    </w:p>
    <w:p w14:paraId="5CADC43A" w14:textId="0CD81E83" w:rsidR="00934BA1" w:rsidRDefault="00934BA1" w:rsidP="00934BA1">
      <w:pPr>
        <w:pStyle w:val="Heading2"/>
        <w:numPr>
          <w:ilvl w:val="1"/>
          <w:numId w:val="10"/>
        </w:numPr>
        <w:jc w:val="left"/>
        <w:rPr>
          <w:rFonts w:ascii="Arial" w:hAnsi="Arial" w:cs="Arial"/>
          <w:lang w:eastAsia="en-GB"/>
        </w:rPr>
      </w:pPr>
      <w:bookmarkStart w:id="55" w:name="_Toc210677384"/>
      <w:r w:rsidRPr="00934BA1">
        <w:rPr>
          <w:rFonts w:ascii="Arial" w:hAnsi="Arial" w:cs="Arial"/>
          <w:lang w:eastAsia="en-GB"/>
        </w:rPr>
        <w:t>Inclusion and Exclusion Criteria</w:t>
      </w:r>
      <w:bookmarkEnd w:id="55"/>
    </w:p>
    <w:p w14:paraId="12CBCF2A" w14:textId="5E4EB964" w:rsidR="003F14B0" w:rsidRDefault="003F14B0" w:rsidP="003F14B0">
      <w:pPr>
        <w:spacing w:after="0" w:line="360" w:lineRule="auto"/>
        <w:rPr>
          <w:rFonts w:ascii="Arial" w:eastAsia="Times New Roman" w:hAnsi="Arial" w:cs="Arial"/>
          <w:kern w:val="0"/>
          <w:lang w:eastAsia="en-GB"/>
          <w14:ligatures w14:val="none"/>
        </w:rPr>
      </w:pPr>
      <w:r w:rsidRPr="003F14B0">
        <w:rPr>
          <w:rFonts w:ascii="Arial" w:eastAsia="Times New Roman" w:hAnsi="Arial" w:cs="Arial"/>
          <w:kern w:val="0"/>
          <w:lang w:eastAsia="en-GB"/>
          <w14:ligatures w14:val="none"/>
        </w:rPr>
        <w:t>The inclusion and exclusion criteria were determined implementing the PICO framework (Population, Intervention, Comparison, Outcome)</w:t>
      </w:r>
      <w:r w:rsidR="007148AA">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1148702008"/>
          <w:citation/>
        </w:sdtPr>
        <w:sdtContent>
          <w:r w:rsidR="007148AA">
            <w:rPr>
              <w:rFonts w:ascii="Arial" w:eastAsia="Times New Roman" w:hAnsi="Arial" w:cs="Arial"/>
              <w:kern w:val="0"/>
              <w:lang w:eastAsia="en-GB"/>
              <w14:ligatures w14:val="none"/>
            </w:rPr>
            <w:fldChar w:fldCharType="begin"/>
          </w:r>
          <w:r w:rsidR="007148AA">
            <w:rPr>
              <w:rFonts w:ascii="Arial" w:eastAsia="Times New Roman" w:hAnsi="Arial" w:cs="Arial"/>
              <w:kern w:val="0"/>
              <w:lang w:val="en-US" w:eastAsia="en-GB"/>
              <w14:ligatures w14:val="none"/>
            </w:rPr>
            <w:instrText xml:space="preserve"> CITATION Meh20 \l 1033 </w:instrText>
          </w:r>
          <w:r w:rsidR="007148AA">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(Janati, 2020)</w:t>
          </w:r>
          <w:r w:rsidR="007148AA">
            <w:rPr>
              <w:rFonts w:ascii="Arial" w:eastAsia="Times New Roman" w:hAnsi="Arial" w:cs="Arial"/>
              <w:kern w:val="0"/>
              <w:lang w:eastAsia="en-GB"/>
              <w14:ligatures w14:val="none"/>
            </w:rPr>
            <w:fldChar w:fldCharType="end"/>
          </w:r>
        </w:sdtContent>
      </w:sdt>
      <w:r>
        <w:rPr>
          <w:rFonts w:ascii="Arial" w:eastAsia="Times New Roman" w:hAnsi="Arial" w:cs="Arial"/>
          <w:kern w:val="0"/>
          <w:lang w:eastAsia="en-GB"/>
          <w14:ligatures w14:val="none"/>
        </w:rPr>
        <w:t>.</w:t>
      </w:r>
    </w:p>
    <w:p w14:paraId="0492D51C" w14:textId="77777777" w:rsidR="003A6E34" w:rsidRDefault="007148AA" w:rsidP="003A6E34">
      <w:pPr>
        <w:pStyle w:val="ListParagraph"/>
        <w:numPr>
          <w:ilvl w:val="0"/>
          <w:numId w:val="16"/>
        </w:numPr>
        <w:spacing w:after="0" w:line="360" w:lineRule="auto"/>
        <w:rPr>
          <w:rFonts w:ascii="Arial" w:eastAsia="Times New Roman" w:hAnsi="Arial" w:cs="Arial"/>
          <w:kern w:val="0"/>
          <w:lang w:eastAsia="en-GB"/>
          <w14:ligatures w14:val="none"/>
        </w:rPr>
      </w:pPr>
      <w:r w:rsidRPr="003A6E34">
        <w:rPr>
          <w:rFonts w:ascii="Arial" w:eastAsia="Times New Roman" w:hAnsi="Arial" w:cs="Arial"/>
          <w:kern w:val="0"/>
          <w:lang w:eastAsia="en-GB"/>
          <w14:ligatures w14:val="none"/>
        </w:rPr>
        <w:t xml:space="preserve">Population: Adults diagnosed with any form of dementia, with research concentrating on patients or their </w:t>
      </w:r>
      <w:proofErr w:type="spellStart"/>
      <w:r w:rsidRPr="003A6E34">
        <w:rPr>
          <w:rFonts w:ascii="Arial" w:eastAsia="Times New Roman" w:hAnsi="Arial" w:cs="Arial"/>
          <w:kern w:val="0"/>
          <w:lang w:eastAsia="en-GB"/>
          <w14:ligatures w14:val="none"/>
        </w:rPr>
        <w:t>carers</w:t>
      </w:r>
      <w:proofErr w:type="spellEnd"/>
      <w:r w:rsidRPr="003A6E34">
        <w:rPr>
          <w:rFonts w:ascii="Arial" w:eastAsia="Times New Roman" w:hAnsi="Arial" w:cs="Arial"/>
          <w:kern w:val="0"/>
          <w:lang w:eastAsia="en-GB"/>
          <w14:ligatures w14:val="none"/>
        </w:rPr>
        <w:t>. Research focussing solely on mild cognitive impairment (MCI) without proven dementia was excluded.</w:t>
      </w:r>
    </w:p>
    <w:p w14:paraId="0A470788" w14:textId="77777777" w:rsidR="003A6E34" w:rsidRDefault="007148AA" w:rsidP="003A6E34">
      <w:pPr>
        <w:pStyle w:val="ListParagraph"/>
        <w:numPr>
          <w:ilvl w:val="0"/>
          <w:numId w:val="16"/>
        </w:numPr>
        <w:spacing w:after="0" w:line="360" w:lineRule="auto"/>
        <w:rPr>
          <w:rFonts w:ascii="Arial" w:eastAsia="Times New Roman" w:hAnsi="Arial" w:cs="Arial"/>
          <w:kern w:val="0"/>
          <w:lang w:eastAsia="en-GB"/>
          <w14:ligatures w14:val="none"/>
        </w:rPr>
      </w:pPr>
      <w:r w:rsidRPr="003A6E34">
        <w:rPr>
          <w:rFonts w:ascii="Arial" w:eastAsia="Times New Roman" w:hAnsi="Arial" w:cs="Arial"/>
          <w:kern w:val="0"/>
          <w:lang w:eastAsia="en-GB"/>
          <w14:ligatures w14:val="none"/>
        </w:rPr>
        <w:lastRenderedPageBreak/>
        <w:t>Intervention/Exposure: Prompt diagnosis of dementia and any following interventions (e.g., psychological therapies, occupational therapy, social support).</w:t>
      </w:r>
    </w:p>
    <w:p w14:paraId="61C84FD8" w14:textId="77777777" w:rsidR="003A6E34" w:rsidRDefault="007148AA" w:rsidP="003A6E34">
      <w:pPr>
        <w:pStyle w:val="ListParagraph"/>
        <w:numPr>
          <w:ilvl w:val="0"/>
          <w:numId w:val="16"/>
        </w:numPr>
        <w:spacing w:after="0" w:line="360" w:lineRule="auto"/>
        <w:rPr>
          <w:rFonts w:ascii="Arial" w:eastAsia="Times New Roman" w:hAnsi="Arial" w:cs="Arial"/>
          <w:kern w:val="0"/>
          <w:lang w:eastAsia="en-GB"/>
          <w14:ligatures w14:val="none"/>
        </w:rPr>
      </w:pPr>
      <w:r w:rsidRPr="003A6E34">
        <w:rPr>
          <w:rFonts w:ascii="Arial" w:eastAsia="Times New Roman" w:hAnsi="Arial" w:cs="Arial"/>
          <w:kern w:val="0"/>
          <w:lang w:eastAsia="en-GB"/>
          <w14:ligatures w14:val="none"/>
        </w:rPr>
        <w:t>Comparison: Research contrasting early and late diagnosis, or studies detailing outcomes associated with diagnostic timing.</w:t>
      </w:r>
    </w:p>
    <w:p w14:paraId="5885A123" w14:textId="77777777" w:rsidR="003A6E34" w:rsidRDefault="003A6E34" w:rsidP="003A6E34">
      <w:pPr>
        <w:pStyle w:val="ListParagraph"/>
        <w:numPr>
          <w:ilvl w:val="0"/>
          <w:numId w:val="16"/>
        </w:num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Outcome: </w:t>
      </w:r>
      <w:r w:rsidR="007148AA" w:rsidRPr="003A6E34">
        <w:rPr>
          <w:rFonts w:ascii="Arial" w:eastAsia="Times New Roman" w:hAnsi="Arial" w:cs="Arial"/>
          <w:kern w:val="0"/>
          <w:lang w:eastAsia="en-GB"/>
          <w14:ligatures w14:val="none"/>
        </w:rPr>
        <w:t>Mental health outcomes encompass depression, anxiety, distress, quality of life, and emotional well-being.</w:t>
      </w:r>
    </w:p>
    <w:p w14:paraId="03C47D9C" w14:textId="756AEA73" w:rsidR="003A6E34" w:rsidRDefault="007148AA" w:rsidP="003A6E34">
      <w:pPr>
        <w:pStyle w:val="ListParagraph"/>
        <w:numPr>
          <w:ilvl w:val="0"/>
          <w:numId w:val="16"/>
        </w:numPr>
        <w:spacing w:after="0" w:line="360" w:lineRule="auto"/>
        <w:rPr>
          <w:rFonts w:ascii="Arial" w:eastAsia="Times New Roman" w:hAnsi="Arial" w:cs="Arial"/>
          <w:kern w:val="0"/>
          <w:lang w:eastAsia="en-GB"/>
          <w14:ligatures w14:val="none"/>
        </w:rPr>
      </w:pPr>
      <w:r w:rsidRPr="003A6E34">
        <w:rPr>
          <w:rFonts w:ascii="Arial" w:eastAsia="Times New Roman" w:hAnsi="Arial" w:cs="Arial"/>
          <w:kern w:val="0"/>
          <w:lang w:eastAsia="en-GB"/>
          <w14:ligatures w14:val="none"/>
        </w:rPr>
        <w:t xml:space="preserve">Study type: Peer-reviewed empirical research, encompassing qualitative, quantitative, and mixed-methods studies, published from 2010 to 2024 to obtain current evidence following the National Dementia Strategy </w:t>
      </w:r>
      <w:sdt>
        <w:sdtPr>
          <w:rPr>
            <w:rFonts w:ascii="Arial" w:eastAsia="Times New Roman" w:hAnsi="Arial" w:cs="Arial"/>
            <w:kern w:val="0"/>
            <w:lang w:eastAsia="en-GB"/>
            <w14:ligatures w14:val="none"/>
          </w:rPr>
          <w:id w:val="-901986279"/>
          <w:citation/>
        </w:sdtPr>
        <w:sdtContent>
          <w:r w:rsidR="003A6E34">
            <w:rPr>
              <w:rFonts w:ascii="Arial" w:eastAsia="Times New Roman" w:hAnsi="Arial" w:cs="Arial"/>
              <w:kern w:val="0"/>
              <w:lang w:eastAsia="en-GB"/>
              <w14:ligatures w14:val="none"/>
            </w:rPr>
            <w:fldChar w:fldCharType="begin"/>
          </w:r>
          <w:r w:rsidR="003A6E34">
            <w:rPr>
              <w:rFonts w:ascii="Arial" w:eastAsia="Times New Roman" w:hAnsi="Arial" w:cs="Arial"/>
              <w:kern w:val="0"/>
              <w:lang w:val="en-US" w:eastAsia="en-GB"/>
              <w14:ligatures w14:val="none"/>
            </w:rPr>
            <w:instrText xml:space="preserve"> CITATION GOV09 \l 1033 </w:instrText>
          </w:r>
          <w:r w:rsidR="003A6E34">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(GOV.UK, 2009)</w:t>
          </w:r>
          <w:r w:rsidR="003A6E34">
            <w:rPr>
              <w:rFonts w:ascii="Arial" w:eastAsia="Times New Roman" w:hAnsi="Arial" w:cs="Arial"/>
              <w:kern w:val="0"/>
              <w:lang w:eastAsia="en-GB"/>
              <w14:ligatures w14:val="none"/>
            </w:rPr>
            <w:fldChar w:fldCharType="end"/>
          </w:r>
        </w:sdtContent>
      </w:sdt>
      <w:r w:rsidRPr="003A6E34">
        <w:rPr>
          <w:rFonts w:ascii="Arial" w:eastAsia="Times New Roman" w:hAnsi="Arial" w:cs="Arial"/>
          <w:kern w:val="0"/>
          <w:lang w:eastAsia="en-GB"/>
          <w14:ligatures w14:val="none"/>
        </w:rPr>
        <w:t>.</w:t>
      </w:r>
    </w:p>
    <w:p w14:paraId="6BEBC7A8" w14:textId="3DDEE828" w:rsidR="003A6E34" w:rsidRPr="003A6E34" w:rsidRDefault="007148AA" w:rsidP="003A6E34">
      <w:pPr>
        <w:pStyle w:val="ListParagraph"/>
        <w:numPr>
          <w:ilvl w:val="0"/>
          <w:numId w:val="16"/>
        </w:numPr>
        <w:spacing w:after="0" w:line="360" w:lineRule="auto"/>
        <w:rPr>
          <w:rFonts w:ascii="Arial" w:eastAsia="Times New Roman" w:hAnsi="Arial" w:cs="Arial"/>
          <w:kern w:val="0"/>
          <w:lang w:eastAsia="en-GB"/>
          <w14:ligatures w14:val="none"/>
        </w:rPr>
      </w:pPr>
      <w:r w:rsidRPr="003A6E34">
        <w:rPr>
          <w:rFonts w:ascii="Arial" w:eastAsia="Times New Roman" w:hAnsi="Arial" w:cs="Arial"/>
          <w:kern w:val="0"/>
          <w:lang w:eastAsia="en-GB"/>
          <w14:ligatures w14:val="none"/>
        </w:rPr>
        <w:t>Language: Exclusively English, owing to practicality.</w:t>
      </w:r>
    </w:p>
    <w:p w14:paraId="167A3BDD" w14:textId="4205C5E2" w:rsidR="00934BA1" w:rsidRDefault="007148AA" w:rsidP="003A6E34">
      <w:pPr>
        <w:spacing w:after="0" w:line="360" w:lineRule="auto"/>
        <w:rPr>
          <w:rFonts w:ascii="Arial" w:eastAsia="Times New Roman" w:hAnsi="Arial" w:cs="Arial"/>
          <w:kern w:val="0"/>
          <w:lang w:eastAsia="en-GB"/>
          <w14:ligatures w14:val="none"/>
        </w:rPr>
      </w:pPr>
      <w:r w:rsidRPr="003A6E34">
        <w:rPr>
          <w:rFonts w:ascii="Arial" w:eastAsia="Times New Roman" w:hAnsi="Arial" w:cs="Arial"/>
          <w:kern w:val="0"/>
          <w:lang w:eastAsia="en-GB"/>
          <w14:ligatures w14:val="none"/>
        </w:rPr>
        <w:t>This methodology guaranteed that the article sample was pertinent to the dissertation's emphasis, while omitting studies that discussed dementia in general without consideration of diagnostic timing or mental health outcomes.</w:t>
      </w:r>
    </w:p>
    <w:p w14:paraId="7C29EFCB" w14:textId="77777777" w:rsidR="003A6E34" w:rsidRPr="003A6E34" w:rsidRDefault="003A6E34" w:rsidP="003A6E34">
      <w:pPr>
        <w:spacing w:after="0" w:line="360" w:lineRule="auto"/>
        <w:rPr>
          <w:rFonts w:ascii="Arial" w:eastAsia="Times New Roman" w:hAnsi="Arial" w:cs="Arial"/>
          <w:kern w:val="0"/>
          <w:lang w:eastAsia="en-GB"/>
          <w14:ligatures w14:val="none"/>
        </w:rPr>
      </w:pPr>
    </w:p>
    <w:p w14:paraId="150F73BF" w14:textId="6B74079D" w:rsidR="00934BA1" w:rsidRDefault="00934BA1" w:rsidP="00934BA1">
      <w:pPr>
        <w:pStyle w:val="Heading2"/>
        <w:numPr>
          <w:ilvl w:val="1"/>
          <w:numId w:val="10"/>
        </w:numPr>
        <w:jc w:val="left"/>
        <w:rPr>
          <w:rFonts w:ascii="Arial" w:hAnsi="Arial" w:cs="Arial"/>
          <w:lang w:eastAsia="en-GB"/>
        </w:rPr>
      </w:pPr>
      <w:bookmarkStart w:id="56" w:name="_Toc210677385"/>
      <w:r w:rsidRPr="00934BA1">
        <w:rPr>
          <w:rFonts w:ascii="Arial" w:hAnsi="Arial" w:cs="Arial"/>
          <w:lang w:eastAsia="en-GB"/>
        </w:rPr>
        <w:t>Search Strategy</w:t>
      </w:r>
      <w:bookmarkEnd w:id="56"/>
    </w:p>
    <w:p w14:paraId="49E54CDE" w14:textId="3B7FD14C" w:rsidR="00C21405" w:rsidRDefault="00C21405" w:rsidP="00C21405">
      <w:pPr>
        <w:spacing w:after="0" w:line="360" w:lineRule="auto"/>
        <w:rPr>
          <w:rFonts w:ascii="Arial" w:eastAsia="Times New Roman" w:hAnsi="Arial" w:cs="Arial"/>
          <w:kern w:val="0"/>
          <w:lang w:eastAsia="en-GB"/>
          <w14:ligatures w14:val="none"/>
        </w:rPr>
      </w:pPr>
      <w:r w:rsidRPr="00C21405">
        <w:rPr>
          <w:rFonts w:ascii="Arial" w:eastAsia="Times New Roman" w:hAnsi="Arial" w:cs="Arial"/>
          <w:kern w:val="0"/>
          <w:lang w:eastAsia="en-GB"/>
          <w14:ligatures w14:val="none"/>
        </w:rPr>
        <w:t>The database search was performed in June 202</w:t>
      </w:r>
      <w:r w:rsidR="006C5F2E">
        <w:rPr>
          <w:rFonts w:ascii="Arial" w:eastAsia="Times New Roman" w:hAnsi="Arial" w:cs="Arial"/>
          <w:kern w:val="0"/>
          <w:lang w:eastAsia="en-GB"/>
          <w14:ligatures w14:val="none"/>
        </w:rPr>
        <w:t>5</w:t>
      </w:r>
      <w:r w:rsidRPr="00C21405">
        <w:rPr>
          <w:rFonts w:ascii="Arial" w:eastAsia="Times New Roman" w:hAnsi="Arial" w:cs="Arial"/>
          <w:kern w:val="0"/>
          <w:lang w:eastAsia="en-GB"/>
          <w14:ligatures w14:val="none"/>
        </w:rPr>
        <w:t xml:space="preserve">. The search terms integrated </w:t>
      </w:r>
      <w:proofErr w:type="spellStart"/>
      <w:r w:rsidRPr="00C21405">
        <w:rPr>
          <w:rFonts w:ascii="Arial" w:eastAsia="Times New Roman" w:hAnsi="Arial" w:cs="Arial"/>
          <w:kern w:val="0"/>
          <w:lang w:eastAsia="en-GB"/>
          <w14:ligatures w14:val="none"/>
        </w:rPr>
        <w:t>MeSH</w:t>
      </w:r>
      <w:proofErr w:type="spellEnd"/>
      <w:r w:rsidRPr="00C21405">
        <w:rPr>
          <w:rFonts w:ascii="Arial" w:eastAsia="Times New Roman" w:hAnsi="Arial" w:cs="Arial"/>
          <w:kern w:val="0"/>
          <w:lang w:eastAsia="en-GB"/>
          <w14:ligatures w14:val="none"/>
        </w:rPr>
        <w:t xml:space="preserve"> and free-text keywords. A demonstration of the search technique for PubMed was:</w:t>
      </w:r>
    </w:p>
    <w:p w14:paraId="684D80D6" w14:textId="77777777" w:rsidR="006C5F2E" w:rsidRDefault="006C5F2E" w:rsidP="00C21405">
      <w:pPr>
        <w:spacing w:after="0" w:line="360" w:lineRule="auto"/>
        <w:rPr>
          <w:rFonts w:ascii="Arial" w:eastAsia="Times New Roman" w:hAnsi="Arial" w:cs="Arial"/>
          <w:kern w:val="0"/>
          <w:lang w:eastAsia="en-GB"/>
          <w14:ligatures w14:val="none"/>
        </w:rPr>
      </w:pPr>
    </w:p>
    <w:p w14:paraId="3732321B" w14:textId="77777777" w:rsidR="006C5F2E" w:rsidRPr="006C5F2E" w:rsidRDefault="006C5F2E" w:rsidP="006C5F2E">
      <w:pPr>
        <w:spacing w:after="0" w:line="360" w:lineRule="auto"/>
        <w:rPr>
          <w:rFonts w:ascii="Arial" w:eastAsia="Times New Roman" w:hAnsi="Arial" w:cs="Arial"/>
          <w:i/>
          <w:iCs/>
          <w:kern w:val="0"/>
          <w:lang w:eastAsia="en-GB"/>
          <w14:ligatures w14:val="none"/>
        </w:rPr>
      </w:pPr>
      <w:r w:rsidRPr="006C5F2E">
        <w:rPr>
          <w:rFonts w:ascii="Arial" w:eastAsia="Times New Roman" w:hAnsi="Arial" w:cs="Arial"/>
          <w:i/>
          <w:iCs/>
          <w:kern w:val="0"/>
          <w:lang w:eastAsia="en-GB"/>
          <w14:ligatures w14:val="none"/>
        </w:rPr>
        <w:t xml:space="preserve">(dementia OR “Alzheimer’s disease” OR “cognitive impairment”) </w:t>
      </w:r>
    </w:p>
    <w:p w14:paraId="1BB90802" w14:textId="77777777" w:rsidR="006C5F2E" w:rsidRPr="006C5F2E" w:rsidRDefault="006C5F2E" w:rsidP="006C5F2E">
      <w:pPr>
        <w:spacing w:after="0" w:line="360" w:lineRule="auto"/>
        <w:rPr>
          <w:rFonts w:ascii="Arial" w:eastAsia="Times New Roman" w:hAnsi="Arial" w:cs="Arial"/>
          <w:i/>
          <w:iCs/>
          <w:kern w:val="0"/>
          <w:lang w:eastAsia="en-GB"/>
          <w14:ligatures w14:val="none"/>
        </w:rPr>
      </w:pPr>
      <w:r w:rsidRPr="006C5F2E">
        <w:rPr>
          <w:rFonts w:ascii="Arial" w:eastAsia="Times New Roman" w:hAnsi="Arial" w:cs="Arial"/>
          <w:i/>
          <w:iCs/>
          <w:kern w:val="0"/>
          <w:lang w:eastAsia="en-GB"/>
          <w14:ligatures w14:val="none"/>
        </w:rPr>
        <w:t xml:space="preserve">AND (“early diagnosis” OR “timely diagnosis” OR “early detection”) </w:t>
      </w:r>
    </w:p>
    <w:p w14:paraId="12D4B80B" w14:textId="2474F22B" w:rsidR="006C5F2E" w:rsidRPr="006C5F2E" w:rsidRDefault="006C5F2E" w:rsidP="006C5F2E">
      <w:pPr>
        <w:spacing w:after="0" w:line="360" w:lineRule="auto"/>
        <w:rPr>
          <w:rFonts w:ascii="Arial" w:eastAsia="Times New Roman" w:hAnsi="Arial" w:cs="Arial"/>
          <w:i/>
          <w:iCs/>
          <w:kern w:val="0"/>
          <w:lang w:eastAsia="en-GB"/>
          <w14:ligatures w14:val="none"/>
        </w:rPr>
      </w:pPr>
      <w:r w:rsidRPr="006C5F2E">
        <w:rPr>
          <w:rFonts w:ascii="Arial" w:eastAsia="Times New Roman" w:hAnsi="Arial" w:cs="Arial"/>
          <w:i/>
          <w:iCs/>
          <w:kern w:val="0"/>
          <w:lang w:eastAsia="en-GB"/>
          <w14:ligatures w14:val="none"/>
        </w:rPr>
        <w:t>AND (“mental health” OR depression OR anxiety OR wellbeing)</w:t>
      </w:r>
    </w:p>
    <w:p w14:paraId="6E7061C9" w14:textId="77777777" w:rsidR="006C5F2E" w:rsidRDefault="006C5F2E" w:rsidP="006C5F2E">
      <w:pPr>
        <w:spacing w:after="0" w:line="360" w:lineRule="auto"/>
        <w:rPr>
          <w:rFonts w:ascii="Arial" w:eastAsia="Times New Roman" w:hAnsi="Arial" w:cs="Arial"/>
          <w:kern w:val="0"/>
          <w:lang w:eastAsia="en-GB"/>
          <w14:ligatures w14:val="none"/>
        </w:rPr>
      </w:pPr>
    </w:p>
    <w:p w14:paraId="76030EF8" w14:textId="0A5057EA" w:rsidR="00934BA1" w:rsidRDefault="006C5F2E" w:rsidP="00ED1CCA">
      <w:pPr>
        <w:spacing w:after="0" w:line="360" w:lineRule="auto"/>
        <w:rPr>
          <w:rFonts w:ascii="Arial" w:eastAsia="Times New Roman" w:hAnsi="Arial" w:cs="Arial"/>
          <w:kern w:val="0"/>
          <w:lang w:eastAsia="en-GB"/>
          <w14:ligatures w14:val="none"/>
        </w:rPr>
      </w:pPr>
      <w:r w:rsidRPr="006C5F2E">
        <w:rPr>
          <w:rFonts w:ascii="Arial" w:eastAsia="Times New Roman" w:hAnsi="Arial" w:cs="Arial"/>
          <w:kern w:val="0"/>
          <w:lang w:eastAsia="en-GB"/>
          <w14:ligatures w14:val="none"/>
        </w:rPr>
        <w:t>Search filters have been implemented to limit results to studies published between 2010 and 2024, in English, and subject to peer review. The reference lists of the included papers were manually screened through a process known as "snowballing"</w:t>
      </w:r>
      <w:r w:rsidR="008D6FF9">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1652017155"/>
          <w:citation/>
        </w:sdtPr>
        <w:sdtContent>
          <w:r w:rsidR="008D6FF9">
            <w:rPr>
              <w:rFonts w:ascii="Arial" w:eastAsia="Times New Roman" w:hAnsi="Arial" w:cs="Arial"/>
              <w:kern w:val="0"/>
              <w:lang w:eastAsia="en-GB"/>
              <w14:ligatures w14:val="none"/>
            </w:rPr>
            <w:fldChar w:fldCharType="begin"/>
          </w:r>
          <w:r w:rsidR="008D6FF9">
            <w:rPr>
              <w:rFonts w:ascii="Arial" w:eastAsia="Times New Roman" w:hAnsi="Arial" w:cs="Arial"/>
              <w:kern w:val="0"/>
              <w:lang w:val="en-US" w:eastAsia="en-GB"/>
              <w14:ligatures w14:val="none"/>
            </w:rPr>
            <w:instrText xml:space="preserve"> CITATION Bad15 \l 1033 </w:instrText>
          </w:r>
          <w:r w:rsidR="008D6FF9">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(Deepika, et al., 2015)</w:t>
          </w:r>
          <w:r w:rsidR="008D6FF9">
            <w:rPr>
              <w:rFonts w:ascii="Arial" w:eastAsia="Times New Roman" w:hAnsi="Arial" w:cs="Arial"/>
              <w:kern w:val="0"/>
              <w:lang w:eastAsia="en-GB"/>
              <w14:ligatures w14:val="none"/>
            </w:rPr>
            <w:fldChar w:fldCharType="end"/>
          </w:r>
        </w:sdtContent>
      </w:sdt>
      <w:r w:rsidR="008D6FF9">
        <w:rPr>
          <w:rFonts w:ascii="Arial" w:eastAsia="Times New Roman" w:hAnsi="Arial" w:cs="Arial"/>
          <w:kern w:val="0"/>
          <w:lang w:eastAsia="en-GB"/>
          <w14:ligatures w14:val="none"/>
        </w:rPr>
        <w:t>.</w:t>
      </w:r>
      <w:r w:rsidRPr="006C5F2E">
        <w:rPr>
          <w:rFonts w:ascii="Arial" w:eastAsia="Times New Roman" w:hAnsi="Arial" w:cs="Arial"/>
          <w:kern w:val="0"/>
          <w:lang w:eastAsia="en-GB"/>
          <w14:ligatures w14:val="none"/>
        </w:rPr>
        <w:br/>
        <w:t xml:space="preserve">A total of </w:t>
      </w:r>
      <w:r w:rsidR="00ED1CCA">
        <w:rPr>
          <w:rFonts w:ascii="Arial" w:eastAsia="Times New Roman" w:hAnsi="Arial" w:cs="Arial"/>
          <w:kern w:val="0"/>
          <w:lang w:eastAsia="en-GB"/>
          <w14:ligatures w14:val="none"/>
        </w:rPr>
        <w:t>19.141</w:t>
      </w:r>
      <w:r w:rsidRPr="006C5F2E">
        <w:rPr>
          <w:rFonts w:ascii="Arial" w:eastAsia="Times New Roman" w:hAnsi="Arial" w:cs="Arial"/>
          <w:kern w:val="0"/>
          <w:lang w:eastAsia="en-GB"/>
          <w14:ligatures w14:val="none"/>
        </w:rPr>
        <w:t xml:space="preserve"> records were obtained from various databases. Following the elimination of duplicates, </w:t>
      </w:r>
      <w:r w:rsidR="00ED1CCA">
        <w:rPr>
          <w:rFonts w:ascii="Arial" w:eastAsia="Times New Roman" w:hAnsi="Arial" w:cs="Arial"/>
          <w:kern w:val="0"/>
          <w:lang w:eastAsia="en-GB"/>
          <w14:ligatures w14:val="none"/>
        </w:rPr>
        <w:t>18.941</w:t>
      </w:r>
      <w:r w:rsidRPr="006C5F2E">
        <w:rPr>
          <w:rFonts w:ascii="Arial" w:eastAsia="Times New Roman" w:hAnsi="Arial" w:cs="Arial"/>
          <w:kern w:val="0"/>
          <w:lang w:eastAsia="en-GB"/>
          <w14:ligatures w14:val="none"/>
        </w:rPr>
        <w:t xml:space="preserve"> </w:t>
      </w:r>
      <w:r w:rsidR="00ED1CCA">
        <w:rPr>
          <w:rFonts w:ascii="Arial" w:eastAsia="Times New Roman" w:hAnsi="Arial" w:cs="Arial"/>
          <w:kern w:val="0"/>
          <w:lang w:eastAsia="en-GB"/>
          <w14:ligatures w14:val="none"/>
        </w:rPr>
        <w:t>records</w:t>
      </w:r>
      <w:r w:rsidRPr="006C5F2E">
        <w:rPr>
          <w:rFonts w:ascii="Arial" w:eastAsia="Times New Roman" w:hAnsi="Arial" w:cs="Arial"/>
          <w:kern w:val="0"/>
          <w:lang w:eastAsia="en-GB"/>
          <w14:ligatures w14:val="none"/>
        </w:rPr>
        <w:t xml:space="preserve"> remained. After title and abstract screening, 1</w:t>
      </w:r>
      <w:r w:rsidR="00ED1CCA">
        <w:rPr>
          <w:rFonts w:ascii="Arial" w:eastAsia="Times New Roman" w:hAnsi="Arial" w:cs="Arial"/>
          <w:kern w:val="0"/>
          <w:lang w:eastAsia="en-GB"/>
          <w14:ligatures w14:val="none"/>
        </w:rPr>
        <w:t>7 sources</w:t>
      </w:r>
      <w:r w:rsidRPr="006C5F2E">
        <w:rPr>
          <w:rFonts w:ascii="Arial" w:eastAsia="Times New Roman" w:hAnsi="Arial" w:cs="Arial"/>
          <w:kern w:val="0"/>
          <w:lang w:eastAsia="en-GB"/>
          <w14:ligatures w14:val="none"/>
        </w:rPr>
        <w:t xml:space="preserve"> were selected for comprehensive text evaluation. In conclusion, ten studies satisfied the final inclusion criteria (refer to Chapter 4).</w:t>
      </w:r>
    </w:p>
    <w:p w14:paraId="3E4293FF" w14:textId="77777777" w:rsidR="00ED1CCA" w:rsidRPr="00ED1CCA" w:rsidRDefault="00ED1CCA" w:rsidP="00ED1CCA">
      <w:pPr>
        <w:spacing w:after="0" w:line="360" w:lineRule="auto"/>
        <w:rPr>
          <w:rFonts w:ascii="Arial" w:eastAsia="Times New Roman" w:hAnsi="Arial" w:cs="Arial"/>
          <w:kern w:val="0"/>
          <w:lang w:eastAsia="en-GB"/>
          <w14:ligatures w14:val="none"/>
        </w:rPr>
      </w:pPr>
    </w:p>
    <w:p w14:paraId="4E7B4E34" w14:textId="4AEB9676" w:rsidR="00934BA1" w:rsidRDefault="00ED1CCA" w:rsidP="00934BA1">
      <w:pPr>
        <w:pStyle w:val="Heading2"/>
        <w:numPr>
          <w:ilvl w:val="1"/>
          <w:numId w:val="10"/>
        </w:numPr>
        <w:jc w:val="left"/>
        <w:rPr>
          <w:rFonts w:ascii="Arial" w:hAnsi="Arial" w:cs="Arial"/>
          <w:lang w:eastAsia="en-GB"/>
        </w:rPr>
      </w:pPr>
      <w:bookmarkStart w:id="57" w:name="_Toc210677386"/>
      <w:r>
        <w:rPr>
          <w:rFonts w:ascii="Arial" w:hAnsi="Arial" w:cs="Arial"/>
          <w:lang w:eastAsia="en-GB"/>
        </w:rPr>
        <w:t>Recruitment, Sampling and Study Participants</w:t>
      </w:r>
      <w:bookmarkEnd w:id="57"/>
    </w:p>
    <w:p w14:paraId="357753E9" w14:textId="35C0C4A8" w:rsidR="00934BA1" w:rsidRPr="00FA4F6C" w:rsidRDefault="00ED1CCA" w:rsidP="00FA4F6C">
      <w:pPr>
        <w:spacing w:after="0" w:line="360" w:lineRule="auto"/>
        <w:rPr>
          <w:rFonts w:ascii="Arial" w:eastAsia="Times New Roman" w:hAnsi="Arial" w:cs="Arial"/>
          <w:kern w:val="0"/>
          <w:lang w:eastAsia="en-GB"/>
          <w14:ligatures w14:val="none"/>
        </w:rPr>
      </w:pPr>
      <w:r w:rsidRPr="00ED1CCA">
        <w:rPr>
          <w:rFonts w:ascii="Arial" w:eastAsia="Times New Roman" w:hAnsi="Arial" w:cs="Arial"/>
          <w:kern w:val="0"/>
          <w:lang w:eastAsia="en-GB"/>
          <w14:ligatures w14:val="none"/>
        </w:rPr>
        <w:t xml:space="preserve">This paper, being a systematic review, did not directly recruit participants. Rather, it relied on research involving individuals with dementia, their </w:t>
      </w:r>
      <w:proofErr w:type="spellStart"/>
      <w:r w:rsidRPr="00ED1CCA">
        <w:rPr>
          <w:rFonts w:ascii="Arial" w:eastAsia="Times New Roman" w:hAnsi="Arial" w:cs="Arial"/>
          <w:kern w:val="0"/>
          <w:lang w:eastAsia="en-GB"/>
          <w14:ligatures w14:val="none"/>
        </w:rPr>
        <w:t>carers</w:t>
      </w:r>
      <w:proofErr w:type="spellEnd"/>
      <w:r w:rsidRPr="00ED1CCA">
        <w:rPr>
          <w:rFonts w:ascii="Arial" w:eastAsia="Times New Roman" w:hAnsi="Arial" w:cs="Arial"/>
          <w:kern w:val="0"/>
          <w:lang w:eastAsia="en-GB"/>
          <w14:ligatures w14:val="none"/>
        </w:rPr>
        <w:t>, and healthcare practitioners. The sampling involved an intentional choice of studies that were most relevant to the research objectives.</w:t>
      </w:r>
    </w:p>
    <w:p w14:paraId="073B5070" w14:textId="79C1E79C" w:rsidR="00934BA1" w:rsidRPr="008D6FF9" w:rsidRDefault="00934BA1" w:rsidP="00632AA9">
      <w:pPr>
        <w:pStyle w:val="Heading2"/>
        <w:numPr>
          <w:ilvl w:val="1"/>
          <w:numId w:val="10"/>
        </w:numPr>
        <w:spacing w:line="360" w:lineRule="auto"/>
        <w:jc w:val="left"/>
        <w:rPr>
          <w:rFonts w:ascii="Arial" w:hAnsi="Arial" w:cs="Arial"/>
          <w:szCs w:val="24"/>
          <w:lang w:eastAsia="en-GB"/>
        </w:rPr>
      </w:pPr>
      <w:bookmarkStart w:id="58" w:name="_Toc210677387"/>
      <w:r w:rsidRPr="008D6FF9">
        <w:rPr>
          <w:rFonts w:ascii="Arial" w:hAnsi="Arial" w:cs="Arial"/>
          <w:szCs w:val="24"/>
          <w:lang w:eastAsia="en-GB"/>
        </w:rPr>
        <w:lastRenderedPageBreak/>
        <w:t>Data Extraction</w:t>
      </w:r>
      <w:bookmarkEnd w:id="58"/>
    </w:p>
    <w:p w14:paraId="673AE302" w14:textId="2A9C9624" w:rsidR="00632AA9" w:rsidRDefault="00632AA9" w:rsidP="00632AA9">
      <w:pPr>
        <w:spacing w:after="0" w:line="360" w:lineRule="auto"/>
        <w:rPr>
          <w:rFonts w:ascii="Arial" w:eastAsia="Times New Roman" w:hAnsi="Arial" w:cs="Arial"/>
          <w:kern w:val="0"/>
          <w:lang w:eastAsia="en-GB"/>
          <w14:ligatures w14:val="none"/>
        </w:rPr>
      </w:pPr>
      <w:r w:rsidRPr="00632AA9">
        <w:rPr>
          <w:rFonts w:ascii="Arial" w:eastAsia="Times New Roman" w:hAnsi="Arial" w:cs="Arial"/>
          <w:kern w:val="0"/>
          <w:lang w:eastAsia="en-GB"/>
          <w14:ligatures w14:val="none"/>
        </w:rPr>
        <w:t xml:space="preserve">Data extraction was performed utilising a standardised template informed by the Cochrane Handbook for Systematic Reviews </w:t>
      </w:r>
      <w:sdt>
        <w:sdtPr>
          <w:rPr>
            <w:rFonts w:ascii="Arial" w:eastAsia="Times New Roman" w:hAnsi="Arial" w:cs="Arial"/>
            <w:kern w:val="0"/>
            <w:lang w:eastAsia="en-GB"/>
            <w14:ligatures w14:val="none"/>
          </w:rPr>
          <w:id w:val="-1542119226"/>
          <w:citation/>
        </w:sdtPr>
        <w:sdtContent>
          <w:r w:rsidR="008D6FF9">
            <w:rPr>
              <w:rFonts w:ascii="Arial" w:eastAsia="Times New Roman" w:hAnsi="Arial" w:cs="Arial"/>
              <w:kern w:val="0"/>
              <w:lang w:eastAsia="en-GB"/>
              <w14:ligatures w14:val="none"/>
            </w:rPr>
            <w:fldChar w:fldCharType="begin"/>
          </w:r>
          <w:r w:rsidR="008D6FF9">
            <w:rPr>
              <w:rFonts w:ascii="Arial" w:eastAsia="Times New Roman" w:hAnsi="Arial" w:cs="Arial"/>
              <w:kern w:val="0"/>
              <w:lang w:val="en-US" w:eastAsia="en-GB"/>
              <w14:ligatures w14:val="none"/>
            </w:rPr>
            <w:instrText xml:space="preserve"> CITATION Mic101 \l 1033 </w:instrText>
          </w:r>
          <w:r w:rsidR="008D6FF9">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(Tarsilla, 2010)</w:t>
          </w:r>
          <w:r w:rsidR="008D6FF9">
            <w:rPr>
              <w:rFonts w:ascii="Arial" w:eastAsia="Times New Roman" w:hAnsi="Arial" w:cs="Arial"/>
              <w:kern w:val="0"/>
              <w:lang w:eastAsia="en-GB"/>
              <w14:ligatures w14:val="none"/>
            </w:rPr>
            <w:fldChar w:fldCharType="end"/>
          </w:r>
        </w:sdtContent>
      </w:sdt>
      <w:r w:rsidRPr="00632AA9">
        <w:rPr>
          <w:rFonts w:ascii="Arial" w:eastAsia="Times New Roman" w:hAnsi="Arial" w:cs="Arial"/>
          <w:kern w:val="0"/>
          <w:lang w:eastAsia="en-GB"/>
          <w14:ligatures w14:val="none"/>
        </w:rPr>
        <w:t xml:space="preserve">. </w:t>
      </w:r>
    </w:p>
    <w:p w14:paraId="4F5D51F8" w14:textId="4823A268" w:rsidR="00632AA9" w:rsidRPr="00632AA9" w:rsidRDefault="00632AA9" w:rsidP="00632AA9">
      <w:pPr>
        <w:spacing w:after="0" w:line="360" w:lineRule="auto"/>
        <w:rPr>
          <w:rFonts w:ascii="Arial" w:eastAsia="Times New Roman" w:hAnsi="Arial" w:cs="Arial"/>
          <w:kern w:val="0"/>
          <w:lang w:eastAsia="en-GB"/>
          <w14:ligatures w14:val="none"/>
        </w:rPr>
      </w:pPr>
      <w:r w:rsidRPr="00632AA9">
        <w:rPr>
          <w:rFonts w:ascii="Arial" w:eastAsia="Times New Roman" w:hAnsi="Arial" w:cs="Arial"/>
          <w:kern w:val="0"/>
          <w:lang w:eastAsia="en-GB"/>
          <w14:ligatures w14:val="none"/>
        </w:rPr>
        <w:t>Extracted key variables included:</w:t>
      </w:r>
      <w:r w:rsidRPr="00632AA9">
        <w:rPr>
          <w:rFonts w:ascii="Arial" w:eastAsia="Times New Roman" w:hAnsi="Arial" w:cs="Arial"/>
          <w:kern w:val="0"/>
          <w:lang w:eastAsia="en-GB"/>
          <w14:ligatures w14:val="none"/>
        </w:rPr>
        <w:br/>
      </w:r>
      <w:r>
        <w:rPr>
          <w:rFonts w:ascii="Arial" w:eastAsia="Times New Roman" w:hAnsi="Arial" w:cs="Arial"/>
          <w:kern w:val="0"/>
          <w:lang w:eastAsia="en-GB"/>
          <w14:ligatures w14:val="none"/>
        </w:rPr>
        <w:t xml:space="preserve">- </w:t>
      </w:r>
      <w:r w:rsidRPr="00632AA9">
        <w:rPr>
          <w:rFonts w:ascii="Arial" w:eastAsia="Times New Roman" w:hAnsi="Arial" w:cs="Arial"/>
          <w:kern w:val="0"/>
          <w:lang w:eastAsia="en-GB"/>
          <w14:ligatures w14:val="none"/>
        </w:rPr>
        <w:t>Author(s) and year of release.</w:t>
      </w:r>
      <w:r w:rsidRPr="00632AA9">
        <w:rPr>
          <w:rFonts w:ascii="Arial" w:eastAsia="Times New Roman" w:hAnsi="Arial" w:cs="Arial"/>
          <w:kern w:val="0"/>
          <w:lang w:eastAsia="en-GB"/>
          <w14:ligatures w14:val="none"/>
        </w:rPr>
        <w:br/>
      </w:r>
      <w:r>
        <w:rPr>
          <w:rFonts w:ascii="Arial" w:eastAsia="Times New Roman" w:hAnsi="Arial" w:cs="Arial"/>
          <w:kern w:val="0"/>
          <w:lang w:eastAsia="en-GB"/>
          <w14:ligatures w14:val="none"/>
        </w:rPr>
        <w:t xml:space="preserve">- </w:t>
      </w:r>
      <w:r w:rsidRPr="00632AA9">
        <w:rPr>
          <w:rFonts w:ascii="Arial" w:eastAsia="Times New Roman" w:hAnsi="Arial" w:cs="Arial"/>
          <w:kern w:val="0"/>
          <w:lang w:eastAsia="en-GB"/>
          <w14:ligatures w14:val="none"/>
        </w:rPr>
        <w:t>Research design and methodology.</w:t>
      </w:r>
      <w:r w:rsidRPr="00632AA9">
        <w:rPr>
          <w:rFonts w:ascii="Arial" w:eastAsia="Times New Roman" w:hAnsi="Arial" w:cs="Arial"/>
          <w:kern w:val="0"/>
          <w:lang w:eastAsia="en-GB"/>
          <w14:ligatures w14:val="none"/>
        </w:rPr>
        <w:br/>
      </w:r>
      <w:r>
        <w:rPr>
          <w:rFonts w:ascii="Arial" w:eastAsia="Times New Roman" w:hAnsi="Arial" w:cs="Arial"/>
          <w:kern w:val="0"/>
          <w:lang w:eastAsia="en-GB"/>
          <w14:ligatures w14:val="none"/>
        </w:rPr>
        <w:t xml:space="preserve">- </w:t>
      </w:r>
      <w:r w:rsidRPr="00632AA9">
        <w:rPr>
          <w:rFonts w:ascii="Arial" w:eastAsia="Times New Roman" w:hAnsi="Arial" w:cs="Arial"/>
          <w:kern w:val="0"/>
          <w:lang w:eastAsia="en-GB"/>
          <w14:ligatures w14:val="none"/>
        </w:rPr>
        <w:t>Characteristics of participants (age, type of dementia, sample size).</w:t>
      </w:r>
      <w:r w:rsidRPr="00632AA9">
        <w:rPr>
          <w:rFonts w:ascii="Arial" w:eastAsia="Times New Roman" w:hAnsi="Arial" w:cs="Arial"/>
          <w:kern w:val="0"/>
          <w:lang w:eastAsia="en-GB"/>
          <w14:ligatures w14:val="none"/>
        </w:rPr>
        <w:br/>
      </w:r>
      <w:r>
        <w:rPr>
          <w:rFonts w:ascii="Arial" w:eastAsia="Times New Roman" w:hAnsi="Arial" w:cs="Arial"/>
          <w:kern w:val="0"/>
          <w:lang w:eastAsia="en-GB"/>
          <w14:ligatures w14:val="none"/>
        </w:rPr>
        <w:t xml:space="preserve">- </w:t>
      </w:r>
      <w:r w:rsidRPr="00632AA9">
        <w:rPr>
          <w:rFonts w:ascii="Arial" w:eastAsia="Times New Roman" w:hAnsi="Arial" w:cs="Arial"/>
          <w:kern w:val="0"/>
          <w:lang w:eastAsia="en-GB"/>
          <w14:ligatures w14:val="none"/>
        </w:rPr>
        <w:t>Timing of diagnosis (</w:t>
      </w:r>
      <w:r w:rsidR="008D6FF9">
        <w:rPr>
          <w:rFonts w:ascii="Arial" w:eastAsia="Times New Roman" w:hAnsi="Arial" w:cs="Arial"/>
          <w:kern w:val="0"/>
          <w:lang w:eastAsia="en-GB"/>
          <w14:ligatures w14:val="none"/>
        </w:rPr>
        <w:t>early</w:t>
      </w:r>
      <w:r w:rsidRPr="00632AA9">
        <w:rPr>
          <w:rFonts w:ascii="Arial" w:eastAsia="Times New Roman" w:hAnsi="Arial" w:cs="Arial"/>
          <w:kern w:val="0"/>
          <w:lang w:eastAsia="en-GB"/>
          <w14:ligatures w14:val="none"/>
        </w:rPr>
        <w:t>/delayed).</w:t>
      </w:r>
      <w:r w:rsidRPr="00632AA9">
        <w:rPr>
          <w:rFonts w:ascii="Arial" w:eastAsia="Times New Roman" w:hAnsi="Arial" w:cs="Arial"/>
          <w:kern w:val="0"/>
          <w:lang w:eastAsia="en-GB"/>
          <w14:ligatures w14:val="none"/>
        </w:rPr>
        <w:br/>
      </w:r>
      <w:r>
        <w:rPr>
          <w:rFonts w:ascii="Arial" w:eastAsia="Times New Roman" w:hAnsi="Arial" w:cs="Arial"/>
          <w:kern w:val="0"/>
          <w:lang w:eastAsia="en-GB"/>
          <w14:ligatures w14:val="none"/>
        </w:rPr>
        <w:t xml:space="preserve">- </w:t>
      </w:r>
      <w:r w:rsidRPr="00632AA9">
        <w:rPr>
          <w:rFonts w:ascii="Arial" w:eastAsia="Times New Roman" w:hAnsi="Arial" w:cs="Arial"/>
          <w:kern w:val="0"/>
          <w:lang w:eastAsia="en-GB"/>
          <w14:ligatures w14:val="none"/>
        </w:rPr>
        <w:t>Nature of intervention or support.</w:t>
      </w:r>
      <w:r w:rsidRPr="00632AA9">
        <w:rPr>
          <w:rFonts w:ascii="Arial" w:eastAsia="Times New Roman" w:hAnsi="Arial" w:cs="Arial"/>
          <w:kern w:val="0"/>
          <w:lang w:eastAsia="en-GB"/>
          <w14:ligatures w14:val="none"/>
        </w:rPr>
        <w:br/>
      </w:r>
      <w:r>
        <w:rPr>
          <w:rFonts w:ascii="Arial" w:eastAsia="Times New Roman" w:hAnsi="Arial" w:cs="Arial"/>
          <w:kern w:val="0"/>
          <w:lang w:eastAsia="en-GB"/>
          <w14:ligatures w14:val="none"/>
        </w:rPr>
        <w:t xml:space="preserve">- </w:t>
      </w:r>
      <w:r w:rsidRPr="00632AA9">
        <w:rPr>
          <w:rFonts w:ascii="Arial" w:eastAsia="Times New Roman" w:hAnsi="Arial" w:cs="Arial"/>
          <w:kern w:val="0"/>
          <w:lang w:eastAsia="en-GB"/>
          <w14:ligatures w14:val="none"/>
        </w:rPr>
        <w:t>Mental health outcomes, such as anxiety, depression, and overall quality of life.</w:t>
      </w:r>
      <w:r w:rsidRPr="00632AA9">
        <w:rPr>
          <w:rFonts w:ascii="Arial" w:eastAsia="Times New Roman" w:hAnsi="Arial" w:cs="Arial"/>
          <w:kern w:val="0"/>
          <w:lang w:eastAsia="en-GB"/>
          <w14:ligatures w14:val="none"/>
        </w:rPr>
        <w:br/>
      </w:r>
      <w:r>
        <w:rPr>
          <w:rFonts w:ascii="Arial" w:eastAsia="Times New Roman" w:hAnsi="Arial" w:cs="Arial"/>
          <w:kern w:val="0"/>
          <w:lang w:eastAsia="en-GB"/>
          <w14:ligatures w14:val="none"/>
        </w:rPr>
        <w:t xml:space="preserve">- </w:t>
      </w:r>
      <w:r w:rsidRPr="00632AA9">
        <w:rPr>
          <w:rFonts w:ascii="Arial" w:eastAsia="Times New Roman" w:hAnsi="Arial" w:cs="Arial"/>
          <w:kern w:val="0"/>
          <w:lang w:eastAsia="en-GB"/>
          <w14:ligatures w14:val="none"/>
        </w:rPr>
        <w:t>Principal findings and conclusions.</w:t>
      </w:r>
      <w:r w:rsidRPr="00632AA9">
        <w:rPr>
          <w:rFonts w:ascii="Arial" w:eastAsia="Times New Roman" w:hAnsi="Arial" w:cs="Arial"/>
          <w:kern w:val="0"/>
          <w:lang w:eastAsia="en-GB"/>
          <w14:ligatures w14:val="none"/>
        </w:rPr>
        <w:br/>
        <w:t>This systematic approach maintained comparability among various study designs.</w:t>
      </w:r>
    </w:p>
    <w:p w14:paraId="12D314A4" w14:textId="77777777" w:rsidR="00934BA1" w:rsidRDefault="00934BA1" w:rsidP="008D6FF9">
      <w:pPr>
        <w:rPr>
          <w:lang w:eastAsia="en-GB"/>
        </w:rPr>
      </w:pPr>
    </w:p>
    <w:p w14:paraId="1E749697" w14:textId="059CAED6" w:rsidR="00934BA1" w:rsidRDefault="00934BA1" w:rsidP="00934BA1">
      <w:pPr>
        <w:pStyle w:val="Heading2"/>
        <w:numPr>
          <w:ilvl w:val="1"/>
          <w:numId w:val="10"/>
        </w:numPr>
        <w:jc w:val="left"/>
        <w:rPr>
          <w:rFonts w:ascii="Arial" w:hAnsi="Arial" w:cs="Arial"/>
          <w:lang w:eastAsia="en-GB"/>
        </w:rPr>
      </w:pPr>
      <w:bookmarkStart w:id="59" w:name="_Toc210677388"/>
      <w:r w:rsidRPr="00934BA1">
        <w:rPr>
          <w:rFonts w:ascii="Arial" w:hAnsi="Arial" w:cs="Arial"/>
          <w:lang w:eastAsia="en-GB"/>
        </w:rPr>
        <w:t>Data Analysis: Thematic Synthesis</w:t>
      </w:r>
      <w:bookmarkEnd w:id="59"/>
    </w:p>
    <w:p w14:paraId="7D12662F" w14:textId="3B0F1BA3" w:rsidR="00C63A21" w:rsidRDefault="00C63A21" w:rsidP="00C63A21">
      <w:pPr>
        <w:spacing w:after="0" w:line="360" w:lineRule="auto"/>
        <w:rPr>
          <w:rFonts w:ascii="Arial" w:eastAsia="Times New Roman" w:hAnsi="Arial" w:cs="Arial"/>
          <w:kern w:val="0"/>
          <w:lang w:eastAsia="en-GB"/>
          <w14:ligatures w14:val="none"/>
        </w:rPr>
      </w:pPr>
      <w:r w:rsidRPr="00C63A21">
        <w:rPr>
          <w:rFonts w:ascii="Arial" w:eastAsia="Times New Roman" w:hAnsi="Arial" w:cs="Arial"/>
          <w:kern w:val="0"/>
          <w:lang w:eastAsia="en-GB"/>
          <w14:ligatures w14:val="none"/>
        </w:rPr>
        <w:t xml:space="preserve">Due to the qualitative nature of the majority of the included studies, thematic synthesis was selected as the principal analytical approach. This methodology, originated by Thomas and Harden (2008), is commonly used in systematic reviews that intend to bring together results from diverse qualitative and mixed-methods studies. The topic of this research was particularly appropriate as it facilitated the examination of complex and context-sensitive matters, including mental health outcomes, emotional reactions, and coping mechanisms prior to early or late dementia diagnosis. </w:t>
      </w:r>
    </w:p>
    <w:p w14:paraId="17C1BDBC" w14:textId="77777777" w:rsidR="00482304" w:rsidRDefault="00482304" w:rsidP="00C63A21">
      <w:pPr>
        <w:spacing w:after="0" w:line="360" w:lineRule="auto"/>
        <w:rPr>
          <w:rFonts w:ascii="Arial" w:eastAsia="Times New Roman" w:hAnsi="Arial" w:cs="Arial"/>
          <w:kern w:val="0"/>
          <w:lang w:eastAsia="en-GB"/>
          <w14:ligatures w14:val="none"/>
        </w:rPr>
      </w:pPr>
    </w:p>
    <w:p w14:paraId="0C0870B5" w14:textId="77777777" w:rsidR="00482304" w:rsidRDefault="00482304" w:rsidP="00482304">
      <w:pPr>
        <w:spacing w:line="360" w:lineRule="auto"/>
        <w:rPr>
          <w:rFonts w:ascii="Arial" w:hAnsi="Arial" w:cs="Arial"/>
          <w:lang w:eastAsia="en-GB"/>
        </w:rPr>
      </w:pPr>
      <w:r w:rsidRPr="00482304">
        <w:rPr>
          <w:rFonts w:ascii="Arial" w:hAnsi="Arial" w:cs="Arial"/>
          <w:lang w:eastAsia="en-GB"/>
        </w:rPr>
        <w:t>The entire process occurred in three systematic phases.</w:t>
      </w:r>
    </w:p>
    <w:p w14:paraId="5F8E50C7" w14:textId="77777777" w:rsidR="00482304" w:rsidRDefault="00482304" w:rsidP="00482304">
      <w:pPr>
        <w:pStyle w:val="ListParagraph"/>
        <w:numPr>
          <w:ilvl w:val="0"/>
          <w:numId w:val="20"/>
        </w:numPr>
        <w:spacing w:line="360" w:lineRule="auto"/>
        <w:rPr>
          <w:rFonts w:ascii="Arial" w:hAnsi="Arial" w:cs="Arial"/>
          <w:lang w:eastAsia="en-GB"/>
        </w:rPr>
      </w:pPr>
      <w:r w:rsidRPr="00482304">
        <w:rPr>
          <w:rFonts w:ascii="Arial" w:hAnsi="Arial" w:cs="Arial"/>
          <w:lang w:eastAsia="en-GB"/>
        </w:rPr>
        <w:t>First Phase: Coding the content.</w:t>
      </w:r>
    </w:p>
    <w:p w14:paraId="2565C1DD" w14:textId="15D553A5" w:rsidR="00482304" w:rsidRDefault="00482304" w:rsidP="00482304">
      <w:pPr>
        <w:spacing w:line="360" w:lineRule="auto"/>
        <w:rPr>
          <w:rFonts w:ascii="Arial" w:hAnsi="Arial" w:cs="Arial"/>
          <w:lang w:eastAsia="en-GB"/>
        </w:rPr>
      </w:pPr>
      <w:r w:rsidRPr="00482304">
        <w:rPr>
          <w:rFonts w:ascii="Arial" w:hAnsi="Arial" w:cs="Arial"/>
          <w:lang w:eastAsia="en-GB"/>
        </w:rPr>
        <w:t xml:space="preserve">All findings’ sections from the included studies were transferred into a data management framework (Microsoft Excel) and undergone line-by-line coding. This phase included the identification of connections to mental health outcomes (e.g., anxiety, depression, or wellbeing), coping strategies employed by patients and carers, diagnostic experiences, and perceptions of support services. Each unit of interpretation was coded independently to guarantee that no significant detail was omitted. This meticulous approach ensured awareness of context and kept the coding process aligned with the participants' original language, as indicated in the studies </w:t>
      </w:r>
      <w:sdt>
        <w:sdtPr>
          <w:rPr>
            <w:lang w:eastAsia="en-GB"/>
          </w:rPr>
          <w:id w:val="-167021234"/>
          <w:citation/>
        </w:sdtPr>
        <w:sdtContent>
          <w:r w:rsidRPr="00482304">
            <w:rPr>
              <w:rFonts w:ascii="Arial" w:hAnsi="Arial" w:cs="Arial"/>
              <w:lang w:eastAsia="en-GB"/>
            </w:rPr>
            <w:fldChar w:fldCharType="begin"/>
          </w:r>
          <w:r w:rsidRPr="00482304">
            <w:rPr>
              <w:rFonts w:ascii="Arial" w:hAnsi="Arial" w:cs="Arial"/>
              <w:lang w:val="en-US" w:eastAsia="en-GB"/>
            </w:rPr>
            <w:instrText xml:space="preserve"> CITATION Lor17 \l 1033 </w:instrText>
          </w:r>
          <w:r w:rsidRPr="00482304">
            <w:rPr>
              <w:rFonts w:ascii="Arial" w:hAnsi="Arial" w:cs="Arial"/>
              <w:lang w:eastAsia="en-GB"/>
            </w:rPr>
            <w:fldChar w:fldCharType="separate"/>
          </w:r>
          <w:r w:rsidR="001E393B" w:rsidRPr="001E393B">
            <w:rPr>
              <w:rFonts w:ascii="Arial" w:hAnsi="Arial" w:cs="Arial"/>
              <w:noProof/>
              <w:lang w:val="en-US" w:eastAsia="en-GB"/>
            </w:rPr>
            <w:t>(Nowell, et al., 2017)</w:t>
          </w:r>
          <w:r w:rsidRPr="00482304">
            <w:rPr>
              <w:rFonts w:ascii="Arial" w:hAnsi="Arial" w:cs="Arial"/>
              <w:lang w:eastAsia="en-GB"/>
            </w:rPr>
            <w:fldChar w:fldCharType="end"/>
          </w:r>
        </w:sdtContent>
      </w:sdt>
      <w:r w:rsidRPr="00482304">
        <w:rPr>
          <w:rFonts w:ascii="Arial" w:hAnsi="Arial" w:cs="Arial"/>
          <w:lang w:eastAsia="en-GB"/>
        </w:rPr>
        <w:t>.</w:t>
      </w:r>
    </w:p>
    <w:p w14:paraId="4CD13433" w14:textId="77777777" w:rsidR="00280241" w:rsidRDefault="00280241" w:rsidP="00482304">
      <w:pPr>
        <w:spacing w:line="360" w:lineRule="auto"/>
        <w:rPr>
          <w:rFonts w:ascii="Arial" w:hAnsi="Arial" w:cs="Arial"/>
          <w:lang w:eastAsia="en-GB"/>
        </w:rPr>
      </w:pPr>
    </w:p>
    <w:p w14:paraId="0E8FC32C" w14:textId="77777777" w:rsidR="00280241" w:rsidRPr="00482304" w:rsidRDefault="00280241" w:rsidP="00482304">
      <w:pPr>
        <w:spacing w:line="360" w:lineRule="auto"/>
        <w:rPr>
          <w:rFonts w:ascii="Arial" w:hAnsi="Arial" w:cs="Arial"/>
          <w:lang w:eastAsia="en-GB"/>
        </w:rPr>
      </w:pPr>
    </w:p>
    <w:p w14:paraId="06EACAB0" w14:textId="77777777" w:rsidR="00482304" w:rsidRDefault="00482304" w:rsidP="00482304">
      <w:pPr>
        <w:pStyle w:val="ListParagraph"/>
        <w:numPr>
          <w:ilvl w:val="0"/>
          <w:numId w:val="20"/>
        </w:numPr>
        <w:spacing w:line="360" w:lineRule="auto"/>
        <w:rPr>
          <w:rFonts w:ascii="Arial" w:hAnsi="Arial" w:cs="Arial"/>
          <w:lang w:eastAsia="en-GB"/>
        </w:rPr>
      </w:pPr>
      <w:r w:rsidRPr="00482304">
        <w:rPr>
          <w:rFonts w:ascii="Arial" w:hAnsi="Arial" w:cs="Arial"/>
          <w:lang w:eastAsia="en-GB"/>
        </w:rPr>
        <w:lastRenderedPageBreak/>
        <w:t>Second Phase: Building Descriptive Themes</w:t>
      </w:r>
    </w:p>
    <w:p w14:paraId="075D8604" w14:textId="0200E0ED" w:rsidR="00482304" w:rsidRDefault="00482304" w:rsidP="00482304">
      <w:pPr>
        <w:spacing w:line="360" w:lineRule="auto"/>
        <w:rPr>
          <w:rFonts w:ascii="Arial" w:hAnsi="Arial" w:cs="Arial"/>
          <w:lang w:eastAsia="en-GB"/>
        </w:rPr>
      </w:pPr>
      <w:r w:rsidRPr="00482304">
        <w:rPr>
          <w:rFonts w:ascii="Arial" w:hAnsi="Arial" w:cs="Arial"/>
          <w:lang w:eastAsia="en-GB"/>
        </w:rPr>
        <w:t>The original codes were then analysed for patterns and differences prior to being categorised into more comprehensive descriptive groups. For example, codes associated with affirmative responses, such as “relief,” “validation of concerns,” and “opportunity for planning,” have been combined into a thematic category designated as relief and preparedness. In contrast, adverse feelings, such as "shock," "stigma," and "uncertainty," were categorised under a theme designated as distress from uncertainty. A</w:t>
      </w:r>
      <w:r w:rsidR="005B07FE">
        <w:rPr>
          <w:rFonts w:ascii="Arial" w:hAnsi="Arial" w:cs="Arial"/>
          <w:lang w:eastAsia="en-GB"/>
        </w:rPr>
        <w:t>nother</w:t>
      </w:r>
      <w:r w:rsidRPr="00482304">
        <w:rPr>
          <w:rFonts w:ascii="Arial" w:hAnsi="Arial" w:cs="Arial"/>
          <w:lang w:eastAsia="en-GB"/>
        </w:rPr>
        <w:t xml:space="preserve"> cluster of codes focused on carers' stories, highlighting experiences of burden, role strain, and emotional exhaustion, captured under the theme of impact on carers. The creation of these descriptive themes guaranteed that the synthesis was rigorous and true to the results of the primary studies </w:t>
      </w:r>
      <w:sdt>
        <w:sdtPr>
          <w:rPr>
            <w:rFonts w:ascii="Arial" w:hAnsi="Arial" w:cs="Arial"/>
            <w:lang w:eastAsia="en-GB"/>
          </w:rPr>
          <w:id w:val="2026211773"/>
          <w:citation/>
        </w:sdtPr>
        <w:sdtContent>
          <w:r>
            <w:rPr>
              <w:rFonts w:ascii="Arial" w:hAnsi="Arial" w:cs="Arial"/>
              <w:lang w:eastAsia="en-GB"/>
            </w:rPr>
            <w:fldChar w:fldCharType="begin"/>
          </w:r>
          <w:r>
            <w:rPr>
              <w:rFonts w:ascii="Arial" w:hAnsi="Arial" w:cs="Arial"/>
              <w:lang w:val="en-US" w:eastAsia="en-GB"/>
            </w:rPr>
            <w:instrText xml:space="preserve"> CITATION Vir19 \l 1033 </w:instrText>
          </w:r>
          <w:r>
            <w:rPr>
              <w:rFonts w:ascii="Arial" w:hAnsi="Arial" w:cs="Arial"/>
              <w:lang w:eastAsia="en-GB"/>
            </w:rPr>
            <w:fldChar w:fldCharType="separate"/>
          </w:r>
          <w:r w:rsidR="001E393B" w:rsidRPr="001E393B">
            <w:rPr>
              <w:rFonts w:ascii="Arial" w:hAnsi="Arial" w:cs="Arial"/>
              <w:noProof/>
              <w:lang w:val="en-US" w:eastAsia="en-GB"/>
            </w:rPr>
            <w:t>(Braun &amp; Clarke, 2019)</w:t>
          </w:r>
          <w:r>
            <w:rPr>
              <w:rFonts w:ascii="Arial" w:hAnsi="Arial" w:cs="Arial"/>
              <w:lang w:eastAsia="en-GB"/>
            </w:rPr>
            <w:fldChar w:fldCharType="end"/>
          </w:r>
        </w:sdtContent>
      </w:sdt>
      <w:r w:rsidRPr="00482304">
        <w:rPr>
          <w:rFonts w:ascii="Arial" w:hAnsi="Arial" w:cs="Arial"/>
          <w:lang w:eastAsia="en-GB"/>
        </w:rPr>
        <w:t>.</w:t>
      </w:r>
    </w:p>
    <w:p w14:paraId="3005EFB2" w14:textId="77777777" w:rsidR="00482304" w:rsidRPr="000705C3" w:rsidRDefault="00482304" w:rsidP="000705C3">
      <w:pPr>
        <w:pStyle w:val="ListParagraph"/>
        <w:numPr>
          <w:ilvl w:val="0"/>
          <w:numId w:val="20"/>
        </w:numPr>
        <w:spacing w:line="360" w:lineRule="auto"/>
        <w:rPr>
          <w:rFonts w:ascii="Arial" w:hAnsi="Arial" w:cs="Arial"/>
          <w:lang w:eastAsia="en-GB"/>
        </w:rPr>
      </w:pPr>
      <w:r w:rsidRPr="000705C3">
        <w:rPr>
          <w:rFonts w:ascii="Arial" w:hAnsi="Arial" w:cs="Arial"/>
          <w:lang w:eastAsia="en-GB"/>
        </w:rPr>
        <w:t>Third Phase: Establishing Analytical Themes</w:t>
      </w:r>
    </w:p>
    <w:p w14:paraId="433E1F79" w14:textId="77777777" w:rsidR="000705C3" w:rsidRDefault="000705C3" w:rsidP="000705C3">
      <w:pPr>
        <w:spacing w:after="0" w:line="360" w:lineRule="auto"/>
        <w:rPr>
          <w:rFonts w:ascii="Arial" w:eastAsia="Times New Roman" w:hAnsi="Arial" w:cs="Arial"/>
          <w:kern w:val="0"/>
          <w:lang w:eastAsia="en-GB"/>
          <w14:ligatures w14:val="none"/>
        </w:rPr>
      </w:pPr>
      <w:r w:rsidRPr="000705C3">
        <w:rPr>
          <w:rFonts w:ascii="Arial" w:eastAsia="Times New Roman" w:hAnsi="Arial" w:cs="Arial"/>
          <w:kern w:val="0"/>
          <w:lang w:eastAsia="en-GB"/>
          <w14:ligatures w14:val="none"/>
        </w:rPr>
        <w:t>Advanced themes were later formulated in order to clarify patterns, such as “early diagnosis facilitates emotional readiness” or “delayed diagnosis intensifies psychological distress.”</w:t>
      </w:r>
    </w:p>
    <w:p w14:paraId="5E32A04A" w14:textId="77777777" w:rsidR="000705C3" w:rsidRPr="000705C3" w:rsidRDefault="000705C3" w:rsidP="000705C3">
      <w:pPr>
        <w:spacing w:after="0" w:line="360" w:lineRule="auto"/>
        <w:rPr>
          <w:rFonts w:ascii="Arial" w:eastAsia="Times New Roman" w:hAnsi="Arial" w:cs="Arial"/>
          <w:kern w:val="0"/>
          <w:lang w:eastAsia="en-GB"/>
          <w14:ligatures w14:val="none"/>
        </w:rPr>
      </w:pPr>
    </w:p>
    <w:p w14:paraId="11B749E9" w14:textId="4FB00D40" w:rsidR="007A7963" w:rsidRPr="007A7963" w:rsidRDefault="000705C3" w:rsidP="007A7963">
      <w:pPr>
        <w:spacing w:line="360" w:lineRule="auto"/>
        <w:rPr>
          <w:rFonts w:ascii="Arial" w:hAnsi="Arial" w:cs="Arial"/>
          <w:lang w:eastAsia="en-GB"/>
        </w:rPr>
      </w:pPr>
      <w:r w:rsidRPr="000705C3">
        <w:rPr>
          <w:rFonts w:ascii="Arial" w:hAnsi="Arial" w:cs="Arial"/>
          <w:lang w:eastAsia="en-GB"/>
        </w:rPr>
        <w:t xml:space="preserve">The successful use of thematic synthesis has its foundation in its ability to adapt and clarity. It can integrate both qualitative and quantitative data by considering numerical results as extra evidence while highlighting emotional narratives. Moreover, its methodical approach to coding, grouping, and theme generation increases rigour and reduces the potential for researcher bias </w:t>
      </w:r>
      <w:sdt>
        <w:sdtPr>
          <w:rPr>
            <w:rFonts w:ascii="Arial" w:hAnsi="Arial" w:cs="Arial"/>
            <w:lang w:eastAsia="en-GB"/>
          </w:rPr>
          <w:id w:val="-170180627"/>
          <w:citation/>
        </w:sdtPr>
        <w:sdtContent>
          <w:r>
            <w:rPr>
              <w:rFonts w:ascii="Arial" w:hAnsi="Arial" w:cs="Arial"/>
              <w:lang w:eastAsia="en-GB"/>
            </w:rPr>
            <w:fldChar w:fldCharType="begin"/>
          </w:r>
          <w:r>
            <w:rPr>
              <w:rFonts w:ascii="Arial" w:hAnsi="Arial" w:cs="Arial"/>
              <w:lang w:val="en-US" w:eastAsia="en-GB"/>
            </w:rPr>
            <w:instrText xml:space="preserve"> CITATION Jam08 \l 1033 </w:instrText>
          </w:r>
          <w:r>
            <w:rPr>
              <w:rFonts w:ascii="Arial" w:hAnsi="Arial" w:cs="Arial"/>
              <w:lang w:eastAsia="en-GB"/>
            </w:rPr>
            <w:fldChar w:fldCharType="separate"/>
          </w:r>
          <w:r w:rsidR="001E393B" w:rsidRPr="001E393B">
            <w:rPr>
              <w:rFonts w:ascii="Arial" w:hAnsi="Arial" w:cs="Arial"/>
              <w:noProof/>
              <w:lang w:val="en-US" w:eastAsia="en-GB"/>
            </w:rPr>
            <w:t>(Harden, 2008)</w:t>
          </w:r>
          <w:r>
            <w:rPr>
              <w:rFonts w:ascii="Arial" w:hAnsi="Arial" w:cs="Arial"/>
              <w:lang w:eastAsia="en-GB"/>
            </w:rPr>
            <w:fldChar w:fldCharType="end"/>
          </w:r>
        </w:sdtContent>
      </w:sdt>
      <w:r w:rsidRPr="000705C3">
        <w:rPr>
          <w:rFonts w:ascii="Arial" w:hAnsi="Arial" w:cs="Arial"/>
          <w:lang w:eastAsia="en-GB"/>
        </w:rPr>
        <w:t>. This method allowed the review to integrate insights from studies with diverse methodologies, sample sizes, and healthcare contexts, while remaining sensitive to cultural and clinical nuances.</w:t>
      </w:r>
    </w:p>
    <w:p w14:paraId="1B3D66AA" w14:textId="3C23C74D" w:rsidR="00934BA1" w:rsidRDefault="00934BA1" w:rsidP="00934BA1">
      <w:pPr>
        <w:pStyle w:val="Heading2"/>
        <w:numPr>
          <w:ilvl w:val="1"/>
          <w:numId w:val="10"/>
        </w:numPr>
        <w:jc w:val="left"/>
        <w:rPr>
          <w:rFonts w:ascii="Arial" w:hAnsi="Arial" w:cs="Arial"/>
          <w:lang w:eastAsia="en-GB"/>
        </w:rPr>
      </w:pPr>
      <w:bookmarkStart w:id="60" w:name="_Toc210677389"/>
      <w:r w:rsidRPr="00934BA1">
        <w:rPr>
          <w:rFonts w:ascii="Arial" w:hAnsi="Arial" w:cs="Arial"/>
          <w:lang w:eastAsia="en-GB"/>
        </w:rPr>
        <w:t>Tools and Software</w:t>
      </w:r>
      <w:bookmarkEnd w:id="60"/>
    </w:p>
    <w:p w14:paraId="62A26790" w14:textId="6A01748D" w:rsidR="002B7B0C" w:rsidRPr="002B7B0C" w:rsidRDefault="002B7B0C" w:rsidP="002B7B0C">
      <w:pPr>
        <w:spacing w:after="0" w:line="360" w:lineRule="auto"/>
        <w:rPr>
          <w:rFonts w:ascii="Arial" w:eastAsia="Times New Roman" w:hAnsi="Arial" w:cs="Arial"/>
          <w:kern w:val="0"/>
          <w:lang w:eastAsia="en-GB"/>
          <w14:ligatures w14:val="none"/>
        </w:rPr>
      </w:pPr>
      <w:r w:rsidRPr="002B7B0C">
        <w:rPr>
          <w:rFonts w:ascii="Arial" w:eastAsia="Times New Roman" w:hAnsi="Arial" w:cs="Arial"/>
          <w:kern w:val="0"/>
          <w:lang w:eastAsia="en-GB"/>
          <w14:ligatures w14:val="none"/>
        </w:rPr>
        <w:t>The data management method relied on accessible, effective tools that facilitated transparency and reproducibility. Microsoft Excel was employed to extract and organise all data from the included studies</w:t>
      </w:r>
      <w:r w:rsidR="00A63B5C">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1535228371"/>
          <w:citation/>
        </w:sdtPr>
        <w:sdtContent>
          <w:r w:rsidR="00A63B5C">
            <w:rPr>
              <w:rFonts w:ascii="Arial" w:eastAsia="Times New Roman" w:hAnsi="Arial" w:cs="Arial"/>
              <w:kern w:val="0"/>
              <w:lang w:eastAsia="en-GB"/>
              <w14:ligatures w14:val="none"/>
            </w:rPr>
            <w:fldChar w:fldCharType="begin"/>
          </w:r>
          <w:r w:rsidR="00A63B5C">
            <w:rPr>
              <w:rFonts w:ascii="Arial" w:eastAsia="Times New Roman" w:hAnsi="Arial" w:cs="Arial"/>
              <w:kern w:val="0"/>
              <w:lang w:val="en-US" w:eastAsia="en-GB"/>
              <w14:ligatures w14:val="none"/>
            </w:rPr>
            <w:instrText xml:space="preserve"> CITATION Cor25 \l 1033 </w:instrText>
          </w:r>
          <w:r w:rsidR="00A63B5C">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(Corporation, 2025)</w:t>
          </w:r>
          <w:r w:rsidR="00A63B5C">
            <w:rPr>
              <w:rFonts w:ascii="Arial" w:eastAsia="Times New Roman" w:hAnsi="Arial" w:cs="Arial"/>
              <w:kern w:val="0"/>
              <w:lang w:eastAsia="en-GB"/>
              <w14:ligatures w14:val="none"/>
            </w:rPr>
            <w:fldChar w:fldCharType="end"/>
          </w:r>
        </w:sdtContent>
      </w:sdt>
      <w:r w:rsidRPr="002B7B0C">
        <w:rPr>
          <w:rFonts w:ascii="Arial" w:eastAsia="Times New Roman" w:hAnsi="Arial" w:cs="Arial"/>
          <w:kern w:val="0"/>
          <w:lang w:eastAsia="en-GB"/>
          <w14:ligatures w14:val="none"/>
        </w:rPr>
        <w:t>. This included information such as study details, participant demographics, interventions, and documented mental health outcomes. Excel facilitated coding throughout thematic synthesis by enabling the organisation of data into categories and ongoing refinement.</w:t>
      </w:r>
      <w:r w:rsidRPr="002B7B0C">
        <w:rPr>
          <w:rFonts w:ascii="Arial" w:eastAsia="Times New Roman" w:hAnsi="Arial" w:cs="Arial"/>
          <w:kern w:val="0"/>
          <w:lang w:eastAsia="en-GB"/>
          <w14:ligatures w14:val="none"/>
        </w:rPr>
        <w:br/>
      </w:r>
      <w:r w:rsidRPr="002B7B0C">
        <w:rPr>
          <w:rFonts w:ascii="Arial" w:eastAsia="Times New Roman" w:hAnsi="Arial" w:cs="Arial"/>
          <w:kern w:val="0"/>
          <w:lang w:eastAsia="en-GB"/>
          <w14:ligatures w14:val="none"/>
        </w:rPr>
        <w:br/>
        <w:t>Canva was utilised to generate the PRISMA flow diagram for visual representation of the review process</w:t>
      </w:r>
      <w:r w:rsidR="00A63B5C">
        <w:rPr>
          <w:rFonts w:ascii="Arial" w:eastAsia="Times New Roman" w:hAnsi="Arial" w:cs="Arial"/>
          <w:kern w:val="0"/>
          <w:lang w:eastAsia="en-GB"/>
          <w14:ligatures w14:val="none"/>
        </w:rPr>
        <w:t xml:space="preserve"> </w:t>
      </w:r>
      <w:sdt>
        <w:sdtPr>
          <w:rPr>
            <w:rFonts w:ascii="Arial" w:eastAsia="Times New Roman" w:hAnsi="Arial" w:cs="Arial"/>
            <w:kern w:val="0"/>
            <w:lang w:eastAsia="en-GB"/>
            <w14:ligatures w14:val="none"/>
          </w:rPr>
          <w:id w:val="-1707092502"/>
          <w:citation/>
        </w:sdtPr>
        <w:sdtContent>
          <w:r w:rsidR="00A63B5C">
            <w:rPr>
              <w:rFonts w:ascii="Arial" w:eastAsia="Times New Roman" w:hAnsi="Arial" w:cs="Arial"/>
              <w:kern w:val="0"/>
              <w:lang w:eastAsia="en-GB"/>
              <w14:ligatures w14:val="none"/>
            </w:rPr>
            <w:fldChar w:fldCharType="begin"/>
          </w:r>
          <w:r w:rsidR="00A63B5C">
            <w:rPr>
              <w:rFonts w:ascii="Arial" w:eastAsia="Times New Roman" w:hAnsi="Arial" w:cs="Arial"/>
              <w:kern w:val="0"/>
              <w:lang w:val="en-US" w:eastAsia="en-GB"/>
              <w14:ligatures w14:val="none"/>
            </w:rPr>
            <w:instrText xml:space="preserve"> CITATION Can25 \l 1033 </w:instrText>
          </w:r>
          <w:r w:rsidR="00A63B5C">
            <w:rPr>
              <w:rFonts w:ascii="Arial" w:eastAsia="Times New Roman" w:hAnsi="Arial" w:cs="Arial"/>
              <w:kern w:val="0"/>
              <w:lang w:eastAsia="en-GB"/>
              <w14:ligatures w14:val="none"/>
            </w:rPr>
            <w:fldChar w:fldCharType="separate"/>
          </w:r>
          <w:r w:rsidR="001E393B" w:rsidRPr="001E393B">
            <w:rPr>
              <w:rFonts w:ascii="Arial" w:eastAsia="Times New Roman" w:hAnsi="Arial" w:cs="Arial"/>
              <w:noProof/>
              <w:kern w:val="0"/>
              <w:lang w:val="en-US" w:eastAsia="en-GB"/>
              <w14:ligatures w14:val="none"/>
            </w:rPr>
            <w:t>(Canva, 2025)</w:t>
          </w:r>
          <w:r w:rsidR="00A63B5C">
            <w:rPr>
              <w:rFonts w:ascii="Arial" w:eastAsia="Times New Roman" w:hAnsi="Arial" w:cs="Arial"/>
              <w:kern w:val="0"/>
              <w:lang w:eastAsia="en-GB"/>
              <w14:ligatures w14:val="none"/>
            </w:rPr>
            <w:fldChar w:fldCharType="end"/>
          </w:r>
        </w:sdtContent>
      </w:sdt>
      <w:r w:rsidRPr="002B7B0C">
        <w:rPr>
          <w:rFonts w:ascii="Arial" w:eastAsia="Times New Roman" w:hAnsi="Arial" w:cs="Arial"/>
          <w:kern w:val="0"/>
          <w:lang w:eastAsia="en-GB"/>
          <w14:ligatures w14:val="none"/>
        </w:rPr>
        <w:t>. This guaranteed a clear and professional representation of study identification, screening, eligibility, and inclusion, in accordance with PRISMA 2020 guidelines.</w:t>
      </w:r>
      <w:r w:rsidRPr="002B7B0C">
        <w:rPr>
          <w:rFonts w:ascii="Arial" w:eastAsia="Times New Roman" w:hAnsi="Arial" w:cs="Arial"/>
          <w:kern w:val="0"/>
          <w:lang w:eastAsia="en-GB"/>
          <w14:ligatures w14:val="none"/>
        </w:rPr>
        <w:br/>
      </w:r>
      <w:r w:rsidRPr="002B7B0C">
        <w:rPr>
          <w:rFonts w:ascii="Arial" w:eastAsia="Times New Roman" w:hAnsi="Arial" w:cs="Arial"/>
          <w:kern w:val="0"/>
          <w:lang w:eastAsia="en-GB"/>
          <w14:ligatures w14:val="none"/>
        </w:rPr>
        <w:lastRenderedPageBreak/>
        <w:t>These tools were selected for their functionality, accessibility, and capacity to improve the presentation of results while preserving methodological rigour.</w:t>
      </w:r>
    </w:p>
    <w:p w14:paraId="6402AE9A" w14:textId="550988FA" w:rsidR="00934BA1" w:rsidRDefault="00934BA1" w:rsidP="00703381">
      <w:pPr>
        <w:pStyle w:val="Heading2"/>
        <w:numPr>
          <w:ilvl w:val="1"/>
          <w:numId w:val="10"/>
        </w:numPr>
        <w:jc w:val="left"/>
        <w:rPr>
          <w:rFonts w:ascii="Arial" w:hAnsi="Arial" w:cs="Arial"/>
          <w:lang w:eastAsia="en-GB"/>
        </w:rPr>
      </w:pPr>
      <w:bookmarkStart w:id="61" w:name="_Toc210677390"/>
      <w:r w:rsidRPr="00934BA1">
        <w:rPr>
          <w:rFonts w:ascii="Arial" w:hAnsi="Arial" w:cs="Arial"/>
          <w:lang w:eastAsia="en-GB"/>
        </w:rPr>
        <w:t>Ethical Considerations</w:t>
      </w:r>
      <w:bookmarkEnd w:id="61"/>
    </w:p>
    <w:p w14:paraId="122904AF" w14:textId="4AA556C9" w:rsidR="002A09C6" w:rsidRDefault="00CC2DCE" w:rsidP="00CC2DCE">
      <w:pPr>
        <w:spacing w:after="0" w:line="360" w:lineRule="auto"/>
        <w:rPr>
          <w:rFonts w:ascii="Arial" w:eastAsia="Times New Roman" w:hAnsi="Arial" w:cs="Arial"/>
          <w:kern w:val="0"/>
          <w:lang w:eastAsia="en-GB"/>
          <w14:ligatures w14:val="none"/>
        </w:rPr>
      </w:pPr>
      <w:r w:rsidRPr="00CC2DCE">
        <w:rPr>
          <w:rFonts w:ascii="Arial" w:eastAsia="Times New Roman" w:hAnsi="Arial" w:cs="Arial"/>
          <w:kern w:val="0"/>
          <w:lang w:eastAsia="en-GB"/>
          <w14:ligatures w14:val="none"/>
        </w:rPr>
        <w:t>This dissertation, based in a systematic literature review, did not require the recruitment of direct human participants or the collection of new primary data. However, the research was executed in strict adherence to established principles of research integrity, transparency, and responsible scholarship (British Psychological Society, 2021).</w:t>
      </w:r>
    </w:p>
    <w:p w14:paraId="147091BC" w14:textId="77777777" w:rsidR="002A09C6" w:rsidRDefault="002A09C6" w:rsidP="002A09C6">
      <w:pPr>
        <w:spacing w:after="0" w:line="360" w:lineRule="auto"/>
        <w:rPr>
          <w:rFonts w:ascii="Arial" w:eastAsia="Times New Roman" w:hAnsi="Arial" w:cs="Arial"/>
          <w:kern w:val="0"/>
          <w:lang w:eastAsia="en-GB"/>
          <w14:ligatures w14:val="none"/>
        </w:rPr>
      </w:pPr>
      <w:r w:rsidRPr="002A09C6">
        <w:rPr>
          <w:rFonts w:ascii="Arial" w:eastAsia="Times New Roman" w:hAnsi="Arial" w:cs="Arial"/>
          <w:kern w:val="0"/>
          <w:lang w:eastAsia="en-GB"/>
          <w14:ligatures w14:val="none"/>
        </w:rPr>
        <w:t>A variety of measures were implemented to guarantee ethical rigour:</w:t>
      </w:r>
    </w:p>
    <w:p w14:paraId="398D1483" w14:textId="77777777" w:rsidR="002A09C6" w:rsidRDefault="002A09C6" w:rsidP="002A09C6">
      <w:pPr>
        <w:pStyle w:val="ListParagraph"/>
        <w:numPr>
          <w:ilvl w:val="0"/>
          <w:numId w:val="22"/>
        </w:numPr>
        <w:spacing w:after="0" w:line="360" w:lineRule="auto"/>
        <w:rPr>
          <w:rFonts w:ascii="Arial" w:eastAsia="Times New Roman" w:hAnsi="Arial" w:cs="Arial"/>
          <w:kern w:val="0"/>
          <w:lang w:eastAsia="en-GB"/>
          <w14:ligatures w14:val="none"/>
        </w:rPr>
      </w:pPr>
      <w:r w:rsidRPr="002A09C6">
        <w:rPr>
          <w:rFonts w:ascii="Arial" w:eastAsia="Times New Roman" w:hAnsi="Arial" w:cs="Arial"/>
          <w:kern w:val="0"/>
          <w:lang w:eastAsia="en-GB"/>
          <w14:ligatures w14:val="none"/>
        </w:rPr>
        <w:t>Utilisation of existing literature: Only peer-reviewed and publicly accessible studies were incorporated, guaranteeing that no confidential or unpublished data were utilised.</w:t>
      </w:r>
    </w:p>
    <w:p w14:paraId="73383AC6" w14:textId="77777777" w:rsidR="002A09C6" w:rsidRDefault="002A09C6" w:rsidP="002A09C6">
      <w:pPr>
        <w:pStyle w:val="ListParagraph"/>
        <w:numPr>
          <w:ilvl w:val="0"/>
          <w:numId w:val="22"/>
        </w:numPr>
        <w:spacing w:after="0" w:line="360" w:lineRule="auto"/>
        <w:rPr>
          <w:rFonts w:ascii="Arial" w:eastAsia="Times New Roman" w:hAnsi="Arial" w:cs="Arial"/>
          <w:kern w:val="0"/>
          <w:lang w:eastAsia="en-GB"/>
          <w14:ligatures w14:val="none"/>
        </w:rPr>
      </w:pPr>
      <w:r w:rsidRPr="002A09C6">
        <w:rPr>
          <w:rFonts w:ascii="Arial" w:eastAsia="Times New Roman" w:hAnsi="Arial" w:cs="Arial"/>
          <w:kern w:val="0"/>
          <w:lang w:eastAsia="en-GB"/>
          <w14:ligatures w14:val="none"/>
        </w:rPr>
        <w:t>Attribution and referencing: The intellectual contributions of original authors were appropriately recognised through precise Harvard-style referencing, thereby maintaining academic integrity and avoiding plagiarism.</w:t>
      </w:r>
    </w:p>
    <w:p w14:paraId="664A7AAE" w14:textId="77777777" w:rsidR="002A09C6" w:rsidRDefault="002A09C6" w:rsidP="002A09C6">
      <w:pPr>
        <w:pStyle w:val="ListParagraph"/>
        <w:numPr>
          <w:ilvl w:val="0"/>
          <w:numId w:val="22"/>
        </w:numPr>
        <w:spacing w:after="0" w:line="360" w:lineRule="auto"/>
        <w:rPr>
          <w:rFonts w:ascii="Arial" w:eastAsia="Times New Roman" w:hAnsi="Arial" w:cs="Arial"/>
          <w:kern w:val="0"/>
          <w:lang w:eastAsia="en-GB"/>
          <w14:ligatures w14:val="none"/>
        </w:rPr>
      </w:pPr>
      <w:r w:rsidRPr="002A09C6">
        <w:rPr>
          <w:rFonts w:ascii="Arial" w:eastAsia="Times New Roman" w:hAnsi="Arial" w:cs="Arial"/>
          <w:kern w:val="0"/>
          <w:lang w:eastAsia="en-GB"/>
          <w14:ligatures w14:val="none"/>
        </w:rPr>
        <w:t>Awareness of reporting bias: Potential biases in the included studies, including selective outcome reporting and under-representation of minority groups, were acknowledged during the critical appraisal process.</w:t>
      </w:r>
    </w:p>
    <w:p w14:paraId="6F9B1DC3" w14:textId="2317E21F" w:rsidR="002A09C6" w:rsidRDefault="002A09C6" w:rsidP="002A09C6">
      <w:pPr>
        <w:pStyle w:val="ListParagraph"/>
        <w:numPr>
          <w:ilvl w:val="0"/>
          <w:numId w:val="22"/>
        </w:numPr>
        <w:spacing w:after="0" w:line="360" w:lineRule="auto"/>
        <w:rPr>
          <w:rFonts w:ascii="Arial" w:eastAsia="Times New Roman" w:hAnsi="Arial" w:cs="Arial"/>
          <w:kern w:val="0"/>
          <w:lang w:eastAsia="en-GB"/>
          <w14:ligatures w14:val="none"/>
        </w:rPr>
      </w:pPr>
      <w:r w:rsidRPr="002A09C6">
        <w:rPr>
          <w:rFonts w:ascii="Arial" w:eastAsia="Times New Roman" w:hAnsi="Arial" w:cs="Arial"/>
          <w:kern w:val="0"/>
          <w:lang w:eastAsia="en-GB"/>
          <w14:ligatures w14:val="none"/>
        </w:rPr>
        <w:t>Institutional compliance: While systematic reviews generally do not necessitate comprehensive institutional ethical approval given to the secondary nature of the data, the study complied to the research integrity standards of the University of Wales Trinity Saint David.</w:t>
      </w:r>
    </w:p>
    <w:p w14:paraId="6F6101AF" w14:textId="77777777" w:rsidR="00967000" w:rsidRPr="00967000" w:rsidRDefault="00967000" w:rsidP="00967000">
      <w:pPr>
        <w:spacing w:after="0" w:line="360" w:lineRule="auto"/>
        <w:rPr>
          <w:rFonts w:ascii="Arial" w:eastAsia="Times New Roman" w:hAnsi="Arial" w:cs="Arial"/>
          <w:kern w:val="0"/>
          <w:lang w:eastAsia="en-GB"/>
          <w14:ligatures w14:val="none"/>
        </w:rPr>
      </w:pPr>
      <w:r w:rsidRPr="00967000">
        <w:rPr>
          <w:rFonts w:ascii="Arial" w:eastAsia="Times New Roman" w:hAnsi="Arial" w:cs="Arial"/>
          <w:kern w:val="0"/>
          <w:lang w:eastAsia="en-GB"/>
          <w14:ligatures w14:val="none"/>
        </w:rPr>
        <w:t>The Ethics PG2 Application for Ethical Approval was submitted through Moodle in accordance with university requirements. Approval for this dissertation project has been granted on April 29, 2025. This step strengthened institutional oversight and verified that the project adhered to ethical standards, despite the absence of direct human participation.</w:t>
      </w:r>
    </w:p>
    <w:p w14:paraId="58426393" w14:textId="77777777" w:rsidR="00CC2DCE" w:rsidRPr="00CC2DCE" w:rsidRDefault="00CC2DCE" w:rsidP="00CC2DCE">
      <w:pPr>
        <w:rPr>
          <w:lang w:eastAsia="en-GB"/>
        </w:rPr>
      </w:pPr>
    </w:p>
    <w:p w14:paraId="2AFAAF47" w14:textId="259218B4" w:rsidR="00934BA1" w:rsidRDefault="004654B8" w:rsidP="00934BA1">
      <w:pPr>
        <w:pStyle w:val="Heading2"/>
        <w:numPr>
          <w:ilvl w:val="1"/>
          <w:numId w:val="10"/>
        </w:numPr>
        <w:jc w:val="left"/>
        <w:rPr>
          <w:rFonts w:ascii="Arial" w:hAnsi="Arial" w:cs="Arial"/>
          <w:lang w:eastAsia="en-GB"/>
        </w:rPr>
      </w:pPr>
      <w:bookmarkStart w:id="62" w:name="_Toc210677391"/>
      <w:r w:rsidRPr="004654B8">
        <w:rPr>
          <w:rFonts w:ascii="Arial" w:hAnsi="Arial" w:cs="Arial"/>
          <w:lang w:eastAsia="en-GB"/>
        </w:rPr>
        <w:t>Methodological Strengths and Limitations</w:t>
      </w:r>
      <w:bookmarkEnd w:id="62"/>
    </w:p>
    <w:p w14:paraId="25DE9C31" w14:textId="77777777" w:rsidR="008F0F26" w:rsidRDefault="008F0F26" w:rsidP="008F0F26">
      <w:pPr>
        <w:spacing w:after="0" w:line="360" w:lineRule="auto"/>
        <w:rPr>
          <w:rFonts w:ascii="Arial" w:eastAsia="Times New Roman" w:hAnsi="Arial" w:cs="Arial"/>
          <w:kern w:val="0"/>
          <w:lang w:eastAsia="en-GB"/>
          <w14:ligatures w14:val="none"/>
        </w:rPr>
      </w:pPr>
      <w:r w:rsidRPr="008F0F26">
        <w:rPr>
          <w:rFonts w:ascii="Arial" w:eastAsia="Times New Roman" w:hAnsi="Arial" w:cs="Arial"/>
          <w:kern w:val="0"/>
          <w:lang w:eastAsia="en-GB"/>
          <w14:ligatures w14:val="none"/>
        </w:rPr>
        <w:t>An evaluation of the methodology underscores both the strength of the selected approach and its intrinsic limitations.</w:t>
      </w:r>
    </w:p>
    <w:p w14:paraId="1EACD4D7" w14:textId="77777777" w:rsidR="008F0F26" w:rsidRDefault="008F0F26" w:rsidP="00A50432">
      <w:pPr>
        <w:spacing w:after="0" w:line="360" w:lineRule="auto"/>
        <w:rPr>
          <w:rFonts w:ascii="Arial" w:eastAsia="Times New Roman" w:hAnsi="Arial" w:cs="Arial"/>
          <w:kern w:val="0"/>
          <w:lang w:eastAsia="en-GB"/>
          <w14:ligatures w14:val="none"/>
        </w:rPr>
      </w:pPr>
    </w:p>
    <w:p w14:paraId="3CCEB1D9" w14:textId="143F1714" w:rsidR="008F0F26" w:rsidRDefault="00703381" w:rsidP="00A50432">
      <w:pPr>
        <w:pStyle w:val="Heading3"/>
        <w:spacing w:line="360" w:lineRule="auto"/>
        <w:rPr>
          <w:rFonts w:ascii="Arial" w:hAnsi="Arial" w:cs="Arial"/>
          <w:u w:val="none"/>
          <w:lang w:eastAsia="en-GB"/>
        </w:rPr>
      </w:pPr>
      <w:bookmarkStart w:id="63" w:name="_Toc210677392"/>
      <w:r>
        <w:rPr>
          <w:rFonts w:ascii="Arial" w:hAnsi="Arial" w:cs="Arial"/>
          <w:u w:val="none"/>
          <w:lang w:eastAsia="en-GB"/>
        </w:rPr>
        <w:t xml:space="preserve">3.11.1 </w:t>
      </w:r>
      <w:r w:rsidR="008F0F26" w:rsidRPr="008F0F26">
        <w:rPr>
          <w:rFonts w:ascii="Arial" w:hAnsi="Arial" w:cs="Arial"/>
          <w:u w:val="none"/>
          <w:lang w:eastAsia="en-GB"/>
        </w:rPr>
        <w:t>Strengths</w:t>
      </w:r>
      <w:bookmarkEnd w:id="63"/>
    </w:p>
    <w:p w14:paraId="65D8696C" w14:textId="3FFCC558" w:rsidR="008F0F26" w:rsidRDefault="008F0F26" w:rsidP="008F0F26">
      <w:pPr>
        <w:spacing w:line="360" w:lineRule="auto"/>
        <w:rPr>
          <w:rFonts w:ascii="Arial" w:hAnsi="Arial" w:cs="Arial"/>
          <w:lang w:eastAsia="en-GB"/>
        </w:rPr>
      </w:pPr>
      <w:r w:rsidRPr="008F0F26">
        <w:rPr>
          <w:rFonts w:ascii="Arial" w:hAnsi="Arial" w:cs="Arial"/>
          <w:lang w:eastAsia="en-GB"/>
        </w:rPr>
        <w:t xml:space="preserve">- The implementation of the PRISMA 2020 framework </w:t>
      </w:r>
      <w:sdt>
        <w:sdtPr>
          <w:rPr>
            <w:rFonts w:ascii="Arial" w:hAnsi="Arial" w:cs="Arial"/>
            <w:lang w:eastAsia="en-GB"/>
          </w:rPr>
          <w:id w:val="-1263139315"/>
          <w:citation/>
        </w:sdtPr>
        <w:sdtContent>
          <w:r>
            <w:rPr>
              <w:rFonts w:ascii="Arial" w:hAnsi="Arial" w:cs="Arial"/>
              <w:lang w:eastAsia="en-GB"/>
            </w:rPr>
            <w:fldChar w:fldCharType="begin"/>
          </w:r>
          <w:r>
            <w:rPr>
              <w:rFonts w:ascii="Arial" w:hAnsi="Arial" w:cs="Arial"/>
              <w:lang w:val="en-US" w:eastAsia="en-GB"/>
            </w:rPr>
            <w:instrText xml:space="preserve"> CITATION Mat21 \l 1033 </w:instrText>
          </w:r>
          <w:r>
            <w:rPr>
              <w:rFonts w:ascii="Arial" w:hAnsi="Arial" w:cs="Arial"/>
              <w:lang w:eastAsia="en-GB"/>
            </w:rPr>
            <w:fldChar w:fldCharType="separate"/>
          </w:r>
          <w:r w:rsidR="001E393B" w:rsidRPr="001E393B">
            <w:rPr>
              <w:rFonts w:ascii="Arial" w:hAnsi="Arial" w:cs="Arial"/>
              <w:noProof/>
              <w:lang w:val="en-US" w:eastAsia="en-GB"/>
            </w:rPr>
            <w:t>(Page, et al., 2021)</w:t>
          </w:r>
          <w:r>
            <w:rPr>
              <w:rFonts w:ascii="Arial" w:hAnsi="Arial" w:cs="Arial"/>
              <w:lang w:eastAsia="en-GB"/>
            </w:rPr>
            <w:fldChar w:fldCharType="end"/>
          </w:r>
        </w:sdtContent>
      </w:sdt>
      <w:r w:rsidRPr="008F0F26">
        <w:rPr>
          <w:rFonts w:ascii="Arial" w:hAnsi="Arial" w:cs="Arial"/>
          <w:lang w:eastAsia="en-GB"/>
        </w:rPr>
        <w:t xml:space="preserve"> established a systematic approach for literature identification, screening, eligibility evaluation, and inclusion. This strengthened the transparency, reproducibility, and rigour of the review, facilitating future researchers in recreating or expanding upon the methodology.</w:t>
      </w:r>
    </w:p>
    <w:p w14:paraId="4D7C7480" w14:textId="1DA9FBFB" w:rsidR="008F0F26" w:rsidRDefault="008F0F26" w:rsidP="008F0F26">
      <w:pPr>
        <w:spacing w:line="360" w:lineRule="auto"/>
        <w:rPr>
          <w:rFonts w:ascii="Arial" w:hAnsi="Arial" w:cs="Arial"/>
          <w:lang w:eastAsia="en-GB"/>
        </w:rPr>
      </w:pPr>
      <w:r>
        <w:rPr>
          <w:rFonts w:ascii="Arial" w:hAnsi="Arial" w:cs="Arial"/>
          <w:lang w:eastAsia="en-GB"/>
        </w:rPr>
        <w:lastRenderedPageBreak/>
        <w:t xml:space="preserve">- </w:t>
      </w:r>
      <w:r w:rsidRPr="008F0F26">
        <w:rPr>
          <w:rFonts w:ascii="Arial" w:hAnsi="Arial" w:cs="Arial"/>
          <w:lang w:eastAsia="en-GB"/>
        </w:rPr>
        <w:t xml:space="preserve">The review enhanced the credibility of findings by incorporating diverse study types, including qualitative, quantitative, and mixed-methods studies, thereby achieving triangulation of evidence </w:t>
      </w:r>
      <w:sdt>
        <w:sdtPr>
          <w:rPr>
            <w:rFonts w:ascii="Arial" w:hAnsi="Arial" w:cs="Arial"/>
            <w:lang w:eastAsia="en-GB"/>
          </w:rPr>
          <w:id w:val="2009005416"/>
          <w:citation/>
        </w:sdtPr>
        <w:sdtContent>
          <w:r>
            <w:rPr>
              <w:rFonts w:ascii="Arial" w:hAnsi="Arial" w:cs="Arial"/>
              <w:lang w:eastAsia="en-GB"/>
            </w:rPr>
            <w:fldChar w:fldCharType="begin"/>
          </w:r>
          <w:r>
            <w:rPr>
              <w:rFonts w:ascii="Arial" w:hAnsi="Arial" w:cs="Arial"/>
              <w:lang w:val="en-US" w:eastAsia="en-GB"/>
            </w:rPr>
            <w:instrText xml:space="preserve"> CITATION Mic15 \l 1033 </w:instrText>
          </w:r>
          <w:r>
            <w:rPr>
              <w:rFonts w:ascii="Arial" w:hAnsi="Arial" w:cs="Arial"/>
              <w:lang w:eastAsia="en-GB"/>
            </w:rPr>
            <w:fldChar w:fldCharType="separate"/>
          </w:r>
          <w:r w:rsidR="001E393B" w:rsidRPr="001E393B">
            <w:rPr>
              <w:rFonts w:ascii="Arial" w:hAnsi="Arial" w:cs="Arial"/>
              <w:noProof/>
              <w:lang w:val="en-US" w:eastAsia="en-GB"/>
            </w:rPr>
            <w:t>(Fetters &amp; Freshwater, 2015)</w:t>
          </w:r>
          <w:r>
            <w:rPr>
              <w:rFonts w:ascii="Arial" w:hAnsi="Arial" w:cs="Arial"/>
              <w:lang w:eastAsia="en-GB"/>
            </w:rPr>
            <w:fldChar w:fldCharType="end"/>
          </w:r>
        </w:sdtContent>
      </w:sdt>
      <w:r w:rsidRPr="008F0F26">
        <w:rPr>
          <w:rFonts w:ascii="Arial" w:hAnsi="Arial" w:cs="Arial"/>
          <w:lang w:eastAsia="en-GB"/>
        </w:rPr>
        <w:t>. This diversity facilitated the examination of both statistical results and personal experiences, therefore offering a more thorough comprehension of the impact of diagnostic timing on mental health outcomes.</w:t>
      </w:r>
    </w:p>
    <w:p w14:paraId="0496C73E" w14:textId="6826013D" w:rsidR="008F0F26" w:rsidRDefault="008F0F26" w:rsidP="008F0F26">
      <w:pPr>
        <w:spacing w:line="360" w:lineRule="auto"/>
        <w:rPr>
          <w:rFonts w:ascii="Arial" w:hAnsi="Arial" w:cs="Arial"/>
          <w:lang w:eastAsia="en-GB"/>
        </w:rPr>
      </w:pPr>
      <w:r>
        <w:rPr>
          <w:rFonts w:ascii="Arial" w:hAnsi="Arial" w:cs="Arial"/>
          <w:lang w:eastAsia="en-GB"/>
        </w:rPr>
        <w:t xml:space="preserve">- </w:t>
      </w:r>
      <w:r w:rsidRPr="008F0F26">
        <w:rPr>
          <w:rFonts w:ascii="Arial" w:hAnsi="Arial" w:cs="Arial"/>
          <w:lang w:eastAsia="en-GB"/>
        </w:rPr>
        <w:t>The thematic synthesis approach, as outlined by Harden</w:t>
      </w:r>
      <w:r>
        <w:rPr>
          <w:rFonts w:ascii="Arial" w:hAnsi="Arial" w:cs="Arial"/>
          <w:lang w:eastAsia="en-GB"/>
        </w:rPr>
        <w:t xml:space="preserve"> and Thomas</w:t>
      </w:r>
      <w:r w:rsidRPr="008F0F26">
        <w:rPr>
          <w:rFonts w:ascii="Arial" w:hAnsi="Arial" w:cs="Arial"/>
          <w:lang w:eastAsia="en-GB"/>
        </w:rPr>
        <w:t xml:space="preserve"> (2008), facilitated the integration of diverse findings into consistent descriptive as well as analytical themes. This approach addressed detailed emotional, psychological, and social experiences frequently neglected in purely quantitative meta-analyses. It also facilitated an interpretative appreciation of both patient and carer viewpoints.</w:t>
      </w:r>
    </w:p>
    <w:p w14:paraId="55E0CC79" w14:textId="77777777" w:rsidR="00A50432" w:rsidRPr="00A50432" w:rsidRDefault="00A50432" w:rsidP="00A50432">
      <w:pPr>
        <w:spacing w:line="360" w:lineRule="auto"/>
        <w:rPr>
          <w:rFonts w:ascii="Arial" w:hAnsi="Arial" w:cs="Arial"/>
          <w:lang w:eastAsia="en-GB"/>
        </w:rPr>
      </w:pPr>
      <w:r>
        <w:rPr>
          <w:rFonts w:ascii="Arial" w:hAnsi="Arial" w:cs="Arial"/>
          <w:lang w:eastAsia="en-GB"/>
        </w:rPr>
        <w:t xml:space="preserve">- </w:t>
      </w:r>
      <w:r w:rsidRPr="00A50432">
        <w:rPr>
          <w:rFonts w:ascii="Arial" w:hAnsi="Arial" w:cs="Arial"/>
          <w:lang w:eastAsia="en-GB"/>
        </w:rPr>
        <w:t>The focus on UK healthcare contexts increased the practical relevance of the findings to NHS dementia services and policy frameworks. This guaranteed that the results were both academically rigorous and clinically as well as socially significant.</w:t>
      </w:r>
    </w:p>
    <w:p w14:paraId="385A65F3" w14:textId="02D0D3A6" w:rsidR="00A50432" w:rsidRDefault="00703381" w:rsidP="00A50432">
      <w:pPr>
        <w:pStyle w:val="Heading3"/>
        <w:spacing w:line="360" w:lineRule="auto"/>
        <w:rPr>
          <w:rFonts w:ascii="Arial" w:hAnsi="Arial" w:cs="Arial"/>
          <w:u w:val="none"/>
          <w:lang w:eastAsia="en-GB"/>
        </w:rPr>
      </w:pPr>
      <w:bookmarkStart w:id="64" w:name="_Toc210677393"/>
      <w:r>
        <w:rPr>
          <w:rFonts w:ascii="Arial" w:hAnsi="Arial" w:cs="Arial"/>
          <w:u w:val="none"/>
          <w:lang w:eastAsia="en-GB"/>
        </w:rPr>
        <w:t xml:space="preserve">3.11.2 </w:t>
      </w:r>
      <w:r w:rsidR="00A50432" w:rsidRPr="00A50432">
        <w:rPr>
          <w:rFonts w:ascii="Arial" w:hAnsi="Arial" w:cs="Arial"/>
          <w:u w:val="none"/>
          <w:lang w:eastAsia="en-GB"/>
        </w:rPr>
        <w:t>Limitations</w:t>
      </w:r>
      <w:bookmarkEnd w:id="64"/>
    </w:p>
    <w:p w14:paraId="145C92EA" w14:textId="1FEA250E" w:rsidR="00A50432" w:rsidRDefault="00A50432" w:rsidP="00A50432">
      <w:pPr>
        <w:spacing w:line="360" w:lineRule="auto"/>
        <w:rPr>
          <w:rFonts w:ascii="Arial" w:hAnsi="Arial" w:cs="Arial"/>
          <w:lang w:eastAsia="en-GB"/>
        </w:rPr>
      </w:pPr>
      <w:r w:rsidRPr="00A50432">
        <w:rPr>
          <w:rFonts w:ascii="Arial" w:hAnsi="Arial" w:cs="Arial"/>
          <w:lang w:eastAsia="en-GB"/>
        </w:rPr>
        <w:t xml:space="preserve">- Language constraints: Limiting the review to English-language studies poses a risk of language bias, potentially omitting high-quality evidence published in alternative languages </w:t>
      </w:r>
      <w:sdt>
        <w:sdtPr>
          <w:rPr>
            <w:rFonts w:ascii="Arial" w:hAnsi="Arial" w:cs="Arial"/>
            <w:lang w:eastAsia="en-GB"/>
          </w:rPr>
          <w:id w:val="1292480815"/>
          <w:citation/>
        </w:sdtPr>
        <w:sdtContent>
          <w:r>
            <w:rPr>
              <w:rFonts w:ascii="Arial" w:hAnsi="Arial" w:cs="Arial"/>
              <w:lang w:eastAsia="en-GB"/>
            </w:rPr>
            <w:fldChar w:fldCharType="begin"/>
          </w:r>
          <w:r>
            <w:rPr>
              <w:rFonts w:ascii="Arial" w:hAnsi="Arial" w:cs="Arial"/>
              <w:lang w:val="en-US" w:eastAsia="en-GB"/>
            </w:rPr>
            <w:instrText xml:space="preserve"> CITATION And12 \l 1033 </w:instrText>
          </w:r>
          <w:r>
            <w:rPr>
              <w:rFonts w:ascii="Arial" w:hAnsi="Arial" w:cs="Arial"/>
              <w:lang w:eastAsia="en-GB"/>
            </w:rPr>
            <w:fldChar w:fldCharType="separate"/>
          </w:r>
          <w:r w:rsidR="001E393B" w:rsidRPr="001E393B">
            <w:rPr>
              <w:rFonts w:ascii="Arial" w:hAnsi="Arial" w:cs="Arial"/>
              <w:noProof/>
              <w:lang w:val="en-US" w:eastAsia="en-GB"/>
            </w:rPr>
            <w:t>(Morrison, et al., 2012)</w:t>
          </w:r>
          <w:r>
            <w:rPr>
              <w:rFonts w:ascii="Arial" w:hAnsi="Arial" w:cs="Arial"/>
              <w:lang w:eastAsia="en-GB"/>
            </w:rPr>
            <w:fldChar w:fldCharType="end"/>
          </w:r>
        </w:sdtContent>
      </w:sdt>
      <w:r w:rsidRPr="00A50432">
        <w:rPr>
          <w:rFonts w:ascii="Arial" w:hAnsi="Arial" w:cs="Arial"/>
          <w:lang w:eastAsia="en-GB"/>
        </w:rPr>
        <w:t>. This may have limited the cultural scope of findings, especially concerning diverse dementia care situations.</w:t>
      </w:r>
    </w:p>
    <w:p w14:paraId="661AB6C6" w14:textId="77777777" w:rsidR="00A50432" w:rsidRPr="00A50432" w:rsidRDefault="00A50432" w:rsidP="00A50432">
      <w:pPr>
        <w:spacing w:line="360" w:lineRule="auto"/>
        <w:rPr>
          <w:rFonts w:ascii="Arial" w:hAnsi="Arial" w:cs="Arial"/>
          <w:lang w:eastAsia="en-GB"/>
        </w:rPr>
      </w:pPr>
      <w:r>
        <w:rPr>
          <w:rFonts w:ascii="Arial" w:hAnsi="Arial" w:cs="Arial"/>
          <w:lang w:eastAsia="en-GB"/>
        </w:rPr>
        <w:t xml:space="preserve">- </w:t>
      </w:r>
      <w:r w:rsidRPr="00A50432">
        <w:rPr>
          <w:rFonts w:ascii="Arial" w:hAnsi="Arial" w:cs="Arial"/>
          <w:lang w:eastAsia="en-GB"/>
        </w:rPr>
        <w:t>The study relied on secondary data, utilising previously published research and interpretations instead of gathering primary data. This constrained the capacity to account for methodological discrepancies among studies, resulting in findings being fundamentally influenced by the quality of the existing literature.</w:t>
      </w:r>
    </w:p>
    <w:p w14:paraId="62E7F1FD" w14:textId="1B5800B5" w:rsidR="001009A8" w:rsidRDefault="001009A8" w:rsidP="001009A8">
      <w:pPr>
        <w:spacing w:line="360" w:lineRule="auto"/>
        <w:rPr>
          <w:rFonts w:ascii="Arial" w:hAnsi="Arial" w:cs="Arial"/>
          <w:lang w:eastAsia="en-GB"/>
        </w:rPr>
      </w:pPr>
      <w:r>
        <w:rPr>
          <w:rFonts w:ascii="Arial" w:hAnsi="Arial" w:cs="Arial"/>
          <w:lang w:eastAsia="en-GB"/>
        </w:rPr>
        <w:t xml:space="preserve">- </w:t>
      </w:r>
      <w:r w:rsidRPr="001009A8">
        <w:rPr>
          <w:rFonts w:ascii="Arial" w:hAnsi="Arial" w:cs="Arial"/>
          <w:lang w:eastAsia="en-GB"/>
        </w:rPr>
        <w:t xml:space="preserve">Inconsistency in definitions of "early" diagnosis: The studies reviewed lacked a standardised definition of what qualifies as </w:t>
      </w:r>
      <w:proofErr w:type="gramStart"/>
      <w:r w:rsidRPr="001009A8">
        <w:rPr>
          <w:rFonts w:ascii="Arial" w:hAnsi="Arial" w:cs="Arial"/>
          <w:lang w:eastAsia="en-GB"/>
        </w:rPr>
        <w:t>a</w:t>
      </w:r>
      <w:proofErr w:type="gramEnd"/>
      <w:r w:rsidRPr="001009A8">
        <w:rPr>
          <w:rFonts w:ascii="Arial" w:hAnsi="Arial" w:cs="Arial"/>
          <w:lang w:eastAsia="en-GB"/>
        </w:rPr>
        <w:t xml:space="preserve"> "early" or "timely" diagnosis. Certain studies categorised it according to symptom onset, whereas others employed clinical staging or healthcare access criteria. This variability constrained the capacity for straightforward comparison and summary of findings across studies.</w:t>
      </w:r>
    </w:p>
    <w:p w14:paraId="112993E8" w14:textId="77777777" w:rsidR="001009A8" w:rsidRPr="001009A8" w:rsidRDefault="001009A8" w:rsidP="001009A8">
      <w:pPr>
        <w:spacing w:line="360" w:lineRule="auto"/>
        <w:rPr>
          <w:rFonts w:ascii="Arial" w:hAnsi="Arial" w:cs="Arial"/>
          <w:lang w:eastAsia="en-GB"/>
        </w:rPr>
      </w:pPr>
      <w:r>
        <w:rPr>
          <w:rFonts w:ascii="Arial" w:hAnsi="Arial" w:cs="Arial"/>
          <w:lang w:eastAsia="en-GB"/>
        </w:rPr>
        <w:t xml:space="preserve">- </w:t>
      </w:r>
      <w:r w:rsidRPr="001009A8">
        <w:rPr>
          <w:rFonts w:ascii="Arial" w:hAnsi="Arial" w:cs="Arial"/>
          <w:lang w:eastAsia="en-GB"/>
        </w:rPr>
        <w:t>The review's focus on UK-based studies for relevance restricted the opportunity to examine international viewpoints on early diagnosis and its mental health impacts. Therefore, the results are significantly contextualised within the UK healthcare system and may not be completely applicable to other settings.</w:t>
      </w:r>
    </w:p>
    <w:p w14:paraId="6FD10A6B" w14:textId="10CE80EA" w:rsidR="00BE12B5" w:rsidRPr="007C7C1C" w:rsidRDefault="001009A8" w:rsidP="007C7C1C">
      <w:pPr>
        <w:spacing w:line="360" w:lineRule="auto"/>
        <w:rPr>
          <w:rFonts w:ascii="Arial" w:hAnsi="Arial" w:cs="Arial"/>
          <w:lang w:eastAsia="en-GB"/>
        </w:rPr>
      </w:pPr>
      <w:r w:rsidRPr="001009A8">
        <w:rPr>
          <w:rFonts w:ascii="Arial" w:hAnsi="Arial" w:cs="Arial"/>
          <w:lang w:eastAsia="en-GB"/>
        </w:rPr>
        <w:t xml:space="preserve">Considering these limitations, the methodology was appropriately aligned with the research objectives. The PRISMA framework provided systematic rigour, while thematic synthesis </w:t>
      </w:r>
      <w:r w:rsidRPr="001009A8">
        <w:rPr>
          <w:rFonts w:ascii="Arial" w:hAnsi="Arial" w:cs="Arial"/>
          <w:lang w:eastAsia="en-GB"/>
        </w:rPr>
        <w:lastRenderedPageBreak/>
        <w:t>facilitated a comprehensive examination of the impact of diagnostic timing on mental health outcomes in dementia care. The methodological strengths surpassed the limitations, leaving the findings both trustworthy and relevant to the field.</w:t>
      </w:r>
    </w:p>
    <w:p w14:paraId="5A3840DB" w14:textId="77777777" w:rsidR="00BE12B5" w:rsidRPr="00BE12B5" w:rsidRDefault="00BE12B5" w:rsidP="00BE12B5"/>
    <w:p w14:paraId="1DC68205" w14:textId="4D5046EF" w:rsidR="009F64C5" w:rsidRPr="007F1C8A" w:rsidRDefault="00DD7AA5">
      <w:pPr>
        <w:pStyle w:val="Heading1"/>
        <w:ind w:left="12" w:right="1"/>
        <w:rPr>
          <w:rFonts w:asciiTheme="minorBidi" w:hAnsiTheme="minorBidi" w:cstheme="minorBidi"/>
        </w:rPr>
      </w:pPr>
      <w:bookmarkStart w:id="65" w:name="_Toc210677394"/>
      <w:r w:rsidRPr="007F1C8A">
        <w:rPr>
          <w:rFonts w:asciiTheme="minorBidi" w:hAnsiTheme="minorBidi" w:cstheme="minorBidi"/>
        </w:rPr>
        <w:t xml:space="preserve">Chapter 4: </w:t>
      </w:r>
      <w:r w:rsidR="009F64C5" w:rsidRPr="007F1C8A">
        <w:rPr>
          <w:rFonts w:asciiTheme="minorBidi" w:hAnsiTheme="minorBidi" w:cstheme="minorBidi"/>
        </w:rPr>
        <w:t>Results</w:t>
      </w:r>
      <w:bookmarkEnd w:id="65"/>
      <w:r w:rsidR="009F64C5" w:rsidRPr="007F1C8A">
        <w:rPr>
          <w:rFonts w:asciiTheme="minorBidi" w:hAnsiTheme="minorBidi" w:cstheme="minorBidi"/>
        </w:rPr>
        <w:t xml:space="preserve"> </w:t>
      </w:r>
      <w:bookmarkEnd w:id="44"/>
      <w:r w:rsidR="00765471">
        <w:rPr>
          <w:rFonts w:asciiTheme="minorBidi" w:hAnsiTheme="minorBidi" w:cstheme="minorBidi"/>
        </w:rPr>
        <w:t xml:space="preserve"> </w:t>
      </w:r>
    </w:p>
    <w:p w14:paraId="6376B95B"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42264A21" w14:textId="07B4EB71" w:rsidR="008A67EB" w:rsidRPr="00B476CB" w:rsidRDefault="00B476CB" w:rsidP="00B476CB">
      <w:pPr>
        <w:pStyle w:val="Heading2"/>
        <w:spacing w:line="360" w:lineRule="auto"/>
        <w:jc w:val="left"/>
        <w:rPr>
          <w:rFonts w:ascii="Arial" w:hAnsi="Arial" w:cs="Arial"/>
        </w:rPr>
      </w:pPr>
      <w:bookmarkStart w:id="66" w:name="_Toc210677395"/>
      <w:r w:rsidRPr="00B476CB">
        <w:rPr>
          <w:rFonts w:ascii="Arial" w:hAnsi="Arial" w:cs="Arial"/>
        </w:rPr>
        <w:t xml:space="preserve">4.1 </w:t>
      </w:r>
      <w:r w:rsidR="004C03A4">
        <w:rPr>
          <w:rFonts w:ascii="Arial" w:hAnsi="Arial" w:cs="Arial"/>
        </w:rPr>
        <w:t>I</w:t>
      </w:r>
      <w:r w:rsidRPr="00B476CB">
        <w:rPr>
          <w:rFonts w:ascii="Arial" w:hAnsi="Arial" w:cs="Arial"/>
        </w:rPr>
        <w:t>ntroduction to the Results</w:t>
      </w:r>
      <w:bookmarkEnd w:id="66"/>
    </w:p>
    <w:p w14:paraId="01C1D54F" w14:textId="77777777" w:rsidR="008A67EB" w:rsidRDefault="008A67EB">
      <w:pPr>
        <w:spacing w:after="0"/>
        <w:rPr>
          <w:rFonts w:asciiTheme="minorBidi" w:hAnsiTheme="minorBidi"/>
        </w:rPr>
      </w:pPr>
    </w:p>
    <w:p w14:paraId="63B0F4A6" w14:textId="0245EB78" w:rsidR="008A57B9" w:rsidRDefault="008A57B9" w:rsidP="008A57B9">
      <w:pPr>
        <w:spacing w:after="0" w:line="360" w:lineRule="auto"/>
        <w:rPr>
          <w:rFonts w:ascii="Arial" w:hAnsi="Arial" w:cs="Arial"/>
        </w:rPr>
      </w:pPr>
      <w:r w:rsidRPr="008A57B9">
        <w:rPr>
          <w:rFonts w:ascii="Arial" w:hAnsi="Arial" w:cs="Arial"/>
        </w:rPr>
        <w:t xml:space="preserve">This chapter delineates the findings of the systematic review researching the impact of early diagnosis and intervention on mental health outcomes for people living with dementia in the UK. In accordance with the PRISMA 2020 guidelines </w:t>
      </w:r>
      <w:sdt>
        <w:sdtPr>
          <w:rPr>
            <w:rFonts w:ascii="Arial" w:hAnsi="Arial" w:cs="Arial"/>
          </w:rPr>
          <w:id w:val="-702007110"/>
          <w:citation/>
        </w:sdtPr>
        <w:sdtContent>
          <w:r>
            <w:rPr>
              <w:rFonts w:ascii="Arial" w:hAnsi="Arial" w:cs="Arial"/>
            </w:rPr>
            <w:fldChar w:fldCharType="begin"/>
          </w:r>
          <w:r>
            <w:rPr>
              <w:rFonts w:ascii="Arial" w:hAnsi="Arial" w:cs="Arial"/>
              <w:lang w:val="en-US"/>
            </w:rPr>
            <w:instrText xml:space="preserve"> CITATION Mat21 \l 1033 </w:instrText>
          </w:r>
          <w:r>
            <w:rPr>
              <w:rFonts w:ascii="Arial" w:hAnsi="Arial" w:cs="Arial"/>
            </w:rPr>
            <w:fldChar w:fldCharType="separate"/>
          </w:r>
          <w:r w:rsidR="001E393B" w:rsidRPr="001E393B">
            <w:rPr>
              <w:rFonts w:ascii="Arial" w:hAnsi="Arial" w:cs="Arial"/>
              <w:noProof/>
              <w:lang w:val="en-US"/>
            </w:rPr>
            <w:t>(Page, et al., 2021)</w:t>
          </w:r>
          <w:r>
            <w:rPr>
              <w:rFonts w:ascii="Arial" w:hAnsi="Arial" w:cs="Arial"/>
            </w:rPr>
            <w:fldChar w:fldCharType="end"/>
          </w:r>
        </w:sdtContent>
      </w:sdt>
      <w:r w:rsidRPr="008A57B9">
        <w:rPr>
          <w:rFonts w:ascii="Arial" w:hAnsi="Arial" w:cs="Arial"/>
        </w:rPr>
        <w:t>, the review process systematically identified, screened, and incorporated 10 peer-reviewed studies that fulfilled defined eligibility criteria (refer to Chapter 3). These studies collectively include a variety of methodologies, such as qualitative interviews, cohort analyses, record-linkage studies, and systematic reviews.</w:t>
      </w:r>
      <w:r w:rsidR="00D304D1">
        <w:rPr>
          <w:rFonts w:ascii="Arial" w:hAnsi="Arial" w:cs="Arial"/>
        </w:rPr>
        <w:t xml:space="preserve"> </w:t>
      </w:r>
      <w:r w:rsidR="00D304D1" w:rsidRPr="00D304D1">
        <w:rPr>
          <w:rFonts w:ascii="Arial" w:hAnsi="Arial" w:cs="Arial"/>
        </w:rPr>
        <w:t xml:space="preserve">Taken together, these studies offer insights into the experiences of individuals with dementia and their </w:t>
      </w:r>
      <w:proofErr w:type="spellStart"/>
      <w:r w:rsidR="00D304D1" w:rsidRPr="00D304D1">
        <w:rPr>
          <w:rFonts w:ascii="Arial" w:hAnsi="Arial" w:cs="Arial"/>
        </w:rPr>
        <w:t>carers</w:t>
      </w:r>
      <w:proofErr w:type="spellEnd"/>
      <w:r w:rsidR="00D304D1" w:rsidRPr="00D304D1">
        <w:rPr>
          <w:rFonts w:ascii="Arial" w:hAnsi="Arial" w:cs="Arial"/>
        </w:rPr>
        <w:t>, alongside extensive healthcare trends reflected in national datasets.</w:t>
      </w:r>
    </w:p>
    <w:p w14:paraId="10DA2106" w14:textId="77777777" w:rsidR="008A57B9" w:rsidRDefault="008A57B9" w:rsidP="008A57B9">
      <w:pPr>
        <w:spacing w:after="0" w:line="360" w:lineRule="auto"/>
        <w:rPr>
          <w:rFonts w:ascii="Arial" w:hAnsi="Arial" w:cs="Arial"/>
        </w:rPr>
      </w:pPr>
    </w:p>
    <w:p w14:paraId="1E9D560B" w14:textId="72ACEBDC" w:rsidR="002764EC" w:rsidRDefault="008A57B9" w:rsidP="008A57B9">
      <w:pPr>
        <w:spacing w:after="0" w:line="360" w:lineRule="auto"/>
        <w:rPr>
          <w:rFonts w:ascii="Arial" w:hAnsi="Arial" w:cs="Arial"/>
        </w:rPr>
      </w:pPr>
      <w:r w:rsidRPr="008A57B9">
        <w:rPr>
          <w:rFonts w:ascii="Arial" w:hAnsi="Arial" w:cs="Arial"/>
        </w:rPr>
        <w:t>The findings are organised according to the research objectives and concentrate on:</w:t>
      </w:r>
      <w:r w:rsidRPr="008A57B9">
        <w:rPr>
          <w:rFonts w:ascii="Arial" w:hAnsi="Arial" w:cs="Arial"/>
        </w:rPr>
        <w:br/>
      </w:r>
      <w:r>
        <w:rPr>
          <w:rFonts w:ascii="Arial" w:hAnsi="Arial" w:cs="Arial"/>
        </w:rPr>
        <w:t xml:space="preserve">- </w:t>
      </w:r>
      <w:r w:rsidRPr="008A57B9">
        <w:rPr>
          <w:rFonts w:ascii="Arial" w:hAnsi="Arial" w:cs="Arial"/>
        </w:rPr>
        <w:t>Patterns of early and late diagnosis and their associations with mental health outcomes.</w:t>
      </w:r>
      <w:r w:rsidRPr="008A57B9">
        <w:rPr>
          <w:rFonts w:ascii="Arial" w:hAnsi="Arial" w:cs="Arial"/>
        </w:rPr>
        <w:br/>
      </w:r>
      <w:r>
        <w:rPr>
          <w:rFonts w:ascii="Arial" w:hAnsi="Arial" w:cs="Arial"/>
        </w:rPr>
        <w:t xml:space="preserve">- </w:t>
      </w:r>
      <w:r w:rsidR="005B07FE">
        <w:rPr>
          <w:rFonts w:ascii="Arial" w:hAnsi="Arial" w:cs="Arial"/>
        </w:rPr>
        <w:t>post-diagnostic</w:t>
      </w:r>
      <w:r w:rsidRPr="008A57B9">
        <w:rPr>
          <w:rFonts w:ascii="Arial" w:hAnsi="Arial" w:cs="Arial"/>
        </w:rPr>
        <w:t xml:space="preserve"> interventions and their efficacy in mitigating depression, anxiety, and enhancing well-being.</w:t>
      </w:r>
      <w:r w:rsidRPr="008A57B9">
        <w:rPr>
          <w:rFonts w:ascii="Arial" w:hAnsi="Arial" w:cs="Arial"/>
        </w:rPr>
        <w:br/>
      </w:r>
      <w:r>
        <w:rPr>
          <w:rFonts w:ascii="Arial" w:hAnsi="Arial" w:cs="Arial"/>
        </w:rPr>
        <w:t xml:space="preserve">- </w:t>
      </w:r>
      <w:r w:rsidRPr="008A57B9">
        <w:rPr>
          <w:rFonts w:ascii="Arial" w:hAnsi="Arial" w:cs="Arial"/>
        </w:rPr>
        <w:t>Determinants affecting variability in outcomes, including patient characteristics, carer interactions, and the delivery of services.</w:t>
      </w:r>
    </w:p>
    <w:p w14:paraId="39F26571" w14:textId="77777777" w:rsidR="0055169C" w:rsidRDefault="008A57B9" w:rsidP="0055169C">
      <w:pPr>
        <w:spacing w:after="0" w:line="360" w:lineRule="auto"/>
        <w:rPr>
          <w:rFonts w:ascii="Arial" w:hAnsi="Arial" w:cs="Arial"/>
        </w:rPr>
      </w:pPr>
      <w:r w:rsidRPr="008A57B9">
        <w:rPr>
          <w:rFonts w:ascii="Arial" w:hAnsi="Arial" w:cs="Arial"/>
        </w:rPr>
        <w:br/>
      </w:r>
      <w:r w:rsidR="0055169C" w:rsidRPr="0055169C">
        <w:rPr>
          <w:rFonts w:ascii="Arial" w:hAnsi="Arial" w:cs="Arial"/>
        </w:rPr>
        <w:t>The results are categorised into four analytical themes that resulted from the coding process:</w:t>
      </w:r>
    </w:p>
    <w:p w14:paraId="69B2BD48" w14:textId="6DB7A99A" w:rsidR="0055169C" w:rsidRDefault="0055169C" w:rsidP="0055169C">
      <w:pPr>
        <w:spacing w:after="0" w:line="360" w:lineRule="auto"/>
        <w:rPr>
          <w:rFonts w:ascii="Arial" w:hAnsi="Arial" w:cs="Arial"/>
        </w:rPr>
      </w:pPr>
      <w:r w:rsidRPr="0055169C">
        <w:rPr>
          <w:rFonts w:ascii="Arial" w:hAnsi="Arial" w:cs="Arial"/>
        </w:rPr>
        <w:br/>
      </w:r>
      <w:r>
        <w:rPr>
          <w:rFonts w:ascii="Arial" w:hAnsi="Arial" w:cs="Arial"/>
        </w:rPr>
        <w:t xml:space="preserve">1. </w:t>
      </w:r>
      <w:r w:rsidRPr="0055169C">
        <w:rPr>
          <w:rFonts w:ascii="Arial" w:hAnsi="Arial" w:cs="Arial"/>
        </w:rPr>
        <w:t>Adjustment to diagnosis and emotional responses – the emotional and psychological responses of individuals and their families upon receiving an early diagnosis, comprising feelings of relief, fear, denial, or stigma.</w:t>
      </w:r>
      <w:r w:rsidRPr="0055169C">
        <w:rPr>
          <w:rFonts w:ascii="Arial" w:hAnsi="Arial" w:cs="Arial"/>
        </w:rPr>
        <w:br/>
      </w:r>
      <w:r>
        <w:rPr>
          <w:rFonts w:ascii="Arial" w:hAnsi="Arial" w:cs="Arial"/>
        </w:rPr>
        <w:t xml:space="preserve">2. </w:t>
      </w:r>
      <w:r w:rsidRPr="0055169C">
        <w:rPr>
          <w:rFonts w:ascii="Arial" w:hAnsi="Arial" w:cs="Arial"/>
        </w:rPr>
        <w:t>Obstacles and facilitators to intervention acceptance – structural, social, and personal variables that either facilitate or impede participation in psychosocial or psychological interventions.</w:t>
      </w:r>
      <w:r w:rsidRPr="0055169C">
        <w:rPr>
          <w:rFonts w:ascii="Arial" w:hAnsi="Arial" w:cs="Arial"/>
        </w:rPr>
        <w:br/>
      </w:r>
      <w:r>
        <w:rPr>
          <w:rFonts w:ascii="Arial" w:hAnsi="Arial" w:cs="Arial"/>
        </w:rPr>
        <w:t xml:space="preserve">3. </w:t>
      </w:r>
      <w:r w:rsidRPr="0055169C">
        <w:rPr>
          <w:rFonts w:ascii="Arial" w:hAnsi="Arial" w:cs="Arial"/>
        </w:rPr>
        <w:t xml:space="preserve">Post-diagnostic support and service provision – the availability, accessibility, and efficacy of formal healthcare and community-based services, along with their impact on emotional </w:t>
      </w:r>
      <w:r w:rsidRPr="0055169C">
        <w:rPr>
          <w:rFonts w:ascii="Arial" w:hAnsi="Arial" w:cs="Arial"/>
        </w:rPr>
        <w:lastRenderedPageBreak/>
        <w:t>well-being.</w:t>
      </w:r>
      <w:r w:rsidRPr="0055169C">
        <w:rPr>
          <w:rFonts w:ascii="Arial" w:hAnsi="Arial" w:cs="Arial"/>
        </w:rPr>
        <w:br/>
      </w:r>
      <w:r>
        <w:rPr>
          <w:rFonts w:ascii="Arial" w:hAnsi="Arial" w:cs="Arial"/>
        </w:rPr>
        <w:t xml:space="preserve">4. </w:t>
      </w:r>
      <w:r w:rsidRPr="0055169C">
        <w:rPr>
          <w:rFonts w:ascii="Arial" w:hAnsi="Arial" w:cs="Arial"/>
        </w:rPr>
        <w:t>Relational and social variables – the influence of family carers, professionals, and broader societal attitudes in determining outcomes and experiences following a diagnosis.</w:t>
      </w:r>
    </w:p>
    <w:p w14:paraId="560ED5FD" w14:textId="77777777" w:rsidR="005B07FE" w:rsidRDefault="005B07FE" w:rsidP="0055169C">
      <w:pPr>
        <w:spacing w:after="0" w:line="360" w:lineRule="auto"/>
        <w:rPr>
          <w:rFonts w:ascii="Arial" w:hAnsi="Arial" w:cs="Arial"/>
        </w:rPr>
      </w:pPr>
    </w:p>
    <w:p w14:paraId="4A5B43BE" w14:textId="77777777" w:rsidR="0055169C" w:rsidRPr="0055169C" w:rsidRDefault="0055169C" w:rsidP="0055169C">
      <w:pPr>
        <w:spacing w:after="0" w:line="360" w:lineRule="auto"/>
        <w:rPr>
          <w:rFonts w:ascii="Arial" w:hAnsi="Arial" w:cs="Arial"/>
        </w:rPr>
      </w:pPr>
      <w:r w:rsidRPr="0055169C">
        <w:rPr>
          <w:rFonts w:ascii="Arial" w:hAnsi="Arial" w:cs="Arial"/>
        </w:rPr>
        <w:t>This chapter offers a thorough overview of the evidence base by organising the results into four distinct themes. This framework facilitates comparison among studies of varying designs, emphasising both convergent and divergent results.</w:t>
      </w:r>
    </w:p>
    <w:p w14:paraId="62AA177E" w14:textId="6710D677" w:rsidR="00B4237C" w:rsidRDefault="00B4237C" w:rsidP="008A57B9">
      <w:pPr>
        <w:spacing w:after="0" w:line="360" w:lineRule="auto"/>
        <w:rPr>
          <w:rFonts w:ascii="Arial" w:hAnsi="Arial" w:cs="Arial"/>
        </w:rPr>
      </w:pPr>
    </w:p>
    <w:p w14:paraId="5F505291" w14:textId="530214E3" w:rsidR="00B4237C" w:rsidRDefault="00B4237C" w:rsidP="00B4237C">
      <w:pPr>
        <w:pStyle w:val="Heading2"/>
        <w:spacing w:line="360" w:lineRule="auto"/>
        <w:jc w:val="left"/>
        <w:rPr>
          <w:rFonts w:ascii="Arial" w:hAnsi="Arial" w:cs="Arial"/>
        </w:rPr>
      </w:pPr>
      <w:bookmarkStart w:id="67" w:name="_Toc210677396"/>
      <w:r w:rsidRPr="00B4237C">
        <w:rPr>
          <w:rFonts w:ascii="Arial" w:hAnsi="Arial" w:cs="Arial"/>
        </w:rPr>
        <w:t>4.2 PRISMA Flow and Study Selection</w:t>
      </w:r>
      <w:bookmarkEnd w:id="67"/>
    </w:p>
    <w:p w14:paraId="25E0E0AF" w14:textId="77777777" w:rsidR="003D30C6" w:rsidRPr="003D30C6" w:rsidRDefault="003D30C6" w:rsidP="003D30C6">
      <w:pPr>
        <w:spacing w:line="360" w:lineRule="auto"/>
        <w:rPr>
          <w:rFonts w:ascii="Arial" w:hAnsi="Arial" w:cs="Arial"/>
        </w:rPr>
      </w:pPr>
      <w:r w:rsidRPr="003D30C6">
        <w:rPr>
          <w:rFonts w:ascii="Arial" w:hAnsi="Arial" w:cs="Arial"/>
        </w:rPr>
        <w:t>The systematic search strategy was created to guarantee thorough coverage of the literature related to the research question: the impact of early diagnosis and intervention on mental health outcomes in individuals with dementia in the United Kingdom.</w:t>
      </w:r>
    </w:p>
    <w:p w14:paraId="3A36E7D2" w14:textId="77777777" w:rsidR="00A111DD" w:rsidRDefault="00B4237C" w:rsidP="00A111DD">
      <w:pPr>
        <w:spacing w:line="360" w:lineRule="auto"/>
        <w:rPr>
          <w:rFonts w:ascii="Times New Roman" w:eastAsia="Times New Roman" w:hAnsi="Times New Roman" w:cs="Times New Roman"/>
          <w:kern w:val="0"/>
          <w:sz w:val="24"/>
          <w:szCs w:val="24"/>
          <w:lang w:eastAsia="en-GB"/>
          <w14:ligatures w14:val="none"/>
        </w:rPr>
      </w:pPr>
      <w:r w:rsidRPr="00B4237C">
        <w:rPr>
          <w:rFonts w:ascii="Arial" w:hAnsi="Arial" w:cs="Arial"/>
        </w:rPr>
        <w:t xml:space="preserve">A total of </w:t>
      </w:r>
      <w:r>
        <w:rPr>
          <w:rFonts w:ascii="Arial" w:hAnsi="Arial" w:cs="Arial"/>
        </w:rPr>
        <w:t xml:space="preserve">1,190 </w:t>
      </w:r>
      <w:r w:rsidRPr="00B4237C">
        <w:rPr>
          <w:rFonts w:ascii="Arial" w:hAnsi="Arial" w:cs="Arial"/>
        </w:rPr>
        <w:t xml:space="preserve">records were identified from PubMed, UWTSD Library databases, Google Scholar, and the Cochrane Library. Subsequent to the elimination of duplicates, </w:t>
      </w:r>
      <w:r>
        <w:rPr>
          <w:rFonts w:ascii="Arial" w:hAnsi="Arial" w:cs="Arial"/>
        </w:rPr>
        <w:t>915</w:t>
      </w:r>
      <w:r w:rsidRPr="00B4237C">
        <w:rPr>
          <w:rFonts w:ascii="Arial" w:hAnsi="Arial" w:cs="Arial"/>
        </w:rPr>
        <w:t xml:space="preserve"> records were retained for evaluation.</w:t>
      </w:r>
      <w:r w:rsidRPr="00B4237C">
        <w:rPr>
          <w:rFonts w:ascii="Arial" w:hAnsi="Arial" w:cs="Arial"/>
        </w:rPr>
        <w:br/>
        <w:t xml:space="preserve">Title and abstract screening eliminated </w:t>
      </w:r>
      <w:r>
        <w:rPr>
          <w:rFonts w:ascii="Arial" w:hAnsi="Arial" w:cs="Arial"/>
        </w:rPr>
        <w:t>8</w:t>
      </w:r>
      <w:r w:rsidRPr="00B4237C">
        <w:rPr>
          <w:rFonts w:ascii="Arial" w:hAnsi="Arial" w:cs="Arial"/>
        </w:rPr>
        <w:t>10 irrelevant records, resulting in 1</w:t>
      </w:r>
      <w:r>
        <w:rPr>
          <w:rFonts w:ascii="Arial" w:hAnsi="Arial" w:cs="Arial"/>
        </w:rPr>
        <w:t>0</w:t>
      </w:r>
      <w:r w:rsidRPr="00B4237C">
        <w:rPr>
          <w:rFonts w:ascii="Arial" w:hAnsi="Arial" w:cs="Arial"/>
        </w:rPr>
        <w:t>5 full-text articles for additional evaluation.</w:t>
      </w:r>
      <w:r w:rsidRPr="00B4237C">
        <w:rPr>
          <w:rFonts w:ascii="Arial" w:hAnsi="Arial" w:cs="Arial"/>
        </w:rPr>
        <w:br/>
        <w:t xml:space="preserve">Of these, </w:t>
      </w:r>
      <w:r>
        <w:rPr>
          <w:rFonts w:ascii="Arial" w:hAnsi="Arial" w:cs="Arial"/>
        </w:rPr>
        <w:t>95</w:t>
      </w:r>
      <w:r w:rsidRPr="00B4237C">
        <w:rPr>
          <w:rFonts w:ascii="Arial" w:hAnsi="Arial" w:cs="Arial"/>
        </w:rPr>
        <w:t xml:space="preserve"> were excluded for reasons including insufficient focus on the timing of dementia diagnosis, lack of mental health outcomes, or non-UK context.</w:t>
      </w:r>
      <w:r w:rsidRPr="00B4237C">
        <w:rPr>
          <w:rFonts w:ascii="Arial" w:hAnsi="Arial" w:cs="Arial"/>
        </w:rPr>
        <w:br/>
        <w:t>In conclusion, the review comprised 10 studies, representing the definitive dataset utilised for synthesis.</w:t>
      </w:r>
      <w:r w:rsidR="00A111DD" w:rsidRPr="00A111DD">
        <w:rPr>
          <w:rFonts w:ascii="Times New Roman" w:eastAsia="Times New Roman" w:hAnsi="Times New Roman" w:cs="Times New Roman"/>
          <w:kern w:val="0"/>
          <w:sz w:val="24"/>
          <w:szCs w:val="24"/>
          <w:lang w:eastAsia="en-GB"/>
          <w14:ligatures w14:val="none"/>
        </w:rPr>
        <w:t xml:space="preserve"> </w:t>
      </w:r>
    </w:p>
    <w:p w14:paraId="28E6EBB4" w14:textId="46BDB205" w:rsidR="00A111DD" w:rsidRPr="00A111DD" w:rsidRDefault="00A111DD" w:rsidP="00A111DD">
      <w:pPr>
        <w:spacing w:line="360" w:lineRule="auto"/>
        <w:rPr>
          <w:rFonts w:ascii="Arial" w:hAnsi="Arial" w:cs="Arial"/>
        </w:rPr>
      </w:pPr>
      <w:r w:rsidRPr="00A111DD">
        <w:rPr>
          <w:rFonts w:ascii="Arial" w:hAnsi="Arial" w:cs="Arial"/>
        </w:rPr>
        <w:t>The study selection process is encapsulated in Figure</w:t>
      </w:r>
      <w:r>
        <w:rPr>
          <w:rFonts w:ascii="Arial" w:hAnsi="Arial" w:cs="Arial"/>
        </w:rPr>
        <w:t xml:space="preserve"> 2</w:t>
      </w:r>
      <w:r w:rsidRPr="00A111DD">
        <w:rPr>
          <w:rFonts w:ascii="Arial" w:hAnsi="Arial" w:cs="Arial"/>
        </w:rPr>
        <w:t xml:space="preserve"> (PRISMA Flow Diagram), which delineates each phase of the screening process</w:t>
      </w:r>
      <w:r>
        <w:rPr>
          <w:rFonts w:ascii="Arial" w:hAnsi="Arial" w:cs="Arial"/>
        </w:rPr>
        <w:t xml:space="preserve">, </w:t>
      </w:r>
      <w:r w:rsidRPr="00A111DD">
        <w:rPr>
          <w:rFonts w:ascii="Arial" w:hAnsi="Arial" w:cs="Arial"/>
        </w:rPr>
        <w:t>from identification to inclusion</w:t>
      </w:r>
      <w:r>
        <w:rPr>
          <w:rFonts w:ascii="Arial" w:hAnsi="Arial" w:cs="Arial"/>
        </w:rPr>
        <w:t xml:space="preserve">. </w:t>
      </w:r>
      <w:r w:rsidRPr="00A111DD">
        <w:rPr>
          <w:rFonts w:ascii="Arial" w:hAnsi="Arial" w:cs="Arial"/>
        </w:rPr>
        <w:t>This methodology guaranteed a thorough and transparent review, reducing the likelihood of selection bias and establishing a solid evidence foundation for the thematic synthesis discussed in this chapter.</w:t>
      </w:r>
    </w:p>
    <w:p w14:paraId="2F64655A" w14:textId="3DED1D07" w:rsidR="00B4237C" w:rsidRDefault="00B4237C" w:rsidP="00B4237C">
      <w:pPr>
        <w:spacing w:line="360" w:lineRule="auto"/>
        <w:rPr>
          <w:rFonts w:ascii="Arial" w:hAnsi="Arial" w:cs="Arial"/>
        </w:rPr>
      </w:pPr>
    </w:p>
    <w:p w14:paraId="3DE3AD3F" w14:textId="11962EB4" w:rsidR="00A111DD" w:rsidRDefault="00A111DD" w:rsidP="00A111DD">
      <w:pPr>
        <w:spacing w:line="360" w:lineRule="auto"/>
        <w:jc w:val="center"/>
        <w:rPr>
          <w:rFonts w:ascii="Arial" w:hAnsi="Arial" w:cs="Arial"/>
        </w:rPr>
      </w:pPr>
      <w:r w:rsidRPr="00A111DD">
        <w:rPr>
          <w:rFonts w:ascii="Arial" w:hAnsi="Arial" w:cs="Arial"/>
          <w:noProof/>
        </w:rPr>
        <w:lastRenderedPageBreak/>
        <w:drawing>
          <wp:inline distT="0" distB="0" distL="0" distR="0" wp14:anchorId="498A5C1F" wp14:editId="48AD18A2">
            <wp:extent cx="3886200" cy="5794446"/>
            <wp:effectExtent l="0" t="0" r="0" b="0"/>
            <wp:docPr id="69948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89630" name=""/>
                    <pic:cNvPicPr/>
                  </pic:nvPicPr>
                  <pic:blipFill>
                    <a:blip r:embed="rId19"/>
                    <a:stretch>
                      <a:fillRect/>
                    </a:stretch>
                  </pic:blipFill>
                  <pic:spPr>
                    <a:xfrm>
                      <a:off x="0" y="0"/>
                      <a:ext cx="3889983" cy="5800087"/>
                    </a:xfrm>
                    <a:prstGeom prst="rect">
                      <a:avLst/>
                    </a:prstGeom>
                  </pic:spPr>
                </pic:pic>
              </a:graphicData>
            </a:graphic>
          </wp:inline>
        </w:drawing>
      </w:r>
    </w:p>
    <w:p w14:paraId="3AA82B22" w14:textId="5C728EC5" w:rsidR="00A111DD" w:rsidRPr="00F77D49" w:rsidRDefault="00A111DD" w:rsidP="00A111DD">
      <w:pPr>
        <w:pStyle w:val="Caption"/>
        <w:jc w:val="center"/>
        <w:rPr>
          <w:rFonts w:ascii="Arial" w:hAnsi="Arial" w:cs="Arial"/>
          <w:color w:val="000000" w:themeColor="text1"/>
          <w:sz w:val="22"/>
          <w:szCs w:val="22"/>
        </w:rPr>
      </w:pPr>
      <w:bookmarkStart w:id="68" w:name="_Toc210218503"/>
      <w:bookmarkStart w:id="69" w:name="_Toc210677428"/>
      <w:r w:rsidRPr="00F77D49">
        <w:rPr>
          <w:rFonts w:ascii="Arial" w:hAnsi="Arial" w:cs="Arial"/>
          <w:color w:val="000000" w:themeColor="text1"/>
          <w:sz w:val="22"/>
          <w:szCs w:val="22"/>
        </w:rPr>
        <w:t xml:space="preserve">Figure </w:t>
      </w:r>
      <w:r w:rsidRPr="00F77D49">
        <w:rPr>
          <w:rFonts w:ascii="Arial" w:hAnsi="Arial" w:cs="Arial"/>
          <w:color w:val="000000" w:themeColor="text1"/>
          <w:sz w:val="22"/>
          <w:szCs w:val="22"/>
        </w:rPr>
        <w:fldChar w:fldCharType="begin"/>
      </w:r>
      <w:r w:rsidRPr="00F77D49">
        <w:rPr>
          <w:rFonts w:ascii="Arial" w:hAnsi="Arial" w:cs="Arial"/>
          <w:color w:val="000000" w:themeColor="text1"/>
          <w:sz w:val="22"/>
          <w:szCs w:val="22"/>
        </w:rPr>
        <w:instrText xml:space="preserve"> SEQ Figure \* ARABIC </w:instrText>
      </w:r>
      <w:r w:rsidRPr="00F77D49">
        <w:rPr>
          <w:rFonts w:ascii="Arial" w:hAnsi="Arial" w:cs="Arial"/>
          <w:color w:val="000000" w:themeColor="text1"/>
          <w:sz w:val="22"/>
          <w:szCs w:val="22"/>
        </w:rPr>
        <w:fldChar w:fldCharType="separate"/>
      </w:r>
      <w:r w:rsidRPr="00F77D49">
        <w:rPr>
          <w:rFonts w:ascii="Arial" w:hAnsi="Arial" w:cs="Arial"/>
          <w:noProof/>
          <w:color w:val="000000" w:themeColor="text1"/>
          <w:sz w:val="22"/>
          <w:szCs w:val="22"/>
        </w:rPr>
        <w:t>2</w:t>
      </w:r>
      <w:r w:rsidRPr="00F77D49">
        <w:rPr>
          <w:rFonts w:ascii="Arial" w:hAnsi="Arial" w:cs="Arial"/>
          <w:color w:val="000000" w:themeColor="text1"/>
          <w:sz w:val="22"/>
          <w:szCs w:val="22"/>
        </w:rPr>
        <w:fldChar w:fldCharType="end"/>
      </w:r>
      <w:r w:rsidRPr="00F77D49">
        <w:rPr>
          <w:rFonts w:ascii="Arial" w:hAnsi="Arial" w:cs="Arial"/>
          <w:color w:val="000000" w:themeColor="text1"/>
          <w:sz w:val="22"/>
          <w:szCs w:val="22"/>
        </w:rPr>
        <w:t>: PRISMA Flow Diagram for selected studies</w:t>
      </w:r>
      <w:bookmarkEnd w:id="68"/>
      <w:bookmarkEnd w:id="69"/>
      <w:r w:rsidR="009801FD">
        <w:rPr>
          <w:rFonts w:ascii="Arial" w:hAnsi="Arial" w:cs="Arial"/>
          <w:color w:val="000000" w:themeColor="text1"/>
          <w:sz w:val="22"/>
          <w:szCs w:val="22"/>
        </w:rPr>
        <w:t xml:space="preserve">, created by Adriana Roman using </w:t>
      </w:r>
      <w:sdt>
        <w:sdtPr>
          <w:rPr>
            <w:rFonts w:ascii="Arial" w:hAnsi="Arial" w:cs="Arial"/>
            <w:color w:val="000000" w:themeColor="text1"/>
            <w:sz w:val="22"/>
            <w:szCs w:val="22"/>
          </w:rPr>
          <w:id w:val="-979304534"/>
          <w:citation/>
        </w:sdtPr>
        <w:sdtContent>
          <w:r w:rsidR="009801FD">
            <w:rPr>
              <w:rFonts w:ascii="Arial" w:hAnsi="Arial" w:cs="Arial"/>
              <w:color w:val="000000" w:themeColor="text1"/>
              <w:sz w:val="22"/>
              <w:szCs w:val="22"/>
            </w:rPr>
            <w:fldChar w:fldCharType="begin"/>
          </w:r>
          <w:r w:rsidR="009801FD">
            <w:rPr>
              <w:rFonts w:ascii="Arial" w:hAnsi="Arial" w:cs="Arial"/>
              <w:color w:val="000000" w:themeColor="text1"/>
              <w:sz w:val="22"/>
              <w:szCs w:val="22"/>
              <w:lang w:val="en-US"/>
            </w:rPr>
            <w:instrText xml:space="preserve"> CITATION Can25 \l 1033 </w:instrText>
          </w:r>
          <w:r w:rsidR="009801FD">
            <w:rPr>
              <w:rFonts w:ascii="Arial" w:hAnsi="Arial" w:cs="Arial"/>
              <w:color w:val="000000" w:themeColor="text1"/>
              <w:sz w:val="22"/>
              <w:szCs w:val="22"/>
            </w:rPr>
            <w:fldChar w:fldCharType="separate"/>
          </w:r>
          <w:r w:rsidR="001E393B" w:rsidRPr="001E393B">
            <w:rPr>
              <w:rFonts w:ascii="Arial" w:hAnsi="Arial" w:cs="Arial"/>
              <w:noProof/>
              <w:color w:val="000000" w:themeColor="text1"/>
              <w:sz w:val="22"/>
              <w:szCs w:val="22"/>
              <w:lang w:val="en-US"/>
            </w:rPr>
            <w:t>(Canva, 2025)</w:t>
          </w:r>
          <w:r w:rsidR="009801FD">
            <w:rPr>
              <w:rFonts w:ascii="Arial" w:hAnsi="Arial" w:cs="Arial"/>
              <w:color w:val="000000" w:themeColor="text1"/>
              <w:sz w:val="22"/>
              <w:szCs w:val="22"/>
            </w:rPr>
            <w:fldChar w:fldCharType="end"/>
          </w:r>
        </w:sdtContent>
      </w:sdt>
    </w:p>
    <w:p w14:paraId="77FAC280" w14:textId="3C3E280B" w:rsidR="00B4237C" w:rsidRPr="00916B7A" w:rsidRDefault="00B4237C" w:rsidP="00A111DD">
      <w:pPr>
        <w:rPr>
          <w:rFonts w:ascii="Arial" w:hAnsi="Arial" w:cs="Arial"/>
          <w:sz w:val="36"/>
          <w:szCs w:val="36"/>
        </w:rPr>
      </w:pPr>
    </w:p>
    <w:p w14:paraId="0980B313" w14:textId="77777777" w:rsidR="003A02A2" w:rsidRDefault="003A02A2" w:rsidP="003A02A2">
      <w:pPr>
        <w:pStyle w:val="Heading2"/>
        <w:spacing w:line="360" w:lineRule="auto"/>
        <w:jc w:val="left"/>
        <w:rPr>
          <w:rFonts w:ascii="Arial" w:hAnsi="Arial" w:cs="Arial"/>
        </w:rPr>
      </w:pPr>
      <w:bookmarkStart w:id="70" w:name="_Toc210677397"/>
      <w:r w:rsidRPr="003A02A2">
        <w:rPr>
          <w:rFonts w:ascii="Arial" w:hAnsi="Arial" w:cs="Arial"/>
        </w:rPr>
        <w:t>4.3 Features of Included Studies</w:t>
      </w:r>
      <w:bookmarkEnd w:id="70"/>
    </w:p>
    <w:p w14:paraId="69A1AE4D" w14:textId="5A8605ED" w:rsidR="00307D83" w:rsidRDefault="00307D83" w:rsidP="00307D83">
      <w:pPr>
        <w:spacing w:line="360" w:lineRule="auto"/>
        <w:rPr>
          <w:rFonts w:ascii="Arial" w:hAnsi="Arial" w:cs="Arial"/>
        </w:rPr>
      </w:pPr>
      <w:r w:rsidRPr="00307D83">
        <w:rPr>
          <w:rFonts w:ascii="Arial" w:hAnsi="Arial" w:cs="Arial"/>
        </w:rPr>
        <w:t>The ten studies considered in this systematic review cover a publication period from 2010 to 2024, illustrating both early policy-oriented dementia research in the UK and additional studies addressing the increasing necessity for improved post-diagnostic care. Together, these studies use a variety of methodologies, providing both extensive and deep understanding into the effects of early diagnosis and intervention on mental health outcomes in dementia. Table 1 includes the study designs, sample sizes, and primary focusses.</w:t>
      </w:r>
    </w:p>
    <w:p w14:paraId="1767B3D5" w14:textId="77777777" w:rsidR="00225529" w:rsidRDefault="00225529" w:rsidP="009801FD">
      <w:pPr>
        <w:spacing w:line="360" w:lineRule="auto"/>
        <w:rPr>
          <w:rFonts w:ascii="Arial" w:hAnsi="Arial" w:cs="Arial"/>
          <w:b/>
          <w:bCs/>
        </w:rPr>
        <w:sectPr w:rsidR="00225529" w:rsidSect="0069255D">
          <w:footerReference w:type="even" r:id="rId20"/>
          <w:footerReference w:type="default" r:id="rId21"/>
          <w:footerReference w:type="first" r:id="rId22"/>
          <w:pgSz w:w="11906" w:h="16838"/>
          <w:pgMar w:top="1440" w:right="1440" w:bottom="1440" w:left="1440" w:header="708" w:footer="708" w:gutter="0"/>
          <w:cols w:space="708"/>
          <w:titlePg/>
          <w:docGrid w:linePitch="360"/>
        </w:sectPr>
      </w:pPr>
    </w:p>
    <w:tbl>
      <w:tblPr>
        <w:tblStyle w:val="TableGrid"/>
        <w:tblW w:w="0" w:type="auto"/>
        <w:jc w:val="center"/>
        <w:tblLook w:val="04A0" w:firstRow="1" w:lastRow="0" w:firstColumn="1" w:lastColumn="0" w:noHBand="0" w:noVBand="1"/>
      </w:tblPr>
      <w:tblGrid>
        <w:gridCol w:w="3539"/>
        <w:gridCol w:w="2977"/>
        <w:gridCol w:w="3402"/>
        <w:gridCol w:w="4030"/>
      </w:tblGrid>
      <w:tr w:rsidR="00307D83" w14:paraId="65DBDEEB" w14:textId="77777777" w:rsidTr="004A6D8E">
        <w:trPr>
          <w:jc w:val="center"/>
        </w:trPr>
        <w:tc>
          <w:tcPr>
            <w:tcW w:w="3539" w:type="dxa"/>
            <w:shd w:val="clear" w:color="auto" w:fill="C5E0B3" w:themeFill="accent6" w:themeFillTint="66"/>
          </w:tcPr>
          <w:p w14:paraId="7A173C47" w14:textId="62CF170D" w:rsidR="00307D83" w:rsidRPr="00307D83" w:rsidRDefault="00307D83" w:rsidP="00307D83">
            <w:pPr>
              <w:spacing w:line="360" w:lineRule="auto"/>
              <w:jc w:val="center"/>
              <w:rPr>
                <w:rFonts w:ascii="Arial" w:hAnsi="Arial" w:cs="Arial"/>
                <w:b/>
                <w:bCs/>
              </w:rPr>
            </w:pPr>
            <w:r w:rsidRPr="00307D83">
              <w:rPr>
                <w:rFonts w:ascii="Arial" w:hAnsi="Arial" w:cs="Arial"/>
                <w:b/>
                <w:bCs/>
              </w:rPr>
              <w:lastRenderedPageBreak/>
              <w:t>Article</w:t>
            </w:r>
          </w:p>
        </w:tc>
        <w:tc>
          <w:tcPr>
            <w:tcW w:w="2977" w:type="dxa"/>
            <w:shd w:val="clear" w:color="auto" w:fill="C5E0B3" w:themeFill="accent6" w:themeFillTint="66"/>
          </w:tcPr>
          <w:p w14:paraId="6870760F" w14:textId="6310106F" w:rsidR="00307D83" w:rsidRPr="00307D83" w:rsidRDefault="00307D83" w:rsidP="003B077F">
            <w:pPr>
              <w:spacing w:line="360" w:lineRule="auto"/>
              <w:jc w:val="center"/>
              <w:rPr>
                <w:rFonts w:ascii="Arial" w:hAnsi="Arial" w:cs="Arial"/>
                <w:b/>
                <w:bCs/>
              </w:rPr>
            </w:pPr>
            <w:r w:rsidRPr="00307D83">
              <w:rPr>
                <w:rFonts w:ascii="Arial" w:hAnsi="Arial" w:cs="Arial"/>
                <w:b/>
                <w:bCs/>
              </w:rPr>
              <w:t>Study design</w:t>
            </w:r>
          </w:p>
        </w:tc>
        <w:tc>
          <w:tcPr>
            <w:tcW w:w="3402" w:type="dxa"/>
            <w:shd w:val="clear" w:color="auto" w:fill="C5E0B3" w:themeFill="accent6" w:themeFillTint="66"/>
          </w:tcPr>
          <w:p w14:paraId="3D6E02FA" w14:textId="34FC384D" w:rsidR="00307D83" w:rsidRPr="00307D83" w:rsidRDefault="00307D83" w:rsidP="003B077F">
            <w:pPr>
              <w:spacing w:line="360" w:lineRule="auto"/>
              <w:jc w:val="center"/>
              <w:rPr>
                <w:rFonts w:ascii="Arial" w:hAnsi="Arial" w:cs="Arial"/>
                <w:b/>
                <w:bCs/>
              </w:rPr>
            </w:pPr>
            <w:r w:rsidRPr="00307D83">
              <w:rPr>
                <w:rFonts w:ascii="Arial" w:hAnsi="Arial" w:cs="Arial"/>
                <w:b/>
                <w:bCs/>
              </w:rPr>
              <w:t>Sample size</w:t>
            </w:r>
          </w:p>
        </w:tc>
        <w:tc>
          <w:tcPr>
            <w:tcW w:w="4030" w:type="dxa"/>
            <w:shd w:val="clear" w:color="auto" w:fill="C5E0B3" w:themeFill="accent6" w:themeFillTint="66"/>
          </w:tcPr>
          <w:p w14:paraId="40750F61" w14:textId="3350D15A" w:rsidR="00307D83" w:rsidRPr="00307D83" w:rsidRDefault="00307D83" w:rsidP="003B077F">
            <w:pPr>
              <w:spacing w:line="360" w:lineRule="auto"/>
              <w:jc w:val="center"/>
              <w:rPr>
                <w:rFonts w:ascii="Arial" w:hAnsi="Arial" w:cs="Arial"/>
                <w:b/>
                <w:bCs/>
              </w:rPr>
            </w:pPr>
            <w:r w:rsidRPr="00307D83">
              <w:rPr>
                <w:rFonts w:ascii="Arial" w:hAnsi="Arial" w:cs="Arial"/>
                <w:b/>
                <w:bCs/>
              </w:rPr>
              <w:t>Primary focus</w:t>
            </w:r>
          </w:p>
        </w:tc>
      </w:tr>
      <w:tr w:rsidR="00307D83" w14:paraId="0FD2AC8F" w14:textId="77777777" w:rsidTr="004A6D8E">
        <w:trPr>
          <w:jc w:val="center"/>
        </w:trPr>
        <w:tc>
          <w:tcPr>
            <w:tcW w:w="3539" w:type="dxa"/>
          </w:tcPr>
          <w:p w14:paraId="3F03BFAD" w14:textId="67DC6ADC" w:rsidR="00307D83" w:rsidRPr="00307D83" w:rsidRDefault="00000000" w:rsidP="00307D83">
            <w:pPr>
              <w:pStyle w:val="ListParagraph"/>
              <w:numPr>
                <w:ilvl w:val="0"/>
                <w:numId w:val="24"/>
              </w:numPr>
              <w:spacing w:line="360" w:lineRule="auto"/>
              <w:rPr>
                <w:rFonts w:ascii="Arial" w:hAnsi="Arial" w:cs="Arial"/>
              </w:rPr>
            </w:pPr>
            <w:sdt>
              <w:sdtPr>
                <w:rPr>
                  <w:rFonts w:ascii="Arial" w:hAnsi="Arial" w:cs="Arial"/>
                </w:rPr>
                <w:id w:val="-358738723"/>
                <w:citation/>
              </w:sdtPr>
              <w:sdtContent>
                <w:r w:rsidR="00307D83">
                  <w:rPr>
                    <w:rFonts w:ascii="Arial" w:hAnsi="Arial" w:cs="Arial"/>
                  </w:rPr>
                  <w:fldChar w:fldCharType="begin"/>
                </w:r>
                <w:r w:rsidR="00307D83">
                  <w:rPr>
                    <w:rFonts w:ascii="Arial" w:hAnsi="Arial" w:cs="Arial"/>
                    <w:lang w:val="en-US"/>
                  </w:rPr>
                  <w:instrText xml:space="preserve"> CITATION Bec21 \l 1033 </w:instrText>
                </w:r>
                <w:r w:rsidR="00307D83">
                  <w:rPr>
                    <w:rFonts w:ascii="Arial" w:hAnsi="Arial" w:cs="Arial"/>
                  </w:rPr>
                  <w:fldChar w:fldCharType="separate"/>
                </w:r>
                <w:r w:rsidR="001E393B" w:rsidRPr="001E393B">
                  <w:rPr>
                    <w:rFonts w:ascii="Arial" w:hAnsi="Arial" w:cs="Arial"/>
                    <w:noProof/>
                    <w:lang w:val="en-US"/>
                  </w:rPr>
                  <w:t>(Field, et al., 2021)</w:t>
                </w:r>
                <w:r w:rsidR="00307D83">
                  <w:rPr>
                    <w:rFonts w:ascii="Arial" w:hAnsi="Arial" w:cs="Arial"/>
                  </w:rPr>
                  <w:fldChar w:fldCharType="end"/>
                </w:r>
              </w:sdtContent>
            </w:sdt>
          </w:p>
        </w:tc>
        <w:tc>
          <w:tcPr>
            <w:tcW w:w="2977" w:type="dxa"/>
          </w:tcPr>
          <w:p w14:paraId="0DDD35AE" w14:textId="07949070" w:rsidR="00307D83" w:rsidRDefault="00307D83" w:rsidP="003B077F">
            <w:pPr>
              <w:spacing w:line="360" w:lineRule="auto"/>
              <w:jc w:val="center"/>
              <w:rPr>
                <w:rFonts w:ascii="Arial" w:hAnsi="Arial" w:cs="Arial"/>
              </w:rPr>
            </w:pPr>
            <w:r>
              <w:rPr>
                <w:rFonts w:ascii="Arial" w:hAnsi="Arial" w:cs="Arial"/>
              </w:rPr>
              <w:t>Qualitative interviews</w:t>
            </w:r>
          </w:p>
        </w:tc>
        <w:tc>
          <w:tcPr>
            <w:tcW w:w="3402" w:type="dxa"/>
          </w:tcPr>
          <w:p w14:paraId="7A6101EA" w14:textId="30D90628" w:rsidR="00307D83" w:rsidRDefault="00CA22D2" w:rsidP="003B077F">
            <w:pPr>
              <w:spacing w:line="360" w:lineRule="auto"/>
              <w:jc w:val="center"/>
              <w:rPr>
                <w:rFonts w:ascii="Arial" w:hAnsi="Arial" w:cs="Arial"/>
              </w:rPr>
            </w:pPr>
            <w:r>
              <w:rPr>
                <w:rFonts w:ascii="Arial" w:hAnsi="Arial" w:cs="Arial"/>
              </w:rPr>
              <w:t>16 PLWD</w:t>
            </w:r>
          </w:p>
        </w:tc>
        <w:tc>
          <w:tcPr>
            <w:tcW w:w="4030" w:type="dxa"/>
          </w:tcPr>
          <w:p w14:paraId="76936690" w14:textId="72AE6F15" w:rsidR="00307D83" w:rsidRDefault="003B077F" w:rsidP="003B077F">
            <w:pPr>
              <w:spacing w:line="360" w:lineRule="auto"/>
              <w:jc w:val="center"/>
              <w:rPr>
                <w:rFonts w:ascii="Arial" w:hAnsi="Arial" w:cs="Arial"/>
              </w:rPr>
            </w:pPr>
            <w:r w:rsidRPr="003B077F">
              <w:rPr>
                <w:rFonts w:ascii="Arial" w:hAnsi="Arial" w:cs="Arial"/>
              </w:rPr>
              <w:t>Utilisation of psychosocial interventions</w:t>
            </w:r>
          </w:p>
        </w:tc>
      </w:tr>
      <w:tr w:rsidR="00307D83" w14:paraId="18953631" w14:textId="77777777" w:rsidTr="004A6D8E">
        <w:trPr>
          <w:jc w:val="center"/>
        </w:trPr>
        <w:tc>
          <w:tcPr>
            <w:tcW w:w="3539" w:type="dxa"/>
          </w:tcPr>
          <w:p w14:paraId="2032A25F" w14:textId="43B43EF6" w:rsidR="00307D83" w:rsidRPr="00307D83" w:rsidRDefault="00000000" w:rsidP="00307D83">
            <w:pPr>
              <w:pStyle w:val="ListParagraph"/>
              <w:numPr>
                <w:ilvl w:val="0"/>
                <w:numId w:val="24"/>
              </w:numPr>
              <w:spacing w:line="360" w:lineRule="auto"/>
              <w:rPr>
                <w:rFonts w:ascii="Arial" w:hAnsi="Arial" w:cs="Arial"/>
              </w:rPr>
            </w:pPr>
            <w:sdt>
              <w:sdtPr>
                <w:rPr>
                  <w:rFonts w:ascii="Arial" w:hAnsi="Arial" w:cs="Arial"/>
                </w:rPr>
                <w:id w:val="1442581740"/>
                <w:citation/>
              </w:sdtPr>
              <w:sdtContent>
                <w:r w:rsidR="00307D83">
                  <w:rPr>
                    <w:rFonts w:ascii="Arial" w:hAnsi="Arial" w:cs="Arial"/>
                  </w:rPr>
                  <w:fldChar w:fldCharType="begin"/>
                </w:r>
                <w:r w:rsidR="00307D83">
                  <w:rPr>
                    <w:rFonts w:ascii="Arial" w:hAnsi="Arial" w:cs="Arial"/>
                    <w:lang w:val="en-US"/>
                  </w:rPr>
                  <w:instrText xml:space="preserve"> CITATION Mar18 \l 1033 </w:instrText>
                </w:r>
                <w:r w:rsidR="00307D83">
                  <w:rPr>
                    <w:rFonts w:ascii="Arial" w:hAnsi="Arial" w:cs="Arial"/>
                  </w:rPr>
                  <w:fldChar w:fldCharType="separate"/>
                </w:r>
                <w:r w:rsidR="001E393B" w:rsidRPr="001E393B">
                  <w:rPr>
                    <w:rFonts w:ascii="Arial" w:hAnsi="Arial" w:cs="Arial"/>
                    <w:noProof/>
                    <w:lang w:val="en-US"/>
                  </w:rPr>
                  <w:t>(Pujades-Rodriguez, et al., 2018)</w:t>
                </w:r>
                <w:r w:rsidR="00307D83">
                  <w:rPr>
                    <w:rFonts w:ascii="Arial" w:hAnsi="Arial" w:cs="Arial"/>
                  </w:rPr>
                  <w:fldChar w:fldCharType="end"/>
                </w:r>
              </w:sdtContent>
            </w:sdt>
          </w:p>
        </w:tc>
        <w:tc>
          <w:tcPr>
            <w:tcW w:w="2977" w:type="dxa"/>
          </w:tcPr>
          <w:p w14:paraId="518BE7BC" w14:textId="7B516853" w:rsidR="00307D83" w:rsidRDefault="00307D83" w:rsidP="003B077F">
            <w:pPr>
              <w:spacing w:line="360" w:lineRule="auto"/>
              <w:jc w:val="center"/>
              <w:rPr>
                <w:rFonts w:ascii="Arial" w:hAnsi="Arial" w:cs="Arial"/>
              </w:rPr>
            </w:pPr>
            <w:r>
              <w:rPr>
                <w:rFonts w:ascii="Arial" w:hAnsi="Arial" w:cs="Arial"/>
              </w:rPr>
              <w:t>Record-linkage cohort</w:t>
            </w:r>
          </w:p>
        </w:tc>
        <w:tc>
          <w:tcPr>
            <w:tcW w:w="3402" w:type="dxa"/>
          </w:tcPr>
          <w:p w14:paraId="7F45ED3C" w14:textId="48CE0AC9" w:rsidR="00307D83" w:rsidRDefault="00CA22D2" w:rsidP="003B077F">
            <w:pPr>
              <w:spacing w:line="360" w:lineRule="auto"/>
              <w:jc w:val="center"/>
              <w:rPr>
                <w:rFonts w:ascii="Arial" w:hAnsi="Arial" w:cs="Arial"/>
              </w:rPr>
            </w:pPr>
            <w:r>
              <w:rPr>
                <w:rFonts w:ascii="Arial" w:hAnsi="Arial" w:cs="Arial"/>
              </w:rPr>
              <w:t>47,386 PLWD</w:t>
            </w:r>
          </w:p>
        </w:tc>
        <w:tc>
          <w:tcPr>
            <w:tcW w:w="4030" w:type="dxa"/>
          </w:tcPr>
          <w:p w14:paraId="38AB241D" w14:textId="52E45CDF" w:rsidR="00307D83" w:rsidRDefault="003B077F" w:rsidP="003B077F">
            <w:pPr>
              <w:spacing w:line="360" w:lineRule="auto"/>
              <w:jc w:val="center"/>
              <w:rPr>
                <w:rFonts w:ascii="Arial" w:hAnsi="Arial" w:cs="Arial"/>
              </w:rPr>
            </w:pPr>
            <w:r w:rsidRPr="003B077F">
              <w:rPr>
                <w:rFonts w:ascii="Arial" w:hAnsi="Arial" w:cs="Arial"/>
              </w:rPr>
              <w:t>Diagnosis, burden, prognosis</w:t>
            </w:r>
          </w:p>
        </w:tc>
      </w:tr>
      <w:tr w:rsidR="00307D83" w14:paraId="5E342816" w14:textId="77777777" w:rsidTr="004A6D8E">
        <w:trPr>
          <w:jc w:val="center"/>
        </w:trPr>
        <w:tc>
          <w:tcPr>
            <w:tcW w:w="3539" w:type="dxa"/>
          </w:tcPr>
          <w:p w14:paraId="2F4CBE7C" w14:textId="29FB45A2" w:rsidR="00307D83" w:rsidRPr="00307D83" w:rsidRDefault="00000000" w:rsidP="00307D83">
            <w:pPr>
              <w:pStyle w:val="ListParagraph"/>
              <w:numPr>
                <w:ilvl w:val="0"/>
                <w:numId w:val="24"/>
              </w:numPr>
              <w:spacing w:line="360" w:lineRule="auto"/>
              <w:rPr>
                <w:rFonts w:ascii="Arial" w:hAnsi="Arial" w:cs="Arial"/>
              </w:rPr>
            </w:pPr>
            <w:sdt>
              <w:sdtPr>
                <w:rPr>
                  <w:rFonts w:ascii="Arial" w:hAnsi="Arial" w:cs="Arial"/>
                </w:rPr>
                <w:id w:val="1209231206"/>
                <w:citation/>
              </w:sdtPr>
              <w:sdtContent>
                <w:r w:rsidR="00307D83">
                  <w:rPr>
                    <w:rFonts w:ascii="Arial" w:hAnsi="Arial" w:cs="Arial"/>
                  </w:rPr>
                  <w:fldChar w:fldCharType="begin"/>
                </w:r>
                <w:r w:rsidR="00307D83">
                  <w:rPr>
                    <w:rFonts w:ascii="Arial" w:hAnsi="Arial" w:cs="Arial"/>
                    <w:lang w:val="en-US"/>
                  </w:rPr>
                  <w:instrText xml:space="preserve"> CITATION Mar22 \l 1033 </w:instrText>
                </w:r>
                <w:r w:rsidR="00307D83">
                  <w:rPr>
                    <w:rFonts w:ascii="Arial" w:hAnsi="Arial" w:cs="Arial"/>
                  </w:rPr>
                  <w:fldChar w:fldCharType="separate"/>
                </w:r>
                <w:r w:rsidR="001E393B" w:rsidRPr="001E393B">
                  <w:rPr>
                    <w:rFonts w:ascii="Arial" w:hAnsi="Arial" w:cs="Arial"/>
                    <w:noProof/>
                    <w:lang w:val="en-US"/>
                  </w:rPr>
                  <w:t>(Kajander, et al., 2022)</w:t>
                </w:r>
                <w:r w:rsidR="00307D83">
                  <w:rPr>
                    <w:rFonts w:ascii="Arial" w:hAnsi="Arial" w:cs="Arial"/>
                  </w:rPr>
                  <w:fldChar w:fldCharType="end"/>
                </w:r>
              </w:sdtContent>
            </w:sdt>
          </w:p>
        </w:tc>
        <w:tc>
          <w:tcPr>
            <w:tcW w:w="2977" w:type="dxa"/>
          </w:tcPr>
          <w:p w14:paraId="2E3455DE" w14:textId="194D10FC" w:rsidR="00307D83" w:rsidRDefault="00307D83" w:rsidP="003B077F">
            <w:pPr>
              <w:spacing w:line="360" w:lineRule="auto"/>
              <w:jc w:val="center"/>
              <w:rPr>
                <w:rFonts w:ascii="Arial" w:hAnsi="Arial" w:cs="Arial"/>
              </w:rPr>
            </w:pPr>
            <w:r>
              <w:rPr>
                <w:rFonts w:ascii="Arial" w:hAnsi="Arial" w:cs="Arial"/>
              </w:rPr>
              <w:t>Qualitative</w:t>
            </w:r>
          </w:p>
        </w:tc>
        <w:tc>
          <w:tcPr>
            <w:tcW w:w="3402" w:type="dxa"/>
          </w:tcPr>
          <w:p w14:paraId="28CEEFAE" w14:textId="0D5C21C5" w:rsidR="00307D83" w:rsidRDefault="00CA22D2" w:rsidP="003B077F">
            <w:pPr>
              <w:spacing w:line="360" w:lineRule="auto"/>
              <w:jc w:val="center"/>
              <w:rPr>
                <w:rFonts w:ascii="Arial" w:hAnsi="Arial" w:cs="Arial"/>
              </w:rPr>
            </w:pPr>
            <w:r>
              <w:rPr>
                <w:rFonts w:ascii="Arial" w:hAnsi="Arial" w:cs="Arial"/>
              </w:rPr>
              <w:t>108 PLWD</w:t>
            </w:r>
          </w:p>
        </w:tc>
        <w:tc>
          <w:tcPr>
            <w:tcW w:w="4030" w:type="dxa"/>
          </w:tcPr>
          <w:p w14:paraId="25CDAB5F" w14:textId="4D87ED7B" w:rsidR="00307D83" w:rsidRDefault="003B077F" w:rsidP="003B077F">
            <w:pPr>
              <w:spacing w:line="360" w:lineRule="auto"/>
              <w:jc w:val="center"/>
              <w:rPr>
                <w:rFonts w:ascii="Arial" w:hAnsi="Arial" w:cs="Arial"/>
              </w:rPr>
            </w:pPr>
            <w:r w:rsidRPr="003B077F">
              <w:rPr>
                <w:rFonts w:ascii="Arial" w:hAnsi="Arial" w:cs="Arial"/>
              </w:rPr>
              <w:t>Experiences of educational interventions</w:t>
            </w:r>
          </w:p>
        </w:tc>
      </w:tr>
      <w:tr w:rsidR="00307D83" w14:paraId="79572EE2" w14:textId="77777777" w:rsidTr="004A6D8E">
        <w:trPr>
          <w:jc w:val="center"/>
        </w:trPr>
        <w:tc>
          <w:tcPr>
            <w:tcW w:w="3539" w:type="dxa"/>
          </w:tcPr>
          <w:p w14:paraId="11F2C643" w14:textId="1F593409" w:rsidR="00307D83" w:rsidRPr="00307D83" w:rsidRDefault="00000000" w:rsidP="00307D83">
            <w:pPr>
              <w:pStyle w:val="ListParagraph"/>
              <w:numPr>
                <w:ilvl w:val="0"/>
                <w:numId w:val="24"/>
              </w:numPr>
              <w:spacing w:line="360" w:lineRule="auto"/>
              <w:rPr>
                <w:rFonts w:ascii="Arial" w:hAnsi="Arial" w:cs="Arial"/>
              </w:rPr>
            </w:pPr>
            <w:sdt>
              <w:sdtPr>
                <w:rPr>
                  <w:rFonts w:ascii="Arial" w:hAnsi="Arial" w:cs="Arial"/>
                </w:rPr>
                <w:id w:val="1132529574"/>
                <w:citation/>
              </w:sdtPr>
              <w:sdtContent>
                <w:r w:rsidR="00307D83">
                  <w:rPr>
                    <w:rFonts w:ascii="Arial" w:hAnsi="Arial" w:cs="Arial"/>
                  </w:rPr>
                  <w:fldChar w:fldCharType="begin"/>
                </w:r>
                <w:r w:rsidR="00307D83">
                  <w:rPr>
                    <w:rFonts w:ascii="Arial" w:hAnsi="Arial" w:cs="Arial"/>
                    <w:lang w:val="en-US"/>
                  </w:rPr>
                  <w:instrText xml:space="preserve"> CITATION Bet24 \l 1033 </w:instrText>
                </w:r>
                <w:r w:rsidR="00307D83">
                  <w:rPr>
                    <w:rFonts w:ascii="Arial" w:hAnsi="Arial" w:cs="Arial"/>
                  </w:rPr>
                  <w:fldChar w:fldCharType="separate"/>
                </w:r>
                <w:r w:rsidR="001E393B" w:rsidRPr="001E393B">
                  <w:rPr>
                    <w:rFonts w:ascii="Arial" w:hAnsi="Arial" w:cs="Arial"/>
                    <w:noProof/>
                    <w:lang w:val="en-US"/>
                  </w:rPr>
                  <w:t>(Edwards, et al., 2024)</w:t>
                </w:r>
                <w:r w:rsidR="00307D83">
                  <w:rPr>
                    <w:rFonts w:ascii="Arial" w:hAnsi="Arial" w:cs="Arial"/>
                  </w:rPr>
                  <w:fldChar w:fldCharType="end"/>
                </w:r>
              </w:sdtContent>
            </w:sdt>
          </w:p>
        </w:tc>
        <w:tc>
          <w:tcPr>
            <w:tcW w:w="2977" w:type="dxa"/>
          </w:tcPr>
          <w:p w14:paraId="29ACABE4" w14:textId="3C916538" w:rsidR="00307D83" w:rsidRDefault="00307D83" w:rsidP="003B077F">
            <w:pPr>
              <w:spacing w:line="360" w:lineRule="auto"/>
              <w:jc w:val="center"/>
              <w:rPr>
                <w:rFonts w:ascii="Arial" w:hAnsi="Arial" w:cs="Arial"/>
              </w:rPr>
            </w:pPr>
            <w:r>
              <w:rPr>
                <w:rFonts w:ascii="Arial" w:hAnsi="Arial" w:cs="Arial"/>
              </w:rPr>
              <w:t>Qualitative</w:t>
            </w:r>
          </w:p>
        </w:tc>
        <w:tc>
          <w:tcPr>
            <w:tcW w:w="3402" w:type="dxa"/>
          </w:tcPr>
          <w:p w14:paraId="604B2277" w14:textId="327A4515" w:rsidR="00307D83" w:rsidRDefault="00CA22D2" w:rsidP="003B077F">
            <w:pPr>
              <w:spacing w:line="360" w:lineRule="auto"/>
              <w:jc w:val="center"/>
              <w:rPr>
                <w:rFonts w:ascii="Arial" w:hAnsi="Arial" w:cs="Arial"/>
              </w:rPr>
            </w:pPr>
            <w:r>
              <w:rPr>
                <w:rFonts w:ascii="Arial" w:hAnsi="Arial" w:cs="Arial"/>
              </w:rPr>
              <w:t>21 Professionals</w:t>
            </w:r>
          </w:p>
        </w:tc>
        <w:tc>
          <w:tcPr>
            <w:tcW w:w="4030" w:type="dxa"/>
          </w:tcPr>
          <w:p w14:paraId="3D762ADD" w14:textId="1F1990B9" w:rsidR="00307D83" w:rsidRDefault="003B077F" w:rsidP="003B077F">
            <w:pPr>
              <w:spacing w:line="360" w:lineRule="auto"/>
              <w:jc w:val="center"/>
              <w:rPr>
                <w:rFonts w:ascii="Arial" w:hAnsi="Arial" w:cs="Arial"/>
              </w:rPr>
            </w:pPr>
            <w:r w:rsidRPr="003B077F">
              <w:rPr>
                <w:rFonts w:ascii="Arial" w:hAnsi="Arial" w:cs="Arial"/>
              </w:rPr>
              <w:t>Influence on identity and daily functioning</w:t>
            </w:r>
          </w:p>
        </w:tc>
      </w:tr>
      <w:tr w:rsidR="00307D83" w14:paraId="77A110A9" w14:textId="77777777" w:rsidTr="004A6D8E">
        <w:trPr>
          <w:jc w:val="center"/>
        </w:trPr>
        <w:tc>
          <w:tcPr>
            <w:tcW w:w="3539" w:type="dxa"/>
          </w:tcPr>
          <w:p w14:paraId="20AE82B3" w14:textId="3C7990E9" w:rsidR="00307D83" w:rsidRPr="00307D83" w:rsidRDefault="00000000" w:rsidP="00307D83">
            <w:pPr>
              <w:pStyle w:val="ListParagraph"/>
              <w:numPr>
                <w:ilvl w:val="0"/>
                <w:numId w:val="24"/>
              </w:numPr>
              <w:spacing w:line="360" w:lineRule="auto"/>
              <w:rPr>
                <w:rFonts w:ascii="Arial" w:hAnsi="Arial" w:cs="Arial"/>
              </w:rPr>
            </w:pPr>
            <w:sdt>
              <w:sdtPr>
                <w:rPr>
                  <w:rFonts w:ascii="Arial" w:hAnsi="Arial" w:cs="Arial"/>
                </w:rPr>
                <w:id w:val="898331189"/>
                <w:citation/>
              </w:sdtPr>
              <w:sdtContent>
                <w:r w:rsidR="00307D83">
                  <w:rPr>
                    <w:rFonts w:ascii="Arial" w:hAnsi="Arial" w:cs="Arial"/>
                  </w:rPr>
                  <w:fldChar w:fldCharType="begin"/>
                </w:r>
                <w:r w:rsidR="00307D83">
                  <w:rPr>
                    <w:rFonts w:ascii="Arial" w:hAnsi="Arial" w:cs="Arial"/>
                    <w:lang w:val="en-US"/>
                  </w:rPr>
                  <w:instrText xml:space="preserve"> CITATION Hel19 \l 1033 </w:instrText>
                </w:r>
                <w:r w:rsidR="00307D83">
                  <w:rPr>
                    <w:rFonts w:ascii="Arial" w:hAnsi="Arial" w:cs="Arial"/>
                  </w:rPr>
                  <w:fldChar w:fldCharType="separate"/>
                </w:r>
                <w:r w:rsidR="001E393B" w:rsidRPr="001E393B">
                  <w:rPr>
                    <w:rFonts w:ascii="Arial" w:hAnsi="Arial" w:cs="Arial"/>
                    <w:noProof/>
                    <w:lang w:val="en-US"/>
                  </w:rPr>
                  <w:t>(Carreira, et al., 2019)</w:t>
                </w:r>
                <w:r w:rsidR="00307D83">
                  <w:rPr>
                    <w:rFonts w:ascii="Arial" w:hAnsi="Arial" w:cs="Arial"/>
                  </w:rPr>
                  <w:fldChar w:fldCharType="end"/>
                </w:r>
              </w:sdtContent>
            </w:sdt>
          </w:p>
        </w:tc>
        <w:tc>
          <w:tcPr>
            <w:tcW w:w="2977" w:type="dxa"/>
          </w:tcPr>
          <w:p w14:paraId="61D8C466" w14:textId="1A71A66E" w:rsidR="00307D83" w:rsidRDefault="00307D83" w:rsidP="003B077F">
            <w:pPr>
              <w:spacing w:line="360" w:lineRule="auto"/>
              <w:jc w:val="center"/>
              <w:rPr>
                <w:rFonts w:ascii="Arial" w:hAnsi="Arial" w:cs="Arial"/>
              </w:rPr>
            </w:pPr>
            <w:r>
              <w:rPr>
                <w:rFonts w:ascii="Arial" w:hAnsi="Arial" w:cs="Arial"/>
              </w:rPr>
              <w:t>Systematic review of primary care data</w:t>
            </w:r>
          </w:p>
        </w:tc>
        <w:tc>
          <w:tcPr>
            <w:tcW w:w="3402" w:type="dxa"/>
          </w:tcPr>
          <w:p w14:paraId="53F35FCF" w14:textId="6BF5B2B4" w:rsidR="00307D83" w:rsidRDefault="00CA22D2" w:rsidP="003B077F">
            <w:pPr>
              <w:spacing w:line="360" w:lineRule="auto"/>
              <w:jc w:val="center"/>
              <w:rPr>
                <w:rFonts w:ascii="Arial" w:hAnsi="Arial" w:cs="Arial"/>
              </w:rPr>
            </w:pPr>
            <w:r>
              <w:rPr>
                <w:rFonts w:ascii="Arial" w:hAnsi="Arial" w:cs="Arial"/>
              </w:rPr>
              <w:t>120 Studies</w:t>
            </w:r>
          </w:p>
        </w:tc>
        <w:tc>
          <w:tcPr>
            <w:tcW w:w="4030" w:type="dxa"/>
          </w:tcPr>
          <w:p w14:paraId="3AAF7179" w14:textId="5B33C9ED" w:rsidR="00307D83" w:rsidRDefault="003B077F" w:rsidP="003B077F">
            <w:pPr>
              <w:spacing w:line="360" w:lineRule="auto"/>
              <w:jc w:val="center"/>
              <w:rPr>
                <w:rFonts w:ascii="Arial" w:hAnsi="Arial" w:cs="Arial"/>
              </w:rPr>
            </w:pPr>
            <w:r w:rsidRPr="003B077F">
              <w:rPr>
                <w:rFonts w:ascii="Arial" w:hAnsi="Arial" w:cs="Arial"/>
              </w:rPr>
              <w:t>Assessment of quality of life and mental health outcomes</w:t>
            </w:r>
          </w:p>
        </w:tc>
      </w:tr>
      <w:tr w:rsidR="00307D83" w14:paraId="4A15F501" w14:textId="77777777" w:rsidTr="004A6D8E">
        <w:trPr>
          <w:jc w:val="center"/>
        </w:trPr>
        <w:tc>
          <w:tcPr>
            <w:tcW w:w="3539" w:type="dxa"/>
          </w:tcPr>
          <w:p w14:paraId="79091E33" w14:textId="69751572" w:rsidR="00307D83" w:rsidRPr="00307D83" w:rsidRDefault="00000000" w:rsidP="00307D83">
            <w:pPr>
              <w:pStyle w:val="ListParagraph"/>
              <w:numPr>
                <w:ilvl w:val="0"/>
                <w:numId w:val="24"/>
              </w:numPr>
              <w:spacing w:line="360" w:lineRule="auto"/>
              <w:rPr>
                <w:rFonts w:ascii="Arial" w:hAnsi="Arial" w:cs="Arial"/>
              </w:rPr>
            </w:pPr>
            <w:sdt>
              <w:sdtPr>
                <w:rPr>
                  <w:rFonts w:ascii="Arial" w:hAnsi="Arial" w:cs="Arial"/>
                </w:rPr>
                <w:id w:val="410969971"/>
                <w:citation/>
              </w:sdtPr>
              <w:sdtContent>
                <w:r w:rsidR="00307D83">
                  <w:rPr>
                    <w:rFonts w:ascii="Arial" w:hAnsi="Arial" w:cs="Arial"/>
                  </w:rPr>
                  <w:fldChar w:fldCharType="begin"/>
                </w:r>
                <w:r w:rsidR="00307D83">
                  <w:rPr>
                    <w:rFonts w:ascii="Arial" w:hAnsi="Arial" w:cs="Arial"/>
                    <w:lang w:val="en-US"/>
                  </w:rPr>
                  <w:instrText xml:space="preserve"> CITATION Chr20 \l 1033 </w:instrText>
                </w:r>
                <w:r w:rsidR="00307D83">
                  <w:rPr>
                    <w:rFonts w:ascii="Arial" w:hAnsi="Arial" w:cs="Arial"/>
                  </w:rPr>
                  <w:fldChar w:fldCharType="separate"/>
                </w:r>
                <w:r w:rsidR="001E393B" w:rsidRPr="001E393B">
                  <w:rPr>
                    <w:rFonts w:ascii="Arial" w:hAnsi="Arial" w:cs="Arial"/>
                    <w:noProof/>
                    <w:lang w:val="en-US"/>
                  </w:rPr>
                  <w:t>(Clarke, et al., 2020)</w:t>
                </w:r>
                <w:r w:rsidR="00307D83">
                  <w:rPr>
                    <w:rFonts w:ascii="Arial" w:hAnsi="Arial" w:cs="Arial"/>
                  </w:rPr>
                  <w:fldChar w:fldCharType="end"/>
                </w:r>
              </w:sdtContent>
            </w:sdt>
          </w:p>
        </w:tc>
        <w:tc>
          <w:tcPr>
            <w:tcW w:w="2977" w:type="dxa"/>
          </w:tcPr>
          <w:p w14:paraId="6DD87FA3" w14:textId="4802F11D" w:rsidR="00307D83" w:rsidRDefault="00307D83" w:rsidP="003B077F">
            <w:pPr>
              <w:spacing w:line="360" w:lineRule="auto"/>
              <w:jc w:val="center"/>
              <w:rPr>
                <w:rFonts w:ascii="Arial" w:hAnsi="Arial" w:cs="Arial"/>
              </w:rPr>
            </w:pPr>
            <w:r>
              <w:rPr>
                <w:rFonts w:ascii="Arial" w:hAnsi="Arial" w:cs="Arial"/>
              </w:rPr>
              <w:t>Scoping review</w:t>
            </w:r>
          </w:p>
        </w:tc>
        <w:tc>
          <w:tcPr>
            <w:tcW w:w="3402" w:type="dxa"/>
          </w:tcPr>
          <w:p w14:paraId="25A58CD3" w14:textId="206EE499" w:rsidR="00307D83" w:rsidRDefault="00181C36" w:rsidP="003B077F">
            <w:pPr>
              <w:spacing w:line="360" w:lineRule="auto"/>
              <w:jc w:val="center"/>
              <w:rPr>
                <w:rFonts w:ascii="Arial" w:hAnsi="Arial" w:cs="Arial"/>
              </w:rPr>
            </w:pPr>
            <w:r>
              <w:rPr>
                <w:rFonts w:ascii="Arial" w:hAnsi="Arial" w:cs="Arial"/>
              </w:rPr>
              <w:t>48 Studies</w:t>
            </w:r>
          </w:p>
        </w:tc>
        <w:tc>
          <w:tcPr>
            <w:tcW w:w="4030" w:type="dxa"/>
          </w:tcPr>
          <w:p w14:paraId="5B1830D3" w14:textId="518C4678" w:rsidR="00307D83" w:rsidRDefault="003B077F" w:rsidP="003B077F">
            <w:pPr>
              <w:spacing w:line="360" w:lineRule="auto"/>
              <w:jc w:val="center"/>
              <w:rPr>
                <w:rFonts w:ascii="Arial" w:hAnsi="Arial" w:cs="Arial"/>
              </w:rPr>
            </w:pPr>
            <w:r w:rsidRPr="003B077F">
              <w:rPr>
                <w:rFonts w:ascii="Arial" w:hAnsi="Arial" w:cs="Arial"/>
              </w:rPr>
              <w:t>Indicators for the well-being of individuals with dementia</w:t>
            </w:r>
          </w:p>
        </w:tc>
      </w:tr>
      <w:tr w:rsidR="00307D83" w14:paraId="48BA5F07" w14:textId="77777777" w:rsidTr="004A6D8E">
        <w:trPr>
          <w:jc w:val="center"/>
        </w:trPr>
        <w:tc>
          <w:tcPr>
            <w:tcW w:w="3539" w:type="dxa"/>
          </w:tcPr>
          <w:p w14:paraId="476505D9" w14:textId="70F9BC8A" w:rsidR="00307D83" w:rsidRPr="00307D83" w:rsidRDefault="00000000" w:rsidP="00307D83">
            <w:pPr>
              <w:pStyle w:val="ListParagraph"/>
              <w:numPr>
                <w:ilvl w:val="0"/>
                <w:numId w:val="24"/>
              </w:numPr>
              <w:spacing w:line="360" w:lineRule="auto"/>
              <w:rPr>
                <w:rFonts w:ascii="Arial" w:hAnsi="Arial" w:cs="Arial"/>
              </w:rPr>
            </w:pPr>
            <w:sdt>
              <w:sdtPr>
                <w:rPr>
                  <w:rFonts w:ascii="Arial" w:hAnsi="Arial" w:cs="Arial"/>
                </w:rPr>
                <w:id w:val="-1298754184"/>
                <w:citation/>
              </w:sdtPr>
              <w:sdtContent>
                <w:r w:rsidR="00307D83">
                  <w:rPr>
                    <w:rFonts w:ascii="Arial" w:hAnsi="Arial" w:cs="Arial"/>
                  </w:rPr>
                  <w:fldChar w:fldCharType="begin"/>
                </w:r>
                <w:r w:rsidR="00307D83">
                  <w:rPr>
                    <w:rFonts w:ascii="Arial" w:hAnsi="Arial" w:cs="Arial"/>
                    <w:lang w:val="en-US"/>
                  </w:rPr>
                  <w:instrText xml:space="preserve"> CITATION Ann23 \l 1033 </w:instrText>
                </w:r>
                <w:r w:rsidR="00307D83">
                  <w:rPr>
                    <w:rFonts w:ascii="Arial" w:hAnsi="Arial" w:cs="Arial"/>
                  </w:rPr>
                  <w:fldChar w:fldCharType="separate"/>
                </w:r>
                <w:r w:rsidR="001E393B" w:rsidRPr="001E393B">
                  <w:rPr>
                    <w:rFonts w:ascii="Arial" w:hAnsi="Arial" w:cs="Arial"/>
                    <w:noProof/>
                    <w:lang w:val="en-US"/>
                  </w:rPr>
                  <w:t>(Hunt, et al., 2023)</w:t>
                </w:r>
                <w:r w:rsidR="00307D83">
                  <w:rPr>
                    <w:rFonts w:ascii="Arial" w:hAnsi="Arial" w:cs="Arial"/>
                  </w:rPr>
                  <w:fldChar w:fldCharType="end"/>
                </w:r>
              </w:sdtContent>
            </w:sdt>
          </w:p>
        </w:tc>
        <w:tc>
          <w:tcPr>
            <w:tcW w:w="2977" w:type="dxa"/>
          </w:tcPr>
          <w:p w14:paraId="099E318C" w14:textId="6E82A87D" w:rsidR="00307D83" w:rsidRDefault="00307D83" w:rsidP="003B077F">
            <w:pPr>
              <w:spacing w:line="360" w:lineRule="auto"/>
              <w:jc w:val="center"/>
              <w:rPr>
                <w:rFonts w:ascii="Arial" w:hAnsi="Arial" w:cs="Arial"/>
              </w:rPr>
            </w:pPr>
            <w:r>
              <w:rPr>
                <w:rFonts w:ascii="Arial" w:hAnsi="Arial" w:cs="Arial"/>
              </w:rPr>
              <w:t>Cohort</w:t>
            </w:r>
          </w:p>
        </w:tc>
        <w:tc>
          <w:tcPr>
            <w:tcW w:w="3402" w:type="dxa"/>
          </w:tcPr>
          <w:p w14:paraId="14DF87ED" w14:textId="6595862A" w:rsidR="00307D83" w:rsidRDefault="00181C36" w:rsidP="003B077F">
            <w:pPr>
              <w:spacing w:line="360" w:lineRule="auto"/>
              <w:jc w:val="center"/>
              <w:rPr>
                <w:rFonts w:ascii="Arial" w:hAnsi="Arial" w:cs="Arial"/>
              </w:rPr>
            </w:pPr>
            <w:r>
              <w:rPr>
                <w:rFonts w:ascii="Arial" w:hAnsi="Arial" w:cs="Arial"/>
              </w:rPr>
              <w:t>1487 PLWD and 1234 caregivers</w:t>
            </w:r>
          </w:p>
        </w:tc>
        <w:tc>
          <w:tcPr>
            <w:tcW w:w="4030" w:type="dxa"/>
          </w:tcPr>
          <w:p w14:paraId="5E6E4E30" w14:textId="3B405BAB" w:rsidR="00307D83" w:rsidRDefault="007D6DB3" w:rsidP="007D6DB3">
            <w:pPr>
              <w:spacing w:line="360" w:lineRule="auto"/>
              <w:jc w:val="center"/>
              <w:rPr>
                <w:rFonts w:ascii="Arial" w:hAnsi="Arial" w:cs="Arial"/>
              </w:rPr>
            </w:pPr>
            <w:r w:rsidRPr="007D6DB3">
              <w:rPr>
                <w:rFonts w:ascii="Arial" w:hAnsi="Arial" w:cs="Arial"/>
              </w:rPr>
              <w:t>Personality characteristics, quality of life, and well-being</w:t>
            </w:r>
          </w:p>
        </w:tc>
      </w:tr>
      <w:tr w:rsidR="00307D83" w14:paraId="3A9E509E" w14:textId="77777777" w:rsidTr="004A6D8E">
        <w:trPr>
          <w:jc w:val="center"/>
        </w:trPr>
        <w:tc>
          <w:tcPr>
            <w:tcW w:w="3539" w:type="dxa"/>
          </w:tcPr>
          <w:p w14:paraId="30DC7659" w14:textId="77E27F05" w:rsidR="00307D83" w:rsidRPr="00307D83" w:rsidRDefault="00000000" w:rsidP="00307D83">
            <w:pPr>
              <w:pStyle w:val="ListParagraph"/>
              <w:numPr>
                <w:ilvl w:val="0"/>
                <w:numId w:val="24"/>
              </w:numPr>
              <w:spacing w:line="360" w:lineRule="auto"/>
              <w:rPr>
                <w:rFonts w:ascii="Arial" w:hAnsi="Arial" w:cs="Arial"/>
              </w:rPr>
            </w:pPr>
            <w:sdt>
              <w:sdtPr>
                <w:rPr>
                  <w:rFonts w:ascii="Arial" w:hAnsi="Arial" w:cs="Arial"/>
                </w:rPr>
                <w:id w:val="-241264878"/>
                <w:citation/>
              </w:sdtPr>
              <w:sdtContent>
                <w:r w:rsidR="00307D83">
                  <w:rPr>
                    <w:rFonts w:ascii="Arial" w:hAnsi="Arial" w:cs="Arial"/>
                  </w:rPr>
                  <w:fldChar w:fldCharType="begin"/>
                </w:r>
                <w:r w:rsidR="00307D83">
                  <w:rPr>
                    <w:rFonts w:ascii="Arial" w:hAnsi="Arial" w:cs="Arial"/>
                    <w:lang w:val="en-US"/>
                  </w:rPr>
                  <w:instrText xml:space="preserve"> CITATION Ali21 \l 1033 </w:instrText>
                </w:r>
                <w:r w:rsidR="00307D83">
                  <w:rPr>
                    <w:rFonts w:ascii="Arial" w:hAnsi="Arial" w:cs="Arial"/>
                  </w:rPr>
                  <w:fldChar w:fldCharType="separate"/>
                </w:r>
                <w:r w:rsidR="001E393B" w:rsidRPr="001E393B">
                  <w:rPr>
                    <w:rFonts w:ascii="Arial" w:hAnsi="Arial" w:cs="Arial"/>
                    <w:noProof/>
                    <w:lang w:val="en-US"/>
                  </w:rPr>
                  <w:t>(Wheatley, et al., 2021)</w:t>
                </w:r>
                <w:r w:rsidR="00307D83">
                  <w:rPr>
                    <w:rFonts w:ascii="Arial" w:hAnsi="Arial" w:cs="Arial"/>
                  </w:rPr>
                  <w:fldChar w:fldCharType="end"/>
                </w:r>
              </w:sdtContent>
            </w:sdt>
          </w:p>
        </w:tc>
        <w:tc>
          <w:tcPr>
            <w:tcW w:w="2977" w:type="dxa"/>
          </w:tcPr>
          <w:p w14:paraId="14B4EFE7" w14:textId="30E4EEBC" w:rsidR="00307D83" w:rsidRDefault="00307D83" w:rsidP="003B077F">
            <w:pPr>
              <w:spacing w:line="360" w:lineRule="auto"/>
              <w:jc w:val="center"/>
              <w:rPr>
                <w:rFonts w:ascii="Arial" w:hAnsi="Arial" w:cs="Arial"/>
              </w:rPr>
            </w:pPr>
            <w:r>
              <w:rPr>
                <w:rFonts w:ascii="Arial" w:hAnsi="Arial" w:cs="Arial"/>
              </w:rPr>
              <w:t>Qualitative</w:t>
            </w:r>
          </w:p>
        </w:tc>
        <w:tc>
          <w:tcPr>
            <w:tcW w:w="3402" w:type="dxa"/>
          </w:tcPr>
          <w:p w14:paraId="7C6433E7" w14:textId="4CC331EC" w:rsidR="00307D83" w:rsidRDefault="00181C36" w:rsidP="003B077F">
            <w:pPr>
              <w:spacing w:line="360" w:lineRule="auto"/>
              <w:jc w:val="center"/>
              <w:rPr>
                <w:rFonts w:ascii="Arial" w:hAnsi="Arial" w:cs="Arial"/>
              </w:rPr>
            </w:pPr>
            <w:r>
              <w:rPr>
                <w:rFonts w:ascii="Arial" w:hAnsi="Arial" w:cs="Arial"/>
              </w:rPr>
              <w:t>129 professionals, 17 PLWD and 31 carers</w:t>
            </w:r>
          </w:p>
        </w:tc>
        <w:tc>
          <w:tcPr>
            <w:tcW w:w="4030" w:type="dxa"/>
          </w:tcPr>
          <w:p w14:paraId="1C790FCD" w14:textId="40AAAB60" w:rsidR="00307D83" w:rsidRDefault="007D6DB3" w:rsidP="007D6DB3">
            <w:pPr>
              <w:spacing w:line="360" w:lineRule="auto"/>
              <w:jc w:val="center"/>
              <w:rPr>
                <w:rFonts w:ascii="Arial" w:hAnsi="Arial" w:cs="Arial"/>
              </w:rPr>
            </w:pPr>
            <w:r w:rsidRPr="007D6DB3">
              <w:rPr>
                <w:rFonts w:ascii="Arial" w:hAnsi="Arial" w:cs="Arial"/>
              </w:rPr>
              <w:t>Obstacles to implementation</w:t>
            </w:r>
          </w:p>
          <w:p w14:paraId="2B280D98" w14:textId="77777777" w:rsidR="007D6DB3" w:rsidRPr="007D6DB3" w:rsidRDefault="007D6DB3" w:rsidP="007D6DB3">
            <w:pPr>
              <w:ind w:firstLine="720"/>
              <w:rPr>
                <w:rFonts w:ascii="Arial" w:hAnsi="Arial" w:cs="Arial"/>
              </w:rPr>
            </w:pPr>
          </w:p>
        </w:tc>
      </w:tr>
      <w:tr w:rsidR="00307D83" w14:paraId="4EFB2A6C" w14:textId="77777777" w:rsidTr="004A6D8E">
        <w:trPr>
          <w:jc w:val="center"/>
        </w:trPr>
        <w:tc>
          <w:tcPr>
            <w:tcW w:w="3539" w:type="dxa"/>
          </w:tcPr>
          <w:p w14:paraId="6687936A" w14:textId="67FC7C95" w:rsidR="00307D83" w:rsidRPr="00307D83" w:rsidRDefault="00000000" w:rsidP="00307D83">
            <w:pPr>
              <w:pStyle w:val="ListParagraph"/>
              <w:numPr>
                <w:ilvl w:val="0"/>
                <w:numId w:val="24"/>
              </w:numPr>
              <w:spacing w:line="360" w:lineRule="auto"/>
              <w:rPr>
                <w:rFonts w:ascii="Arial" w:hAnsi="Arial" w:cs="Arial"/>
              </w:rPr>
            </w:pPr>
            <w:sdt>
              <w:sdtPr>
                <w:rPr>
                  <w:rFonts w:ascii="Arial" w:hAnsi="Arial" w:cs="Arial"/>
                </w:rPr>
                <w:id w:val="797880695"/>
                <w:citation/>
              </w:sdtPr>
              <w:sdtContent>
                <w:r w:rsidR="00307D83">
                  <w:rPr>
                    <w:rFonts w:ascii="Arial" w:hAnsi="Arial" w:cs="Arial"/>
                  </w:rPr>
                  <w:fldChar w:fldCharType="begin"/>
                </w:r>
                <w:r w:rsidR="00307D83">
                  <w:rPr>
                    <w:rFonts w:ascii="Arial" w:hAnsi="Arial" w:cs="Arial"/>
                    <w:lang w:val="en-US"/>
                  </w:rPr>
                  <w:instrText xml:space="preserve"> CITATION Geo22 \l 1033 </w:instrText>
                </w:r>
                <w:r w:rsidR="00307D83">
                  <w:rPr>
                    <w:rFonts w:ascii="Arial" w:hAnsi="Arial" w:cs="Arial"/>
                  </w:rPr>
                  <w:fldChar w:fldCharType="separate"/>
                </w:r>
                <w:r w:rsidR="001E393B" w:rsidRPr="001E393B">
                  <w:rPr>
                    <w:rFonts w:ascii="Arial" w:hAnsi="Arial" w:cs="Arial"/>
                    <w:noProof/>
                    <w:lang w:val="en-US"/>
                  </w:rPr>
                  <w:t>(Bell, et al., 2022)</w:t>
                </w:r>
                <w:r w:rsidR="00307D83">
                  <w:rPr>
                    <w:rFonts w:ascii="Arial" w:hAnsi="Arial" w:cs="Arial"/>
                  </w:rPr>
                  <w:fldChar w:fldCharType="end"/>
                </w:r>
              </w:sdtContent>
            </w:sdt>
          </w:p>
        </w:tc>
        <w:tc>
          <w:tcPr>
            <w:tcW w:w="2977" w:type="dxa"/>
          </w:tcPr>
          <w:p w14:paraId="7A2F376D" w14:textId="2D1BB91B" w:rsidR="00307D83" w:rsidRDefault="00307D83" w:rsidP="003B077F">
            <w:pPr>
              <w:spacing w:line="360" w:lineRule="auto"/>
              <w:jc w:val="center"/>
              <w:rPr>
                <w:rFonts w:ascii="Arial" w:hAnsi="Arial" w:cs="Arial"/>
              </w:rPr>
            </w:pPr>
            <w:r>
              <w:rPr>
                <w:rFonts w:ascii="Arial" w:hAnsi="Arial" w:cs="Arial"/>
              </w:rPr>
              <w:t>Healthcare database study</w:t>
            </w:r>
          </w:p>
        </w:tc>
        <w:tc>
          <w:tcPr>
            <w:tcW w:w="3402" w:type="dxa"/>
          </w:tcPr>
          <w:p w14:paraId="006E3C59" w14:textId="041E9FB4" w:rsidR="00307D83" w:rsidRDefault="00181C36" w:rsidP="003B077F">
            <w:pPr>
              <w:spacing w:line="360" w:lineRule="auto"/>
              <w:jc w:val="center"/>
              <w:rPr>
                <w:rFonts w:ascii="Arial" w:hAnsi="Arial" w:cs="Arial"/>
              </w:rPr>
            </w:pPr>
            <w:r>
              <w:rPr>
                <w:rFonts w:ascii="Arial" w:hAnsi="Arial" w:cs="Arial"/>
              </w:rPr>
              <w:t>IAPT/NHS Data</w:t>
            </w:r>
          </w:p>
        </w:tc>
        <w:tc>
          <w:tcPr>
            <w:tcW w:w="4030" w:type="dxa"/>
          </w:tcPr>
          <w:p w14:paraId="4D4E48C6" w14:textId="77777777" w:rsidR="007D6DB3" w:rsidRPr="007D6DB3" w:rsidRDefault="007D6DB3" w:rsidP="007D6DB3">
            <w:pPr>
              <w:spacing w:line="360" w:lineRule="auto"/>
              <w:jc w:val="center"/>
              <w:rPr>
                <w:rFonts w:ascii="Arial" w:hAnsi="Arial" w:cs="Arial"/>
              </w:rPr>
            </w:pPr>
            <w:r w:rsidRPr="007D6DB3">
              <w:rPr>
                <w:rFonts w:ascii="Arial" w:hAnsi="Arial" w:cs="Arial"/>
              </w:rPr>
              <w:t>Efficacy of therapies</w:t>
            </w:r>
          </w:p>
          <w:p w14:paraId="200DDD9A" w14:textId="77777777" w:rsidR="00307D83" w:rsidRDefault="00307D83" w:rsidP="003B077F">
            <w:pPr>
              <w:spacing w:line="360" w:lineRule="auto"/>
              <w:jc w:val="center"/>
              <w:rPr>
                <w:rFonts w:ascii="Arial" w:hAnsi="Arial" w:cs="Arial"/>
              </w:rPr>
            </w:pPr>
          </w:p>
        </w:tc>
      </w:tr>
      <w:tr w:rsidR="00307D83" w14:paraId="4EF574C4" w14:textId="77777777" w:rsidTr="004A6D8E">
        <w:trPr>
          <w:jc w:val="center"/>
        </w:trPr>
        <w:tc>
          <w:tcPr>
            <w:tcW w:w="3539" w:type="dxa"/>
          </w:tcPr>
          <w:p w14:paraId="14974F89" w14:textId="0CBB1748" w:rsidR="00307D83" w:rsidRPr="00307D83" w:rsidRDefault="00000000" w:rsidP="00307D83">
            <w:pPr>
              <w:pStyle w:val="ListParagraph"/>
              <w:numPr>
                <w:ilvl w:val="0"/>
                <w:numId w:val="24"/>
              </w:numPr>
              <w:spacing w:line="360" w:lineRule="auto"/>
              <w:rPr>
                <w:rFonts w:ascii="Arial" w:hAnsi="Arial" w:cs="Arial"/>
              </w:rPr>
            </w:pPr>
            <w:sdt>
              <w:sdtPr>
                <w:rPr>
                  <w:rFonts w:ascii="Arial" w:hAnsi="Arial" w:cs="Arial"/>
                </w:rPr>
                <w:id w:val="1872498524"/>
                <w:citation/>
              </w:sdtPr>
              <w:sdtContent>
                <w:r w:rsidR="00307D83">
                  <w:rPr>
                    <w:rFonts w:ascii="Arial" w:hAnsi="Arial" w:cs="Arial"/>
                  </w:rPr>
                  <w:fldChar w:fldCharType="begin"/>
                </w:r>
                <w:r w:rsidR="00307D83">
                  <w:rPr>
                    <w:rFonts w:ascii="Arial" w:hAnsi="Arial" w:cs="Arial"/>
                    <w:lang w:val="en-US"/>
                  </w:rPr>
                  <w:instrText xml:space="preserve"> CITATION Geo24 \l 1033 </w:instrText>
                </w:r>
                <w:r w:rsidR="00307D83">
                  <w:rPr>
                    <w:rFonts w:ascii="Arial" w:hAnsi="Arial" w:cs="Arial"/>
                  </w:rPr>
                  <w:fldChar w:fldCharType="separate"/>
                </w:r>
                <w:r w:rsidR="001E393B" w:rsidRPr="001E393B">
                  <w:rPr>
                    <w:rFonts w:ascii="Arial" w:hAnsi="Arial" w:cs="Arial"/>
                    <w:noProof/>
                    <w:lang w:val="en-US"/>
                  </w:rPr>
                  <w:t>(Bell, et al., 2024)</w:t>
                </w:r>
                <w:r w:rsidR="00307D83">
                  <w:rPr>
                    <w:rFonts w:ascii="Arial" w:hAnsi="Arial" w:cs="Arial"/>
                  </w:rPr>
                  <w:fldChar w:fldCharType="end"/>
                </w:r>
              </w:sdtContent>
            </w:sdt>
          </w:p>
        </w:tc>
        <w:tc>
          <w:tcPr>
            <w:tcW w:w="2977" w:type="dxa"/>
          </w:tcPr>
          <w:p w14:paraId="0BD2F1EC" w14:textId="5CCC673F" w:rsidR="00307D83" w:rsidRDefault="00307D83" w:rsidP="003B077F">
            <w:pPr>
              <w:spacing w:line="360" w:lineRule="auto"/>
              <w:jc w:val="center"/>
              <w:rPr>
                <w:rFonts w:ascii="Arial" w:hAnsi="Arial" w:cs="Arial"/>
              </w:rPr>
            </w:pPr>
            <w:r>
              <w:rPr>
                <w:rFonts w:ascii="Arial" w:hAnsi="Arial" w:cs="Arial"/>
              </w:rPr>
              <w:t>Mixed methods</w:t>
            </w:r>
          </w:p>
        </w:tc>
        <w:tc>
          <w:tcPr>
            <w:tcW w:w="3402" w:type="dxa"/>
          </w:tcPr>
          <w:p w14:paraId="36979239" w14:textId="01184CFC" w:rsidR="00307D83" w:rsidRDefault="00181C36" w:rsidP="003B077F">
            <w:pPr>
              <w:spacing w:line="360" w:lineRule="auto"/>
              <w:jc w:val="center"/>
              <w:rPr>
                <w:rFonts w:ascii="Arial" w:hAnsi="Arial" w:cs="Arial"/>
              </w:rPr>
            </w:pPr>
            <w:r>
              <w:rPr>
                <w:rFonts w:ascii="Arial" w:hAnsi="Arial" w:cs="Arial"/>
              </w:rPr>
              <w:t>NHS psychological therapy data</w:t>
            </w:r>
          </w:p>
        </w:tc>
        <w:tc>
          <w:tcPr>
            <w:tcW w:w="4030" w:type="dxa"/>
          </w:tcPr>
          <w:p w14:paraId="536CEA9A" w14:textId="6687ADC6" w:rsidR="00307D83" w:rsidRDefault="007D6DB3" w:rsidP="007D6DB3">
            <w:pPr>
              <w:spacing w:line="360" w:lineRule="auto"/>
              <w:jc w:val="center"/>
              <w:rPr>
                <w:rFonts w:ascii="Arial" w:hAnsi="Arial" w:cs="Arial"/>
              </w:rPr>
            </w:pPr>
            <w:r w:rsidRPr="007D6DB3">
              <w:rPr>
                <w:rFonts w:ascii="Arial" w:hAnsi="Arial" w:cs="Arial"/>
              </w:rPr>
              <w:t>Determinants of outcomes</w:t>
            </w:r>
          </w:p>
          <w:p w14:paraId="6FD163FB" w14:textId="77777777" w:rsidR="007D6DB3" w:rsidRPr="007D6DB3" w:rsidRDefault="007D6DB3" w:rsidP="007D6DB3">
            <w:pPr>
              <w:jc w:val="center"/>
              <w:rPr>
                <w:rFonts w:ascii="Arial" w:hAnsi="Arial" w:cs="Arial"/>
              </w:rPr>
            </w:pPr>
          </w:p>
        </w:tc>
      </w:tr>
    </w:tbl>
    <w:p w14:paraId="629A46B5" w14:textId="30D1F724" w:rsidR="00225529" w:rsidRDefault="00225529" w:rsidP="00225529">
      <w:pPr>
        <w:tabs>
          <w:tab w:val="left" w:pos="10770"/>
        </w:tabs>
        <w:rPr>
          <w:rFonts w:ascii="Arial" w:hAnsi="Arial" w:cs="Arial"/>
          <w:i/>
          <w:iCs/>
          <w:color w:val="000000" w:themeColor="text1"/>
        </w:rPr>
      </w:pPr>
      <w:bookmarkStart w:id="71" w:name="_Toc210218501"/>
      <w:bookmarkStart w:id="72" w:name="_Toc210302982"/>
    </w:p>
    <w:p w14:paraId="006AA556" w14:textId="7AD1F750" w:rsidR="00225529" w:rsidRPr="00225529" w:rsidRDefault="00225529" w:rsidP="00225529">
      <w:pPr>
        <w:tabs>
          <w:tab w:val="left" w:pos="10770"/>
        </w:tabs>
        <w:jc w:val="center"/>
        <w:rPr>
          <w:i/>
          <w:iCs/>
        </w:rPr>
        <w:sectPr w:rsidR="00225529" w:rsidRPr="00225529" w:rsidSect="00225529">
          <w:pgSz w:w="16838" w:h="11906" w:orient="landscape"/>
          <w:pgMar w:top="1440" w:right="1440" w:bottom="1440" w:left="1440" w:header="709" w:footer="709" w:gutter="0"/>
          <w:cols w:space="708"/>
          <w:titlePg/>
          <w:docGrid w:linePitch="360"/>
        </w:sectPr>
      </w:pPr>
      <w:r>
        <w:rPr>
          <w:rFonts w:ascii="Arial" w:hAnsi="Arial" w:cs="Arial"/>
          <w:i/>
          <w:iCs/>
          <w:color w:val="000000" w:themeColor="text1"/>
        </w:rPr>
        <w:t xml:space="preserve">    </w:t>
      </w:r>
      <w:r w:rsidRPr="00225529">
        <w:rPr>
          <w:rFonts w:ascii="Arial" w:hAnsi="Arial" w:cs="Arial"/>
          <w:i/>
          <w:iCs/>
          <w:color w:val="000000" w:themeColor="text1"/>
        </w:rPr>
        <w:t xml:space="preserve">Table </w:t>
      </w:r>
      <w:r w:rsidRPr="00225529">
        <w:rPr>
          <w:rFonts w:ascii="Arial" w:hAnsi="Arial" w:cs="Arial"/>
          <w:i/>
          <w:iCs/>
          <w:color w:val="000000" w:themeColor="text1"/>
        </w:rPr>
        <w:fldChar w:fldCharType="begin"/>
      </w:r>
      <w:r w:rsidRPr="00225529">
        <w:rPr>
          <w:rFonts w:ascii="Arial" w:hAnsi="Arial" w:cs="Arial"/>
          <w:i/>
          <w:iCs/>
          <w:color w:val="000000" w:themeColor="text1"/>
        </w:rPr>
        <w:instrText xml:space="preserve"> SEQ Table \* ARABIC </w:instrText>
      </w:r>
      <w:r w:rsidRPr="00225529">
        <w:rPr>
          <w:rFonts w:ascii="Arial" w:hAnsi="Arial" w:cs="Arial"/>
          <w:i/>
          <w:iCs/>
          <w:color w:val="000000" w:themeColor="text1"/>
        </w:rPr>
        <w:fldChar w:fldCharType="separate"/>
      </w:r>
      <w:r w:rsidRPr="00225529">
        <w:rPr>
          <w:rFonts w:ascii="Arial" w:hAnsi="Arial" w:cs="Arial"/>
          <w:i/>
          <w:iCs/>
          <w:noProof/>
          <w:color w:val="000000" w:themeColor="text1"/>
        </w:rPr>
        <w:t>1</w:t>
      </w:r>
      <w:r w:rsidRPr="00225529">
        <w:rPr>
          <w:rFonts w:ascii="Arial" w:hAnsi="Arial" w:cs="Arial"/>
          <w:i/>
          <w:iCs/>
          <w:color w:val="000000" w:themeColor="text1"/>
        </w:rPr>
        <w:fldChar w:fldCharType="end"/>
      </w:r>
      <w:r w:rsidRPr="00225529">
        <w:rPr>
          <w:rFonts w:ascii="Arial" w:hAnsi="Arial" w:cs="Arial"/>
          <w:i/>
          <w:iCs/>
          <w:color w:val="000000" w:themeColor="text1"/>
        </w:rPr>
        <w:t>: Summary of included studie</w:t>
      </w:r>
      <w:r w:rsidR="00A14D27">
        <w:rPr>
          <w:rFonts w:ascii="Arial" w:hAnsi="Arial" w:cs="Arial"/>
          <w:i/>
          <w:iCs/>
          <w:color w:val="000000" w:themeColor="text1"/>
        </w:rPr>
        <w:t>s</w:t>
      </w:r>
    </w:p>
    <w:bookmarkEnd w:id="71"/>
    <w:bookmarkEnd w:id="72"/>
    <w:p w14:paraId="4C3AF5FE" w14:textId="627F0F15" w:rsidR="00B4497B" w:rsidRDefault="00B4497B" w:rsidP="00B4497B">
      <w:pPr>
        <w:spacing w:line="360" w:lineRule="auto"/>
        <w:rPr>
          <w:rFonts w:ascii="Arial" w:hAnsi="Arial" w:cs="Arial"/>
        </w:rPr>
      </w:pPr>
      <w:r w:rsidRPr="00B4497B">
        <w:rPr>
          <w:rFonts w:ascii="Arial" w:hAnsi="Arial" w:cs="Arial"/>
          <w:b/>
          <w:bCs/>
        </w:rPr>
        <w:lastRenderedPageBreak/>
        <w:t>Qualitative studies</w:t>
      </w:r>
      <w:r w:rsidRPr="00B4497B">
        <w:rPr>
          <w:rFonts w:ascii="Arial" w:hAnsi="Arial" w:cs="Arial"/>
        </w:rPr>
        <w:br/>
        <w:t>Four of the studies employed qualitative methodologies utilising semi-structured interviews or focus groups. Field et al. (2021) examined the adoption of psychosocial interventions in individuals with early dementia, emphasising the significance of personal choice, stigma, and relative participation in determining engagement. Kajander et al. (2022) investigated user experiences of a health promotion educational intervention, illustrating how early involvement generated feelings of empowerment and mechanisms for coping. Edwards et al. (2024) examined the influence of early-stage dementia on daily activities, highlighting how the timing of diagnosis affects adaptation and engagement in significant roles. Wheatley et al. (2021) examined obstacles and strategies in the execution of post-diagnostic support within English dementia services, revealing discrepancies in practice and the significance of service-level frameworks. These studies collectively underscore lived experiences, the significance of personal stories, and the obstacles to service accessibility.</w:t>
      </w:r>
    </w:p>
    <w:p w14:paraId="7F1218CB" w14:textId="77777777" w:rsidR="00B4497B" w:rsidRDefault="00B4497B" w:rsidP="00B4497B">
      <w:pPr>
        <w:spacing w:line="360" w:lineRule="auto"/>
        <w:rPr>
          <w:rFonts w:ascii="Arial" w:hAnsi="Arial" w:cs="Arial"/>
        </w:rPr>
      </w:pPr>
      <w:r w:rsidRPr="00B4497B">
        <w:rPr>
          <w:rFonts w:ascii="Arial" w:hAnsi="Arial" w:cs="Arial"/>
          <w:b/>
          <w:bCs/>
        </w:rPr>
        <w:t>Cohort and Database Analyses</w:t>
      </w:r>
      <w:r w:rsidRPr="00B4497B">
        <w:rPr>
          <w:rFonts w:ascii="Arial" w:hAnsi="Arial" w:cs="Arial"/>
        </w:rPr>
        <w:br/>
        <w:t>Three studies utilised extensive quantitative analyses utilising NHS or primary care databases. Pujades-Rodriguez et al. (2018) performed a record-linkage cohort study utilising various English health datasets (CALIBRE), providing substantial estimates of dementia prevalence, prognosis, and related comorbidities, while highlighting discrepancies in diagnostic timing. Carreira et al. (2019) conducted a systematic review of the ability of UK primary care databases to document mental health and quality of life outcomes, revealing substantial deficiencies in the recording of anxiety and depression concerning dementia. Bell et al. (2022) analysed national healthcare records to evaluate the efficacy of primary care psychological therapy services for individuals with dementia, providing essential insights into the outcomes of early versus late diagnoses. These studies offer the extensive, population-level framework in which individual experiences of diagnosis and treatment are framed.</w:t>
      </w:r>
    </w:p>
    <w:p w14:paraId="7942773A" w14:textId="77777777" w:rsidR="00B4497B" w:rsidRDefault="00B4497B" w:rsidP="00B4497B">
      <w:pPr>
        <w:spacing w:line="360" w:lineRule="auto"/>
        <w:rPr>
          <w:rFonts w:ascii="Arial" w:hAnsi="Arial" w:cs="Arial"/>
        </w:rPr>
      </w:pPr>
      <w:r w:rsidRPr="00B4497B">
        <w:rPr>
          <w:rFonts w:ascii="Arial" w:hAnsi="Arial" w:cs="Arial"/>
          <w:b/>
          <w:bCs/>
        </w:rPr>
        <w:t>Systematic and Conceptual Analyses</w:t>
      </w:r>
      <w:r w:rsidRPr="00B4497B">
        <w:rPr>
          <w:rFonts w:ascii="Arial" w:hAnsi="Arial" w:cs="Arial"/>
        </w:rPr>
        <w:br/>
        <w:t>Two of the studies included were systematic or conceptual reviews. Clarke et al. (2020) conducted a scoping review that explored ideas and metrics of wellbeing in dementia, emphasising the psychological domain, thereby establishing a theoretical framework for assessing mental health outcomes at various diagnostic stages. Hunt et al. (2023), in their report on the IDEAL programme, synthesised longitudinal data regarding personality traits, wellbeing, and life satisfaction in dementia, showing how individual differences affect the psychological effects of the timing of diagnosis. Together, these reviews outline the conceptual parameters of "mental health outcomes" and highlight the significance of incorporating psychological wellbeing alongside with biomedical metrics.</w:t>
      </w:r>
    </w:p>
    <w:p w14:paraId="04578744" w14:textId="77777777" w:rsidR="00F70EF8" w:rsidRDefault="00F70EF8" w:rsidP="00F70EF8">
      <w:pPr>
        <w:spacing w:line="360" w:lineRule="auto"/>
        <w:rPr>
          <w:rFonts w:ascii="Arial" w:hAnsi="Arial" w:cs="Arial"/>
        </w:rPr>
      </w:pPr>
      <w:r w:rsidRPr="00F70EF8">
        <w:rPr>
          <w:rFonts w:ascii="Arial" w:hAnsi="Arial" w:cs="Arial"/>
          <w:b/>
          <w:bCs/>
        </w:rPr>
        <w:lastRenderedPageBreak/>
        <w:t>Mixed-Methods Study</w:t>
      </w:r>
      <w:r w:rsidRPr="00F70EF8">
        <w:rPr>
          <w:rFonts w:ascii="Arial" w:hAnsi="Arial" w:cs="Arial"/>
        </w:rPr>
        <w:br/>
        <w:t>A single study employed a mixed-methods design. Bell et al. (2024) examined predictors of outcomes in primary care psychological therapy for individuals with dementia, combining statistical analysis of national records with service-level assessment. The integration of quantitative outcome data and qualitative insights regarding therapy engagement offered a detailed understanding of how timely intervention affects emotional wellbeing.</w:t>
      </w:r>
    </w:p>
    <w:p w14:paraId="166F6DA6" w14:textId="77777777" w:rsidR="00CD7735" w:rsidRDefault="00CD7735" w:rsidP="00F70EF8">
      <w:pPr>
        <w:spacing w:line="360" w:lineRule="auto"/>
        <w:rPr>
          <w:rFonts w:ascii="Arial" w:hAnsi="Arial" w:cs="Arial"/>
        </w:rPr>
      </w:pPr>
    </w:p>
    <w:p w14:paraId="1715D6D5" w14:textId="36F95C29" w:rsidR="00F70EF8" w:rsidRPr="00CD7735" w:rsidRDefault="00CD7735" w:rsidP="00CD7735">
      <w:pPr>
        <w:pStyle w:val="Heading2"/>
        <w:spacing w:line="360" w:lineRule="auto"/>
        <w:jc w:val="left"/>
        <w:rPr>
          <w:rFonts w:ascii="Arial" w:hAnsi="Arial" w:cs="Arial"/>
        </w:rPr>
      </w:pPr>
      <w:bookmarkStart w:id="73" w:name="_Toc210677398"/>
      <w:r w:rsidRPr="00CD7735">
        <w:rPr>
          <w:rFonts w:ascii="Arial" w:hAnsi="Arial" w:cs="Arial"/>
        </w:rPr>
        <w:t>4.4 Thematic Synthesis Results</w:t>
      </w:r>
      <w:bookmarkEnd w:id="73"/>
    </w:p>
    <w:p w14:paraId="0F0845D7" w14:textId="419B3B7F" w:rsidR="00CD7735" w:rsidRDefault="00CD7735" w:rsidP="00CD7735">
      <w:pPr>
        <w:spacing w:line="360" w:lineRule="auto"/>
        <w:rPr>
          <w:rFonts w:ascii="Arial" w:hAnsi="Arial" w:cs="Arial"/>
        </w:rPr>
      </w:pPr>
      <w:r w:rsidRPr="00CD7735">
        <w:rPr>
          <w:rFonts w:ascii="Arial" w:hAnsi="Arial" w:cs="Arial"/>
        </w:rPr>
        <w:t xml:space="preserve">Through coding and meticulous line-by-line analysis of the ten studies, four principal analytical themes were identified: (1) adjustment to diagnosis and emotional responses, (2) obstacles and facilitators to intervention acceptance, (3) post-diagnostic support and service provision, and (4) relational and social </w:t>
      </w:r>
      <w:r>
        <w:rPr>
          <w:rFonts w:ascii="Arial" w:hAnsi="Arial" w:cs="Arial"/>
        </w:rPr>
        <w:t>variables</w:t>
      </w:r>
      <w:r w:rsidRPr="00CD7735">
        <w:rPr>
          <w:rFonts w:ascii="Arial" w:hAnsi="Arial" w:cs="Arial"/>
        </w:rPr>
        <w:t>. These themes consistently emerged across qualitative, quantitative, and mixed-methods evidence, reflecting both patient and carer perspectives alongside service-level data.</w:t>
      </w:r>
    </w:p>
    <w:p w14:paraId="0EA8C58F" w14:textId="07939D7D" w:rsidR="00CD7735" w:rsidRPr="00CD7735" w:rsidRDefault="00CD7735" w:rsidP="00CD7735">
      <w:pPr>
        <w:pStyle w:val="Heading3"/>
        <w:rPr>
          <w:rFonts w:ascii="Arial" w:hAnsi="Arial" w:cs="Arial"/>
          <w:b/>
          <w:bCs/>
          <w:u w:val="none"/>
        </w:rPr>
      </w:pPr>
      <w:bookmarkStart w:id="74" w:name="_Toc210677399"/>
      <w:r w:rsidRPr="00CD7735">
        <w:rPr>
          <w:rFonts w:ascii="Arial" w:hAnsi="Arial" w:cs="Arial"/>
          <w:b/>
          <w:bCs/>
          <w:u w:val="none"/>
        </w:rPr>
        <w:t>4.4.1 Theme 1</w:t>
      </w:r>
      <w:bookmarkEnd w:id="74"/>
    </w:p>
    <w:p w14:paraId="573F4050" w14:textId="2E924A19" w:rsidR="00B4497B" w:rsidRDefault="00CD7735" w:rsidP="00B4497B">
      <w:pPr>
        <w:spacing w:line="360" w:lineRule="auto"/>
        <w:rPr>
          <w:rFonts w:ascii="Arial" w:hAnsi="Arial" w:cs="Arial"/>
          <w:b/>
          <w:bCs/>
        </w:rPr>
      </w:pPr>
      <w:r w:rsidRPr="00CD7735">
        <w:rPr>
          <w:rFonts w:ascii="Arial" w:hAnsi="Arial" w:cs="Arial"/>
          <w:b/>
          <w:bCs/>
        </w:rPr>
        <w:t>Adjustment to diagnosis and emotional responses</w:t>
      </w:r>
    </w:p>
    <w:p w14:paraId="2D1EB770" w14:textId="77777777" w:rsidR="00FF4DAA" w:rsidRDefault="00FF4DAA" w:rsidP="00FF4DAA">
      <w:pPr>
        <w:spacing w:line="360" w:lineRule="auto"/>
        <w:rPr>
          <w:rFonts w:ascii="Arial" w:hAnsi="Arial" w:cs="Arial"/>
        </w:rPr>
      </w:pPr>
      <w:r w:rsidRPr="00FF4DAA">
        <w:rPr>
          <w:rFonts w:ascii="Arial" w:hAnsi="Arial" w:cs="Arial"/>
        </w:rPr>
        <w:t>Across studies, a significant finding was that the timing of diagnosis profoundly influenced the emotional adjustment of individuals with dementia to their condition.</w:t>
      </w:r>
    </w:p>
    <w:p w14:paraId="597BC45A" w14:textId="53DBB587" w:rsidR="00FF4DAA" w:rsidRDefault="00FF4DAA" w:rsidP="00FF4DAA">
      <w:pPr>
        <w:spacing w:line="360" w:lineRule="auto"/>
        <w:rPr>
          <w:rFonts w:ascii="Arial" w:hAnsi="Arial" w:cs="Arial"/>
        </w:rPr>
      </w:pPr>
      <w:r w:rsidRPr="00FF4DAA">
        <w:rPr>
          <w:rFonts w:ascii="Arial" w:hAnsi="Arial" w:cs="Arial"/>
        </w:rPr>
        <w:t>Mixed emotional response: Early diagnosis frequently resulted in relief, as patients and carers got clarity regarding symptoms and access to services. Field et al. (2021) reported that participants felt reassured upon being invited to memory groups, as the diagnosis affirmed their experiences. Nevertheless, early diagnosis caused fear, stigma, and a loss of identity, as patients struggled with the significance of their new categorisation</w:t>
      </w:r>
      <w:r>
        <w:rPr>
          <w:rFonts w:ascii="Arial" w:hAnsi="Arial" w:cs="Arial"/>
        </w:rPr>
        <w:t xml:space="preserve"> </w:t>
      </w:r>
      <w:sdt>
        <w:sdtPr>
          <w:rPr>
            <w:rFonts w:ascii="Arial" w:hAnsi="Arial" w:cs="Arial"/>
          </w:rPr>
          <w:id w:val="-131172106"/>
          <w:citation/>
        </w:sdtPr>
        <w:sdtContent>
          <w:r>
            <w:rPr>
              <w:rFonts w:ascii="Arial" w:hAnsi="Arial" w:cs="Arial"/>
            </w:rPr>
            <w:fldChar w:fldCharType="begin"/>
          </w:r>
          <w:r>
            <w:rPr>
              <w:rFonts w:ascii="Arial" w:hAnsi="Arial" w:cs="Arial"/>
              <w:lang w:val="en-US"/>
            </w:rPr>
            <w:instrText xml:space="preserve"> CITATION Bet24 \l 1033 </w:instrText>
          </w:r>
          <w:r>
            <w:rPr>
              <w:rFonts w:ascii="Arial" w:hAnsi="Arial" w:cs="Arial"/>
            </w:rPr>
            <w:fldChar w:fldCharType="separate"/>
          </w:r>
          <w:r w:rsidR="001E393B" w:rsidRPr="001E393B">
            <w:rPr>
              <w:rFonts w:ascii="Arial" w:hAnsi="Arial" w:cs="Arial"/>
              <w:noProof/>
              <w:lang w:val="en-US"/>
            </w:rPr>
            <w:t>(Edwards, et al., 2024)</w:t>
          </w:r>
          <w:r>
            <w:rPr>
              <w:rFonts w:ascii="Arial" w:hAnsi="Arial" w:cs="Arial"/>
            </w:rPr>
            <w:fldChar w:fldCharType="end"/>
          </w:r>
        </w:sdtContent>
      </w:sdt>
      <w:r>
        <w:rPr>
          <w:rFonts w:ascii="Arial" w:hAnsi="Arial" w:cs="Arial"/>
        </w:rPr>
        <w:t>.</w:t>
      </w:r>
    </w:p>
    <w:p w14:paraId="2C9B197C" w14:textId="77777777" w:rsidR="00FB7ACF" w:rsidRPr="00FB7ACF" w:rsidRDefault="00FB7ACF" w:rsidP="00FB7ACF">
      <w:pPr>
        <w:spacing w:line="360" w:lineRule="auto"/>
        <w:rPr>
          <w:rFonts w:ascii="Arial" w:hAnsi="Arial" w:cs="Arial"/>
        </w:rPr>
      </w:pPr>
      <w:r w:rsidRPr="00FB7ACF">
        <w:rPr>
          <w:rFonts w:ascii="Arial" w:hAnsi="Arial" w:cs="Arial"/>
        </w:rPr>
        <w:t>Pujades-Rodriguez et al. (2018) utilised linked NHS records to demonstrate that newly diagnosed individuals presented a higher prevalence of anxiety, depressive symptoms, and low mood in comparison to age-matched controls. This indicated the uncertainty and perceived decrease of future autonomy.</w:t>
      </w:r>
    </w:p>
    <w:p w14:paraId="774E826E" w14:textId="2E94C6E0" w:rsidR="00FB7ACF" w:rsidRPr="00FB7ACF" w:rsidRDefault="00FB7ACF" w:rsidP="00FB7ACF">
      <w:pPr>
        <w:spacing w:line="360" w:lineRule="auto"/>
        <w:rPr>
          <w:rFonts w:ascii="Arial" w:hAnsi="Arial" w:cs="Arial"/>
        </w:rPr>
      </w:pPr>
      <w:r w:rsidRPr="00FB7ACF">
        <w:rPr>
          <w:rFonts w:ascii="Arial" w:hAnsi="Arial" w:cs="Arial"/>
        </w:rPr>
        <w:t>Factors influencing intervention implementation: The emotional adjustment of patients to their diagnosis directly impacted their acceptance or rejection of interventions. Individuals who recognised changes in memory or mood generally perceived interventions as beneficial, while those in denial or struggling to adapt frequently rejected them</w:t>
      </w:r>
      <w:r>
        <w:rPr>
          <w:rFonts w:ascii="Arial" w:hAnsi="Arial" w:cs="Arial"/>
        </w:rPr>
        <w:t xml:space="preserve"> </w:t>
      </w:r>
      <w:sdt>
        <w:sdtPr>
          <w:rPr>
            <w:rFonts w:ascii="Arial" w:hAnsi="Arial" w:cs="Arial"/>
          </w:rPr>
          <w:id w:val="1532225611"/>
          <w:citation/>
        </w:sdtPr>
        <w:sdtContent>
          <w:r>
            <w:rPr>
              <w:rFonts w:ascii="Arial" w:hAnsi="Arial" w:cs="Arial"/>
            </w:rPr>
            <w:fldChar w:fldCharType="begin"/>
          </w:r>
          <w:r>
            <w:rPr>
              <w:rFonts w:ascii="Arial" w:hAnsi="Arial" w:cs="Arial"/>
              <w:lang w:val="en-US"/>
            </w:rPr>
            <w:instrText xml:space="preserve"> CITATION Bec21 \l 1033 </w:instrText>
          </w:r>
          <w:r>
            <w:rPr>
              <w:rFonts w:ascii="Arial" w:hAnsi="Arial" w:cs="Arial"/>
            </w:rPr>
            <w:fldChar w:fldCharType="separate"/>
          </w:r>
          <w:r w:rsidR="001E393B" w:rsidRPr="001E393B">
            <w:rPr>
              <w:rFonts w:ascii="Arial" w:hAnsi="Arial" w:cs="Arial"/>
              <w:noProof/>
              <w:lang w:val="en-US"/>
            </w:rPr>
            <w:t>(Field, et al., 2021)</w:t>
          </w:r>
          <w:r>
            <w:rPr>
              <w:rFonts w:ascii="Arial" w:hAnsi="Arial" w:cs="Arial"/>
            </w:rPr>
            <w:fldChar w:fldCharType="end"/>
          </w:r>
        </w:sdtContent>
      </w:sdt>
      <w:r>
        <w:rPr>
          <w:rFonts w:ascii="Arial" w:hAnsi="Arial" w:cs="Arial"/>
        </w:rPr>
        <w:t>.</w:t>
      </w:r>
    </w:p>
    <w:p w14:paraId="28CA77EE" w14:textId="77FA3989" w:rsidR="009A4A03" w:rsidRDefault="009A4A03" w:rsidP="009A4A03">
      <w:pPr>
        <w:spacing w:line="360" w:lineRule="auto"/>
        <w:rPr>
          <w:rFonts w:ascii="Arial" w:hAnsi="Arial" w:cs="Arial"/>
        </w:rPr>
      </w:pPr>
      <w:r w:rsidRPr="009A4A03">
        <w:rPr>
          <w:rFonts w:ascii="Arial" w:hAnsi="Arial" w:cs="Arial"/>
        </w:rPr>
        <w:lastRenderedPageBreak/>
        <w:t>Differences in readiness: Certain individuals indicated that early diagnosis facilitated emotional preparedness, enabling them to make plans for the future and pursue therapy or support groups. For some individuals, early diagnosis intensified psychological distress by prompting them to think about possible decline sooner than they might have otherwise</w:t>
      </w:r>
      <w:r>
        <w:rPr>
          <w:rFonts w:ascii="Arial" w:hAnsi="Arial" w:cs="Arial"/>
        </w:rPr>
        <w:t xml:space="preserve"> </w:t>
      </w:r>
      <w:sdt>
        <w:sdtPr>
          <w:rPr>
            <w:rFonts w:ascii="Arial" w:hAnsi="Arial" w:cs="Arial"/>
          </w:rPr>
          <w:id w:val="-226459527"/>
          <w:citation/>
        </w:sdtPr>
        <w:sdtContent>
          <w:r>
            <w:rPr>
              <w:rFonts w:ascii="Arial" w:hAnsi="Arial" w:cs="Arial"/>
            </w:rPr>
            <w:fldChar w:fldCharType="begin"/>
          </w:r>
          <w:r>
            <w:rPr>
              <w:rFonts w:ascii="Arial" w:hAnsi="Arial" w:cs="Arial"/>
              <w:lang w:val="en-US"/>
            </w:rPr>
            <w:instrText xml:space="preserve"> CITATION Ann23 \l 1033 </w:instrText>
          </w:r>
          <w:r>
            <w:rPr>
              <w:rFonts w:ascii="Arial" w:hAnsi="Arial" w:cs="Arial"/>
            </w:rPr>
            <w:fldChar w:fldCharType="separate"/>
          </w:r>
          <w:r w:rsidR="001E393B" w:rsidRPr="001E393B">
            <w:rPr>
              <w:rFonts w:ascii="Arial" w:hAnsi="Arial" w:cs="Arial"/>
              <w:noProof/>
              <w:lang w:val="en-US"/>
            </w:rPr>
            <w:t>(Hunt, et al., 2023)</w:t>
          </w:r>
          <w:r>
            <w:rPr>
              <w:rFonts w:ascii="Arial" w:hAnsi="Arial" w:cs="Arial"/>
            </w:rPr>
            <w:fldChar w:fldCharType="end"/>
          </w:r>
        </w:sdtContent>
      </w:sdt>
      <w:r>
        <w:rPr>
          <w:rFonts w:ascii="Arial" w:hAnsi="Arial" w:cs="Arial"/>
        </w:rPr>
        <w:t>.</w:t>
      </w:r>
    </w:p>
    <w:p w14:paraId="39103537" w14:textId="33FC8ECE" w:rsidR="00CD7735" w:rsidRDefault="009A4A03" w:rsidP="00B4497B">
      <w:pPr>
        <w:spacing w:line="360" w:lineRule="auto"/>
        <w:rPr>
          <w:rFonts w:ascii="Arial" w:hAnsi="Arial" w:cs="Arial"/>
        </w:rPr>
      </w:pPr>
      <w:r w:rsidRPr="009A4A03">
        <w:rPr>
          <w:rFonts w:ascii="Arial" w:hAnsi="Arial" w:cs="Arial"/>
        </w:rPr>
        <w:t>This theme demonstrates that early diagnosis is not uniformly advantageous; its mental implications are dependent upon the provision of structured psychological support along with clinical disclosure.</w:t>
      </w:r>
    </w:p>
    <w:p w14:paraId="2B698356" w14:textId="77777777" w:rsidR="009A4A03" w:rsidRPr="009A4A03" w:rsidRDefault="009A4A03" w:rsidP="00B4497B">
      <w:pPr>
        <w:spacing w:line="360" w:lineRule="auto"/>
        <w:rPr>
          <w:rFonts w:ascii="Arial" w:hAnsi="Arial" w:cs="Arial"/>
        </w:rPr>
      </w:pPr>
    </w:p>
    <w:p w14:paraId="61B8B1DE" w14:textId="07251EE4" w:rsidR="00CD7735" w:rsidRDefault="00CD7735" w:rsidP="00CD7735">
      <w:pPr>
        <w:pStyle w:val="Heading3"/>
        <w:rPr>
          <w:rFonts w:ascii="Arial" w:hAnsi="Arial" w:cs="Arial"/>
          <w:b/>
          <w:bCs/>
          <w:u w:val="none"/>
        </w:rPr>
      </w:pPr>
      <w:bookmarkStart w:id="75" w:name="_Toc210677400"/>
      <w:r w:rsidRPr="00CD7735">
        <w:rPr>
          <w:rFonts w:ascii="Arial" w:hAnsi="Arial" w:cs="Arial"/>
          <w:b/>
          <w:bCs/>
          <w:u w:val="none"/>
        </w:rPr>
        <w:t>4.4.2 Theme 2</w:t>
      </w:r>
      <w:bookmarkEnd w:id="75"/>
    </w:p>
    <w:p w14:paraId="03DC43AC" w14:textId="2477CA18" w:rsidR="00CD7735" w:rsidRDefault="00CD7735" w:rsidP="00CD7735">
      <w:pPr>
        <w:rPr>
          <w:rFonts w:ascii="Arial" w:hAnsi="Arial" w:cs="Arial"/>
          <w:b/>
          <w:bCs/>
        </w:rPr>
      </w:pPr>
      <w:r w:rsidRPr="00CD7735">
        <w:rPr>
          <w:rFonts w:ascii="Arial" w:hAnsi="Arial" w:cs="Arial"/>
          <w:b/>
          <w:bCs/>
        </w:rPr>
        <w:t>Obstacles and facilitators to intervention acceptance</w:t>
      </w:r>
    </w:p>
    <w:p w14:paraId="6DB8FB52" w14:textId="601E2229" w:rsidR="00A66E69" w:rsidRPr="00A66E69" w:rsidRDefault="00A66E69" w:rsidP="00A66E69">
      <w:pPr>
        <w:spacing w:line="360" w:lineRule="auto"/>
        <w:rPr>
          <w:rFonts w:ascii="Arial" w:hAnsi="Arial" w:cs="Arial"/>
        </w:rPr>
      </w:pPr>
      <w:r w:rsidRPr="00A66E69">
        <w:rPr>
          <w:rFonts w:ascii="Arial" w:hAnsi="Arial" w:cs="Arial"/>
        </w:rPr>
        <w:t>The second theme refers to the practical, psychological, and systemic factors which impact the active participation of individuals with dementia in interventions after diagnosis.</w:t>
      </w:r>
      <w:r w:rsidRPr="00A66E69">
        <w:rPr>
          <w:rFonts w:ascii="Arial" w:hAnsi="Arial" w:cs="Arial"/>
        </w:rPr>
        <w:br/>
      </w:r>
      <w:r w:rsidRPr="00A66E69">
        <w:rPr>
          <w:rFonts w:ascii="Arial" w:hAnsi="Arial" w:cs="Arial"/>
        </w:rPr>
        <w:br/>
      </w:r>
      <w:r w:rsidRPr="00A66E69">
        <w:rPr>
          <w:rFonts w:ascii="Arial" w:hAnsi="Arial" w:cs="Arial"/>
          <w:b/>
          <w:bCs/>
        </w:rPr>
        <w:t>Obstacles:</w:t>
      </w:r>
      <w:r w:rsidRPr="00A66E69">
        <w:rPr>
          <w:rFonts w:ascii="Arial" w:hAnsi="Arial" w:cs="Arial"/>
        </w:rPr>
        <w:br/>
        <w:t>Stigma and denial were commonly observed. A significant number of patients preferred not to engage with dementia-specific groups due to concerns regarding recognition or subconscious stigma (</w:t>
      </w:r>
      <w:sdt>
        <w:sdtPr>
          <w:rPr>
            <w:rFonts w:ascii="Arial" w:hAnsi="Arial" w:cs="Arial"/>
          </w:rPr>
          <w:id w:val="-699550590"/>
          <w:citation/>
        </w:sdtPr>
        <w:sdtContent>
          <w:r>
            <w:rPr>
              <w:rFonts w:ascii="Arial" w:hAnsi="Arial" w:cs="Arial"/>
            </w:rPr>
            <w:fldChar w:fldCharType="begin"/>
          </w:r>
          <w:r>
            <w:rPr>
              <w:rFonts w:ascii="Arial" w:hAnsi="Arial" w:cs="Arial"/>
              <w:lang w:val="en-US"/>
            </w:rPr>
            <w:instrText xml:space="preserve"> CITATION Bec21 \l 1033 </w:instrText>
          </w:r>
          <w:r>
            <w:rPr>
              <w:rFonts w:ascii="Arial" w:hAnsi="Arial" w:cs="Arial"/>
            </w:rPr>
            <w:fldChar w:fldCharType="separate"/>
          </w:r>
          <w:r w:rsidR="001E393B">
            <w:rPr>
              <w:rFonts w:ascii="Arial" w:hAnsi="Arial" w:cs="Arial"/>
              <w:noProof/>
              <w:lang w:val="en-US"/>
            </w:rPr>
            <w:t xml:space="preserve"> </w:t>
          </w:r>
          <w:r w:rsidR="001E393B" w:rsidRPr="001E393B">
            <w:rPr>
              <w:rFonts w:ascii="Arial" w:hAnsi="Arial" w:cs="Arial"/>
              <w:noProof/>
              <w:lang w:val="en-US"/>
            </w:rPr>
            <w:t>(Field, et al., 2021)</w:t>
          </w:r>
          <w:r>
            <w:rPr>
              <w:rFonts w:ascii="Arial" w:hAnsi="Arial" w:cs="Arial"/>
            </w:rPr>
            <w:fldChar w:fldCharType="end"/>
          </w:r>
        </w:sdtContent>
      </w:sdt>
      <w:r w:rsidRPr="00A66E69">
        <w:rPr>
          <w:rFonts w:ascii="Arial" w:hAnsi="Arial" w:cs="Arial"/>
        </w:rPr>
        <w:t xml:space="preserve">; </w:t>
      </w:r>
      <w:sdt>
        <w:sdtPr>
          <w:rPr>
            <w:rFonts w:ascii="Arial" w:hAnsi="Arial" w:cs="Arial"/>
          </w:rPr>
          <w:id w:val="-1323122992"/>
          <w:citation/>
        </w:sdtPr>
        <w:sdtContent>
          <w:r>
            <w:rPr>
              <w:rFonts w:ascii="Arial" w:hAnsi="Arial" w:cs="Arial"/>
            </w:rPr>
            <w:fldChar w:fldCharType="begin"/>
          </w:r>
          <w:r>
            <w:rPr>
              <w:rFonts w:ascii="Arial" w:hAnsi="Arial" w:cs="Arial"/>
              <w:lang w:val="en-US"/>
            </w:rPr>
            <w:instrText xml:space="preserve"> CITATION Bet24 \l 1033 </w:instrText>
          </w:r>
          <w:r>
            <w:rPr>
              <w:rFonts w:ascii="Arial" w:hAnsi="Arial" w:cs="Arial"/>
            </w:rPr>
            <w:fldChar w:fldCharType="separate"/>
          </w:r>
          <w:r w:rsidR="001E393B" w:rsidRPr="001E393B">
            <w:rPr>
              <w:rFonts w:ascii="Arial" w:hAnsi="Arial" w:cs="Arial"/>
              <w:noProof/>
              <w:lang w:val="en-US"/>
            </w:rPr>
            <w:t>(Edwards, et al., 2024)</w:t>
          </w:r>
          <w:r>
            <w:rPr>
              <w:rFonts w:ascii="Arial" w:hAnsi="Arial" w:cs="Arial"/>
            </w:rPr>
            <w:fldChar w:fldCharType="end"/>
          </w:r>
        </w:sdtContent>
      </w:sdt>
      <w:r w:rsidRPr="00A66E69">
        <w:rPr>
          <w:rFonts w:ascii="Arial" w:hAnsi="Arial" w:cs="Arial"/>
        </w:rPr>
        <w:t>).</w:t>
      </w:r>
      <w:r w:rsidRPr="00A66E69">
        <w:rPr>
          <w:rFonts w:ascii="Arial" w:hAnsi="Arial" w:cs="Arial"/>
        </w:rPr>
        <w:br/>
        <w:t xml:space="preserve">Practical challenges, including transportation difficulties, the need for carers for travel, and limited rural accessibility, restricted participation </w:t>
      </w:r>
      <w:sdt>
        <w:sdtPr>
          <w:rPr>
            <w:rFonts w:ascii="Arial" w:hAnsi="Arial" w:cs="Arial"/>
          </w:rPr>
          <w:id w:val="-988632883"/>
          <w:citation/>
        </w:sdtPr>
        <w:sdtContent>
          <w:r>
            <w:rPr>
              <w:rFonts w:ascii="Arial" w:hAnsi="Arial" w:cs="Arial"/>
            </w:rPr>
            <w:fldChar w:fldCharType="begin"/>
          </w:r>
          <w:r>
            <w:rPr>
              <w:rFonts w:ascii="Arial" w:hAnsi="Arial" w:cs="Arial"/>
              <w:lang w:val="en-US"/>
            </w:rPr>
            <w:instrText xml:space="preserve"> CITATION Bec21 \l 1033 </w:instrText>
          </w:r>
          <w:r>
            <w:rPr>
              <w:rFonts w:ascii="Arial" w:hAnsi="Arial" w:cs="Arial"/>
            </w:rPr>
            <w:fldChar w:fldCharType="separate"/>
          </w:r>
          <w:r w:rsidR="001E393B" w:rsidRPr="001E393B">
            <w:rPr>
              <w:rFonts w:ascii="Arial" w:hAnsi="Arial" w:cs="Arial"/>
              <w:noProof/>
              <w:lang w:val="en-US"/>
            </w:rPr>
            <w:t>(Field, et al., 2021)</w:t>
          </w:r>
          <w:r>
            <w:rPr>
              <w:rFonts w:ascii="Arial" w:hAnsi="Arial" w:cs="Arial"/>
            </w:rPr>
            <w:fldChar w:fldCharType="end"/>
          </w:r>
        </w:sdtContent>
      </w:sdt>
      <w:r w:rsidRPr="00A66E69">
        <w:rPr>
          <w:rFonts w:ascii="Arial" w:hAnsi="Arial" w:cs="Arial"/>
        </w:rPr>
        <w:t>.</w:t>
      </w:r>
      <w:r w:rsidRPr="00A66E69">
        <w:rPr>
          <w:rFonts w:ascii="Arial" w:hAnsi="Arial" w:cs="Arial"/>
        </w:rPr>
        <w:br/>
        <w:t xml:space="preserve">The abundance of information at the time of diagnosis, frequently when patients were overwhelmed, impeded the processing of intervention options </w:t>
      </w:r>
      <w:sdt>
        <w:sdtPr>
          <w:rPr>
            <w:rFonts w:ascii="Arial" w:hAnsi="Arial" w:cs="Arial"/>
          </w:rPr>
          <w:id w:val="1977492677"/>
          <w:citation/>
        </w:sdtPr>
        <w:sdtContent>
          <w:r>
            <w:rPr>
              <w:rFonts w:ascii="Arial" w:hAnsi="Arial" w:cs="Arial"/>
            </w:rPr>
            <w:fldChar w:fldCharType="begin"/>
          </w:r>
          <w:r>
            <w:rPr>
              <w:rFonts w:ascii="Arial" w:hAnsi="Arial" w:cs="Arial"/>
              <w:lang w:val="en-US"/>
            </w:rPr>
            <w:instrText xml:space="preserve"> CITATION Ali21 \l 1033 </w:instrText>
          </w:r>
          <w:r>
            <w:rPr>
              <w:rFonts w:ascii="Arial" w:hAnsi="Arial" w:cs="Arial"/>
            </w:rPr>
            <w:fldChar w:fldCharType="separate"/>
          </w:r>
          <w:r w:rsidR="001E393B" w:rsidRPr="001E393B">
            <w:rPr>
              <w:rFonts w:ascii="Arial" w:hAnsi="Arial" w:cs="Arial"/>
              <w:noProof/>
              <w:lang w:val="en-US"/>
            </w:rPr>
            <w:t>(Wheatley, et al., 2021)</w:t>
          </w:r>
          <w:r>
            <w:rPr>
              <w:rFonts w:ascii="Arial" w:hAnsi="Arial" w:cs="Arial"/>
            </w:rPr>
            <w:fldChar w:fldCharType="end"/>
          </w:r>
        </w:sdtContent>
      </w:sdt>
      <w:r w:rsidRPr="00A66E69">
        <w:rPr>
          <w:rFonts w:ascii="Arial" w:hAnsi="Arial" w:cs="Arial"/>
        </w:rPr>
        <w:t>.</w:t>
      </w:r>
      <w:r w:rsidRPr="00A66E69">
        <w:rPr>
          <w:rFonts w:ascii="Arial" w:hAnsi="Arial" w:cs="Arial"/>
        </w:rPr>
        <w:br/>
        <w:t xml:space="preserve">Lack of resources in memory services and community care resulted in long waiting lists or restricted access to customised activities </w:t>
      </w:r>
      <w:sdt>
        <w:sdtPr>
          <w:rPr>
            <w:rFonts w:ascii="Arial" w:hAnsi="Arial" w:cs="Arial"/>
          </w:rPr>
          <w:id w:val="709140"/>
          <w:citation/>
        </w:sdtPr>
        <w:sdtContent>
          <w:r>
            <w:rPr>
              <w:rFonts w:ascii="Arial" w:hAnsi="Arial" w:cs="Arial"/>
            </w:rPr>
            <w:fldChar w:fldCharType="begin"/>
          </w:r>
          <w:r>
            <w:rPr>
              <w:rFonts w:ascii="Arial" w:hAnsi="Arial" w:cs="Arial"/>
              <w:lang w:val="en-US"/>
            </w:rPr>
            <w:instrText xml:space="preserve"> CITATION Ali21 \l 1033 </w:instrText>
          </w:r>
          <w:r>
            <w:rPr>
              <w:rFonts w:ascii="Arial" w:hAnsi="Arial" w:cs="Arial"/>
            </w:rPr>
            <w:fldChar w:fldCharType="separate"/>
          </w:r>
          <w:r w:rsidR="001E393B" w:rsidRPr="001E393B">
            <w:rPr>
              <w:rFonts w:ascii="Arial" w:hAnsi="Arial" w:cs="Arial"/>
              <w:noProof/>
              <w:lang w:val="en-US"/>
            </w:rPr>
            <w:t>(Wheatley, et al., 2021)</w:t>
          </w:r>
          <w:r>
            <w:rPr>
              <w:rFonts w:ascii="Arial" w:hAnsi="Arial" w:cs="Arial"/>
            </w:rPr>
            <w:fldChar w:fldCharType="end"/>
          </w:r>
        </w:sdtContent>
      </w:sdt>
      <w:r w:rsidRPr="00A66E69">
        <w:rPr>
          <w:rFonts w:ascii="Arial" w:hAnsi="Arial" w:cs="Arial"/>
        </w:rPr>
        <w:t>.</w:t>
      </w:r>
    </w:p>
    <w:p w14:paraId="12781310" w14:textId="38EF24D6" w:rsidR="00A66E69" w:rsidRDefault="00A66E69" w:rsidP="00CD7735">
      <w:pPr>
        <w:rPr>
          <w:rFonts w:ascii="Arial" w:hAnsi="Arial" w:cs="Arial"/>
          <w:b/>
          <w:bCs/>
        </w:rPr>
      </w:pPr>
      <w:r>
        <w:rPr>
          <w:rFonts w:ascii="Arial" w:hAnsi="Arial" w:cs="Arial"/>
          <w:b/>
          <w:bCs/>
        </w:rPr>
        <w:t>Facilitators:</w:t>
      </w:r>
    </w:p>
    <w:p w14:paraId="2297851A" w14:textId="1E9E332A" w:rsidR="007A1D00" w:rsidRDefault="007A1D00" w:rsidP="007A1D00">
      <w:pPr>
        <w:spacing w:line="360" w:lineRule="auto"/>
        <w:rPr>
          <w:rFonts w:ascii="Arial" w:hAnsi="Arial" w:cs="Arial"/>
        </w:rPr>
      </w:pPr>
      <w:r w:rsidRPr="007A1D00">
        <w:rPr>
          <w:rFonts w:ascii="Arial" w:hAnsi="Arial" w:cs="Arial"/>
        </w:rPr>
        <w:t xml:space="preserve">Familial support significantly influenced participation. Carers often supported or escorted patients to groups, reducing anxiety regarding first attendance </w:t>
      </w:r>
      <w:sdt>
        <w:sdtPr>
          <w:rPr>
            <w:rFonts w:ascii="Arial" w:hAnsi="Arial" w:cs="Arial"/>
          </w:rPr>
          <w:id w:val="-466895363"/>
          <w:citation/>
        </w:sdtPr>
        <w:sdtContent>
          <w:r>
            <w:rPr>
              <w:rFonts w:ascii="Arial" w:hAnsi="Arial" w:cs="Arial"/>
            </w:rPr>
            <w:fldChar w:fldCharType="begin"/>
          </w:r>
          <w:r>
            <w:rPr>
              <w:rFonts w:ascii="Arial" w:hAnsi="Arial" w:cs="Arial"/>
              <w:lang w:val="en-US"/>
            </w:rPr>
            <w:instrText xml:space="preserve"> CITATION Bec21 \l 1033 </w:instrText>
          </w:r>
          <w:r>
            <w:rPr>
              <w:rFonts w:ascii="Arial" w:hAnsi="Arial" w:cs="Arial"/>
            </w:rPr>
            <w:fldChar w:fldCharType="separate"/>
          </w:r>
          <w:r w:rsidR="001E393B" w:rsidRPr="001E393B">
            <w:rPr>
              <w:rFonts w:ascii="Arial" w:hAnsi="Arial" w:cs="Arial"/>
              <w:noProof/>
              <w:lang w:val="en-US"/>
            </w:rPr>
            <w:t>(Field, et al., 2021)</w:t>
          </w:r>
          <w:r>
            <w:rPr>
              <w:rFonts w:ascii="Arial" w:hAnsi="Arial" w:cs="Arial"/>
            </w:rPr>
            <w:fldChar w:fldCharType="end"/>
          </w:r>
        </w:sdtContent>
      </w:sdt>
      <w:r w:rsidRPr="007A1D00">
        <w:rPr>
          <w:rFonts w:ascii="Arial" w:hAnsi="Arial" w:cs="Arial"/>
        </w:rPr>
        <w:t>.</w:t>
      </w:r>
      <w:r w:rsidRPr="007A1D00">
        <w:rPr>
          <w:rFonts w:ascii="Arial" w:hAnsi="Arial" w:cs="Arial"/>
        </w:rPr>
        <w:br/>
        <w:t>The alignment with personal interests significantly affected the adoption process. Kajander et al. (2022) discovered that interventions incorporating music, storytelling, or interaction among groups were more appealing when connected with patients' current hobbies and values.</w:t>
      </w:r>
      <w:r w:rsidRPr="007A1D00">
        <w:rPr>
          <w:rFonts w:ascii="Arial" w:hAnsi="Arial" w:cs="Arial"/>
        </w:rPr>
        <w:br/>
        <w:t xml:space="preserve">The accessibility and organisation of services were significant. Interventions integrated within local community centres or general practitioner practices were more easily accepted than those demanding significant travel </w:t>
      </w:r>
      <w:sdt>
        <w:sdtPr>
          <w:rPr>
            <w:rFonts w:ascii="Arial" w:hAnsi="Arial" w:cs="Arial"/>
          </w:rPr>
          <w:id w:val="1775060932"/>
          <w:citation/>
        </w:sdtPr>
        <w:sdtContent>
          <w:r>
            <w:rPr>
              <w:rFonts w:ascii="Arial" w:hAnsi="Arial" w:cs="Arial"/>
            </w:rPr>
            <w:fldChar w:fldCharType="begin"/>
          </w:r>
          <w:r>
            <w:rPr>
              <w:rFonts w:ascii="Arial" w:hAnsi="Arial" w:cs="Arial"/>
              <w:lang w:val="en-US"/>
            </w:rPr>
            <w:instrText xml:space="preserve"> CITATION Ali21 \l 1033 </w:instrText>
          </w:r>
          <w:r>
            <w:rPr>
              <w:rFonts w:ascii="Arial" w:hAnsi="Arial" w:cs="Arial"/>
            </w:rPr>
            <w:fldChar w:fldCharType="separate"/>
          </w:r>
          <w:r w:rsidR="001E393B" w:rsidRPr="001E393B">
            <w:rPr>
              <w:rFonts w:ascii="Arial" w:hAnsi="Arial" w:cs="Arial"/>
              <w:noProof/>
              <w:lang w:val="en-US"/>
            </w:rPr>
            <w:t>(Wheatley, et al., 2021)</w:t>
          </w:r>
          <w:r>
            <w:rPr>
              <w:rFonts w:ascii="Arial" w:hAnsi="Arial" w:cs="Arial"/>
            </w:rPr>
            <w:fldChar w:fldCharType="end"/>
          </w:r>
        </w:sdtContent>
      </w:sdt>
      <w:r w:rsidRPr="007A1D00">
        <w:rPr>
          <w:rFonts w:ascii="Arial" w:hAnsi="Arial" w:cs="Arial"/>
        </w:rPr>
        <w:t>.</w:t>
      </w:r>
    </w:p>
    <w:p w14:paraId="464CD821" w14:textId="77777777" w:rsidR="00DC58E2" w:rsidRPr="00DC58E2" w:rsidRDefault="007A1D00" w:rsidP="007A1D00">
      <w:pPr>
        <w:spacing w:line="360" w:lineRule="auto"/>
        <w:rPr>
          <w:rFonts w:ascii="Arial" w:hAnsi="Arial" w:cs="Arial"/>
          <w:b/>
          <w:bCs/>
        </w:rPr>
      </w:pPr>
      <w:r w:rsidRPr="007A1D00">
        <w:rPr>
          <w:rFonts w:ascii="Arial" w:hAnsi="Arial" w:cs="Arial"/>
          <w:b/>
          <w:bCs/>
        </w:rPr>
        <w:lastRenderedPageBreak/>
        <w:t xml:space="preserve">Quantitative gaps in care: </w:t>
      </w:r>
    </w:p>
    <w:p w14:paraId="4B172E9D" w14:textId="28BB82E6" w:rsidR="00CD7735" w:rsidRDefault="007A1D00" w:rsidP="00DC58E2">
      <w:pPr>
        <w:spacing w:line="360" w:lineRule="auto"/>
        <w:rPr>
          <w:rFonts w:ascii="Arial" w:hAnsi="Arial" w:cs="Arial"/>
        </w:rPr>
      </w:pPr>
      <w:r w:rsidRPr="007A1D00">
        <w:rPr>
          <w:rFonts w:ascii="Arial" w:hAnsi="Arial" w:cs="Arial"/>
        </w:rPr>
        <w:t>Bell et al. (2022), using national healthcare records, demonstrated that individuals diagnosed later had reduced access to psychological therapies and showed poorer recovery outcomes for depression and anxiety.</w:t>
      </w:r>
      <w:r w:rsidRPr="007A1D00">
        <w:rPr>
          <w:rFonts w:ascii="Arial" w:hAnsi="Arial" w:cs="Arial"/>
        </w:rPr>
        <w:br/>
        <w:t>This theme highlights the interaction between institutional obstacles within the NHS and individual motivations in influencing uptake, indicating that without specialised and accessible services, early diagnosis does not necessarily result in better engagement.</w:t>
      </w:r>
    </w:p>
    <w:p w14:paraId="6740CD7C" w14:textId="77777777" w:rsidR="00DC58E2" w:rsidRPr="00DC58E2" w:rsidRDefault="00DC58E2" w:rsidP="00DC58E2">
      <w:pPr>
        <w:spacing w:line="360" w:lineRule="auto"/>
        <w:rPr>
          <w:rFonts w:ascii="Arial" w:hAnsi="Arial" w:cs="Arial"/>
        </w:rPr>
      </w:pPr>
    </w:p>
    <w:p w14:paraId="4301F336" w14:textId="60903B70" w:rsidR="00CD7735" w:rsidRDefault="00CD7735" w:rsidP="00CD7735">
      <w:pPr>
        <w:pStyle w:val="Heading3"/>
        <w:rPr>
          <w:rFonts w:ascii="Arial" w:hAnsi="Arial" w:cs="Arial"/>
          <w:b/>
          <w:bCs/>
          <w:u w:val="none"/>
        </w:rPr>
      </w:pPr>
      <w:bookmarkStart w:id="76" w:name="_Toc210677401"/>
      <w:r w:rsidRPr="00CD7735">
        <w:rPr>
          <w:rFonts w:ascii="Arial" w:hAnsi="Arial" w:cs="Arial"/>
          <w:b/>
          <w:bCs/>
          <w:u w:val="none"/>
        </w:rPr>
        <w:t>4.4.3 Theme 3</w:t>
      </w:r>
      <w:bookmarkEnd w:id="76"/>
    </w:p>
    <w:p w14:paraId="0B335993" w14:textId="4669A8BC" w:rsidR="00CD7735" w:rsidRDefault="00CD7735" w:rsidP="00CD7735">
      <w:pPr>
        <w:rPr>
          <w:rFonts w:ascii="Arial" w:hAnsi="Arial" w:cs="Arial"/>
          <w:b/>
          <w:bCs/>
        </w:rPr>
      </w:pPr>
      <w:r w:rsidRPr="00CD7735">
        <w:rPr>
          <w:rFonts w:ascii="Arial" w:hAnsi="Arial" w:cs="Arial"/>
          <w:b/>
          <w:bCs/>
        </w:rPr>
        <w:t>Post-diagnostic support and service provision</w:t>
      </w:r>
    </w:p>
    <w:p w14:paraId="69D2E228" w14:textId="77777777" w:rsidR="00985763" w:rsidRDefault="00DC58E2" w:rsidP="00DC58E2">
      <w:pPr>
        <w:spacing w:line="360" w:lineRule="auto"/>
        <w:rPr>
          <w:rFonts w:ascii="Arial" w:hAnsi="Arial" w:cs="Arial"/>
        </w:rPr>
      </w:pPr>
      <w:r w:rsidRPr="00DC58E2">
        <w:rPr>
          <w:rFonts w:ascii="Arial" w:hAnsi="Arial" w:cs="Arial"/>
        </w:rPr>
        <w:t>The third theme concerns to the influence of organised post-diagnostic support on mental health outcomes.</w:t>
      </w:r>
    </w:p>
    <w:p w14:paraId="4FEAAB6C" w14:textId="29FB9EF7" w:rsidR="00985763" w:rsidRDefault="00DC58E2" w:rsidP="00985763">
      <w:pPr>
        <w:pStyle w:val="ListParagraph"/>
        <w:numPr>
          <w:ilvl w:val="0"/>
          <w:numId w:val="20"/>
        </w:numPr>
        <w:spacing w:line="360" w:lineRule="auto"/>
        <w:rPr>
          <w:rFonts w:ascii="Arial" w:hAnsi="Arial" w:cs="Arial"/>
        </w:rPr>
      </w:pPr>
      <w:r w:rsidRPr="00985763">
        <w:rPr>
          <w:rFonts w:ascii="Arial" w:hAnsi="Arial" w:cs="Arial"/>
        </w:rPr>
        <w:t xml:space="preserve">Differences among services: Results indicated significant variations in the accessibility and quality of support post-diagnosis. Some memory clinics provided Cognitive Stimulation Therapy (CST) and customised group programs, whereas others simply offered informational leaflets </w:t>
      </w:r>
      <w:sdt>
        <w:sdtPr>
          <w:id w:val="-1952006460"/>
          <w:citation/>
        </w:sdtPr>
        <w:sdtContent>
          <w:r w:rsidR="00985763" w:rsidRPr="00985763">
            <w:rPr>
              <w:rFonts w:ascii="Arial" w:hAnsi="Arial" w:cs="Arial"/>
            </w:rPr>
            <w:fldChar w:fldCharType="begin"/>
          </w:r>
          <w:r w:rsidR="00985763" w:rsidRPr="00985763">
            <w:rPr>
              <w:rFonts w:ascii="Arial" w:hAnsi="Arial" w:cs="Arial"/>
              <w:lang w:val="en-US"/>
            </w:rPr>
            <w:instrText xml:space="preserve"> CITATION Ali21 \l 1033 </w:instrText>
          </w:r>
          <w:r w:rsidR="00985763" w:rsidRPr="00985763">
            <w:rPr>
              <w:rFonts w:ascii="Arial" w:hAnsi="Arial" w:cs="Arial"/>
            </w:rPr>
            <w:fldChar w:fldCharType="separate"/>
          </w:r>
          <w:r w:rsidR="001E393B" w:rsidRPr="001E393B">
            <w:rPr>
              <w:rFonts w:ascii="Arial" w:hAnsi="Arial" w:cs="Arial"/>
              <w:noProof/>
              <w:lang w:val="en-US"/>
            </w:rPr>
            <w:t>(Wheatley, et al., 2021)</w:t>
          </w:r>
          <w:r w:rsidR="00985763" w:rsidRPr="00985763">
            <w:rPr>
              <w:rFonts w:ascii="Arial" w:hAnsi="Arial" w:cs="Arial"/>
            </w:rPr>
            <w:fldChar w:fldCharType="end"/>
          </w:r>
        </w:sdtContent>
      </w:sdt>
      <w:r w:rsidRPr="00985763">
        <w:rPr>
          <w:rFonts w:ascii="Arial" w:hAnsi="Arial" w:cs="Arial"/>
        </w:rPr>
        <w:t>.</w:t>
      </w:r>
    </w:p>
    <w:p w14:paraId="3A7BCAD9" w14:textId="4D3D9E31" w:rsidR="00DC58E2" w:rsidRDefault="00DC58E2" w:rsidP="00985763">
      <w:pPr>
        <w:pStyle w:val="ListParagraph"/>
        <w:numPr>
          <w:ilvl w:val="0"/>
          <w:numId w:val="20"/>
        </w:numPr>
        <w:spacing w:line="360" w:lineRule="auto"/>
        <w:rPr>
          <w:rFonts w:ascii="Arial" w:hAnsi="Arial" w:cs="Arial"/>
        </w:rPr>
      </w:pPr>
      <w:r w:rsidRPr="00985763">
        <w:rPr>
          <w:rFonts w:ascii="Arial" w:hAnsi="Arial" w:cs="Arial"/>
        </w:rPr>
        <w:t>Inconsistent outcomes: Extensive database studies (Bell et al., 2022; Carreira et al., 2019) revealed that although early diagnosis improved initial service access, the lack of structured follow-up frequently resulted in poor or fluctuating outcomes. As an example, individuals who received just minimal counselling at diagnosis frequently had higher levels of anxiety and depression.</w:t>
      </w:r>
    </w:p>
    <w:p w14:paraId="3D8E4B5D" w14:textId="77777777" w:rsidR="00985763" w:rsidRPr="00985763" w:rsidRDefault="00985763" w:rsidP="00985763">
      <w:pPr>
        <w:pStyle w:val="ListParagraph"/>
        <w:numPr>
          <w:ilvl w:val="0"/>
          <w:numId w:val="20"/>
        </w:numPr>
        <w:spacing w:after="0" w:line="360" w:lineRule="auto"/>
        <w:rPr>
          <w:rFonts w:ascii="Arial" w:eastAsia="Times New Roman" w:hAnsi="Arial" w:cs="Arial"/>
          <w:kern w:val="0"/>
          <w:lang w:eastAsia="en-GB"/>
          <w14:ligatures w14:val="none"/>
        </w:rPr>
      </w:pPr>
      <w:r w:rsidRPr="00985763">
        <w:rPr>
          <w:rFonts w:ascii="Arial" w:eastAsia="Times New Roman" w:hAnsi="Arial" w:cs="Arial"/>
          <w:kern w:val="0"/>
          <w:lang w:eastAsia="en-GB"/>
          <w14:ligatures w14:val="none"/>
        </w:rPr>
        <w:t>Measurement challenges: Clarke et al. (2020) highlighted the absence of standardised wellbeing metrics in dementia care, with numerous services concentrating primarily on cognitive deterioration or carer outcomes, therefore overlooking the direct mental health of patients. This methodological deficiency complicates the comparison of interventions.</w:t>
      </w:r>
    </w:p>
    <w:p w14:paraId="1CC37FEB" w14:textId="090C726C" w:rsidR="00985763" w:rsidRPr="00985763" w:rsidRDefault="00985763" w:rsidP="00985763">
      <w:pPr>
        <w:pStyle w:val="ListParagraph"/>
        <w:numPr>
          <w:ilvl w:val="0"/>
          <w:numId w:val="20"/>
        </w:numPr>
        <w:spacing w:after="0" w:line="360" w:lineRule="auto"/>
        <w:rPr>
          <w:rFonts w:ascii="Arial" w:eastAsia="Times New Roman" w:hAnsi="Arial" w:cs="Arial"/>
          <w:kern w:val="0"/>
          <w:lang w:eastAsia="en-GB"/>
          <w14:ligatures w14:val="none"/>
        </w:rPr>
      </w:pPr>
      <w:r w:rsidRPr="00985763">
        <w:rPr>
          <w:rFonts w:ascii="Arial" w:eastAsia="Times New Roman" w:hAnsi="Arial" w:cs="Arial"/>
          <w:kern w:val="0"/>
          <w:lang w:eastAsia="en-GB"/>
          <w14:ligatures w14:val="none"/>
        </w:rPr>
        <w:t>Consequences of insufficient support: Multiple research studies indicated that disclosing a diagnosis without appropriate follow-up support frequently exacerbated distress, resulting in confusion, hopelessness, or social withdrawal (Field et al., 2021; Wheatley et al., 2021).</w:t>
      </w:r>
    </w:p>
    <w:p w14:paraId="3198095D" w14:textId="519A8083" w:rsidR="00CD7735" w:rsidRPr="003B6B18" w:rsidRDefault="003B6B18" w:rsidP="003B6B18">
      <w:pPr>
        <w:spacing w:after="0" w:line="360" w:lineRule="auto"/>
        <w:rPr>
          <w:rFonts w:ascii="Arial" w:eastAsia="Times New Roman" w:hAnsi="Arial" w:cs="Arial"/>
          <w:kern w:val="0"/>
          <w:lang w:eastAsia="en-GB"/>
          <w14:ligatures w14:val="none"/>
        </w:rPr>
      </w:pPr>
      <w:r w:rsidRPr="003B6B18">
        <w:rPr>
          <w:rFonts w:ascii="Arial" w:eastAsia="Times New Roman" w:hAnsi="Arial" w:cs="Arial"/>
          <w:kern w:val="0"/>
          <w:lang w:eastAsia="en-GB"/>
          <w14:ligatures w14:val="none"/>
        </w:rPr>
        <w:t>This theme suggests that how services are provided is equally critical as the timing of diagnosis; without investment in organised post-diagnostic pathways, the advantages of early diagnosis are compromised.</w:t>
      </w:r>
    </w:p>
    <w:p w14:paraId="509DA59F" w14:textId="77777777" w:rsidR="00CD7735" w:rsidRDefault="00CD7735" w:rsidP="00CD7735">
      <w:pPr>
        <w:rPr>
          <w:rFonts w:ascii="Arial" w:hAnsi="Arial" w:cs="Arial"/>
          <w:b/>
          <w:bCs/>
        </w:rPr>
      </w:pPr>
    </w:p>
    <w:p w14:paraId="3143BC8F" w14:textId="4EA472B9" w:rsidR="00CD7735" w:rsidRPr="00CD7735" w:rsidRDefault="00CD7735" w:rsidP="00CD7735">
      <w:pPr>
        <w:pStyle w:val="Heading3"/>
        <w:rPr>
          <w:rFonts w:ascii="Arial" w:hAnsi="Arial" w:cs="Arial"/>
          <w:b/>
          <w:bCs/>
          <w:u w:val="none"/>
        </w:rPr>
      </w:pPr>
      <w:bookmarkStart w:id="77" w:name="_Toc210677402"/>
      <w:r w:rsidRPr="00CD7735">
        <w:rPr>
          <w:rFonts w:ascii="Arial" w:hAnsi="Arial" w:cs="Arial"/>
          <w:b/>
          <w:bCs/>
          <w:u w:val="none"/>
        </w:rPr>
        <w:lastRenderedPageBreak/>
        <w:t>4.4.4 Theme 4</w:t>
      </w:r>
      <w:bookmarkEnd w:id="77"/>
    </w:p>
    <w:p w14:paraId="186FAD41" w14:textId="0C11CAB2" w:rsidR="00B4497B" w:rsidRDefault="00CD7735" w:rsidP="00B4497B">
      <w:pPr>
        <w:spacing w:line="360" w:lineRule="auto"/>
        <w:rPr>
          <w:rFonts w:ascii="Arial" w:hAnsi="Arial" w:cs="Arial"/>
          <w:b/>
          <w:bCs/>
        </w:rPr>
      </w:pPr>
      <w:r w:rsidRPr="00CD7735">
        <w:rPr>
          <w:rFonts w:ascii="Arial" w:hAnsi="Arial" w:cs="Arial"/>
          <w:b/>
          <w:bCs/>
        </w:rPr>
        <w:t>Relational and social variables</w:t>
      </w:r>
    </w:p>
    <w:p w14:paraId="6140BCAD" w14:textId="77777777" w:rsidR="000376E2" w:rsidRDefault="000376E2" w:rsidP="000376E2">
      <w:pPr>
        <w:spacing w:line="360" w:lineRule="auto"/>
        <w:rPr>
          <w:rFonts w:ascii="Arial" w:hAnsi="Arial" w:cs="Arial"/>
        </w:rPr>
      </w:pPr>
      <w:r w:rsidRPr="000376E2">
        <w:rPr>
          <w:rFonts w:ascii="Arial" w:hAnsi="Arial" w:cs="Arial"/>
        </w:rPr>
        <w:t>The final theme highlights the significance of family, carers, and social connections in influencing mental health outcomes and participation in interventions.</w:t>
      </w:r>
    </w:p>
    <w:p w14:paraId="77F43935" w14:textId="243B3AE7" w:rsidR="000376E2" w:rsidRDefault="000376E2" w:rsidP="000376E2">
      <w:pPr>
        <w:pStyle w:val="ListParagraph"/>
        <w:numPr>
          <w:ilvl w:val="0"/>
          <w:numId w:val="25"/>
        </w:numPr>
        <w:spacing w:line="360" w:lineRule="auto"/>
        <w:rPr>
          <w:rFonts w:ascii="Arial" w:hAnsi="Arial" w:cs="Arial"/>
        </w:rPr>
      </w:pPr>
      <w:r w:rsidRPr="000376E2">
        <w:rPr>
          <w:rFonts w:ascii="Arial" w:hAnsi="Arial" w:cs="Arial"/>
        </w:rPr>
        <w:t xml:space="preserve">Family as essential facilitators: Family members were instrumental, providing both practical support (e.g., transportation) and encouragement to attend while soothing fears </w:t>
      </w:r>
      <w:sdt>
        <w:sdtPr>
          <w:rPr>
            <w:rFonts w:ascii="Arial" w:hAnsi="Arial" w:cs="Arial"/>
          </w:rPr>
          <w:id w:val="439721389"/>
          <w:citation/>
        </w:sdtPr>
        <w:sdtContent>
          <w:r>
            <w:rPr>
              <w:rFonts w:ascii="Arial" w:hAnsi="Arial" w:cs="Arial"/>
            </w:rPr>
            <w:fldChar w:fldCharType="begin"/>
          </w:r>
          <w:r>
            <w:rPr>
              <w:rFonts w:ascii="Arial" w:hAnsi="Arial" w:cs="Arial"/>
              <w:lang w:val="en-US"/>
            </w:rPr>
            <w:instrText xml:space="preserve"> CITATION Bec21 \l 1033 </w:instrText>
          </w:r>
          <w:r>
            <w:rPr>
              <w:rFonts w:ascii="Arial" w:hAnsi="Arial" w:cs="Arial"/>
            </w:rPr>
            <w:fldChar w:fldCharType="separate"/>
          </w:r>
          <w:r w:rsidR="001E393B" w:rsidRPr="001E393B">
            <w:rPr>
              <w:rFonts w:ascii="Arial" w:hAnsi="Arial" w:cs="Arial"/>
              <w:noProof/>
              <w:lang w:val="en-US"/>
            </w:rPr>
            <w:t>(Field, et al., 2021)</w:t>
          </w:r>
          <w:r>
            <w:rPr>
              <w:rFonts w:ascii="Arial" w:hAnsi="Arial" w:cs="Arial"/>
            </w:rPr>
            <w:fldChar w:fldCharType="end"/>
          </w:r>
        </w:sdtContent>
      </w:sdt>
      <w:r w:rsidRPr="000376E2">
        <w:rPr>
          <w:rFonts w:ascii="Arial" w:hAnsi="Arial" w:cs="Arial"/>
        </w:rPr>
        <w:t>. Some carers assumed authoritative roles, convincing hesitant patients to participate in sessions, which frequently led to favourable outcomes upon engagement.</w:t>
      </w:r>
    </w:p>
    <w:p w14:paraId="54D5D287" w14:textId="7A330056" w:rsidR="000376E2" w:rsidRDefault="000376E2" w:rsidP="000376E2">
      <w:pPr>
        <w:pStyle w:val="ListParagraph"/>
        <w:numPr>
          <w:ilvl w:val="0"/>
          <w:numId w:val="25"/>
        </w:numPr>
        <w:spacing w:line="360" w:lineRule="auto"/>
        <w:rPr>
          <w:rFonts w:ascii="Arial" w:hAnsi="Arial" w:cs="Arial"/>
        </w:rPr>
      </w:pPr>
      <w:r w:rsidRPr="000376E2">
        <w:rPr>
          <w:rFonts w:ascii="Arial" w:hAnsi="Arial" w:cs="Arial"/>
        </w:rPr>
        <w:t xml:space="preserve">Effective communication and reassurance: Constructive relationships with staff, marked by compassionate dialogue and reassurance, were shown to help reduce patient fear and uncertainty </w:t>
      </w:r>
      <w:sdt>
        <w:sdtPr>
          <w:rPr>
            <w:rFonts w:ascii="Arial" w:hAnsi="Arial" w:cs="Arial"/>
          </w:rPr>
          <w:id w:val="-1430644918"/>
          <w:citation/>
        </w:sdtPr>
        <w:sdtContent>
          <w:r>
            <w:rPr>
              <w:rFonts w:ascii="Arial" w:hAnsi="Arial" w:cs="Arial"/>
            </w:rPr>
            <w:fldChar w:fldCharType="begin"/>
          </w:r>
          <w:r>
            <w:rPr>
              <w:rFonts w:ascii="Arial" w:hAnsi="Arial" w:cs="Arial"/>
              <w:lang w:val="en-US"/>
            </w:rPr>
            <w:instrText xml:space="preserve"> CITATION Ali21 \l 1033 </w:instrText>
          </w:r>
          <w:r>
            <w:rPr>
              <w:rFonts w:ascii="Arial" w:hAnsi="Arial" w:cs="Arial"/>
            </w:rPr>
            <w:fldChar w:fldCharType="separate"/>
          </w:r>
          <w:r w:rsidR="001E393B" w:rsidRPr="001E393B">
            <w:rPr>
              <w:rFonts w:ascii="Arial" w:hAnsi="Arial" w:cs="Arial"/>
              <w:noProof/>
              <w:lang w:val="en-US"/>
            </w:rPr>
            <w:t>(Wheatley, et al., 2021)</w:t>
          </w:r>
          <w:r>
            <w:rPr>
              <w:rFonts w:ascii="Arial" w:hAnsi="Arial" w:cs="Arial"/>
            </w:rPr>
            <w:fldChar w:fldCharType="end"/>
          </w:r>
        </w:sdtContent>
      </w:sdt>
      <w:r w:rsidRPr="000376E2">
        <w:rPr>
          <w:rFonts w:ascii="Arial" w:hAnsi="Arial" w:cs="Arial"/>
        </w:rPr>
        <w:t>. Contrary to this, quick or disrespectful interactions reduced engagement.</w:t>
      </w:r>
    </w:p>
    <w:p w14:paraId="36FA5F74" w14:textId="77777777" w:rsidR="000376E2" w:rsidRPr="000376E2" w:rsidRDefault="000376E2" w:rsidP="000376E2">
      <w:pPr>
        <w:pStyle w:val="ListParagraph"/>
        <w:numPr>
          <w:ilvl w:val="0"/>
          <w:numId w:val="25"/>
        </w:numPr>
        <w:spacing w:after="0" w:line="360" w:lineRule="auto"/>
        <w:rPr>
          <w:rFonts w:ascii="Arial" w:eastAsia="Times New Roman" w:hAnsi="Arial" w:cs="Arial"/>
          <w:kern w:val="0"/>
          <w:lang w:eastAsia="en-GB"/>
          <w14:ligatures w14:val="none"/>
        </w:rPr>
      </w:pPr>
      <w:r w:rsidRPr="000376E2">
        <w:rPr>
          <w:rFonts w:ascii="Arial" w:eastAsia="Times New Roman" w:hAnsi="Arial" w:cs="Arial"/>
          <w:kern w:val="0"/>
          <w:lang w:eastAsia="en-GB"/>
          <w14:ligatures w14:val="none"/>
        </w:rPr>
        <w:t>Carer burden: Hunt et al. (2023) emphasised that increased carer burden was significantly correlated with increased patient distress levels. When carers experienced anxiety, fatigue, or scepticism, the acceptance of interventions diminished.</w:t>
      </w:r>
    </w:p>
    <w:p w14:paraId="7EFA47A2" w14:textId="31B63ACC" w:rsidR="000376E2" w:rsidRDefault="000376E2" w:rsidP="000376E2">
      <w:pPr>
        <w:pStyle w:val="ListParagraph"/>
        <w:numPr>
          <w:ilvl w:val="0"/>
          <w:numId w:val="25"/>
        </w:numPr>
        <w:spacing w:after="0" w:line="360" w:lineRule="auto"/>
        <w:rPr>
          <w:rFonts w:ascii="Arial" w:eastAsia="Times New Roman" w:hAnsi="Arial" w:cs="Arial"/>
          <w:kern w:val="0"/>
          <w:lang w:eastAsia="en-GB"/>
          <w14:ligatures w14:val="none"/>
        </w:rPr>
      </w:pPr>
      <w:r w:rsidRPr="000376E2">
        <w:rPr>
          <w:rFonts w:ascii="Arial" w:eastAsia="Times New Roman" w:hAnsi="Arial" w:cs="Arial"/>
          <w:kern w:val="0"/>
          <w:lang w:eastAsia="en-GB"/>
          <w14:ligatures w14:val="none"/>
        </w:rPr>
        <w:t>Stigma and social identity: Social stigma persisted as a formidable obstacle. Edwards et al. (2024) indicated that participants withdrew from group engagement due to fear of being identified by friends or uncomfortable in interacting with individuals considered as more advanced in their illness. Stigma grows stronger through denial and resistance to the acceptance of diagnosis.</w:t>
      </w:r>
    </w:p>
    <w:p w14:paraId="565884AE" w14:textId="5CEECFE7" w:rsidR="000376E2" w:rsidRPr="000376E2" w:rsidRDefault="000376E2" w:rsidP="000376E2">
      <w:pPr>
        <w:spacing w:after="0" w:line="360" w:lineRule="auto"/>
        <w:rPr>
          <w:rFonts w:ascii="Arial" w:eastAsia="Times New Roman" w:hAnsi="Arial" w:cs="Arial"/>
          <w:kern w:val="0"/>
          <w:lang w:eastAsia="en-GB"/>
          <w14:ligatures w14:val="none"/>
        </w:rPr>
      </w:pPr>
      <w:r w:rsidRPr="000376E2">
        <w:rPr>
          <w:rFonts w:ascii="Arial" w:eastAsia="Times New Roman" w:hAnsi="Arial" w:cs="Arial"/>
          <w:kern w:val="0"/>
          <w:lang w:eastAsia="en-GB"/>
          <w14:ligatures w14:val="none"/>
        </w:rPr>
        <w:t>This theme highlights the importance of relational patterns</w:t>
      </w:r>
      <w:r>
        <w:rPr>
          <w:rFonts w:ascii="Arial" w:eastAsia="Times New Roman" w:hAnsi="Arial" w:cs="Arial"/>
          <w:kern w:val="0"/>
          <w:lang w:eastAsia="en-GB"/>
          <w14:ligatures w14:val="none"/>
        </w:rPr>
        <w:t xml:space="preserve">, </w:t>
      </w:r>
      <w:r w:rsidRPr="000376E2">
        <w:rPr>
          <w:rFonts w:ascii="Arial" w:eastAsia="Times New Roman" w:hAnsi="Arial" w:cs="Arial"/>
          <w:kern w:val="0"/>
          <w:lang w:eastAsia="en-GB"/>
          <w14:ligatures w14:val="none"/>
        </w:rPr>
        <w:t>both within families and between patients and professionals</w:t>
      </w:r>
      <w:r>
        <w:rPr>
          <w:rFonts w:ascii="Arial" w:eastAsia="Times New Roman" w:hAnsi="Arial" w:cs="Arial"/>
          <w:kern w:val="0"/>
          <w:lang w:eastAsia="en-GB"/>
          <w14:ligatures w14:val="none"/>
        </w:rPr>
        <w:t xml:space="preserve">, </w:t>
      </w:r>
      <w:r w:rsidRPr="000376E2">
        <w:rPr>
          <w:rFonts w:ascii="Arial" w:eastAsia="Times New Roman" w:hAnsi="Arial" w:cs="Arial"/>
          <w:kern w:val="0"/>
          <w:lang w:eastAsia="en-GB"/>
          <w14:ligatures w14:val="none"/>
        </w:rPr>
        <w:t>in shaping the experience of diagnosis and support.</w:t>
      </w:r>
    </w:p>
    <w:p w14:paraId="73D92AA4" w14:textId="77777777" w:rsidR="000376E2" w:rsidRPr="000376E2" w:rsidRDefault="000376E2" w:rsidP="000376E2">
      <w:pPr>
        <w:spacing w:after="0" w:line="360" w:lineRule="auto"/>
        <w:rPr>
          <w:rFonts w:ascii="Arial" w:eastAsia="Times New Roman" w:hAnsi="Arial" w:cs="Arial"/>
          <w:kern w:val="0"/>
          <w:lang w:eastAsia="en-GB"/>
          <w14:ligatures w14:val="none"/>
        </w:rPr>
      </w:pPr>
    </w:p>
    <w:p w14:paraId="0E44EBA3" w14:textId="2FD9A1B2" w:rsidR="000376E2" w:rsidRDefault="007A0DB8" w:rsidP="007A0DB8">
      <w:pPr>
        <w:pStyle w:val="Heading2"/>
        <w:jc w:val="left"/>
        <w:rPr>
          <w:rFonts w:ascii="Arial" w:hAnsi="Arial" w:cs="Arial"/>
        </w:rPr>
      </w:pPr>
      <w:bookmarkStart w:id="78" w:name="_Toc210677403"/>
      <w:r w:rsidRPr="007A0DB8">
        <w:rPr>
          <w:rFonts w:ascii="Arial" w:hAnsi="Arial" w:cs="Arial"/>
        </w:rPr>
        <w:t>4.5 Cross-Study Patterns</w:t>
      </w:r>
      <w:bookmarkEnd w:id="78"/>
    </w:p>
    <w:p w14:paraId="7A07C022" w14:textId="77777777" w:rsidR="007A0DB8" w:rsidRDefault="007A0DB8" w:rsidP="007A0DB8">
      <w:pPr>
        <w:spacing w:line="360" w:lineRule="auto"/>
        <w:rPr>
          <w:rFonts w:ascii="Arial" w:hAnsi="Arial" w:cs="Arial"/>
        </w:rPr>
      </w:pPr>
      <w:r w:rsidRPr="007A0DB8">
        <w:rPr>
          <w:rFonts w:ascii="Arial" w:hAnsi="Arial" w:cs="Arial"/>
        </w:rPr>
        <w:t>The synthesis of the ten included studies revealed numerous consistent patterns across methodologies along with significant divergences in the effects of early diagnosis and intervention on mental health outcomes. Understanding these cross-study insights improves the credibility of findings and highlights complexities within the evidence base.</w:t>
      </w:r>
    </w:p>
    <w:p w14:paraId="56F7B95C" w14:textId="77777777" w:rsidR="00DE0031" w:rsidRDefault="007A0DB8" w:rsidP="00DE0031">
      <w:pPr>
        <w:pStyle w:val="ListParagraph"/>
        <w:numPr>
          <w:ilvl w:val="0"/>
          <w:numId w:val="26"/>
        </w:numPr>
        <w:spacing w:after="0" w:line="360" w:lineRule="auto"/>
        <w:rPr>
          <w:rFonts w:ascii="Arial" w:eastAsia="Times New Roman" w:hAnsi="Arial" w:cs="Arial"/>
          <w:kern w:val="0"/>
          <w:lang w:eastAsia="en-GB"/>
          <w14:ligatures w14:val="none"/>
        </w:rPr>
      </w:pPr>
      <w:r w:rsidRPr="007A0DB8">
        <w:rPr>
          <w:rFonts w:ascii="Arial" w:eastAsia="Times New Roman" w:hAnsi="Arial" w:cs="Arial"/>
          <w:kern w:val="0"/>
          <w:lang w:eastAsia="en-GB"/>
          <w14:ligatures w14:val="none"/>
        </w:rPr>
        <w:t>Qualitative versus Quantitative Contributions</w:t>
      </w:r>
    </w:p>
    <w:p w14:paraId="0151A36A" w14:textId="77777777" w:rsidR="006B5C80" w:rsidRDefault="00DE0031" w:rsidP="00DE0031">
      <w:pPr>
        <w:spacing w:after="0" w:line="360" w:lineRule="auto"/>
        <w:rPr>
          <w:rFonts w:ascii="Arial" w:hAnsi="Arial" w:cs="Arial"/>
        </w:rPr>
      </w:pPr>
      <w:r w:rsidRPr="00DE0031">
        <w:rPr>
          <w:rFonts w:ascii="Arial" w:hAnsi="Arial" w:cs="Arial"/>
        </w:rPr>
        <w:t xml:space="preserve">Qualitative studies (Field et al., 2021; Kajander et al., 2022; Edwards et al., 2024; Wheatley et al., 2021) offered comprehensive, contextualised narratives of the lived experience surrounding dementia diagnosis. These studies highlighted issues such as stigma, identity disruption, and the crucial role of carers in facilitating or delaying intervention adoption. They </w:t>
      </w:r>
      <w:r w:rsidRPr="00DE0031">
        <w:rPr>
          <w:rFonts w:ascii="Arial" w:hAnsi="Arial" w:cs="Arial"/>
        </w:rPr>
        <w:lastRenderedPageBreak/>
        <w:t>provided profound insights into the emotional processing of diagnosis by individuals and underlined subtle relational dynamics frequently overlooked in quantitative datasets.</w:t>
      </w:r>
    </w:p>
    <w:p w14:paraId="13444D94" w14:textId="536C6AFF" w:rsidR="00DE0031" w:rsidRDefault="00DE0031" w:rsidP="00DE0031">
      <w:pPr>
        <w:spacing w:after="0" w:line="360" w:lineRule="auto"/>
        <w:rPr>
          <w:rFonts w:ascii="Arial" w:hAnsi="Arial" w:cs="Arial"/>
        </w:rPr>
      </w:pPr>
      <w:r w:rsidRPr="00DE0031">
        <w:rPr>
          <w:rFonts w:ascii="Arial" w:hAnsi="Arial" w:cs="Arial"/>
        </w:rPr>
        <w:br/>
        <w:t>Quantitative studies, especially those utilising extensive NHS or primary care datasets (Pujades-Rodriguez et al., 2018; Carreira et al., 2019; Bell et al., 2022; Bell et al., 2024), supported population-level patterns. These studies consistently indicated that delayed diagnosis correlated with adverse outcomes, including greater rates of depression, anxiety, and functional deterioration. They also revealed inequalities in access to post-diagnostic support and validated that patients who experienced structured interventions showed significantly improved mental health trajectories.</w:t>
      </w:r>
    </w:p>
    <w:p w14:paraId="21A292F3" w14:textId="77777777" w:rsidR="006B5C80" w:rsidRDefault="006B5C80" w:rsidP="006B5C80">
      <w:pPr>
        <w:spacing w:after="0" w:line="360" w:lineRule="auto"/>
        <w:rPr>
          <w:rFonts w:ascii="Arial" w:eastAsia="Times New Roman" w:hAnsi="Arial" w:cs="Arial"/>
          <w:kern w:val="0"/>
          <w:lang w:eastAsia="en-GB"/>
          <w14:ligatures w14:val="none"/>
        </w:rPr>
      </w:pPr>
      <w:r w:rsidRPr="006B5C80">
        <w:rPr>
          <w:rFonts w:ascii="Arial" w:eastAsia="Times New Roman" w:hAnsi="Arial" w:cs="Arial"/>
          <w:kern w:val="0"/>
          <w:lang w:eastAsia="en-GB"/>
          <w14:ligatures w14:val="none"/>
        </w:rPr>
        <w:t>Together, both of these approaches produced an overall understanding: qualitative findings explained the mechanisms (e.g., fear, stigma, familial influence), and quantitative evidence validated the extent and effect of these mechanisms at a population level.</w:t>
      </w:r>
    </w:p>
    <w:p w14:paraId="494D7671" w14:textId="77777777" w:rsidR="006B5C80" w:rsidRDefault="006B5C80" w:rsidP="006B5C80">
      <w:pPr>
        <w:spacing w:after="0" w:line="360" w:lineRule="auto"/>
        <w:rPr>
          <w:rFonts w:ascii="Arial" w:eastAsia="Times New Roman" w:hAnsi="Arial" w:cs="Arial"/>
          <w:kern w:val="0"/>
          <w:lang w:eastAsia="en-GB"/>
          <w14:ligatures w14:val="none"/>
        </w:rPr>
      </w:pPr>
    </w:p>
    <w:p w14:paraId="1B3B681B" w14:textId="77777777" w:rsidR="006B5C80" w:rsidRDefault="006B5C80" w:rsidP="006B5C80">
      <w:pPr>
        <w:pStyle w:val="ListParagraph"/>
        <w:numPr>
          <w:ilvl w:val="0"/>
          <w:numId w:val="26"/>
        </w:numPr>
        <w:spacing w:after="0" w:line="360" w:lineRule="auto"/>
        <w:rPr>
          <w:rFonts w:ascii="Arial" w:eastAsia="Times New Roman" w:hAnsi="Arial" w:cs="Arial"/>
          <w:kern w:val="0"/>
          <w:lang w:eastAsia="en-GB"/>
          <w14:ligatures w14:val="none"/>
        </w:rPr>
      </w:pPr>
      <w:r w:rsidRPr="006B5C80">
        <w:rPr>
          <w:rFonts w:ascii="Arial" w:eastAsia="Times New Roman" w:hAnsi="Arial" w:cs="Arial"/>
          <w:kern w:val="0"/>
          <w:lang w:eastAsia="en-GB"/>
          <w14:ligatures w14:val="none"/>
        </w:rPr>
        <w:t>Similar Patterns Across Studies</w:t>
      </w:r>
    </w:p>
    <w:p w14:paraId="7E88A826" w14:textId="77777777" w:rsidR="006B5C80" w:rsidRDefault="006B5C80" w:rsidP="006B5C80">
      <w:pPr>
        <w:spacing w:after="0" w:line="360" w:lineRule="auto"/>
        <w:rPr>
          <w:rFonts w:ascii="Arial" w:eastAsia="Times New Roman" w:hAnsi="Arial" w:cs="Arial"/>
          <w:kern w:val="0"/>
          <w:lang w:eastAsia="en-GB"/>
          <w14:ligatures w14:val="none"/>
        </w:rPr>
      </w:pPr>
      <w:r w:rsidRPr="006B5C80">
        <w:rPr>
          <w:rFonts w:ascii="Arial" w:eastAsia="Times New Roman" w:hAnsi="Arial" w:cs="Arial"/>
          <w:kern w:val="0"/>
          <w:lang w:eastAsia="en-GB"/>
          <w14:ligatures w14:val="none"/>
        </w:rPr>
        <w:br/>
        <w:t>Various methodologies and study designs revealed several recurring themes.</w:t>
      </w:r>
    </w:p>
    <w:p w14:paraId="7C2BFCD3" w14:textId="11964874" w:rsidR="006B5C80" w:rsidRDefault="006B5C80" w:rsidP="006B5C80">
      <w:pPr>
        <w:spacing w:after="0" w:line="360" w:lineRule="auto"/>
        <w:rPr>
          <w:rFonts w:ascii="Arial" w:eastAsia="Times New Roman" w:hAnsi="Arial" w:cs="Arial"/>
          <w:kern w:val="0"/>
          <w:lang w:eastAsia="en-GB"/>
          <w14:ligatures w14:val="none"/>
        </w:rPr>
      </w:pPr>
      <w:r w:rsidRPr="006B5C80">
        <w:rPr>
          <w:rFonts w:ascii="Arial" w:eastAsia="Times New Roman" w:hAnsi="Arial" w:cs="Arial"/>
          <w:kern w:val="0"/>
          <w:lang w:eastAsia="en-GB"/>
          <w14:ligatures w14:val="none"/>
        </w:rPr>
        <w:br/>
        <w:t>Emotional trauma upon diagnosis</w:t>
      </w:r>
      <w:r>
        <w:rPr>
          <w:rFonts w:ascii="Arial" w:eastAsia="Times New Roman" w:hAnsi="Arial" w:cs="Arial"/>
          <w:kern w:val="0"/>
          <w:lang w:eastAsia="en-GB"/>
          <w14:ligatures w14:val="none"/>
        </w:rPr>
        <w:t xml:space="preserve">: </w:t>
      </w:r>
      <w:r w:rsidRPr="006B5C80">
        <w:rPr>
          <w:rFonts w:ascii="Arial" w:eastAsia="Times New Roman" w:hAnsi="Arial" w:cs="Arial"/>
          <w:kern w:val="0"/>
          <w:lang w:eastAsia="en-GB"/>
          <w14:ligatures w14:val="none"/>
        </w:rPr>
        <w:t>Patients generally reported initial distress upon diagnosis, despite experiencing some relief immediately. Anxiety, concern about future deterioration, and identity loss were all common (Field et al., 2021; Edwards et al., 2024; Pujades-Rodriguez et al., 2018).</w:t>
      </w:r>
      <w:r w:rsidRPr="006B5C80">
        <w:rPr>
          <w:rFonts w:ascii="Arial" w:eastAsia="Times New Roman" w:hAnsi="Arial" w:cs="Arial"/>
          <w:kern w:val="0"/>
          <w:lang w:eastAsia="en-GB"/>
          <w14:ligatures w14:val="none"/>
        </w:rPr>
        <w:br/>
      </w:r>
      <w:r w:rsidRPr="006B5C80">
        <w:rPr>
          <w:rFonts w:ascii="Arial" w:eastAsia="Times New Roman" w:hAnsi="Arial" w:cs="Arial"/>
          <w:kern w:val="0"/>
          <w:lang w:eastAsia="en-GB"/>
          <w14:ligatures w14:val="none"/>
        </w:rPr>
        <w:br/>
        <w:t>The significance of tailored assistance</w:t>
      </w:r>
      <w:r>
        <w:rPr>
          <w:rFonts w:ascii="Arial" w:eastAsia="Times New Roman" w:hAnsi="Arial" w:cs="Arial"/>
          <w:kern w:val="0"/>
          <w:lang w:eastAsia="en-GB"/>
          <w14:ligatures w14:val="none"/>
        </w:rPr>
        <w:t xml:space="preserve">: </w:t>
      </w:r>
      <w:r w:rsidRPr="006B5C80">
        <w:rPr>
          <w:rFonts w:ascii="Arial" w:eastAsia="Times New Roman" w:hAnsi="Arial" w:cs="Arial"/>
          <w:kern w:val="0"/>
          <w:lang w:eastAsia="en-GB"/>
          <w14:ligatures w14:val="none"/>
        </w:rPr>
        <w:t xml:space="preserve"> Interventions that correspond with individual interests (such as music, social groups, and reminiscence) demonstrated a higher likelihood of acceptance and efficacy (Kajander et al., 2022; Wheatley et al., 2021). Generic or group-oriented services that failed to consider individual differences were frequently refused.</w:t>
      </w:r>
      <w:r w:rsidRPr="006B5C80">
        <w:rPr>
          <w:rFonts w:ascii="Arial" w:eastAsia="Times New Roman" w:hAnsi="Arial" w:cs="Arial"/>
          <w:kern w:val="0"/>
          <w:lang w:eastAsia="en-GB"/>
          <w14:ligatures w14:val="none"/>
        </w:rPr>
        <w:br/>
      </w:r>
      <w:r w:rsidRPr="006B5C80">
        <w:rPr>
          <w:rFonts w:ascii="Arial" w:eastAsia="Times New Roman" w:hAnsi="Arial" w:cs="Arial"/>
          <w:kern w:val="0"/>
          <w:lang w:eastAsia="en-GB"/>
          <w14:ligatures w14:val="none"/>
        </w:rPr>
        <w:br/>
        <w:t>The impact of carers</w:t>
      </w:r>
      <w:r>
        <w:rPr>
          <w:rFonts w:ascii="Arial" w:eastAsia="Times New Roman" w:hAnsi="Arial" w:cs="Arial"/>
          <w:kern w:val="0"/>
          <w:lang w:eastAsia="en-GB"/>
          <w14:ligatures w14:val="none"/>
        </w:rPr>
        <w:t>:</w:t>
      </w:r>
      <w:r w:rsidRPr="006B5C80">
        <w:rPr>
          <w:rFonts w:ascii="Arial" w:eastAsia="Times New Roman" w:hAnsi="Arial" w:cs="Arial"/>
          <w:kern w:val="0"/>
          <w:lang w:eastAsia="en-GB"/>
          <w14:ligatures w14:val="none"/>
        </w:rPr>
        <w:t xml:space="preserve"> Family members were consistently recognised as essential enablers of intervention adoption, offering both emotional reassurance and practical assistance (Field et al., 2021; Hunt et al., 2023). When carers were overwhelmed or inaccessible, participation and involvement decreased significantly.</w:t>
      </w:r>
      <w:r w:rsidRPr="006B5C80">
        <w:rPr>
          <w:rFonts w:ascii="Arial" w:eastAsia="Times New Roman" w:hAnsi="Arial" w:cs="Arial"/>
          <w:kern w:val="0"/>
          <w:lang w:eastAsia="en-GB"/>
          <w14:ligatures w14:val="none"/>
        </w:rPr>
        <w:br/>
      </w:r>
      <w:r w:rsidRPr="006B5C80">
        <w:rPr>
          <w:rFonts w:ascii="Arial" w:eastAsia="Times New Roman" w:hAnsi="Arial" w:cs="Arial"/>
          <w:kern w:val="0"/>
          <w:lang w:eastAsia="en-GB"/>
          <w14:ligatures w14:val="none"/>
        </w:rPr>
        <w:br/>
        <w:t>Transportation and accessibility challenges</w:t>
      </w:r>
      <w:r>
        <w:rPr>
          <w:rFonts w:ascii="Arial" w:eastAsia="Times New Roman" w:hAnsi="Arial" w:cs="Arial"/>
          <w:kern w:val="0"/>
          <w:lang w:eastAsia="en-GB"/>
          <w14:ligatures w14:val="none"/>
        </w:rPr>
        <w:t>:</w:t>
      </w:r>
      <w:r w:rsidRPr="006B5C80">
        <w:rPr>
          <w:rFonts w:ascii="Arial" w:eastAsia="Times New Roman" w:hAnsi="Arial" w:cs="Arial"/>
          <w:kern w:val="0"/>
          <w:lang w:eastAsia="en-GB"/>
          <w14:ligatures w14:val="none"/>
        </w:rPr>
        <w:t xml:space="preserve"> Accessibility has come to be as a common obstacle. Patients and staff indicated that restricted transport, rurality, and dependency on carers for travel to services restricted access to interventions (Field et al., 2021; Wheatley et al., 2021).</w:t>
      </w:r>
      <w:r w:rsidRPr="006B5C80">
        <w:rPr>
          <w:rFonts w:ascii="Arial" w:eastAsia="Times New Roman" w:hAnsi="Arial" w:cs="Arial"/>
          <w:kern w:val="0"/>
          <w:lang w:eastAsia="en-GB"/>
          <w14:ligatures w14:val="none"/>
        </w:rPr>
        <w:br/>
      </w:r>
      <w:r w:rsidRPr="006B5C80">
        <w:rPr>
          <w:rFonts w:ascii="Arial" w:eastAsia="Times New Roman" w:hAnsi="Arial" w:cs="Arial"/>
          <w:kern w:val="0"/>
          <w:lang w:eastAsia="en-GB"/>
          <w14:ligatures w14:val="none"/>
        </w:rPr>
        <w:lastRenderedPageBreak/>
        <w:br/>
        <w:t>Stigma as a barrier</w:t>
      </w:r>
      <w:r>
        <w:rPr>
          <w:rFonts w:ascii="Arial" w:eastAsia="Times New Roman" w:hAnsi="Arial" w:cs="Arial"/>
          <w:kern w:val="0"/>
          <w:lang w:eastAsia="en-GB"/>
          <w14:ligatures w14:val="none"/>
        </w:rPr>
        <w:t>:</w:t>
      </w:r>
      <w:r w:rsidRPr="006B5C80">
        <w:rPr>
          <w:rFonts w:ascii="Arial" w:eastAsia="Times New Roman" w:hAnsi="Arial" w:cs="Arial"/>
          <w:kern w:val="0"/>
          <w:lang w:eastAsia="en-GB"/>
          <w14:ligatures w14:val="none"/>
        </w:rPr>
        <w:t xml:space="preserve"> Stigma consistently appeared as an ongoing trend in both qualitative and quantitative evidence. Patients frequently avoided group settings or public engagements due to concern of being stigmatised or identified by others (Edwards et al., 2024; Field et al., 2021).</w:t>
      </w:r>
    </w:p>
    <w:p w14:paraId="7B94B58E" w14:textId="77777777" w:rsidR="00B874AD" w:rsidRDefault="00B874AD" w:rsidP="006B5C80">
      <w:pPr>
        <w:spacing w:after="0" w:line="360" w:lineRule="auto"/>
        <w:rPr>
          <w:rFonts w:ascii="Arial" w:eastAsia="Times New Roman" w:hAnsi="Arial" w:cs="Arial"/>
          <w:kern w:val="0"/>
          <w:lang w:eastAsia="en-GB"/>
          <w14:ligatures w14:val="none"/>
        </w:rPr>
      </w:pPr>
    </w:p>
    <w:p w14:paraId="584CE90D" w14:textId="77777777" w:rsidR="00B874AD" w:rsidRDefault="00B874AD" w:rsidP="00B874AD">
      <w:pPr>
        <w:pStyle w:val="ListParagraph"/>
        <w:numPr>
          <w:ilvl w:val="0"/>
          <w:numId w:val="26"/>
        </w:numPr>
        <w:spacing w:after="0" w:line="360" w:lineRule="auto"/>
        <w:rPr>
          <w:rFonts w:ascii="Arial" w:eastAsia="Times New Roman" w:hAnsi="Arial" w:cs="Arial"/>
          <w:kern w:val="0"/>
          <w:lang w:eastAsia="en-GB"/>
          <w14:ligatures w14:val="none"/>
        </w:rPr>
      </w:pPr>
      <w:r w:rsidRPr="00B874AD">
        <w:rPr>
          <w:rFonts w:ascii="Arial" w:eastAsia="Times New Roman" w:hAnsi="Arial" w:cs="Arial"/>
          <w:kern w:val="0"/>
          <w:lang w:eastAsia="en-GB"/>
          <w14:ligatures w14:val="none"/>
        </w:rPr>
        <w:t>Differences Between Studies</w:t>
      </w:r>
    </w:p>
    <w:p w14:paraId="29E0A095" w14:textId="77777777" w:rsidR="00B874AD" w:rsidRPr="005E4A17" w:rsidRDefault="00B874AD" w:rsidP="005E4A17">
      <w:pPr>
        <w:spacing w:after="0" w:line="360" w:lineRule="auto"/>
        <w:ind w:left="360"/>
        <w:rPr>
          <w:rFonts w:ascii="Arial" w:eastAsia="Times New Roman" w:hAnsi="Arial" w:cs="Arial"/>
          <w:kern w:val="0"/>
          <w:lang w:eastAsia="en-GB"/>
          <w14:ligatures w14:val="none"/>
        </w:rPr>
      </w:pPr>
    </w:p>
    <w:p w14:paraId="65EF10F3" w14:textId="77777777" w:rsidR="00B874AD" w:rsidRDefault="00B874AD" w:rsidP="00B874AD">
      <w:pPr>
        <w:spacing w:after="0" w:line="360" w:lineRule="auto"/>
        <w:rPr>
          <w:rFonts w:ascii="Arial" w:eastAsia="Times New Roman" w:hAnsi="Arial" w:cs="Arial"/>
          <w:kern w:val="0"/>
          <w:lang w:eastAsia="en-GB"/>
          <w14:ligatures w14:val="none"/>
        </w:rPr>
      </w:pPr>
      <w:r w:rsidRPr="00B874AD">
        <w:rPr>
          <w:rFonts w:ascii="Arial" w:eastAsia="Times New Roman" w:hAnsi="Arial" w:cs="Arial"/>
          <w:kern w:val="0"/>
          <w:lang w:eastAsia="en-GB"/>
          <w14:ligatures w14:val="none"/>
        </w:rPr>
        <w:t>Despite these similarities, differences also occurred:</w:t>
      </w:r>
    </w:p>
    <w:p w14:paraId="6F1D4FEB" w14:textId="1F6A347D" w:rsidR="00B874AD" w:rsidRPr="00B874AD" w:rsidRDefault="00B874AD" w:rsidP="00B874AD">
      <w:pPr>
        <w:spacing w:after="0" w:line="360" w:lineRule="auto"/>
        <w:rPr>
          <w:rFonts w:ascii="Arial" w:eastAsia="Times New Roman" w:hAnsi="Arial" w:cs="Arial"/>
          <w:kern w:val="0"/>
          <w:lang w:eastAsia="en-GB"/>
          <w14:ligatures w14:val="none"/>
        </w:rPr>
      </w:pPr>
      <w:r w:rsidRPr="00B874AD">
        <w:rPr>
          <w:rFonts w:ascii="Arial" w:eastAsia="Times New Roman" w:hAnsi="Arial" w:cs="Arial"/>
          <w:kern w:val="0"/>
          <w:lang w:eastAsia="en-GB"/>
          <w14:ligatures w14:val="none"/>
        </w:rPr>
        <w:br/>
        <w:t>Early diagnosis: motivating vs distressing.</w:t>
      </w:r>
      <w:r w:rsidRPr="00B874AD">
        <w:rPr>
          <w:rFonts w:ascii="Arial" w:eastAsia="Times New Roman" w:hAnsi="Arial" w:cs="Arial"/>
          <w:kern w:val="0"/>
          <w:lang w:eastAsia="en-GB"/>
          <w14:ligatures w14:val="none"/>
        </w:rPr>
        <w:br/>
        <w:t>Certain participants in qualitative studies characterised early diagnosis as a beneficial and motivating experience. It enabled them to make plans for the future, receive therapies promptly, and preserve a sense of autonomy (Field et al., 2021; Kajander et al., 2022).</w:t>
      </w:r>
      <w:r w:rsidRPr="00B874AD">
        <w:rPr>
          <w:rFonts w:ascii="Arial" w:eastAsia="Times New Roman" w:hAnsi="Arial" w:cs="Arial"/>
          <w:kern w:val="0"/>
          <w:lang w:eastAsia="en-GB"/>
          <w14:ligatures w14:val="none"/>
        </w:rPr>
        <w:br/>
        <w:t>In contrast, others indicated that insufficient follow-up support increased distress following early diagnosis. These individuals reported reflecting on decline previously, encountering depression and anxiety as a result of restricted post-diagnostic options (Wheatley et al., 2021; Hunt et al., 2023).</w:t>
      </w:r>
      <w:r w:rsidRPr="00B874AD">
        <w:rPr>
          <w:rFonts w:ascii="Arial" w:eastAsia="Times New Roman" w:hAnsi="Arial" w:cs="Arial"/>
          <w:kern w:val="0"/>
          <w:lang w:eastAsia="en-GB"/>
          <w14:ligatures w14:val="none"/>
        </w:rPr>
        <w:br/>
      </w:r>
      <w:r w:rsidRPr="00B874AD">
        <w:rPr>
          <w:rFonts w:ascii="Arial" w:eastAsia="Times New Roman" w:hAnsi="Arial" w:cs="Arial"/>
          <w:kern w:val="0"/>
          <w:lang w:eastAsia="en-GB"/>
          <w14:ligatures w14:val="none"/>
        </w:rPr>
        <w:br/>
        <w:t>Differences in service provision: Quantitative studies of NHS records (Bell et al., 2022; Carreira et al., 2019) demonstrated evident population-level advantages of structured therapy, while qualitative research revealed inconsistencies in the local implementation of these services. For example, certain memory services employed specialised CST teams, whereas others offered simply informational booklets.</w:t>
      </w:r>
      <w:r w:rsidRPr="00B874AD">
        <w:rPr>
          <w:rFonts w:ascii="Arial" w:eastAsia="Times New Roman" w:hAnsi="Arial" w:cs="Arial"/>
          <w:kern w:val="0"/>
          <w:lang w:eastAsia="en-GB"/>
          <w14:ligatures w14:val="none"/>
        </w:rPr>
        <w:br/>
      </w:r>
      <w:r w:rsidRPr="00B874AD">
        <w:rPr>
          <w:rFonts w:ascii="Arial" w:eastAsia="Times New Roman" w:hAnsi="Arial" w:cs="Arial"/>
          <w:kern w:val="0"/>
          <w:lang w:eastAsia="en-GB"/>
          <w14:ligatures w14:val="none"/>
        </w:rPr>
        <w:br/>
        <w:t>Carer perspectives: Although the majority of carers were seen as supportive and indispensable, certain studies (Hunt et al., 2023) suggested that carer burden could serve as a detrimental factor, with overwhelmed carers occasionally hindering participation due to time constraints, stress, or emotional fatigue.</w:t>
      </w:r>
    </w:p>
    <w:p w14:paraId="00664F96" w14:textId="77777777" w:rsidR="005E4A17" w:rsidRDefault="005E4A17" w:rsidP="00B874AD">
      <w:pPr>
        <w:spacing w:after="0" w:line="360" w:lineRule="auto"/>
        <w:rPr>
          <w:rFonts w:ascii="Arial" w:eastAsia="Times New Roman" w:hAnsi="Arial" w:cs="Arial"/>
          <w:kern w:val="0"/>
          <w:lang w:eastAsia="en-GB"/>
          <w14:ligatures w14:val="none"/>
        </w:rPr>
      </w:pPr>
    </w:p>
    <w:p w14:paraId="6E5B14F9" w14:textId="77777777" w:rsidR="008910D3" w:rsidRPr="008910D3" w:rsidRDefault="008910D3" w:rsidP="008910D3">
      <w:pPr>
        <w:spacing w:after="0" w:line="360" w:lineRule="auto"/>
        <w:rPr>
          <w:rFonts w:ascii="Arial" w:eastAsia="Times New Roman" w:hAnsi="Arial" w:cs="Arial"/>
          <w:kern w:val="0"/>
          <w:lang w:eastAsia="en-GB"/>
          <w14:ligatures w14:val="none"/>
        </w:rPr>
      </w:pPr>
      <w:r w:rsidRPr="008910D3">
        <w:rPr>
          <w:rFonts w:ascii="Arial" w:eastAsia="Times New Roman" w:hAnsi="Arial" w:cs="Arial"/>
          <w:kern w:val="0"/>
          <w:lang w:eastAsia="en-GB"/>
          <w14:ligatures w14:val="none"/>
        </w:rPr>
        <w:t>The synthesis of evidence from the ten included studies underscores the complex and varied influence of diagnostic timing on mental health outcomes for individuals with dementia in the UK. Although there was a general agreement that early diagnosis can facilitate improved care, the realisation of this potential is dependent on contextual and relational factors.</w:t>
      </w:r>
    </w:p>
    <w:p w14:paraId="3B67829B" w14:textId="77777777" w:rsidR="005E4A17" w:rsidRDefault="005E4A17" w:rsidP="00B874AD">
      <w:pPr>
        <w:spacing w:after="0" w:line="360" w:lineRule="auto"/>
        <w:rPr>
          <w:rFonts w:ascii="Arial" w:eastAsia="Times New Roman" w:hAnsi="Arial" w:cs="Arial"/>
          <w:kern w:val="0"/>
          <w:lang w:eastAsia="en-GB"/>
          <w14:ligatures w14:val="none"/>
        </w:rPr>
      </w:pPr>
    </w:p>
    <w:p w14:paraId="6F2446E6" w14:textId="15CE6CF8" w:rsidR="009706D0" w:rsidRPr="007F1C8A" w:rsidRDefault="009706D0">
      <w:pPr>
        <w:rPr>
          <w:rFonts w:asciiTheme="minorBidi" w:eastAsia="Times New Roman" w:hAnsiTheme="minorBidi"/>
          <w:b/>
          <w:color w:val="000000"/>
          <w:sz w:val="24"/>
        </w:rPr>
      </w:pPr>
      <w:bookmarkStart w:id="79" w:name="_Toc12220"/>
    </w:p>
    <w:p w14:paraId="1E0DD3AE" w14:textId="03929156" w:rsidR="009F64C5" w:rsidRPr="007F1C8A" w:rsidRDefault="00DD7AA5">
      <w:pPr>
        <w:pStyle w:val="Heading1"/>
        <w:ind w:left="12" w:right="3"/>
        <w:rPr>
          <w:rFonts w:asciiTheme="minorBidi" w:hAnsiTheme="minorBidi" w:cstheme="minorBidi"/>
        </w:rPr>
      </w:pPr>
      <w:bookmarkStart w:id="80" w:name="_Toc210677404"/>
      <w:r w:rsidRPr="007F1C8A">
        <w:rPr>
          <w:rFonts w:asciiTheme="minorBidi" w:hAnsiTheme="minorBidi" w:cstheme="minorBidi"/>
        </w:rPr>
        <w:lastRenderedPageBreak/>
        <w:t xml:space="preserve">Chapter 5: </w:t>
      </w:r>
      <w:r w:rsidR="009F64C5" w:rsidRPr="007F1C8A">
        <w:rPr>
          <w:rFonts w:asciiTheme="minorBidi" w:hAnsiTheme="minorBidi" w:cstheme="minorBidi"/>
        </w:rPr>
        <w:t>Discussion</w:t>
      </w:r>
      <w:bookmarkEnd w:id="80"/>
      <w:r w:rsidR="009F64C5" w:rsidRPr="007F1C8A">
        <w:rPr>
          <w:rFonts w:asciiTheme="minorBidi" w:hAnsiTheme="minorBidi" w:cstheme="minorBidi"/>
        </w:rPr>
        <w:t xml:space="preserve"> </w:t>
      </w:r>
      <w:bookmarkEnd w:id="79"/>
    </w:p>
    <w:p w14:paraId="137E6C91" w14:textId="6B5C28E6" w:rsidR="009F64C5" w:rsidRDefault="009F64C5" w:rsidP="008D6B41">
      <w:pPr>
        <w:pStyle w:val="Heading2"/>
        <w:jc w:val="left"/>
        <w:rPr>
          <w:rFonts w:ascii="Arial" w:hAnsi="Arial" w:cs="Arial"/>
        </w:rPr>
      </w:pPr>
      <w:r w:rsidRPr="008D6B41">
        <w:rPr>
          <w:rFonts w:ascii="Arial" w:hAnsi="Arial" w:cs="Arial"/>
        </w:rPr>
        <w:t xml:space="preserve"> </w:t>
      </w:r>
      <w:bookmarkStart w:id="81" w:name="_Toc210677405"/>
      <w:r w:rsidR="008D6B41" w:rsidRPr="008D6B41">
        <w:rPr>
          <w:rFonts w:ascii="Arial" w:hAnsi="Arial" w:cs="Arial"/>
        </w:rPr>
        <w:t>5.1 Introduction</w:t>
      </w:r>
      <w:bookmarkEnd w:id="81"/>
    </w:p>
    <w:p w14:paraId="0C2AE2BA" w14:textId="77777777" w:rsidR="008D6B41" w:rsidRDefault="008D6B41" w:rsidP="008D6B41">
      <w:pPr>
        <w:spacing w:line="360" w:lineRule="auto"/>
        <w:rPr>
          <w:rFonts w:ascii="Arial" w:hAnsi="Arial" w:cs="Arial"/>
        </w:rPr>
      </w:pPr>
      <w:r w:rsidRPr="008D6B41">
        <w:rPr>
          <w:rFonts w:ascii="Arial" w:hAnsi="Arial" w:cs="Arial"/>
        </w:rPr>
        <w:t xml:space="preserve">This chapter analyses the results of the systematic review concerning the primary research question: what impact does early diagnosis and intervention have on mental health outcomes for people leaving with dementia in the UK? </w:t>
      </w:r>
    </w:p>
    <w:p w14:paraId="7699264F" w14:textId="2994A263" w:rsidR="008D6B41" w:rsidRDefault="008D6B41" w:rsidP="008D6B41">
      <w:pPr>
        <w:spacing w:line="360" w:lineRule="auto"/>
        <w:rPr>
          <w:rFonts w:ascii="Arial" w:hAnsi="Arial" w:cs="Arial"/>
        </w:rPr>
      </w:pPr>
      <w:r w:rsidRPr="008D6B41">
        <w:rPr>
          <w:rFonts w:ascii="Arial" w:hAnsi="Arial" w:cs="Arial"/>
        </w:rPr>
        <w:t xml:space="preserve">The synthesis of ten peer-reviewed studies published from 2010 to 2024 identified four primary themes: </w:t>
      </w:r>
      <w:r>
        <w:rPr>
          <w:rFonts w:ascii="Arial" w:hAnsi="Arial" w:cs="Arial"/>
        </w:rPr>
        <w:t>a</w:t>
      </w:r>
      <w:r w:rsidRPr="008D6B41">
        <w:rPr>
          <w:rFonts w:ascii="Arial" w:hAnsi="Arial" w:cs="Arial"/>
        </w:rPr>
        <w:t xml:space="preserve">djustment to diagnosis and emotional responses, </w:t>
      </w:r>
      <w:r>
        <w:rPr>
          <w:rFonts w:ascii="Arial" w:hAnsi="Arial" w:cs="Arial"/>
        </w:rPr>
        <w:t>o</w:t>
      </w:r>
      <w:r w:rsidRPr="008D6B41">
        <w:rPr>
          <w:rFonts w:ascii="Arial" w:hAnsi="Arial" w:cs="Arial"/>
        </w:rPr>
        <w:t xml:space="preserve">bstacles and facilitators to intervention acceptance, post-diagnostic support and service provision and </w:t>
      </w:r>
      <w:r>
        <w:rPr>
          <w:rFonts w:ascii="Arial" w:hAnsi="Arial" w:cs="Arial"/>
        </w:rPr>
        <w:t>r</w:t>
      </w:r>
      <w:r w:rsidRPr="008D6B41">
        <w:rPr>
          <w:rFonts w:ascii="Arial" w:hAnsi="Arial" w:cs="Arial"/>
        </w:rPr>
        <w:t>elational and social variables. These themes demonstrate the complex and frequently contradictory function of early diagnosis, occasionally empowering, yet equally capable of intensifying distress in the absence of sufficient support services.</w:t>
      </w:r>
      <w:r w:rsidRPr="008D6B41">
        <w:rPr>
          <w:rFonts w:ascii="Arial" w:hAnsi="Arial" w:cs="Arial"/>
        </w:rPr>
        <w:br/>
      </w:r>
      <w:r w:rsidRPr="008D6B41">
        <w:rPr>
          <w:rFonts w:ascii="Arial" w:hAnsi="Arial" w:cs="Arial"/>
        </w:rPr>
        <w:br/>
        <w:t>The discussion assesses these results within the framework of established evidence and theoretical constructs presented in Chapter 2, which include the Stress Process Model (</w:t>
      </w:r>
      <w:proofErr w:type="spellStart"/>
      <w:r w:rsidRPr="008D6B41">
        <w:rPr>
          <w:rFonts w:ascii="Arial" w:hAnsi="Arial" w:cs="Arial"/>
        </w:rPr>
        <w:t>Pearlin</w:t>
      </w:r>
      <w:proofErr w:type="spellEnd"/>
      <w:r w:rsidRPr="008D6B41">
        <w:rPr>
          <w:rFonts w:ascii="Arial" w:hAnsi="Arial" w:cs="Arial"/>
        </w:rPr>
        <w:t xml:space="preserve"> et al., 19</w:t>
      </w:r>
      <w:r>
        <w:rPr>
          <w:rFonts w:ascii="Arial" w:hAnsi="Arial" w:cs="Arial"/>
        </w:rPr>
        <w:t>81</w:t>
      </w:r>
      <w:r w:rsidRPr="008D6B41">
        <w:rPr>
          <w:rFonts w:ascii="Arial" w:hAnsi="Arial" w:cs="Arial"/>
        </w:rPr>
        <w:t xml:space="preserve">), the Biopsychosocial Model (Engel, 1977), Stress and Coping Theory (Lazarus &amp; Folkman, 1984), and </w:t>
      </w:r>
      <w:proofErr w:type="spellStart"/>
      <w:r w:rsidRPr="008D6B41">
        <w:rPr>
          <w:rFonts w:ascii="Arial" w:hAnsi="Arial" w:cs="Arial"/>
        </w:rPr>
        <w:t>Kitwood’s</w:t>
      </w:r>
      <w:proofErr w:type="spellEnd"/>
      <w:r w:rsidRPr="008D6B41">
        <w:rPr>
          <w:rFonts w:ascii="Arial" w:hAnsi="Arial" w:cs="Arial"/>
        </w:rPr>
        <w:t xml:space="preserve"> (1997) Person-Centred Care framework. It also examines other explanations, practical and policy ramifications, and the constraints of this research.</w:t>
      </w:r>
    </w:p>
    <w:p w14:paraId="462F625E" w14:textId="5DCF0185" w:rsidR="00E33543" w:rsidRDefault="00E33543" w:rsidP="00E33543">
      <w:pPr>
        <w:pStyle w:val="Heading2"/>
        <w:spacing w:line="360" w:lineRule="auto"/>
        <w:jc w:val="left"/>
        <w:rPr>
          <w:rFonts w:ascii="Arial" w:hAnsi="Arial" w:cs="Arial"/>
        </w:rPr>
      </w:pPr>
      <w:bookmarkStart w:id="82" w:name="_Toc210677406"/>
      <w:r w:rsidRPr="00E33543">
        <w:rPr>
          <w:rFonts w:ascii="Arial" w:hAnsi="Arial" w:cs="Arial"/>
        </w:rPr>
        <w:t>5.2 Interpretation of results</w:t>
      </w:r>
      <w:bookmarkEnd w:id="82"/>
    </w:p>
    <w:p w14:paraId="70FCCFD8" w14:textId="77777777" w:rsidR="002E602B" w:rsidRDefault="002E602B" w:rsidP="002E602B">
      <w:pPr>
        <w:pStyle w:val="Heading3"/>
        <w:spacing w:line="360" w:lineRule="auto"/>
        <w:rPr>
          <w:rFonts w:ascii="Arial" w:hAnsi="Arial" w:cs="Arial"/>
          <w:sz w:val="22"/>
          <w:u w:val="none"/>
        </w:rPr>
      </w:pPr>
      <w:bookmarkStart w:id="83" w:name="_Toc210677407"/>
      <w:r w:rsidRPr="002E602B">
        <w:rPr>
          <w:rFonts w:ascii="Arial" w:hAnsi="Arial" w:cs="Arial"/>
          <w:sz w:val="22"/>
          <w:u w:val="none"/>
        </w:rPr>
        <w:t>5.2.1 Emotional impacts of early diagnosis</w:t>
      </w:r>
      <w:bookmarkEnd w:id="83"/>
    </w:p>
    <w:p w14:paraId="27B7F1D9" w14:textId="77777777" w:rsidR="00550272" w:rsidRDefault="002E602B" w:rsidP="002E602B">
      <w:pPr>
        <w:spacing w:line="360" w:lineRule="auto"/>
        <w:rPr>
          <w:rFonts w:ascii="Arial" w:hAnsi="Arial" w:cs="Arial"/>
        </w:rPr>
      </w:pPr>
      <w:r w:rsidRPr="002E602B">
        <w:rPr>
          <w:rFonts w:ascii="Arial" w:hAnsi="Arial" w:cs="Arial"/>
        </w:rPr>
        <w:t>The review showed that early diagnosis often generates confusing psychological results. Qualitative studies indicated that numerous individuals experienced initial relief, characterising diagnosis as a “naming” of symptoms that facilitated access to services (Field et al., 2021; Edwards et al., 2024). At the same time, others reported feelings of anxiety, hopelessness, and concerns regarding stigma (Pujades-Rodriguez et al., 2018). This dual response aligns with Orgeta et al. (20</w:t>
      </w:r>
      <w:r w:rsidR="00550272">
        <w:rPr>
          <w:rFonts w:ascii="Arial" w:hAnsi="Arial" w:cs="Arial"/>
        </w:rPr>
        <w:t>22</w:t>
      </w:r>
      <w:r w:rsidRPr="002E602B">
        <w:rPr>
          <w:rFonts w:ascii="Arial" w:hAnsi="Arial" w:cs="Arial"/>
        </w:rPr>
        <w:t>), who discovered that early awareness may enhance both preparedness and psychological distress.</w:t>
      </w:r>
      <w:r w:rsidRPr="002E602B">
        <w:rPr>
          <w:rFonts w:ascii="Arial" w:hAnsi="Arial" w:cs="Arial"/>
        </w:rPr>
        <w:br/>
      </w:r>
    </w:p>
    <w:p w14:paraId="31A1B67D" w14:textId="3F6566B0" w:rsidR="002E602B" w:rsidRDefault="002E602B" w:rsidP="002E602B">
      <w:pPr>
        <w:spacing w:line="360" w:lineRule="auto"/>
        <w:rPr>
          <w:rFonts w:ascii="Arial" w:hAnsi="Arial" w:cs="Arial"/>
        </w:rPr>
      </w:pPr>
      <w:r w:rsidRPr="002E602B">
        <w:rPr>
          <w:rFonts w:ascii="Arial" w:hAnsi="Arial" w:cs="Arial"/>
        </w:rPr>
        <w:t>According to the Stress Process Model, early diagnosis functions as a primary stressor: it provides clarity regarding the condition while concurrently triggering a psychological adjustment process. Emotional outcomes are significantly influenced by secondary resources</w:t>
      </w:r>
      <w:r w:rsidR="00550272">
        <w:rPr>
          <w:rFonts w:ascii="Arial" w:hAnsi="Arial" w:cs="Arial"/>
        </w:rPr>
        <w:t xml:space="preserve">, </w:t>
      </w:r>
      <w:r w:rsidRPr="002E602B">
        <w:rPr>
          <w:rFonts w:ascii="Arial" w:hAnsi="Arial" w:cs="Arial"/>
        </w:rPr>
        <w:t>such as familial support, counselling, and service provision</w:t>
      </w:r>
      <w:r w:rsidR="00550272">
        <w:rPr>
          <w:rFonts w:ascii="Arial" w:hAnsi="Arial" w:cs="Arial"/>
        </w:rPr>
        <w:t xml:space="preserve">, </w:t>
      </w:r>
      <w:r w:rsidRPr="002E602B">
        <w:rPr>
          <w:rFonts w:ascii="Arial" w:hAnsi="Arial" w:cs="Arial"/>
        </w:rPr>
        <w:t xml:space="preserve">that mitigate the impact of the diagnosis </w:t>
      </w:r>
      <w:sdt>
        <w:sdtPr>
          <w:rPr>
            <w:rFonts w:ascii="Arial" w:hAnsi="Arial" w:cs="Arial"/>
          </w:rPr>
          <w:id w:val="-1808767275"/>
          <w:citation/>
        </w:sdtPr>
        <w:sdtContent>
          <w:r w:rsidR="00550272">
            <w:rPr>
              <w:rFonts w:ascii="Arial" w:hAnsi="Arial" w:cs="Arial"/>
            </w:rPr>
            <w:fldChar w:fldCharType="begin"/>
          </w:r>
          <w:r w:rsidR="00550272">
            <w:rPr>
              <w:rFonts w:ascii="Arial" w:hAnsi="Arial" w:cs="Arial"/>
              <w:lang w:val="en-US"/>
            </w:rPr>
            <w:instrText xml:space="preserve"> CITATION Leo81 \l 1033 </w:instrText>
          </w:r>
          <w:r w:rsidR="00550272">
            <w:rPr>
              <w:rFonts w:ascii="Arial" w:hAnsi="Arial" w:cs="Arial"/>
            </w:rPr>
            <w:fldChar w:fldCharType="separate"/>
          </w:r>
          <w:r w:rsidR="001E393B" w:rsidRPr="001E393B">
            <w:rPr>
              <w:rFonts w:ascii="Arial" w:hAnsi="Arial" w:cs="Arial"/>
              <w:noProof/>
              <w:lang w:val="en-US"/>
            </w:rPr>
            <w:t>(Pearlin, et al., 1981)</w:t>
          </w:r>
          <w:r w:rsidR="00550272">
            <w:rPr>
              <w:rFonts w:ascii="Arial" w:hAnsi="Arial" w:cs="Arial"/>
            </w:rPr>
            <w:fldChar w:fldCharType="end"/>
          </w:r>
        </w:sdtContent>
      </w:sdt>
      <w:r w:rsidRPr="002E602B">
        <w:rPr>
          <w:rFonts w:ascii="Arial" w:hAnsi="Arial" w:cs="Arial"/>
        </w:rPr>
        <w:t>.</w:t>
      </w:r>
    </w:p>
    <w:p w14:paraId="791F4836" w14:textId="77777777" w:rsidR="00550272" w:rsidRDefault="00550272" w:rsidP="00550272">
      <w:pPr>
        <w:pStyle w:val="Heading3"/>
        <w:spacing w:line="360" w:lineRule="auto"/>
        <w:rPr>
          <w:rFonts w:ascii="Arial" w:hAnsi="Arial" w:cs="Arial"/>
          <w:sz w:val="22"/>
          <w:u w:val="none"/>
        </w:rPr>
      </w:pPr>
      <w:bookmarkStart w:id="84" w:name="_Toc210677408"/>
      <w:r w:rsidRPr="00550272">
        <w:rPr>
          <w:rFonts w:ascii="Arial" w:hAnsi="Arial" w:cs="Arial"/>
          <w:sz w:val="22"/>
          <w:u w:val="none"/>
        </w:rPr>
        <w:lastRenderedPageBreak/>
        <w:t>5.2.2 Adoption of psychosocial interventions</w:t>
      </w:r>
      <w:bookmarkEnd w:id="84"/>
    </w:p>
    <w:p w14:paraId="2FCF30B0" w14:textId="1BFA0437" w:rsidR="0087098A" w:rsidRDefault="0087098A" w:rsidP="0087098A">
      <w:pPr>
        <w:spacing w:line="360" w:lineRule="auto"/>
        <w:rPr>
          <w:rFonts w:ascii="Arial" w:hAnsi="Arial" w:cs="Arial"/>
        </w:rPr>
      </w:pPr>
      <w:r w:rsidRPr="0087098A">
        <w:rPr>
          <w:rFonts w:ascii="Arial" w:hAnsi="Arial" w:cs="Arial"/>
        </w:rPr>
        <w:t>The results indicated that the adoption of psychosocial interventions is influenced more by the manner in which services interact with patients and families than by the diagnosis itself. Interventions centred around personal interests</w:t>
      </w:r>
      <w:r>
        <w:rPr>
          <w:rFonts w:ascii="Arial" w:hAnsi="Arial" w:cs="Arial"/>
        </w:rPr>
        <w:t xml:space="preserve">, </w:t>
      </w:r>
      <w:r w:rsidRPr="0087098A">
        <w:rPr>
          <w:rFonts w:ascii="Arial" w:hAnsi="Arial" w:cs="Arial"/>
        </w:rPr>
        <w:t>such as singing, dancing, or reminiscence</w:t>
      </w:r>
      <w:r>
        <w:rPr>
          <w:rFonts w:ascii="Arial" w:hAnsi="Arial" w:cs="Arial"/>
        </w:rPr>
        <w:t xml:space="preserve">, </w:t>
      </w:r>
      <w:r w:rsidRPr="0087098A">
        <w:rPr>
          <w:rFonts w:ascii="Arial" w:hAnsi="Arial" w:cs="Arial"/>
        </w:rPr>
        <w:t>were rated positively (Kajander et al., 2022; Field et al., 2021). In contrast, group interventions that overlooked individual preferences or fostered stigma were frequently rejected. This indicates that diagnosis alone is inadequate for improving wellbeing; person-centred care is essential (</w:t>
      </w:r>
      <w:proofErr w:type="spellStart"/>
      <w:r w:rsidRPr="0087098A">
        <w:rPr>
          <w:rFonts w:ascii="Arial" w:hAnsi="Arial" w:cs="Arial"/>
        </w:rPr>
        <w:t>Kitwood</w:t>
      </w:r>
      <w:proofErr w:type="spellEnd"/>
      <w:r w:rsidRPr="0087098A">
        <w:rPr>
          <w:rFonts w:ascii="Arial" w:hAnsi="Arial" w:cs="Arial"/>
        </w:rPr>
        <w:t>, 1997).</w:t>
      </w:r>
      <w:r w:rsidRPr="0087098A">
        <w:rPr>
          <w:rFonts w:ascii="Arial" w:hAnsi="Arial" w:cs="Arial"/>
        </w:rPr>
        <w:br/>
      </w:r>
      <w:r w:rsidRPr="0087098A">
        <w:rPr>
          <w:rFonts w:ascii="Arial" w:hAnsi="Arial" w:cs="Arial"/>
        </w:rPr>
        <w:br/>
        <w:t>Consistent practical barriers included transportation, carer availability, and "information overload" at the time of diagnosis (Wheatley et al., 2021). This underscores the significance of contextual factors in determining outcomes. The Biopsychosocial Model explains these dynamics: social and environmental factors are equally impactful as biological development</w:t>
      </w:r>
      <w:r>
        <w:rPr>
          <w:rFonts w:ascii="Arial" w:hAnsi="Arial" w:cs="Arial"/>
        </w:rPr>
        <w:t xml:space="preserve"> </w:t>
      </w:r>
      <w:sdt>
        <w:sdtPr>
          <w:rPr>
            <w:rFonts w:ascii="Arial" w:hAnsi="Arial" w:cs="Arial"/>
          </w:rPr>
          <w:id w:val="-909849029"/>
          <w:citation/>
        </w:sdtPr>
        <w:sdtContent>
          <w:r>
            <w:rPr>
              <w:rFonts w:ascii="Arial" w:hAnsi="Arial" w:cs="Arial"/>
            </w:rPr>
            <w:fldChar w:fldCharType="begin"/>
          </w:r>
          <w:r>
            <w:rPr>
              <w:rFonts w:ascii="Arial" w:hAnsi="Arial" w:cs="Arial"/>
              <w:lang w:val="en-US"/>
            </w:rPr>
            <w:instrText xml:space="preserve"> CITATION Geo77 \l 1033 </w:instrText>
          </w:r>
          <w:r>
            <w:rPr>
              <w:rFonts w:ascii="Arial" w:hAnsi="Arial" w:cs="Arial"/>
            </w:rPr>
            <w:fldChar w:fldCharType="separate"/>
          </w:r>
          <w:r w:rsidR="001E393B" w:rsidRPr="001E393B">
            <w:rPr>
              <w:rFonts w:ascii="Arial" w:hAnsi="Arial" w:cs="Arial"/>
              <w:noProof/>
              <w:lang w:val="en-US"/>
            </w:rPr>
            <w:t>(Engel, 1977)</w:t>
          </w:r>
          <w:r>
            <w:rPr>
              <w:rFonts w:ascii="Arial" w:hAnsi="Arial" w:cs="Arial"/>
            </w:rPr>
            <w:fldChar w:fldCharType="end"/>
          </w:r>
        </w:sdtContent>
      </w:sdt>
      <w:r w:rsidRPr="0087098A">
        <w:rPr>
          <w:rFonts w:ascii="Arial" w:hAnsi="Arial" w:cs="Arial"/>
        </w:rPr>
        <w:t>.</w:t>
      </w:r>
    </w:p>
    <w:p w14:paraId="42BE3270" w14:textId="22556829" w:rsidR="00B933F4" w:rsidRDefault="00B933F4" w:rsidP="00B933F4">
      <w:pPr>
        <w:pStyle w:val="Heading3"/>
        <w:spacing w:line="360" w:lineRule="auto"/>
        <w:rPr>
          <w:rFonts w:ascii="Arial" w:hAnsi="Arial" w:cs="Arial"/>
          <w:sz w:val="22"/>
          <w:szCs w:val="20"/>
          <w:u w:val="none"/>
        </w:rPr>
      </w:pPr>
      <w:bookmarkStart w:id="85" w:name="_Toc210677409"/>
      <w:r w:rsidRPr="00B933F4">
        <w:rPr>
          <w:rFonts w:ascii="Arial" w:hAnsi="Arial" w:cs="Arial"/>
          <w:sz w:val="22"/>
          <w:szCs w:val="20"/>
          <w:u w:val="none"/>
        </w:rPr>
        <w:t xml:space="preserve">5.2.3 </w:t>
      </w:r>
      <w:proofErr w:type="gramStart"/>
      <w:r w:rsidR="005E000A">
        <w:rPr>
          <w:rFonts w:ascii="Arial" w:hAnsi="Arial" w:cs="Arial"/>
          <w:sz w:val="22"/>
          <w:szCs w:val="20"/>
          <w:u w:val="none"/>
        </w:rPr>
        <w:t>P</w:t>
      </w:r>
      <w:r w:rsidRPr="00B933F4">
        <w:rPr>
          <w:rFonts w:ascii="Arial" w:hAnsi="Arial" w:cs="Arial"/>
          <w:sz w:val="22"/>
          <w:szCs w:val="20"/>
          <w:u w:val="none"/>
        </w:rPr>
        <w:t>ost-diagnostic</w:t>
      </w:r>
      <w:proofErr w:type="gramEnd"/>
      <w:r w:rsidRPr="00B933F4">
        <w:rPr>
          <w:rFonts w:ascii="Arial" w:hAnsi="Arial" w:cs="Arial"/>
          <w:sz w:val="22"/>
          <w:szCs w:val="20"/>
          <w:u w:val="none"/>
        </w:rPr>
        <w:t xml:space="preserve"> support and lasting outcomes</w:t>
      </w:r>
      <w:bookmarkEnd w:id="85"/>
    </w:p>
    <w:p w14:paraId="2594C5A9" w14:textId="77777777" w:rsidR="00B933F4" w:rsidRDefault="00B933F4" w:rsidP="00B933F4">
      <w:pPr>
        <w:spacing w:line="360" w:lineRule="auto"/>
        <w:rPr>
          <w:rFonts w:ascii="Arial" w:hAnsi="Arial" w:cs="Arial"/>
        </w:rPr>
      </w:pPr>
      <w:r w:rsidRPr="00B933F4">
        <w:rPr>
          <w:rFonts w:ascii="Arial" w:hAnsi="Arial" w:cs="Arial"/>
        </w:rPr>
        <w:t>A significant find was that early diagnosis, although boosting access to services, did not necessarily result in improved mental health. Cohort studies utilising NHS and GP records (Carreira et al., 2019; Bell et al., 2022) demonstrated that outcomes were variable in the absence of organised post-diagnostic support. Anxiety intensified in certain instances when the diagnosis was communicated without following support (Clarke et al., 2020).</w:t>
      </w:r>
      <w:r w:rsidRPr="00B933F4">
        <w:rPr>
          <w:rFonts w:ascii="Arial" w:hAnsi="Arial" w:cs="Arial"/>
        </w:rPr>
        <w:br/>
      </w:r>
      <w:r w:rsidRPr="00B933F4">
        <w:rPr>
          <w:rFonts w:ascii="Arial" w:hAnsi="Arial" w:cs="Arial"/>
        </w:rPr>
        <w:br/>
        <w:t>This indicates that the timing of diagnosis is a requisite but insufficient component to improved outcomes. The most important issue is the continuity of care; early detection must be accompanied by ongoing psychological, social, and practical support. In the absence of this, the stress associated with diagnosis may surpass the benefits it offers.</w:t>
      </w:r>
    </w:p>
    <w:p w14:paraId="591ECF60" w14:textId="77777777" w:rsidR="005E000A" w:rsidRDefault="00B933F4" w:rsidP="005E000A">
      <w:pPr>
        <w:pStyle w:val="Heading3"/>
        <w:spacing w:line="360" w:lineRule="auto"/>
        <w:rPr>
          <w:rFonts w:ascii="Arial" w:hAnsi="Arial" w:cs="Arial"/>
          <w:sz w:val="22"/>
          <w:szCs w:val="20"/>
          <w:u w:val="none"/>
        </w:rPr>
      </w:pPr>
      <w:bookmarkStart w:id="86" w:name="_Toc210677410"/>
      <w:r w:rsidRPr="005E000A">
        <w:rPr>
          <w:rFonts w:ascii="Arial" w:hAnsi="Arial" w:cs="Arial"/>
          <w:sz w:val="22"/>
          <w:szCs w:val="20"/>
          <w:u w:val="none"/>
        </w:rPr>
        <w:t xml:space="preserve">5.2.4 </w:t>
      </w:r>
      <w:r w:rsidR="005E000A" w:rsidRPr="005E000A">
        <w:rPr>
          <w:rFonts w:ascii="Arial" w:hAnsi="Arial" w:cs="Arial"/>
          <w:sz w:val="22"/>
          <w:szCs w:val="20"/>
          <w:u w:val="none"/>
        </w:rPr>
        <w:t>Relational and social factors</w:t>
      </w:r>
      <w:bookmarkEnd w:id="86"/>
    </w:p>
    <w:p w14:paraId="7A2524EA" w14:textId="0D886276" w:rsidR="00CD117A" w:rsidRDefault="00CD117A" w:rsidP="00CD117A">
      <w:pPr>
        <w:spacing w:line="360" w:lineRule="auto"/>
        <w:rPr>
          <w:rFonts w:ascii="Arial" w:hAnsi="Arial" w:cs="Arial"/>
        </w:rPr>
      </w:pPr>
      <w:r w:rsidRPr="00CD117A">
        <w:rPr>
          <w:rFonts w:ascii="Arial" w:hAnsi="Arial" w:cs="Arial"/>
        </w:rPr>
        <w:t>Relationships were crucial in various studies. Families frequently served as facilitators, promoting attendance and offering logistical assistance (Field et al., 2021; Hunt et al., 2023). At the same time, carer strain was significantly associated with decreased patient mental health, indicating a reciprocal stress dynamic (Hunt et al., 2023).</w:t>
      </w:r>
      <w:r w:rsidRPr="00CD117A">
        <w:rPr>
          <w:rFonts w:ascii="Arial" w:hAnsi="Arial" w:cs="Arial"/>
        </w:rPr>
        <w:br/>
      </w:r>
      <w:r w:rsidRPr="00CD117A">
        <w:rPr>
          <w:rFonts w:ascii="Arial" w:hAnsi="Arial" w:cs="Arial"/>
        </w:rPr>
        <w:br/>
        <w:t xml:space="preserve">Social stigma consistently manifested as an obstacle to taking part in interventions (Edwards et al., 2024). This corresponds with significant research indicating that stigma contributes to emotional distress and hinders help-seeking behaviour (Bunn et al., 2021). Stress and </w:t>
      </w:r>
      <w:r w:rsidRPr="00CD117A">
        <w:rPr>
          <w:rFonts w:ascii="Arial" w:hAnsi="Arial" w:cs="Arial"/>
        </w:rPr>
        <w:lastRenderedPageBreak/>
        <w:t>Coping models illustrate that stigma and denial impede adaptive coping, while relational support increases resilience</w:t>
      </w:r>
      <w:r w:rsidR="00245E40">
        <w:rPr>
          <w:rFonts w:ascii="Arial" w:hAnsi="Arial" w:cs="Arial"/>
        </w:rPr>
        <w:t xml:space="preserve"> </w:t>
      </w:r>
      <w:sdt>
        <w:sdtPr>
          <w:rPr>
            <w:rFonts w:ascii="Arial" w:hAnsi="Arial" w:cs="Arial"/>
          </w:rPr>
          <w:id w:val="1331410056"/>
          <w:citation/>
        </w:sdtPr>
        <w:sdtContent>
          <w:r w:rsidR="00245E40">
            <w:rPr>
              <w:rFonts w:ascii="Arial" w:hAnsi="Arial" w:cs="Arial"/>
            </w:rPr>
            <w:fldChar w:fldCharType="begin"/>
          </w:r>
          <w:r w:rsidR="00245E40">
            <w:rPr>
              <w:rFonts w:ascii="Arial" w:hAnsi="Arial" w:cs="Arial"/>
              <w:lang w:val="en-US"/>
            </w:rPr>
            <w:instrText xml:space="preserve"> CITATION Ric84 \l 1033 </w:instrText>
          </w:r>
          <w:r w:rsidR="00245E40">
            <w:rPr>
              <w:rFonts w:ascii="Arial" w:hAnsi="Arial" w:cs="Arial"/>
            </w:rPr>
            <w:fldChar w:fldCharType="separate"/>
          </w:r>
          <w:r w:rsidR="001E393B" w:rsidRPr="001E393B">
            <w:rPr>
              <w:rFonts w:ascii="Arial" w:hAnsi="Arial" w:cs="Arial"/>
              <w:noProof/>
              <w:lang w:val="en-US"/>
            </w:rPr>
            <w:t>(Lazarus &amp; Folkman, 1984)</w:t>
          </w:r>
          <w:r w:rsidR="00245E40">
            <w:rPr>
              <w:rFonts w:ascii="Arial" w:hAnsi="Arial" w:cs="Arial"/>
            </w:rPr>
            <w:fldChar w:fldCharType="end"/>
          </w:r>
        </w:sdtContent>
      </w:sdt>
      <w:r w:rsidRPr="00CD117A">
        <w:rPr>
          <w:rFonts w:ascii="Arial" w:hAnsi="Arial" w:cs="Arial"/>
        </w:rPr>
        <w:t>.</w:t>
      </w:r>
    </w:p>
    <w:p w14:paraId="5CE5EB1D" w14:textId="77777777" w:rsidR="00534D80" w:rsidRDefault="00534D80" w:rsidP="00CD117A">
      <w:pPr>
        <w:spacing w:line="360" w:lineRule="auto"/>
        <w:rPr>
          <w:rFonts w:ascii="Arial" w:hAnsi="Arial" w:cs="Arial"/>
        </w:rPr>
      </w:pPr>
    </w:p>
    <w:p w14:paraId="6BA6DDD7" w14:textId="5BFCB70C" w:rsidR="00245E40" w:rsidRPr="00261978" w:rsidRDefault="00261978" w:rsidP="00261978">
      <w:pPr>
        <w:pStyle w:val="Heading2"/>
        <w:spacing w:line="360" w:lineRule="auto"/>
        <w:jc w:val="left"/>
        <w:rPr>
          <w:rFonts w:ascii="Arial" w:hAnsi="Arial" w:cs="Arial"/>
        </w:rPr>
      </w:pPr>
      <w:bookmarkStart w:id="87" w:name="_Toc210677411"/>
      <w:r w:rsidRPr="00261978">
        <w:rPr>
          <w:rFonts w:ascii="Arial" w:hAnsi="Arial" w:cs="Arial"/>
        </w:rPr>
        <w:t>5.3 Alternative Explanations</w:t>
      </w:r>
      <w:bookmarkEnd w:id="87"/>
    </w:p>
    <w:p w14:paraId="470CBB22" w14:textId="77777777" w:rsidR="00A14D27" w:rsidRDefault="00245E40" w:rsidP="00261978">
      <w:pPr>
        <w:spacing w:line="360" w:lineRule="auto"/>
        <w:rPr>
          <w:rFonts w:ascii="Arial" w:hAnsi="Arial" w:cs="Arial"/>
        </w:rPr>
      </w:pPr>
      <w:r>
        <w:rPr>
          <w:rFonts w:ascii="Arial" w:hAnsi="Arial" w:cs="Arial"/>
        </w:rPr>
        <w:t xml:space="preserve"> </w:t>
      </w:r>
      <w:r w:rsidR="00261978" w:rsidRPr="00261978">
        <w:rPr>
          <w:rFonts w:ascii="Arial" w:hAnsi="Arial" w:cs="Arial"/>
        </w:rPr>
        <w:t>The findings highlight the beneficial effects of early diagnosis when combined with support, although alternative interpretations need attention. At first, emotional distress might not result from the timing of the diagnosis itself, but rather from the manner in which the diagnosis is communicated. Poor communication techniques</w:t>
      </w:r>
      <w:r w:rsidR="00261978">
        <w:rPr>
          <w:rFonts w:ascii="Arial" w:hAnsi="Arial" w:cs="Arial"/>
        </w:rPr>
        <w:t xml:space="preserve">, </w:t>
      </w:r>
      <w:r w:rsidR="00261978" w:rsidRPr="00261978">
        <w:rPr>
          <w:rFonts w:ascii="Arial" w:hAnsi="Arial" w:cs="Arial"/>
        </w:rPr>
        <w:t>which describe the condition simply as degenerative without acknowledging available support</w:t>
      </w:r>
      <w:r w:rsidR="00261978">
        <w:rPr>
          <w:rFonts w:ascii="Arial" w:hAnsi="Arial" w:cs="Arial"/>
        </w:rPr>
        <w:t xml:space="preserve">, </w:t>
      </w:r>
      <w:r w:rsidR="00261978" w:rsidRPr="00261978">
        <w:rPr>
          <w:rFonts w:ascii="Arial" w:hAnsi="Arial" w:cs="Arial"/>
        </w:rPr>
        <w:t>may intensify depression regardless of the timing (Milne, 2010).</w:t>
      </w:r>
    </w:p>
    <w:p w14:paraId="4E1960B9" w14:textId="00AEA56B" w:rsidR="00A14D27" w:rsidRDefault="00261978" w:rsidP="00261978">
      <w:pPr>
        <w:spacing w:line="360" w:lineRule="auto"/>
        <w:rPr>
          <w:rFonts w:ascii="Arial" w:hAnsi="Arial" w:cs="Arial"/>
        </w:rPr>
      </w:pPr>
      <w:r w:rsidRPr="00261978">
        <w:rPr>
          <w:rFonts w:ascii="Arial" w:hAnsi="Arial" w:cs="Arial"/>
        </w:rPr>
        <w:br/>
        <w:t>Secondly, variability in mental health outcomes may indicate individual differences, including pre-existing resilience, traits of personality, or socio-economic status. Hunt et al. (2023) discovered that personality traits significantly impact wellbeing trajectories, potentially explaining why certain individuals thrive after diagnosis while others deteriorate.</w:t>
      </w:r>
    </w:p>
    <w:p w14:paraId="3B7FA7DD" w14:textId="4F536A14" w:rsidR="00534D80" w:rsidRDefault="00261978" w:rsidP="00261978">
      <w:pPr>
        <w:spacing w:line="360" w:lineRule="auto"/>
        <w:rPr>
          <w:rFonts w:ascii="Arial" w:hAnsi="Arial" w:cs="Arial"/>
        </w:rPr>
      </w:pPr>
      <w:r w:rsidRPr="00261978">
        <w:rPr>
          <w:rFonts w:ascii="Arial" w:hAnsi="Arial" w:cs="Arial"/>
        </w:rPr>
        <w:br/>
        <w:t>Ultimately, systemic issues</w:t>
      </w:r>
      <w:r w:rsidR="00F77B60">
        <w:rPr>
          <w:rFonts w:ascii="Arial" w:hAnsi="Arial" w:cs="Arial"/>
        </w:rPr>
        <w:t xml:space="preserve">, </w:t>
      </w:r>
      <w:r w:rsidRPr="00261978">
        <w:rPr>
          <w:rFonts w:ascii="Arial" w:hAnsi="Arial" w:cs="Arial"/>
        </w:rPr>
        <w:t>such as insufficient funding for services or regional disparities in medical care</w:t>
      </w:r>
      <w:r w:rsidR="00F77B60">
        <w:rPr>
          <w:rFonts w:ascii="Arial" w:hAnsi="Arial" w:cs="Arial"/>
        </w:rPr>
        <w:t xml:space="preserve">, </w:t>
      </w:r>
      <w:r w:rsidRPr="00261978">
        <w:rPr>
          <w:rFonts w:ascii="Arial" w:hAnsi="Arial" w:cs="Arial"/>
        </w:rPr>
        <w:t>can outshine the impact of diagnostic timing. Wheatley et al. (2021) emphasised that the varied availability of post-diagnostic services throughout England directly inf</w:t>
      </w:r>
      <w:r w:rsidR="00A14D27">
        <w:rPr>
          <w:rFonts w:ascii="Arial" w:hAnsi="Arial" w:cs="Arial"/>
        </w:rPr>
        <w:t>l</w:t>
      </w:r>
      <w:r w:rsidRPr="00261978">
        <w:rPr>
          <w:rFonts w:ascii="Arial" w:hAnsi="Arial" w:cs="Arial"/>
        </w:rPr>
        <w:t>uenced outcomes, irrespective of the diagnosis stage.</w:t>
      </w:r>
    </w:p>
    <w:p w14:paraId="4FC68419" w14:textId="77777777" w:rsidR="00A14D27" w:rsidRDefault="00A14D27" w:rsidP="00261978">
      <w:pPr>
        <w:spacing w:line="360" w:lineRule="auto"/>
        <w:rPr>
          <w:rFonts w:ascii="Arial" w:hAnsi="Arial" w:cs="Arial"/>
        </w:rPr>
      </w:pPr>
    </w:p>
    <w:p w14:paraId="03DEA9A0" w14:textId="6409B232" w:rsidR="00534D80" w:rsidRDefault="00534D80" w:rsidP="00A14D27">
      <w:pPr>
        <w:pStyle w:val="Heading2"/>
        <w:jc w:val="left"/>
        <w:rPr>
          <w:rFonts w:ascii="Arial" w:hAnsi="Arial" w:cs="Arial"/>
        </w:rPr>
      </w:pPr>
      <w:bookmarkStart w:id="88" w:name="_Toc210677412"/>
      <w:r w:rsidRPr="00534D80">
        <w:rPr>
          <w:rFonts w:ascii="Arial" w:hAnsi="Arial" w:cs="Arial"/>
        </w:rPr>
        <w:t>5.4 Implications of Findings</w:t>
      </w:r>
      <w:bookmarkEnd w:id="88"/>
    </w:p>
    <w:p w14:paraId="16BCB887" w14:textId="77777777" w:rsidR="00A14D27" w:rsidRPr="00A14D27" w:rsidRDefault="00A14D27" w:rsidP="00A14D27"/>
    <w:p w14:paraId="6D68E7DB" w14:textId="5C5793CC" w:rsidR="00534D80" w:rsidRDefault="00534D80" w:rsidP="00534D80">
      <w:pPr>
        <w:pStyle w:val="Heading3"/>
        <w:spacing w:line="360" w:lineRule="auto"/>
        <w:rPr>
          <w:rFonts w:ascii="Arial" w:hAnsi="Arial" w:cs="Arial"/>
          <w:sz w:val="22"/>
          <w:szCs w:val="20"/>
          <w:u w:val="none"/>
        </w:rPr>
      </w:pPr>
      <w:bookmarkStart w:id="89" w:name="_Toc210677413"/>
      <w:r w:rsidRPr="00534D80">
        <w:rPr>
          <w:rFonts w:ascii="Arial" w:hAnsi="Arial" w:cs="Arial"/>
          <w:sz w:val="22"/>
          <w:szCs w:val="20"/>
          <w:u w:val="none"/>
        </w:rPr>
        <w:t>5.4.1</w:t>
      </w:r>
      <w:r w:rsidR="00B23ED7">
        <w:rPr>
          <w:rFonts w:ascii="Arial" w:hAnsi="Arial" w:cs="Arial"/>
          <w:sz w:val="22"/>
          <w:szCs w:val="20"/>
          <w:u w:val="none"/>
        </w:rPr>
        <w:t xml:space="preserve"> Theoretical Implications</w:t>
      </w:r>
      <w:bookmarkEnd w:id="89"/>
    </w:p>
    <w:p w14:paraId="1AA1B363" w14:textId="107C8B28" w:rsidR="00B23ED7" w:rsidRPr="00B23ED7" w:rsidRDefault="00B23ED7" w:rsidP="00B23ED7">
      <w:pPr>
        <w:spacing w:line="360" w:lineRule="auto"/>
        <w:rPr>
          <w:rFonts w:ascii="Arial" w:hAnsi="Arial" w:cs="Arial"/>
        </w:rPr>
      </w:pPr>
      <w:r w:rsidRPr="00B23ED7">
        <w:rPr>
          <w:rFonts w:ascii="Arial" w:hAnsi="Arial" w:cs="Arial"/>
        </w:rPr>
        <w:t>This systematic review highlights the importance of employing various complementary theoretical frameworks to fully understand the mental health outcomes associated with dementia diagnosis and intervention.</w:t>
      </w:r>
      <w:r w:rsidRPr="00B23ED7">
        <w:rPr>
          <w:rFonts w:ascii="Arial" w:hAnsi="Arial" w:cs="Arial"/>
        </w:rPr>
        <w:br/>
      </w:r>
      <w:r w:rsidRPr="00B23ED7">
        <w:rPr>
          <w:rFonts w:ascii="Arial" w:hAnsi="Arial" w:cs="Arial"/>
        </w:rPr>
        <w:br/>
        <w:t xml:space="preserve">The Stress Process Model (SPM) </w:t>
      </w:r>
      <w:sdt>
        <w:sdtPr>
          <w:rPr>
            <w:rFonts w:ascii="Arial" w:hAnsi="Arial" w:cs="Arial"/>
          </w:rPr>
          <w:id w:val="1629897104"/>
          <w:citation/>
        </w:sdtPr>
        <w:sdtContent>
          <w:r>
            <w:rPr>
              <w:rFonts w:ascii="Arial" w:hAnsi="Arial" w:cs="Arial"/>
            </w:rPr>
            <w:fldChar w:fldCharType="begin"/>
          </w:r>
          <w:r>
            <w:rPr>
              <w:rFonts w:ascii="Arial" w:hAnsi="Arial" w:cs="Arial"/>
              <w:lang w:val="en-US"/>
            </w:rPr>
            <w:instrText xml:space="preserve"> CITATION Leo81 \l 1033 </w:instrText>
          </w:r>
          <w:r>
            <w:rPr>
              <w:rFonts w:ascii="Arial" w:hAnsi="Arial" w:cs="Arial"/>
            </w:rPr>
            <w:fldChar w:fldCharType="separate"/>
          </w:r>
          <w:r w:rsidR="001E393B" w:rsidRPr="001E393B">
            <w:rPr>
              <w:rFonts w:ascii="Arial" w:hAnsi="Arial" w:cs="Arial"/>
              <w:noProof/>
              <w:lang w:val="en-US"/>
            </w:rPr>
            <w:t>(Pearlin, et al., 1981)</w:t>
          </w:r>
          <w:r>
            <w:rPr>
              <w:rFonts w:ascii="Arial" w:hAnsi="Arial" w:cs="Arial"/>
            </w:rPr>
            <w:fldChar w:fldCharType="end"/>
          </w:r>
        </w:sdtContent>
      </w:sdt>
      <w:r w:rsidRPr="00B23ED7">
        <w:rPr>
          <w:rFonts w:ascii="Arial" w:hAnsi="Arial" w:cs="Arial"/>
        </w:rPr>
        <w:t xml:space="preserve"> offers an attractive framework for understanding the diagnosis of dementia as a primary stressor. An early diagnosis might cause anxiety, grief, or denial; however, these reactions are influenced by the presence of coping resources, including familial support, access to services, and skilled communication from professionals. The review established that the presence of these resources facilitated </w:t>
      </w:r>
      <w:r w:rsidRPr="00B23ED7">
        <w:rPr>
          <w:rFonts w:ascii="Arial" w:hAnsi="Arial" w:cs="Arial"/>
        </w:rPr>
        <w:lastRenderedPageBreak/>
        <w:t>early diagnosis, which fostered emotional readiness and planning (Field et al., 2021; Kajander et al., 2022), while their absence intensified distress (Wheatley et al., 2021).</w:t>
      </w:r>
    </w:p>
    <w:p w14:paraId="27E076D3" w14:textId="26A9A1AE" w:rsidR="00B23ED7" w:rsidRDefault="00B23ED7" w:rsidP="00B23ED7">
      <w:pPr>
        <w:spacing w:line="360" w:lineRule="auto"/>
        <w:rPr>
          <w:rFonts w:ascii="Arial" w:hAnsi="Arial" w:cs="Arial"/>
        </w:rPr>
      </w:pPr>
      <w:r w:rsidRPr="00B23ED7">
        <w:rPr>
          <w:rFonts w:ascii="Arial" w:hAnsi="Arial" w:cs="Arial"/>
        </w:rPr>
        <w:t>The data supported the Biopsychosocial Model (Engel, 1977). Although biological decline was inevitable, research consistently indicated that psychological outcomes (including anxiety and depression) and social conditions (such as stigma, carer burden, and transportation barriers) were equally influential when assessing experiences (Bell et al., 2022; Hunt et al., 2023). This underscores that dementia is not just a neurological disorder but also a deeply social and relational condition.</w:t>
      </w:r>
      <w:r w:rsidRPr="00B23ED7">
        <w:rPr>
          <w:rFonts w:ascii="Arial" w:hAnsi="Arial" w:cs="Arial"/>
        </w:rPr>
        <w:br/>
      </w:r>
      <w:r w:rsidRPr="00B23ED7">
        <w:rPr>
          <w:rFonts w:ascii="Arial" w:hAnsi="Arial" w:cs="Arial"/>
        </w:rPr>
        <w:br/>
        <w:t>The Stress and Coping Theory (Lazarus &amp; Folkman, 1984) outlines the reasons for the variability of outcomes among individuals. Individuals who employed adaptive coping methods</w:t>
      </w:r>
      <w:r w:rsidR="00600D07">
        <w:rPr>
          <w:rFonts w:ascii="Arial" w:hAnsi="Arial" w:cs="Arial"/>
        </w:rPr>
        <w:t xml:space="preserve">, </w:t>
      </w:r>
      <w:r w:rsidRPr="00B23ED7">
        <w:rPr>
          <w:rFonts w:ascii="Arial" w:hAnsi="Arial" w:cs="Arial"/>
        </w:rPr>
        <w:t>such as proactive planning, participation in psychosocial interventions, or dependence on strong support networks</w:t>
      </w:r>
      <w:r w:rsidR="00600D07">
        <w:rPr>
          <w:rFonts w:ascii="Arial" w:hAnsi="Arial" w:cs="Arial"/>
        </w:rPr>
        <w:t xml:space="preserve">, </w:t>
      </w:r>
      <w:r w:rsidRPr="00B23ED7">
        <w:rPr>
          <w:rFonts w:ascii="Arial" w:hAnsi="Arial" w:cs="Arial"/>
        </w:rPr>
        <w:t>demonstrated superior management of emotional distress. In contrast, individuals without such strategies, or those experiencing stigma and denial, demonstrated poorer mental health outcomes (Edwards et al., 2024).</w:t>
      </w:r>
    </w:p>
    <w:p w14:paraId="2CCC5A29" w14:textId="3F7C9D10" w:rsidR="00B841F9" w:rsidRPr="00B841F9" w:rsidRDefault="00B841F9" w:rsidP="00B841F9">
      <w:pPr>
        <w:spacing w:line="360" w:lineRule="auto"/>
        <w:rPr>
          <w:rFonts w:ascii="Arial" w:hAnsi="Arial" w:cs="Arial"/>
        </w:rPr>
      </w:pPr>
      <w:r w:rsidRPr="00B841F9">
        <w:rPr>
          <w:rFonts w:ascii="Arial" w:hAnsi="Arial" w:cs="Arial"/>
        </w:rPr>
        <w:t>Ultimately, Person-Centred Care (PCC) (</w:t>
      </w:r>
      <w:proofErr w:type="spellStart"/>
      <w:r w:rsidRPr="00B841F9">
        <w:rPr>
          <w:rFonts w:ascii="Arial" w:hAnsi="Arial" w:cs="Arial"/>
        </w:rPr>
        <w:t>Kitwood</w:t>
      </w:r>
      <w:proofErr w:type="spellEnd"/>
      <w:r w:rsidRPr="00B841F9">
        <w:rPr>
          <w:rFonts w:ascii="Arial" w:hAnsi="Arial" w:cs="Arial"/>
        </w:rPr>
        <w:t>, 1997) continues to be a fundamental framework in practice. The results indicated that interventions aligned with individual interests (e.g., singing groups, life narrative activities) improved engagement and wellbeing (Kajander et al., 2022; Field et al., 2021). When care was generic or implemented without consultation, participation decreased and distress escalated (Wheatley et al., 2021). PCC therefore strengthens the SPM and coping frameworks by providing a practice model grounded in dignity, autonomy, and individuality.</w:t>
      </w:r>
      <w:r w:rsidRPr="00B841F9">
        <w:rPr>
          <w:rFonts w:ascii="Arial" w:hAnsi="Arial" w:cs="Arial"/>
        </w:rPr>
        <w:br/>
      </w:r>
      <w:r w:rsidRPr="00B841F9">
        <w:rPr>
          <w:rFonts w:ascii="Arial" w:hAnsi="Arial" w:cs="Arial"/>
        </w:rPr>
        <w:br/>
        <w:t>Together, these theories offer a comprehensive understanding: the Stress Process Model elucidates the stressor-mediator-outcome trajectory; the Biopsychosocial Model situates dementia within various domains; Stress and Coping Theory addresses individual variances; and Person-Centred Care implements these insights into practical application. This comprehensive approach improves both theoretical and practical understanding of dementia care.</w:t>
      </w:r>
    </w:p>
    <w:p w14:paraId="55842C71" w14:textId="232CBA0C" w:rsidR="00534D80" w:rsidRPr="00534D80" w:rsidRDefault="00534D80" w:rsidP="00534D80">
      <w:pPr>
        <w:pStyle w:val="Heading3"/>
        <w:spacing w:line="360" w:lineRule="auto"/>
        <w:rPr>
          <w:rFonts w:ascii="Arial" w:hAnsi="Arial" w:cs="Arial"/>
          <w:sz w:val="22"/>
          <w:szCs w:val="20"/>
          <w:u w:val="none"/>
        </w:rPr>
      </w:pPr>
      <w:bookmarkStart w:id="90" w:name="_Toc210677414"/>
      <w:r w:rsidRPr="00534D80">
        <w:rPr>
          <w:rFonts w:ascii="Arial" w:hAnsi="Arial" w:cs="Arial"/>
          <w:sz w:val="22"/>
          <w:szCs w:val="20"/>
          <w:u w:val="none"/>
        </w:rPr>
        <w:t>5.4.2</w:t>
      </w:r>
      <w:r w:rsidR="000D282D">
        <w:rPr>
          <w:rFonts w:ascii="Arial" w:hAnsi="Arial" w:cs="Arial"/>
          <w:sz w:val="22"/>
          <w:szCs w:val="20"/>
          <w:u w:val="none"/>
        </w:rPr>
        <w:t xml:space="preserve"> Clinical and practice implications</w:t>
      </w:r>
      <w:bookmarkEnd w:id="90"/>
    </w:p>
    <w:p w14:paraId="7E112752" w14:textId="5519B12D" w:rsidR="00C30983" w:rsidRDefault="00C30983" w:rsidP="00C30983">
      <w:pPr>
        <w:spacing w:line="360" w:lineRule="auto"/>
        <w:rPr>
          <w:rFonts w:ascii="Arial" w:hAnsi="Arial" w:cs="Arial"/>
        </w:rPr>
      </w:pPr>
      <w:r w:rsidRPr="00C30983">
        <w:rPr>
          <w:rFonts w:ascii="Arial" w:hAnsi="Arial" w:cs="Arial"/>
        </w:rPr>
        <w:t>The review findings emphasise to frontline practitioners that early diagnosis should be seen not as a conclusion but as the beginning of a prolonged care process.</w:t>
      </w:r>
      <w:r w:rsidRPr="00C30983">
        <w:rPr>
          <w:rFonts w:ascii="Arial" w:hAnsi="Arial" w:cs="Arial"/>
        </w:rPr>
        <w:br/>
      </w:r>
      <w:r>
        <w:rPr>
          <w:rFonts w:ascii="Arial" w:hAnsi="Arial" w:cs="Arial"/>
        </w:rPr>
        <w:t>First, c</w:t>
      </w:r>
      <w:r w:rsidRPr="00C30983">
        <w:rPr>
          <w:rFonts w:ascii="Arial" w:hAnsi="Arial" w:cs="Arial"/>
        </w:rPr>
        <w:t xml:space="preserve">linicians must reconsider the way in which the diagnosis is delivered. Numerous studies indicated that patients experienced feelings of "overwhelm" due to excessive information presented during a single clinic appointment </w:t>
      </w:r>
      <w:sdt>
        <w:sdtPr>
          <w:rPr>
            <w:rFonts w:ascii="Arial" w:hAnsi="Arial" w:cs="Arial"/>
          </w:rPr>
          <w:id w:val="-2136630785"/>
          <w:citation/>
        </w:sdtPr>
        <w:sdtContent>
          <w:r>
            <w:rPr>
              <w:rFonts w:ascii="Arial" w:hAnsi="Arial" w:cs="Arial"/>
            </w:rPr>
            <w:fldChar w:fldCharType="begin"/>
          </w:r>
          <w:r>
            <w:rPr>
              <w:rFonts w:ascii="Arial" w:hAnsi="Arial" w:cs="Arial"/>
              <w:lang w:val="en-US"/>
            </w:rPr>
            <w:instrText xml:space="preserve"> CITATION Ali21 \l 1033 </w:instrText>
          </w:r>
          <w:r>
            <w:rPr>
              <w:rFonts w:ascii="Arial" w:hAnsi="Arial" w:cs="Arial"/>
            </w:rPr>
            <w:fldChar w:fldCharType="separate"/>
          </w:r>
          <w:r w:rsidR="001E393B" w:rsidRPr="001E393B">
            <w:rPr>
              <w:rFonts w:ascii="Arial" w:hAnsi="Arial" w:cs="Arial"/>
              <w:noProof/>
              <w:lang w:val="en-US"/>
            </w:rPr>
            <w:t>(Wheatley, et al., 2021)</w:t>
          </w:r>
          <w:r>
            <w:rPr>
              <w:rFonts w:ascii="Arial" w:hAnsi="Arial" w:cs="Arial"/>
            </w:rPr>
            <w:fldChar w:fldCharType="end"/>
          </w:r>
        </w:sdtContent>
      </w:sdt>
      <w:r w:rsidRPr="00C30983">
        <w:rPr>
          <w:rFonts w:ascii="Arial" w:hAnsi="Arial" w:cs="Arial"/>
        </w:rPr>
        <w:t xml:space="preserve">. </w:t>
      </w:r>
      <w:r w:rsidRPr="00C30983">
        <w:rPr>
          <w:rFonts w:ascii="Arial" w:hAnsi="Arial" w:cs="Arial"/>
        </w:rPr>
        <w:lastRenderedPageBreak/>
        <w:t>Implementing staged communication, wherein information is passed on gradually and repeated at various intervals, could reduce confusion and anxiety.</w:t>
      </w:r>
      <w:r w:rsidRPr="00C30983">
        <w:rPr>
          <w:rFonts w:ascii="Arial" w:hAnsi="Arial" w:cs="Arial"/>
        </w:rPr>
        <w:br/>
      </w:r>
      <w:r w:rsidRPr="00C30983">
        <w:rPr>
          <w:rFonts w:ascii="Arial" w:hAnsi="Arial" w:cs="Arial"/>
        </w:rPr>
        <w:br/>
      </w:r>
      <w:r>
        <w:rPr>
          <w:rFonts w:ascii="Arial" w:hAnsi="Arial" w:cs="Arial"/>
        </w:rPr>
        <w:t>Second, t</w:t>
      </w:r>
      <w:r w:rsidRPr="00C30983">
        <w:rPr>
          <w:rFonts w:ascii="Arial" w:hAnsi="Arial" w:cs="Arial"/>
        </w:rPr>
        <w:t>he results highlight the significance of customised psychosocial interventions. Programs adapted to individual identity and life experiences</w:t>
      </w:r>
      <w:r>
        <w:rPr>
          <w:rFonts w:ascii="Arial" w:hAnsi="Arial" w:cs="Arial"/>
        </w:rPr>
        <w:t xml:space="preserve">, </w:t>
      </w:r>
      <w:r w:rsidRPr="00C30983">
        <w:rPr>
          <w:rFonts w:ascii="Arial" w:hAnsi="Arial" w:cs="Arial"/>
        </w:rPr>
        <w:t>such as music therapy, storytelling, or community engagement</w:t>
      </w:r>
      <w:r>
        <w:rPr>
          <w:rFonts w:ascii="Arial" w:hAnsi="Arial" w:cs="Arial"/>
        </w:rPr>
        <w:t xml:space="preserve">, </w:t>
      </w:r>
      <w:r w:rsidRPr="00C30983">
        <w:rPr>
          <w:rFonts w:ascii="Arial" w:hAnsi="Arial" w:cs="Arial"/>
        </w:rPr>
        <w:t>were consistently more favourably received than standard group interventions (Field et al., 2021; Kajander et al., 2022). Clinical practice should therefore prioritise flexible and adaptable interventions that take into account individual hobbies, cultural backgrounds, and preferences.</w:t>
      </w:r>
    </w:p>
    <w:p w14:paraId="1B1337E1" w14:textId="24A30579" w:rsidR="00FB7189" w:rsidRPr="00FB7189" w:rsidRDefault="00C30983" w:rsidP="00FB7189">
      <w:pPr>
        <w:spacing w:line="360" w:lineRule="auto"/>
        <w:rPr>
          <w:rFonts w:ascii="Arial" w:hAnsi="Arial" w:cs="Arial"/>
        </w:rPr>
      </w:pPr>
      <w:r w:rsidRPr="00C30983">
        <w:rPr>
          <w:rFonts w:ascii="Arial" w:hAnsi="Arial" w:cs="Arial"/>
        </w:rPr>
        <w:t xml:space="preserve">Third, clinicians must proactively confront stigma and denial, which remain significant obstacles to uptake </w:t>
      </w:r>
      <w:sdt>
        <w:sdtPr>
          <w:rPr>
            <w:rFonts w:ascii="Arial" w:hAnsi="Arial" w:cs="Arial"/>
          </w:rPr>
          <w:id w:val="-1855714454"/>
          <w:citation/>
        </w:sdtPr>
        <w:sdtContent>
          <w:r w:rsidR="00FB7189">
            <w:rPr>
              <w:rFonts w:ascii="Arial" w:hAnsi="Arial" w:cs="Arial"/>
            </w:rPr>
            <w:fldChar w:fldCharType="begin"/>
          </w:r>
          <w:r w:rsidR="00FB7189">
            <w:rPr>
              <w:rFonts w:ascii="Arial" w:hAnsi="Arial" w:cs="Arial"/>
              <w:lang w:val="en-US"/>
            </w:rPr>
            <w:instrText xml:space="preserve"> CITATION Bet24 \l 1033 </w:instrText>
          </w:r>
          <w:r w:rsidR="00FB7189">
            <w:rPr>
              <w:rFonts w:ascii="Arial" w:hAnsi="Arial" w:cs="Arial"/>
            </w:rPr>
            <w:fldChar w:fldCharType="separate"/>
          </w:r>
          <w:r w:rsidR="001E393B" w:rsidRPr="001E393B">
            <w:rPr>
              <w:rFonts w:ascii="Arial" w:hAnsi="Arial" w:cs="Arial"/>
              <w:noProof/>
              <w:lang w:val="en-US"/>
            </w:rPr>
            <w:t>(Edwards, et al., 2024)</w:t>
          </w:r>
          <w:r w:rsidR="00FB7189">
            <w:rPr>
              <w:rFonts w:ascii="Arial" w:hAnsi="Arial" w:cs="Arial"/>
            </w:rPr>
            <w:fldChar w:fldCharType="end"/>
          </w:r>
        </w:sdtContent>
      </w:sdt>
      <w:r w:rsidRPr="00C30983">
        <w:rPr>
          <w:rFonts w:ascii="Arial" w:hAnsi="Arial" w:cs="Arial"/>
        </w:rPr>
        <w:t>. Training for memory staff should include skills in addressing stigma, normalising emotional reactions, and offering reassurance. This could reduce resistance to interventions and promote earlier engagement.</w:t>
      </w:r>
      <w:r w:rsidRPr="00C30983">
        <w:rPr>
          <w:rFonts w:ascii="Arial" w:hAnsi="Arial" w:cs="Arial"/>
        </w:rPr>
        <w:br/>
      </w:r>
      <w:r w:rsidRPr="00C30983">
        <w:rPr>
          <w:rFonts w:ascii="Arial" w:hAnsi="Arial" w:cs="Arial"/>
        </w:rPr>
        <w:br/>
        <w:t xml:space="preserve">Fourth, family participation must be acknowledged as vital. Research indicated that carers frequently served as motivators or facilitators for the adoption of interventions, whereas carer burden was significantly associated with diminished patient well-being </w:t>
      </w:r>
      <w:sdt>
        <w:sdtPr>
          <w:rPr>
            <w:rFonts w:ascii="Arial" w:hAnsi="Arial" w:cs="Arial"/>
          </w:rPr>
          <w:id w:val="-2098703227"/>
          <w:citation/>
        </w:sdtPr>
        <w:sdtContent>
          <w:r w:rsidR="00FB7189">
            <w:rPr>
              <w:rFonts w:ascii="Arial" w:hAnsi="Arial" w:cs="Arial"/>
            </w:rPr>
            <w:fldChar w:fldCharType="begin"/>
          </w:r>
          <w:r w:rsidR="00FB7189">
            <w:rPr>
              <w:rFonts w:ascii="Arial" w:hAnsi="Arial" w:cs="Arial"/>
              <w:lang w:val="en-US"/>
            </w:rPr>
            <w:instrText xml:space="preserve"> CITATION Ann23 \l 1033 </w:instrText>
          </w:r>
          <w:r w:rsidR="00FB7189">
            <w:rPr>
              <w:rFonts w:ascii="Arial" w:hAnsi="Arial" w:cs="Arial"/>
            </w:rPr>
            <w:fldChar w:fldCharType="separate"/>
          </w:r>
          <w:r w:rsidR="001E393B" w:rsidRPr="001E393B">
            <w:rPr>
              <w:rFonts w:ascii="Arial" w:hAnsi="Arial" w:cs="Arial"/>
              <w:noProof/>
              <w:lang w:val="en-US"/>
            </w:rPr>
            <w:t>(Hunt, et al., 2023)</w:t>
          </w:r>
          <w:r w:rsidR="00FB7189">
            <w:rPr>
              <w:rFonts w:ascii="Arial" w:hAnsi="Arial" w:cs="Arial"/>
            </w:rPr>
            <w:fldChar w:fldCharType="end"/>
          </w:r>
        </w:sdtContent>
      </w:sdt>
      <w:r w:rsidRPr="00C30983">
        <w:rPr>
          <w:rFonts w:ascii="Arial" w:hAnsi="Arial" w:cs="Arial"/>
        </w:rPr>
        <w:t>. Services should therefore offer caregiver-centred training, respite alternatives, and emotional support, recognising that carer well-being directly influences patient outcomes.</w:t>
      </w:r>
      <w:r w:rsidRPr="00C30983">
        <w:rPr>
          <w:rFonts w:ascii="Arial" w:hAnsi="Arial" w:cs="Arial"/>
        </w:rPr>
        <w:br/>
      </w:r>
      <w:r w:rsidRPr="00C30983">
        <w:rPr>
          <w:rFonts w:ascii="Arial" w:hAnsi="Arial" w:cs="Arial"/>
        </w:rPr>
        <w:br/>
      </w:r>
      <w:r>
        <w:rPr>
          <w:rFonts w:ascii="Arial" w:hAnsi="Arial" w:cs="Arial"/>
        </w:rPr>
        <w:t>Overall, t</w:t>
      </w:r>
      <w:r w:rsidRPr="00C30983">
        <w:rPr>
          <w:rFonts w:ascii="Arial" w:hAnsi="Arial" w:cs="Arial"/>
        </w:rPr>
        <w:t>he clinical message is plain and simple: early diagnosis improves outcomes only when integrated into continuous, comprehensive, and individualised support pathways, rather than being considered a single event.</w:t>
      </w:r>
    </w:p>
    <w:p w14:paraId="10E859F1" w14:textId="3EC42907" w:rsidR="00534D80" w:rsidRDefault="00534D80" w:rsidP="00534D80">
      <w:pPr>
        <w:pStyle w:val="Heading3"/>
        <w:spacing w:line="360" w:lineRule="auto"/>
        <w:rPr>
          <w:rFonts w:ascii="Arial" w:hAnsi="Arial" w:cs="Arial"/>
          <w:sz w:val="22"/>
          <w:szCs w:val="20"/>
          <w:u w:val="none"/>
        </w:rPr>
      </w:pPr>
      <w:bookmarkStart w:id="91" w:name="_Toc210677415"/>
      <w:r w:rsidRPr="00534D80">
        <w:rPr>
          <w:rFonts w:ascii="Arial" w:hAnsi="Arial" w:cs="Arial"/>
          <w:sz w:val="22"/>
          <w:szCs w:val="20"/>
          <w:u w:val="none"/>
        </w:rPr>
        <w:t>5.4.3</w:t>
      </w:r>
      <w:r w:rsidR="000D282D">
        <w:rPr>
          <w:rFonts w:ascii="Arial" w:hAnsi="Arial" w:cs="Arial"/>
          <w:sz w:val="22"/>
          <w:szCs w:val="20"/>
          <w:u w:val="none"/>
        </w:rPr>
        <w:t xml:space="preserve"> Policy implications</w:t>
      </w:r>
      <w:bookmarkEnd w:id="91"/>
    </w:p>
    <w:p w14:paraId="0DCD808B" w14:textId="047D6EA4" w:rsidR="008843A2" w:rsidRDefault="008843A2" w:rsidP="008843A2">
      <w:pPr>
        <w:spacing w:line="360" w:lineRule="auto"/>
        <w:rPr>
          <w:rFonts w:ascii="Arial" w:hAnsi="Arial" w:cs="Arial"/>
        </w:rPr>
      </w:pPr>
      <w:r w:rsidRPr="008843A2">
        <w:rPr>
          <w:rFonts w:ascii="Arial" w:hAnsi="Arial" w:cs="Arial"/>
        </w:rPr>
        <w:t>The review findings indicate a necessity for a strategic transformation in dementia care within the UK.</w:t>
      </w:r>
      <w:r w:rsidRPr="008843A2">
        <w:rPr>
          <w:rFonts w:ascii="Arial" w:hAnsi="Arial" w:cs="Arial"/>
        </w:rPr>
        <w:br/>
      </w:r>
      <w:r w:rsidRPr="008843A2">
        <w:rPr>
          <w:rFonts w:ascii="Arial" w:hAnsi="Arial" w:cs="Arial"/>
        </w:rPr>
        <w:br/>
        <w:t>Firstly, diagnostic targets should not constitute the exclusive measure for success. The National Dementia Strategy</w:t>
      </w:r>
      <w:r>
        <w:rPr>
          <w:rFonts w:ascii="Arial" w:hAnsi="Arial" w:cs="Arial"/>
        </w:rPr>
        <w:t xml:space="preserve"> </w:t>
      </w:r>
      <w:sdt>
        <w:sdtPr>
          <w:rPr>
            <w:rFonts w:ascii="Arial" w:hAnsi="Arial" w:cs="Arial"/>
          </w:rPr>
          <w:id w:val="1205062847"/>
          <w:citation/>
        </w:sdtPr>
        <w:sdtContent>
          <w:r>
            <w:rPr>
              <w:rFonts w:ascii="Arial" w:hAnsi="Arial" w:cs="Arial"/>
            </w:rPr>
            <w:fldChar w:fldCharType="begin"/>
          </w:r>
          <w:r>
            <w:rPr>
              <w:rFonts w:ascii="Arial" w:hAnsi="Arial" w:cs="Arial"/>
              <w:lang w:val="en-US"/>
            </w:rPr>
            <w:instrText xml:space="preserve"> CITATION GOV09 \l 1033 </w:instrText>
          </w:r>
          <w:r>
            <w:rPr>
              <w:rFonts w:ascii="Arial" w:hAnsi="Arial" w:cs="Arial"/>
            </w:rPr>
            <w:fldChar w:fldCharType="separate"/>
          </w:r>
          <w:r w:rsidR="001E393B" w:rsidRPr="001E393B">
            <w:rPr>
              <w:rFonts w:ascii="Arial" w:hAnsi="Arial" w:cs="Arial"/>
              <w:noProof/>
              <w:lang w:val="en-US"/>
            </w:rPr>
            <w:t>(GOV.UK, 2009)</w:t>
          </w:r>
          <w:r>
            <w:rPr>
              <w:rFonts w:ascii="Arial" w:hAnsi="Arial" w:cs="Arial"/>
            </w:rPr>
            <w:fldChar w:fldCharType="end"/>
          </w:r>
        </w:sdtContent>
      </w:sdt>
      <w:r w:rsidRPr="008843A2">
        <w:rPr>
          <w:rFonts w:ascii="Arial" w:hAnsi="Arial" w:cs="Arial"/>
        </w:rPr>
        <w:t xml:space="preserve"> augmented diagnostic rates; however, as demonstrated by Field et al. (2021) and Bell et al. (2022), this did not ensure improved outcomes. Policy frameworks should prioritise quality post-diagnostic support, including counselling, peer groups, and psychosocial interventions, as essential performance indicators.</w:t>
      </w:r>
      <w:r w:rsidRPr="008843A2">
        <w:rPr>
          <w:rFonts w:ascii="Arial" w:hAnsi="Arial" w:cs="Arial"/>
        </w:rPr>
        <w:br/>
      </w:r>
      <w:r w:rsidRPr="008843A2">
        <w:rPr>
          <w:rFonts w:ascii="Arial" w:hAnsi="Arial" w:cs="Arial"/>
        </w:rPr>
        <w:br/>
        <w:t xml:space="preserve">Secondly, resource allocation must accurately represent the actual experiences of dementia </w:t>
      </w:r>
      <w:r w:rsidRPr="008843A2">
        <w:rPr>
          <w:rFonts w:ascii="Arial" w:hAnsi="Arial" w:cs="Arial"/>
        </w:rPr>
        <w:lastRenderedPageBreak/>
        <w:t xml:space="preserve">patients and their </w:t>
      </w:r>
      <w:proofErr w:type="spellStart"/>
      <w:r w:rsidRPr="008843A2">
        <w:rPr>
          <w:rFonts w:ascii="Arial" w:hAnsi="Arial" w:cs="Arial"/>
        </w:rPr>
        <w:t>carers</w:t>
      </w:r>
      <w:proofErr w:type="spellEnd"/>
      <w:r w:rsidRPr="008843A2">
        <w:rPr>
          <w:rFonts w:ascii="Arial" w:hAnsi="Arial" w:cs="Arial"/>
        </w:rPr>
        <w:t>. Practical impediments, such as insufficient transportation to memory clinics, were consistently recognised as barriers to the adoption of interventions (Wheatley et al., 2021). Investment in community-oriented dementia-friendly services, mobile education, and transportation services might significantly improve accessibility.</w:t>
      </w:r>
    </w:p>
    <w:p w14:paraId="4485B3E6" w14:textId="77777777" w:rsidR="008843A2" w:rsidRPr="008843A2" w:rsidRDefault="008843A2" w:rsidP="008843A2">
      <w:pPr>
        <w:spacing w:line="360" w:lineRule="auto"/>
        <w:rPr>
          <w:rFonts w:ascii="Arial" w:hAnsi="Arial" w:cs="Arial"/>
        </w:rPr>
      </w:pPr>
      <w:r w:rsidRPr="008843A2">
        <w:rPr>
          <w:rFonts w:ascii="Arial" w:hAnsi="Arial" w:cs="Arial"/>
        </w:rPr>
        <w:t>Thirdly, policymakers must tackle equity in accessibility. Extensive database analyses (Carreira et al., 2019; Pujades-Rodriguez et al., 2018) revealed disparities among regions and socio-economic classes. Minority ethnic populations and patients with early-onset conditions continue to be poorly represented in services as well as studies (Hunt et al., 2023). This highlights the necessity for culturally appropriate healthcare models, inclusive research methodologies, and financial support directed at mitigating inequalities.</w:t>
      </w:r>
      <w:r w:rsidRPr="008843A2">
        <w:rPr>
          <w:rFonts w:ascii="Arial" w:hAnsi="Arial" w:cs="Arial"/>
        </w:rPr>
        <w:br/>
      </w:r>
      <w:r w:rsidRPr="008843A2">
        <w:rPr>
          <w:rFonts w:ascii="Arial" w:hAnsi="Arial" w:cs="Arial"/>
        </w:rPr>
        <w:br/>
        <w:t>Ultimately, integration between health and social care is essential. The existing system frequently prioritises diagnostic pathways within the NHS; however, the review findings indicate that durable improvements necessitate collaboration with social care, housing, voluntary associations, and community groups. Policies that foster integrated care, with collective responsibility across sectors, are therefore crucial.</w:t>
      </w:r>
      <w:r w:rsidRPr="008843A2">
        <w:rPr>
          <w:rFonts w:ascii="Arial" w:hAnsi="Arial" w:cs="Arial"/>
        </w:rPr>
        <w:br/>
      </w:r>
      <w:r w:rsidRPr="008843A2">
        <w:rPr>
          <w:rFonts w:ascii="Arial" w:hAnsi="Arial" w:cs="Arial"/>
        </w:rPr>
        <w:br/>
        <w:t>The policy implications extend beyond basic diagnostic numerical targets to the development of a comprehensive, equitable, and supportive dementia care system that actively fights stigma, assists families, and offers consistent follow-up services.</w:t>
      </w:r>
    </w:p>
    <w:p w14:paraId="76E14AA9" w14:textId="77777777" w:rsidR="008843A2" w:rsidRDefault="008843A2" w:rsidP="008843A2">
      <w:pPr>
        <w:spacing w:line="360" w:lineRule="auto"/>
        <w:rPr>
          <w:rFonts w:ascii="Arial" w:hAnsi="Arial" w:cs="Arial"/>
        </w:rPr>
      </w:pPr>
    </w:p>
    <w:p w14:paraId="6A2F8813" w14:textId="6AA29963" w:rsidR="008843A2" w:rsidRDefault="008843A2" w:rsidP="008843A2">
      <w:pPr>
        <w:pStyle w:val="Heading2"/>
        <w:spacing w:line="360" w:lineRule="auto"/>
        <w:jc w:val="left"/>
        <w:rPr>
          <w:rFonts w:ascii="Arial" w:hAnsi="Arial" w:cs="Arial"/>
        </w:rPr>
      </w:pPr>
      <w:bookmarkStart w:id="92" w:name="_Toc210677416"/>
      <w:r w:rsidRPr="008843A2">
        <w:rPr>
          <w:rFonts w:ascii="Arial" w:hAnsi="Arial" w:cs="Arial"/>
        </w:rPr>
        <w:t>5.5 Limitations of the Review</w:t>
      </w:r>
      <w:bookmarkEnd w:id="92"/>
    </w:p>
    <w:p w14:paraId="16236EDD" w14:textId="2EFADE25" w:rsidR="0029733A" w:rsidRDefault="008843A2" w:rsidP="008843A2">
      <w:pPr>
        <w:spacing w:line="360" w:lineRule="auto"/>
        <w:rPr>
          <w:rFonts w:ascii="Arial" w:hAnsi="Arial" w:cs="Arial"/>
        </w:rPr>
      </w:pPr>
      <w:r w:rsidRPr="008843A2">
        <w:rPr>
          <w:rFonts w:ascii="Arial" w:hAnsi="Arial" w:cs="Arial"/>
        </w:rPr>
        <w:t>Various limitations must be recognised. Initially, narrowing the inclusion criteria to English-language, UK-based studies eliminated potentially relevant international research, thereby limiting generalisability. Secondly, although thematic synthesis facilitated the integration of diverse data, dependence on secondary reporting suggests that the findings often represent the authors' interpretations rather than the primary voices in every instance. Third, discrepancies in the definitions of “early” versus “late” diagnosis among studies limit comparisons, as some utilised the duration since initial symptoms while others used clinical staging.</w:t>
      </w:r>
      <w:r w:rsidRPr="008843A2">
        <w:rPr>
          <w:rFonts w:ascii="Arial" w:hAnsi="Arial" w:cs="Arial"/>
        </w:rPr>
        <w:br/>
      </w:r>
      <w:r w:rsidRPr="008843A2">
        <w:rPr>
          <w:rFonts w:ascii="Arial" w:hAnsi="Arial" w:cs="Arial"/>
        </w:rPr>
        <w:br/>
        <w:t xml:space="preserve">The limited number of eligible studies (n=10) necessitates a cautious interpretation of the conclusions. Extensive database studies offer statistical strength but lack qualitative depth, whereas interview-based studies provide richness yet have restricted generalisability. </w:t>
      </w:r>
      <w:r w:rsidRPr="008843A2">
        <w:rPr>
          <w:rFonts w:ascii="Arial" w:hAnsi="Arial" w:cs="Arial"/>
        </w:rPr>
        <w:lastRenderedPageBreak/>
        <w:t>Ultimately, publication bias may be present, as studies producing positive results are more likely to be publicised.</w:t>
      </w:r>
    </w:p>
    <w:p w14:paraId="188718D3" w14:textId="5C561CF5" w:rsidR="008843A2" w:rsidRPr="0029733A" w:rsidRDefault="008843A2" w:rsidP="0029733A">
      <w:pPr>
        <w:pStyle w:val="Heading2"/>
        <w:spacing w:line="360" w:lineRule="auto"/>
        <w:jc w:val="left"/>
        <w:rPr>
          <w:rFonts w:ascii="Arial" w:hAnsi="Arial" w:cs="Arial"/>
        </w:rPr>
      </w:pPr>
      <w:bookmarkStart w:id="93" w:name="_Toc210677417"/>
      <w:r w:rsidRPr="0029733A">
        <w:rPr>
          <w:rFonts w:ascii="Arial" w:hAnsi="Arial" w:cs="Arial"/>
        </w:rPr>
        <w:t xml:space="preserve">5.6 </w:t>
      </w:r>
      <w:r w:rsidR="0029733A" w:rsidRPr="0029733A">
        <w:rPr>
          <w:rFonts w:ascii="Arial" w:hAnsi="Arial" w:cs="Arial"/>
        </w:rPr>
        <w:t>Conclusion</w:t>
      </w:r>
      <w:bookmarkEnd w:id="93"/>
    </w:p>
    <w:p w14:paraId="5CC5A72D" w14:textId="503E5135" w:rsidR="008D6B41" w:rsidRPr="0029733A" w:rsidRDefault="0029733A" w:rsidP="0029733A">
      <w:pPr>
        <w:spacing w:line="360" w:lineRule="auto"/>
        <w:rPr>
          <w:rFonts w:ascii="Arial" w:hAnsi="Arial" w:cs="Arial"/>
        </w:rPr>
      </w:pPr>
      <w:r w:rsidRPr="0029733A">
        <w:rPr>
          <w:rFonts w:ascii="Arial" w:hAnsi="Arial" w:cs="Arial"/>
        </w:rPr>
        <w:t>The findings suggest that early diagnosis can improve mental health outcomes for individuals with dementia, when it is integrated within a framework of significant, person-centred, and continuous support. In the absence of such support, early diagnosis may only increase distress. Relational dynamics, family engagement, and stigma were equally pivotal to outcomes as clinical staging.</w:t>
      </w:r>
      <w:r w:rsidRPr="0029733A">
        <w:rPr>
          <w:rFonts w:ascii="Arial" w:hAnsi="Arial" w:cs="Arial"/>
        </w:rPr>
        <w:br/>
      </w:r>
      <w:r w:rsidRPr="0029733A">
        <w:rPr>
          <w:rFonts w:ascii="Arial" w:hAnsi="Arial" w:cs="Arial"/>
        </w:rPr>
        <w:br/>
        <w:t>These findings underscore the necessity of approaching dementia care from a holistic perspective that includes psychological, social, and systemic aspects. This requires understanding that early diagnosis should not be seen as a conclusion but rather as the initiation of an ongoing support chain. Policy necessitates a transition from diagnostic criteria to permanent investment in post-diagnostic care. This theory demonstrates the efficacy of combining stress-based, biopsychosocial, and person-centred frameworks in order to capture the complex realities of dementia.</w:t>
      </w:r>
    </w:p>
    <w:p w14:paraId="153E39C7" w14:textId="77777777" w:rsidR="008D6B41" w:rsidRDefault="008D6B41" w:rsidP="008D6B41"/>
    <w:p w14:paraId="605EB32C" w14:textId="77777777" w:rsidR="008D6B41" w:rsidRPr="008D6B41" w:rsidRDefault="008D6B41" w:rsidP="008D6B41"/>
    <w:p w14:paraId="71131267" w14:textId="20C7BB6F" w:rsidR="009F64C5" w:rsidRDefault="00DD7AA5">
      <w:pPr>
        <w:pStyle w:val="Heading1"/>
        <w:ind w:left="12" w:right="3"/>
        <w:rPr>
          <w:rFonts w:asciiTheme="minorBidi" w:hAnsiTheme="minorBidi" w:cstheme="minorBidi"/>
        </w:rPr>
      </w:pPr>
      <w:bookmarkStart w:id="94" w:name="_Toc12221"/>
      <w:bookmarkStart w:id="95" w:name="_Toc210677418"/>
      <w:r w:rsidRPr="007F1C8A">
        <w:rPr>
          <w:rFonts w:asciiTheme="minorBidi" w:hAnsiTheme="minorBidi" w:cstheme="minorBidi"/>
        </w:rPr>
        <w:t xml:space="preserve">Chapter </w:t>
      </w:r>
      <w:r w:rsidR="00765471">
        <w:rPr>
          <w:rFonts w:asciiTheme="minorBidi" w:hAnsiTheme="minorBidi" w:cstheme="minorBidi"/>
        </w:rPr>
        <w:t>6</w:t>
      </w:r>
      <w:r w:rsidRPr="007F1C8A">
        <w:rPr>
          <w:rFonts w:asciiTheme="minorBidi" w:hAnsiTheme="minorBidi" w:cstheme="minorBidi"/>
        </w:rPr>
        <w:t xml:space="preserve">: </w:t>
      </w:r>
      <w:r w:rsidR="009F64C5" w:rsidRPr="007F1C8A">
        <w:rPr>
          <w:rFonts w:asciiTheme="minorBidi" w:hAnsiTheme="minorBidi" w:cstheme="minorBidi"/>
        </w:rPr>
        <w:t>Conclusion</w:t>
      </w:r>
      <w:bookmarkEnd w:id="95"/>
      <w:r w:rsidR="009F64C5" w:rsidRPr="007F1C8A">
        <w:rPr>
          <w:rFonts w:asciiTheme="minorBidi" w:hAnsiTheme="minorBidi" w:cstheme="minorBidi"/>
        </w:rPr>
        <w:t xml:space="preserve"> </w:t>
      </w:r>
      <w:bookmarkEnd w:id="94"/>
      <w:r w:rsidR="00765471">
        <w:rPr>
          <w:rFonts w:asciiTheme="minorBidi" w:hAnsiTheme="minorBidi" w:cstheme="minorBidi"/>
        </w:rPr>
        <w:t xml:space="preserve"> </w:t>
      </w:r>
    </w:p>
    <w:p w14:paraId="5DF35EAF" w14:textId="77777777" w:rsidR="004D7CA1" w:rsidRPr="004D7CA1" w:rsidRDefault="004D7CA1" w:rsidP="004D7CA1"/>
    <w:p w14:paraId="33F1F937" w14:textId="478309C0" w:rsidR="004D7CA1" w:rsidRDefault="004D7CA1" w:rsidP="004D7CA1">
      <w:pPr>
        <w:spacing w:after="194" w:line="360" w:lineRule="auto"/>
        <w:rPr>
          <w:rFonts w:ascii="Arial" w:eastAsia="Calibri" w:hAnsi="Arial" w:cs="Arial"/>
        </w:rPr>
      </w:pPr>
      <w:r w:rsidRPr="004D7CA1">
        <w:rPr>
          <w:rFonts w:ascii="Arial" w:eastAsia="Calibri" w:hAnsi="Arial" w:cs="Arial"/>
        </w:rPr>
        <w:t xml:space="preserve">This dissertation aimed to address the research question: </w:t>
      </w:r>
      <w:r>
        <w:rPr>
          <w:rFonts w:ascii="Arial" w:eastAsia="Calibri" w:hAnsi="Arial" w:cs="Arial"/>
        </w:rPr>
        <w:t>“</w:t>
      </w:r>
      <w:r w:rsidRPr="004D7CA1">
        <w:rPr>
          <w:rFonts w:ascii="Arial" w:eastAsia="Calibri" w:hAnsi="Arial" w:cs="Arial"/>
        </w:rPr>
        <w:t>What is the impact of early diagnosis and intervention on the mental health outcomes of dementia patients in the United Kingdom?</w:t>
      </w:r>
      <w:r>
        <w:rPr>
          <w:rFonts w:ascii="Arial" w:eastAsia="Calibri" w:hAnsi="Arial" w:cs="Arial"/>
        </w:rPr>
        <w:t>”</w:t>
      </w:r>
    </w:p>
    <w:p w14:paraId="2A50E155" w14:textId="77777777" w:rsidR="004D7CA1" w:rsidRPr="004D7CA1" w:rsidRDefault="004D7CA1" w:rsidP="004D7CA1">
      <w:pPr>
        <w:spacing w:after="194" w:line="360" w:lineRule="auto"/>
        <w:rPr>
          <w:rFonts w:ascii="Arial" w:eastAsia="Calibri" w:hAnsi="Arial" w:cs="Arial"/>
        </w:rPr>
      </w:pPr>
      <w:r w:rsidRPr="004D7CA1">
        <w:rPr>
          <w:rFonts w:ascii="Arial" w:eastAsia="Calibri" w:hAnsi="Arial" w:cs="Arial"/>
        </w:rPr>
        <w:t>The systematic review of ten peer-reviewed studies indicates that although early diagnosis provides significant advantages for care planning, emotional readiness, and prompt intervention, its effect on mental health outcomes is inconsistent. For certain individuals, an earlier diagnosis mitigated uncertainty, diminished anxiety, and facilitated proactive coping strategies, including participation in psychosocial interventions, financial planning, and decision-making regarding future care (Field et al., 2021; Kajander et al., 2022). On the other hand, for some individuals, early diagnosis triggered distress, stigma, or denial, especially in the absence of post-diagnostic support (Wheatley et al., 2021; Edwards et al., 2024).</w:t>
      </w:r>
    </w:p>
    <w:p w14:paraId="12635534" w14:textId="04CDEEED" w:rsidR="004D7CA1" w:rsidRDefault="004D7CA1" w:rsidP="004D7CA1">
      <w:pPr>
        <w:spacing w:after="194" w:line="360" w:lineRule="auto"/>
        <w:rPr>
          <w:rFonts w:ascii="Arial" w:eastAsia="Calibri" w:hAnsi="Arial" w:cs="Arial"/>
        </w:rPr>
      </w:pPr>
      <w:r w:rsidRPr="004D7CA1">
        <w:rPr>
          <w:rFonts w:ascii="Arial" w:eastAsia="Calibri" w:hAnsi="Arial" w:cs="Arial"/>
        </w:rPr>
        <w:t xml:space="preserve">The review also indicated that the timing of diagnosis constitutes just a portion of the story. The critical determinant affecting mental health pathways was the quality of post-diagnostic </w:t>
      </w:r>
      <w:r w:rsidRPr="004D7CA1">
        <w:rPr>
          <w:rFonts w:ascii="Arial" w:eastAsia="Calibri" w:hAnsi="Arial" w:cs="Arial"/>
        </w:rPr>
        <w:lastRenderedPageBreak/>
        <w:t xml:space="preserve">intervention. Cognitive stimulation therapy, occupational therapy, and memory work were effective only within a supportive, person-centred framework. Insufficient follow-up may worsen depression or anxiety following early diagnosis </w:t>
      </w:r>
      <w:sdt>
        <w:sdtPr>
          <w:rPr>
            <w:rFonts w:ascii="Arial" w:eastAsia="Calibri" w:hAnsi="Arial" w:cs="Arial"/>
          </w:rPr>
          <w:id w:val="-70577349"/>
          <w:citation/>
        </w:sdtPr>
        <w:sdtContent>
          <w:r>
            <w:rPr>
              <w:rFonts w:ascii="Arial" w:eastAsia="Calibri" w:hAnsi="Arial" w:cs="Arial"/>
            </w:rPr>
            <w:fldChar w:fldCharType="begin"/>
          </w:r>
          <w:r>
            <w:rPr>
              <w:rFonts w:ascii="Arial" w:eastAsia="Calibri" w:hAnsi="Arial" w:cs="Arial"/>
              <w:lang w:val="en-US"/>
            </w:rPr>
            <w:instrText xml:space="preserve"> CITATION Geo22 \l 1033 </w:instrText>
          </w:r>
          <w:r>
            <w:rPr>
              <w:rFonts w:ascii="Arial" w:eastAsia="Calibri" w:hAnsi="Arial" w:cs="Arial"/>
            </w:rPr>
            <w:fldChar w:fldCharType="separate"/>
          </w:r>
          <w:r w:rsidR="001E393B" w:rsidRPr="001E393B">
            <w:rPr>
              <w:rFonts w:ascii="Arial" w:eastAsia="Calibri" w:hAnsi="Arial" w:cs="Arial"/>
              <w:noProof/>
              <w:lang w:val="en-US"/>
            </w:rPr>
            <w:t>(Bell, et al., 2022)</w:t>
          </w:r>
          <w:r>
            <w:rPr>
              <w:rFonts w:ascii="Arial" w:eastAsia="Calibri" w:hAnsi="Arial" w:cs="Arial"/>
            </w:rPr>
            <w:fldChar w:fldCharType="end"/>
          </w:r>
        </w:sdtContent>
      </w:sdt>
      <w:r w:rsidRPr="004D7CA1">
        <w:rPr>
          <w:rFonts w:ascii="Arial" w:eastAsia="Calibri" w:hAnsi="Arial" w:cs="Arial"/>
        </w:rPr>
        <w:t>.</w:t>
      </w:r>
      <w:r w:rsidRPr="004D7CA1">
        <w:rPr>
          <w:rFonts w:ascii="Arial" w:eastAsia="Calibri" w:hAnsi="Arial" w:cs="Arial"/>
        </w:rPr>
        <w:br/>
      </w:r>
      <w:r w:rsidRPr="004D7CA1">
        <w:rPr>
          <w:rFonts w:ascii="Arial" w:eastAsia="Calibri" w:hAnsi="Arial" w:cs="Arial"/>
        </w:rPr>
        <w:br/>
        <w:t>Furthermore, relational dynamics</w:t>
      </w:r>
      <w:r>
        <w:rPr>
          <w:rFonts w:ascii="Arial" w:eastAsia="Calibri" w:hAnsi="Arial" w:cs="Arial"/>
        </w:rPr>
        <w:t xml:space="preserve">, </w:t>
      </w:r>
      <w:r w:rsidRPr="004D7CA1">
        <w:rPr>
          <w:rFonts w:ascii="Arial" w:eastAsia="Calibri" w:hAnsi="Arial" w:cs="Arial"/>
        </w:rPr>
        <w:t>such as family engagement, carer pressure, and clinician interaction</w:t>
      </w:r>
      <w:r>
        <w:rPr>
          <w:rFonts w:ascii="Arial" w:eastAsia="Calibri" w:hAnsi="Arial" w:cs="Arial"/>
        </w:rPr>
        <w:t xml:space="preserve">, </w:t>
      </w:r>
      <w:r w:rsidRPr="004D7CA1">
        <w:rPr>
          <w:rFonts w:ascii="Arial" w:eastAsia="Calibri" w:hAnsi="Arial" w:cs="Arial"/>
        </w:rPr>
        <w:t xml:space="preserve">proved to be essential determinants of outcomes. Carers often functioned as facilitators of participation, whereas inadequate communication from services or transportation deficiencies caused obstacles </w:t>
      </w:r>
      <w:sdt>
        <w:sdtPr>
          <w:rPr>
            <w:rFonts w:ascii="Arial" w:eastAsia="Calibri" w:hAnsi="Arial" w:cs="Arial"/>
          </w:rPr>
          <w:id w:val="-800921050"/>
          <w:citation/>
        </w:sdtPr>
        <w:sdtContent>
          <w:r>
            <w:rPr>
              <w:rFonts w:ascii="Arial" w:eastAsia="Calibri" w:hAnsi="Arial" w:cs="Arial"/>
            </w:rPr>
            <w:fldChar w:fldCharType="begin"/>
          </w:r>
          <w:r>
            <w:rPr>
              <w:rFonts w:ascii="Arial" w:eastAsia="Calibri" w:hAnsi="Arial" w:cs="Arial"/>
              <w:lang w:val="en-US"/>
            </w:rPr>
            <w:instrText xml:space="preserve"> CITATION Ann23 \l 1033 </w:instrText>
          </w:r>
          <w:r>
            <w:rPr>
              <w:rFonts w:ascii="Arial" w:eastAsia="Calibri" w:hAnsi="Arial" w:cs="Arial"/>
            </w:rPr>
            <w:fldChar w:fldCharType="separate"/>
          </w:r>
          <w:r w:rsidR="001E393B" w:rsidRPr="001E393B">
            <w:rPr>
              <w:rFonts w:ascii="Arial" w:eastAsia="Calibri" w:hAnsi="Arial" w:cs="Arial"/>
              <w:noProof/>
              <w:lang w:val="en-US"/>
            </w:rPr>
            <w:t>(Hunt, et al., 2023)</w:t>
          </w:r>
          <w:r>
            <w:rPr>
              <w:rFonts w:ascii="Arial" w:eastAsia="Calibri" w:hAnsi="Arial" w:cs="Arial"/>
            </w:rPr>
            <w:fldChar w:fldCharType="end"/>
          </w:r>
        </w:sdtContent>
      </w:sdt>
      <w:r w:rsidRPr="004D7CA1">
        <w:rPr>
          <w:rFonts w:ascii="Arial" w:eastAsia="Calibri" w:hAnsi="Arial" w:cs="Arial"/>
        </w:rPr>
        <w:t>.</w:t>
      </w:r>
      <w:r w:rsidRPr="004D7CA1">
        <w:rPr>
          <w:rFonts w:ascii="Arial" w:eastAsia="Calibri" w:hAnsi="Arial" w:cs="Arial"/>
        </w:rPr>
        <w:br/>
      </w:r>
      <w:r w:rsidRPr="004D7CA1">
        <w:rPr>
          <w:rFonts w:ascii="Arial" w:eastAsia="Calibri" w:hAnsi="Arial" w:cs="Arial"/>
        </w:rPr>
        <w:br/>
        <w:t>In conclusion, the findings suggest that early diagnosis has considerable potential to improve mental health outcomes, when it is integrated within comprehensive, ongoing, and individualised care pathways. Diagnosis without sufficient support might worsen distress instead of alleviating it.</w:t>
      </w:r>
    </w:p>
    <w:p w14:paraId="34FCFDF0" w14:textId="37C3EFE8" w:rsidR="004D7CA1" w:rsidRPr="00A866E8" w:rsidRDefault="004D7CA1" w:rsidP="00A866E8">
      <w:pPr>
        <w:pStyle w:val="Heading2"/>
        <w:spacing w:line="360" w:lineRule="auto"/>
        <w:jc w:val="left"/>
        <w:rPr>
          <w:rFonts w:ascii="Arial" w:eastAsia="Calibri" w:hAnsi="Arial" w:cs="Arial"/>
        </w:rPr>
      </w:pPr>
      <w:bookmarkStart w:id="96" w:name="_Toc210677419"/>
      <w:r w:rsidRPr="00A866E8">
        <w:rPr>
          <w:rFonts w:ascii="Arial" w:eastAsia="Calibri" w:hAnsi="Arial" w:cs="Arial"/>
        </w:rPr>
        <w:t xml:space="preserve">6.1 </w:t>
      </w:r>
      <w:r w:rsidR="00A866E8" w:rsidRPr="00A866E8">
        <w:rPr>
          <w:rFonts w:ascii="Arial" w:eastAsia="Calibri" w:hAnsi="Arial" w:cs="Arial"/>
        </w:rPr>
        <w:t>Reflection on the Research</w:t>
      </w:r>
      <w:bookmarkEnd w:id="96"/>
    </w:p>
    <w:p w14:paraId="4F819D43" w14:textId="1BDE810A" w:rsidR="00A866E8" w:rsidRPr="00A866E8" w:rsidRDefault="00A866E8" w:rsidP="00A866E8">
      <w:pPr>
        <w:spacing w:line="360" w:lineRule="auto"/>
        <w:rPr>
          <w:rFonts w:ascii="Arial" w:hAnsi="Arial" w:cs="Arial"/>
          <w:b/>
          <w:bCs/>
        </w:rPr>
      </w:pPr>
      <w:r w:rsidRPr="00A866E8">
        <w:rPr>
          <w:rFonts w:ascii="Arial" w:eastAsia="Calibri" w:hAnsi="Arial" w:cs="Arial"/>
        </w:rPr>
        <w:t>The systematic review methodology demonstrated effectiveness in resolving the research question. Adhering to the PRISMA 2020 framework (Page et al., 2021) maintained transparency in the processes of study selection, screening, and synthesis. The review achieved a wide range of findings by incorporating qualitative and quantitative research; NHS database studies offered extensive evidence of trends (e.g., Carreira et al., 2019; Pujades-Rodriguez et al., 2018), whereas qualitative narratives clarified the experiences of patients and carers (Field et al., 2021; Wheatley et al., 2021).</w:t>
      </w:r>
      <w:r w:rsidRPr="00A866E8">
        <w:rPr>
          <w:rFonts w:ascii="Arial" w:eastAsia="Calibri" w:hAnsi="Arial" w:cs="Arial"/>
        </w:rPr>
        <w:br/>
      </w:r>
      <w:r w:rsidRPr="00A866E8">
        <w:rPr>
          <w:rFonts w:ascii="Arial" w:eastAsia="Calibri" w:hAnsi="Arial" w:cs="Arial"/>
        </w:rPr>
        <w:br/>
        <w:t xml:space="preserve">Thematic synthesis facilitated the integration of varied findings into four analytical themes: </w:t>
      </w:r>
      <w:r>
        <w:rPr>
          <w:rFonts w:ascii="Arial" w:hAnsi="Arial" w:cs="Arial"/>
        </w:rPr>
        <w:t>a</w:t>
      </w:r>
      <w:r w:rsidRPr="00A866E8">
        <w:rPr>
          <w:rFonts w:ascii="Arial" w:hAnsi="Arial" w:cs="Arial"/>
        </w:rPr>
        <w:t xml:space="preserve">djustment to diagnosis and emotional responses, </w:t>
      </w:r>
      <w:r>
        <w:rPr>
          <w:rFonts w:ascii="Arial" w:hAnsi="Arial" w:cs="Arial"/>
        </w:rPr>
        <w:t>o</w:t>
      </w:r>
      <w:r w:rsidRPr="00A866E8">
        <w:rPr>
          <w:rFonts w:ascii="Arial" w:hAnsi="Arial" w:cs="Arial"/>
        </w:rPr>
        <w:t xml:space="preserve">bstacles and facilitators to intervention acceptance, </w:t>
      </w:r>
      <w:r>
        <w:rPr>
          <w:rFonts w:ascii="Arial" w:hAnsi="Arial" w:cs="Arial"/>
        </w:rPr>
        <w:t>p</w:t>
      </w:r>
      <w:r w:rsidRPr="00A866E8">
        <w:rPr>
          <w:rFonts w:ascii="Arial" w:hAnsi="Arial" w:cs="Arial"/>
        </w:rPr>
        <w:t xml:space="preserve">ost-diagnostic support and service provision and </w:t>
      </w:r>
      <w:r>
        <w:rPr>
          <w:rFonts w:ascii="Arial" w:hAnsi="Arial" w:cs="Arial"/>
        </w:rPr>
        <w:t>r</w:t>
      </w:r>
      <w:r w:rsidRPr="00A866E8">
        <w:rPr>
          <w:rFonts w:ascii="Arial" w:hAnsi="Arial" w:cs="Arial"/>
        </w:rPr>
        <w:t>elational and social variables</w:t>
      </w:r>
      <w:r w:rsidRPr="00A866E8">
        <w:rPr>
          <w:rFonts w:ascii="Arial" w:eastAsia="Calibri" w:hAnsi="Arial" w:cs="Arial"/>
        </w:rPr>
        <w:t>. These themes provided a unified framework for understanding the interaction between timing and context that impacts mental health outcomes.</w:t>
      </w:r>
    </w:p>
    <w:p w14:paraId="0B9D642C" w14:textId="77777777" w:rsidR="009F373E" w:rsidRDefault="009F373E" w:rsidP="009F373E">
      <w:pPr>
        <w:spacing w:after="194" w:line="360" w:lineRule="auto"/>
        <w:rPr>
          <w:rFonts w:ascii="Arial" w:eastAsia="Calibri" w:hAnsi="Arial" w:cs="Arial"/>
        </w:rPr>
      </w:pPr>
      <w:r w:rsidRPr="009F373E">
        <w:rPr>
          <w:rFonts w:ascii="Arial" w:eastAsia="Calibri" w:hAnsi="Arial" w:cs="Arial"/>
        </w:rPr>
        <w:t>However, certain limitations were evident. Limiting the review to UK-based studies reduced international comparison while ensuring contextual relevance. Language bias may have omitted non-English evidence. The inconsistency in defining "early" and "late" diagnoses diminished comparability among studies; however, thematic synthesis facilitated focus on common experiences instead of strict metrics.</w:t>
      </w:r>
      <w:r w:rsidRPr="009F373E">
        <w:rPr>
          <w:rFonts w:ascii="Arial" w:eastAsia="Calibri" w:hAnsi="Arial" w:cs="Arial"/>
        </w:rPr>
        <w:br/>
      </w:r>
      <w:r w:rsidRPr="009F373E">
        <w:rPr>
          <w:rFonts w:ascii="Arial" w:eastAsia="Calibri" w:hAnsi="Arial" w:cs="Arial"/>
        </w:rPr>
        <w:br/>
        <w:t xml:space="preserve">Unanticipated insights also surfaced. The uncertainty surrounding early diagnosis is evident; although policy frameworks typically portray it as universally advantageous, patient </w:t>
      </w:r>
      <w:r w:rsidRPr="009F373E">
        <w:rPr>
          <w:rFonts w:ascii="Arial" w:eastAsia="Calibri" w:hAnsi="Arial" w:cs="Arial"/>
        </w:rPr>
        <w:lastRenderedPageBreak/>
        <w:t>testimonies indicate varied experiences based upon the availability of support. Another was the crucial role of carers, not only as sources of practical support but also as drivers of psychological adaptation. These findings expand the comprehension of dementia care beyond clinical pathways and incorporate social and relational aspects.</w:t>
      </w:r>
      <w:r w:rsidRPr="009F373E">
        <w:rPr>
          <w:rFonts w:ascii="Arial" w:eastAsia="Calibri" w:hAnsi="Arial" w:cs="Arial"/>
        </w:rPr>
        <w:br/>
      </w:r>
      <w:r w:rsidRPr="009F373E">
        <w:rPr>
          <w:rFonts w:ascii="Arial" w:eastAsia="Calibri" w:hAnsi="Arial" w:cs="Arial"/>
        </w:rPr>
        <w:br/>
        <w:t>The approach effectively produced an elegant and evidence-driven answer to the research question, while providing up new possibilities for research.</w:t>
      </w:r>
    </w:p>
    <w:p w14:paraId="3ED9A3C1" w14:textId="1A5C6552" w:rsidR="004D7CA1" w:rsidRPr="009F373E" w:rsidRDefault="009F373E" w:rsidP="009F373E">
      <w:pPr>
        <w:pStyle w:val="Heading2"/>
        <w:spacing w:line="360" w:lineRule="auto"/>
        <w:jc w:val="left"/>
        <w:rPr>
          <w:rFonts w:ascii="Arial" w:eastAsia="Calibri" w:hAnsi="Arial" w:cs="Arial"/>
        </w:rPr>
      </w:pPr>
      <w:bookmarkStart w:id="97" w:name="_Toc210677420"/>
      <w:r w:rsidRPr="009F373E">
        <w:rPr>
          <w:rFonts w:ascii="Arial" w:eastAsia="Calibri" w:hAnsi="Arial" w:cs="Arial"/>
        </w:rPr>
        <w:t>6.2 Recommendations</w:t>
      </w:r>
      <w:bookmarkEnd w:id="97"/>
    </w:p>
    <w:p w14:paraId="03B5FA00" w14:textId="1F6AF6F9" w:rsidR="009F64C5" w:rsidRDefault="009F373E" w:rsidP="009F373E">
      <w:pPr>
        <w:pStyle w:val="Heading3"/>
        <w:spacing w:line="360" w:lineRule="auto"/>
        <w:rPr>
          <w:rFonts w:ascii="Arial" w:hAnsi="Arial" w:cs="Arial"/>
          <w:sz w:val="22"/>
          <w:szCs w:val="20"/>
          <w:u w:val="none"/>
        </w:rPr>
      </w:pPr>
      <w:bookmarkStart w:id="98" w:name="_Toc210677421"/>
      <w:r w:rsidRPr="009F373E">
        <w:rPr>
          <w:rFonts w:ascii="Arial" w:hAnsi="Arial" w:cs="Arial"/>
          <w:sz w:val="22"/>
          <w:szCs w:val="20"/>
          <w:u w:val="none"/>
        </w:rPr>
        <w:t>6.2.1 For Clinical Practice</w:t>
      </w:r>
      <w:bookmarkEnd w:id="98"/>
    </w:p>
    <w:p w14:paraId="31552581" w14:textId="77777777" w:rsidR="009F373E" w:rsidRDefault="009F373E" w:rsidP="009F373E">
      <w:pPr>
        <w:pStyle w:val="ListParagraph"/>
        <w:numPr>
          <w:ilvl w:val="0"/>
          <w:numId w:val="26"/>
        </w:numPr>
        <w:spacing w:line="360" w:lineRule="auto"/>
        <w:rPr>
          <w:rFonts w:ascii="Arial" w:hAnsi="Arial" w:cs="Arial"/>
        </w:rPr>
      </w:pPr>
      <w:r w:rsidRPr="009F373E">
        <w:rPr>
          <w:rFonts w:ascii="Arial" w:hAnsi="Arial" w:cs="Arial"/>
        </w:rPr>
        <w:t>Thorough Presentation of Diagnosis</w:t>
      </w:r>
      <w:r>
        <w:rPr>
          <w:rFonts w:ascii="Arial" w:hAnsi="Arial" w:cs="Arial"/>
        </w:rPr>
        <w:t xml:space="preserve">: </w:t>
      </w:r>
      <w:r w:rsidRPr="009F373E">
        <w:rPr>
          <w:rFonts w:ascii="Arial" w:hAnsi="Arial" w:cs="Arial"/>
        </w:rPr>
        <w:t>Practitioners have to prevent themselves from overloading patients during the diagnostic phase. Information must be delivered gradually, reinforced during following appointments, and customised to align with patients' understanding and emotional condition.</w:t>
      </w:r>
    </w:p>
    <w:p w14:paraId="693104FE" w14:textId="77777777" w:rsidR="009F373E" w:rsidRDefault="009F373E" w:rsidP="009F373E">
      <w:pPr>
        <w:pStyle w:val="ListParagraph"/>
        <w:numPr>
          <w:ilvl w:val="0"/>
          <w:numId w:val="26"/>
        </w:numPr>
        <w:spacing w:line="360" w:lineRule="auto"/>
        <w:rPr>
          <w:rFonts w:ascii="Arial" w:hAnsi="Arial" w:cs="Arial"/>
        </w:rPr>
      </w:pPr>
      <w:r w:rsidRPr="009F373E">
        <w:rPr>
          <w:rFonts w:ascii="Arial" w:hAnsi="Arial" w:cs="Arial"/>
        </w:rPr>
        <w:t>Customised Interventions</w:t>
      </w:r>
      <w:r>
        <w:rPr>
          <w:rFonts w:ascii="Arial" w:hAnsi="Arial" w:cs="Arial"/>
        </w:rPr>
        <w:t>:</w:t>
      </w:r>
      <w:r w:rsidRPr="009F373E">
        <w:rPr>
          <w:rFonts w:ascii="Arial" w:hAnsi="Arial" w:cs="Arial"/>
        </w:rPr>
        <w:t xml:space="preserve"> Services must prioritise interventions that align with individual histories and preferences, including music therapy, storytelling, or social clubs. Evidence indicates that these interventions demonstrate greater acceptance and beneficial impacts on wellbeing.</w:t>
      </w:r>
    </w:p>
    <w:p w14:paraId="135BDE3D" w14:textId="77777777" w:rsidR="009F373E" w:rsidRDefault="009F373E" w:rsidP="009F373E">
      <w:pPr>
        <w:pStyle w:val="ListParagraph"/>
        <w:numPr>
          <w:ilvl w:val="0"/>
          <w:numId w:val="26"/>
        </w:numPr>
        <w:spacing w:line="360" w:lineRule="auto"/>
        <w:rPr>
          <w:rFonts w:ascii="Arial" w:hAnsi="Arial" w:cs="Arial"/>
        </w:rPr>
      </w:pPr>
      <w:r w:rsidRPr="009F373E">
        <w:rPr>
          <w:rFonts w:ascii="Arial" w:hAnsi="Arial" w:cs="Arial"/>
        </w:rPr>
        <w:t>Introduction of Carer Support</w:t>
      </w:r>
      <w:r>
        <w:rPr>
          <w:rFonts w:ascii="Arial" w:hAnsi="Arial" w:cs="Arial"/>
        </w:rPr>
        <w:t xml:space="preserve">: </w:t>
      </w:r>
      <w:r w:rsidRPr="009F373E">
        <w:rPr>
          <w:rFonts w:ascii="Arial" w:hAnsi="Arial" w:cs="Arial"/>
        </w:rPr>
        <w:t>The wellbeing of carers must be viewed as fundamental to patient outcomes. Incorporating respite, training, and emotional support for carers should be integral to memory service delivery.</w:t>
      </w:r>
    </w:p>
    <w:p w14:paraId="471C2312" w14:textId="4D818F3D" w:rsidR="009F373E" w:rsidRPr="009F373E" w:rsidRDefault="009F373E" w:rsidP="009F373E">
      <w:pPr>
        <w:pStyle w:val="ListParagraph"/>
        <w:numPr>
          <w:ilvl w:val="0"/>
          <w:numId w:val="26"/>
        </w:numPr>
        <w:spacing w:line="360" w:lineRule="auto"/>
        <w:rPr>
          <w:rFonts w:ascii="Arial" w:hAnsi="Arial" w:cs="Arial"/>
        </w:rPr>
      </w:pPr>
      <w:r w:rsidRPr="009F373E">
        <w:rPr>
          <w:rFonts w:ascii="Arial" w:hAnsi="Arial" w:cs="Arial"/>
        </w:rPr>
        <w:t>Confronting Stigma Directly</w:t>
      </w:r>
      <w:r>
        <w:rPr>
          <w:rFonts w:ascii="Arial" w:hAnsi="Arial" w:cs="Arial"/>
        </w:rPr>
        <w:t xml:space="preserve">: </w:t>
      </w:r>
      <w:r w:rsidRPr="009F373E">
        <w:rPr>
          <w:rFonts w:ascii="Arial" w:hAnsi="Arial" w:cs="Arial"/>
        </w:rPr>
        <w:t>Clinicians have to engage in proactive discussions about stigma with patients and families, accepting the diagnosis and highlighting abilities instead of deficits. Anti-stigma training for personnel should be standard practice.</w:t>
      </w:r>
    </w:p>
    <w:p w14:paraId="66544E41" w14:textId="2B916EAD" w:rsidR="009F373E" w:rsidRDefault="009F373E" w:rsidP="009F373E">
      <w:pPr>
        <w:pStyle w:val="Heading3"/>
        <w:spacing w:line="360" w:lineRule="auto"/>
        <w:rPr>
          <w:rFonts w:ascii="Arial" w:hAnsi="Arial" w:cs="Arial"/>
          <w:sz w:val="22"/>
          <w:szCs w:val="20"/>
          <w:u w:val="none"/>
        </w:rPr>
      </w:pPr>
      <w:bookmarkStart w:id="99" w:name="_Toc210677422"/>
      <w:r w:rsidRPr="009F373E">
        <w:rPr>
          <w:rFonts w:ascii="Arial" w:hAnsi="Arial" w:cs="Arial"/>
          <w:sz w:val="22"/>
          <w:szCs w:val="20"/>
          <w:u w:val="none"/>
        </w:rPr>
        <w:t>6.2.2 For Policy</w:t>
      </w:r>
      <w:bookmarkEnd w:id="99"/>
    </w:p>
    <w:p w14:paraId="4DEAAFC1" w14:textId="77777777" w:rsidR="005E6BE7" w:rsidRDefault="005E6BE7" w:rsidP="005E6BE7">
      <w:pPr>
        <w:pStyle w:val="ListParagraph"/>
        <w:numPr>
          <w:ilvl w:val="0"/>
          <w:numId w:val="27"/>
        </w:numPr>
        <w:spacing w:line="360" w:lineRule="auto"/>
        <w:rPr>
          <w:rFonts w:ascii="Arial" w:hAnsi="Arial" w:cs="Arial"/>
        </w:rPr>
      </w:pPr>
      <w:r w:rsidRPr="005E6BE7">
        <w:rPr>
          <w:rFonts w:ascii="Arial" w:hAnsi="Arial" w:cs="Arial"/>
        </w:rPr>
        <w:t>Transition Beyond Diagnostic Purpose</w:t>
      </w:r>
      <w:r>
        <w:rPr>
          <w:rFonts w:ascii="Arial" w:hAnsi="Arial" w:cs="Arial"/>
        </w:rPr>
        <w:t xml:space="preserve">: </w:t>
      </w:r>
      <w:r w:rsidRPr="005E6BE7">
        <w:rPr>
          <w:rFonts w:ascii="Arial" w:hAnsi="Arial" w:cs="Arial"/>
        </w:rPr>
        <w:t>National strategies must assess not only diagnostic rates but also the quality and outcomes of post-diagnostic support. Success should be defined by patient wellbeing rather than just the quantity of diagnostics.</w:t>
      </w:r>
    </w:p>
    <w:p w14:paraId="391067F8" w14:textId="77777777" w:rsidR="005E6BE7" w:rsidRDefault="005E6BE7" w:rsidP="005E6BE7">
      <w:pPr>
        <w:pStyle w:val="ListParagraph"/>
        <w:numPr>
          <w:ilvl w:val="0"/>
          <w:numId w:val="27"/>
        </w:numPr>
        <w:spacing w:line="360" w:lineRule="auto"/>
        <w:rPr>
          <w:rFonts w:ascii="Arial" w:hAnsi="Arial" w:cs="Arial"/>
        </w:rPr>
      </w:pPr>
      <w:r w:rsidRPr="005E6BE7">
        <w:rPr>
          <w:rFonts w:ascii="Arial" w:hAnsi="Arial" w:cs="Arial"/>
        </w:rPr>
        <w:t>Improvement in Accessibility</w:t>
      </w:r>
      <w:r>
        <w:rPr>
          <w:rFonts w:ascii="Arial" w:hAnsi="Arial" w:cs="Arial"/>
        </w:rPr>
        <w:t xml:space="preserve">: </w:t>
      </w:r>
      <w:r w:rsidRPr="005E6BE7">
        <w:rPr>
          <w:rFonts w:ascii="Arial" w:hAnsi="Arial" w:cs="Arial"/>
        </w:rPr>
        <w:t>Funding allocations should prioritise practical barriers, including transportation and rural access. Community-oriented dementia-friendly services and transport incentives could reduce inequalities.</w:t>
      </w:r>
    </w:p>
    <w:p w14:paraId="06783436" w14:textId="77777777" w:rsidR="005E6BE7" w:rsidRDefault="005E6BE7" w:rsidP="005E6BE7">
      <w:pPr>
        <w:pStyle w:val="ListParagraph"/>
        <w:numPr>
          <w:ilvl w:val="0"/>
          <w:numId w:val="27"/>
        </w:numPr>
        <w:spacing w:line="360" w:lineRule="auto"/>
        <w:rPr>
          <w:rFonts w:ascii="Arial" w:hAnsi="Arial" w:cs="Arial"/>
        </w:rPr>
      </w:pPr>
      <w:r w:rsidRPr="005E6BE7">
        <w:rPr>
          <w:rFonts w:ascii="Arial" w:hAnsi="Arial" w:cs="Arial"/>
        </w:rPr>
        <w:lastRenderedPageBreak/>
        <w:t>Equity and Inclusion</w:t>
      </w:r>
      <w:r>
        <w:rPr>
          <w:rFonts w:ascii="Arial" w:hAnsi="Arial" w:cs="Arial"/>
        </w:rPr>
        <w:t>:</w:t>
      </w:r>
      <w:r w:rsidRPr="005E6BE7">
        <w:rPr>
          <w:rFonts w:ascii="Arial" w:hAnsi="Arial" w:cs="Arial"/>
        </w:rPr>
        <w:t xml:space="preserve"> Policies must fix inequalities in dementia care by guaranteeing culturally competent services and boosting representation of minority and newly diagnosed populations in research and practice.</w:t>
      </w:r>
    </w:p>
    <w:p w14:paraId="7535C064" w14:textId="1D9AECC9" w:rsidR="009F373E" w:rsidRPr="00484965" w:rsidRDefault="005E6BE7" w:rsidP="009F373E">
      <w:pPr>
        <w:pStyle w:val="ListParagraph"/>
        <w:numPr>
          <w:ilvl w:val="0"/>
          <w:numId w:val="27"/>
        </w:numPr>
        <w:spacing w:line="360" w:lineRule="auto"/>
        <w:rPr>
          <w:rFonts w:ascii="Arial" w:hAnsi="Arial" w:cs="Arial"/>
        </w:rPr>
      </w:pPr>
      <w:r w:rsidRPr="005E6BE7">
        <w:rPr>
          <w:rFonts w:ascii="Arial" w:hAnsi="Arial" w:cs="Arial"/>
        </w:rPr>
        <w:t>Multidisciplinary Collaboration</w:t>
      </w:r>
      <w:r>
        <w:rPr>
          <w:rFonts w:ascii="Arial" w:hAnsi="Arial" w:cs="Arial"/>
        </w:rPr>
        <w:t xml:space="preserve">: </w:t>
      </w:r>
      <w:r w:rsidRPr="005E6BE7">
        <w:rPr>
          <w:rFonts w:ascii="Arial" w:hAnsi="Arial" w:cs="Arial"/>
        </w:rPr>
        <w:t>Health and social care services must achieve greater integration, with collective accountability among the NHS, local authorities, and voluntary organisations to deliver uninterrupted support.</w:t>
      </w:r>
    </w:p>
    <w:p w14:paraId="16E01DF2" w14:textId="2099B768" w:rsidR="009F373E" w:rsidRDefault="009F373E" w:rsidP="009F373E">
      <w:pPr>
        <w:pStyle w:val="Heading3"/>
        <w:spacing w:line="360" w:lineRule="auto"/>
        <w:rPr>
          <w:rFonts w:ascii="Arial" w:hAnsi="Arial" w:cs="Arial"/>
          <w:sz w:val="22"/>
          <w:szCs w:val="20"/>
          <w:u w:val="none"/>
        </w:rPr>
      </w:pPr>
      <w:bookmarkStart w:id="100" w:name="_Toc210677423"/>
      <w:r w:rsidRPr="009F373E">
        <w:rPr>
          <w:rFonts w:ascii="Arial" w:hAnsi="Arial" w:cs="Arial"/>
          <w:sz w:val="22"/>
          <w:szCs w:val="20"/>
          <w:u w:val="none"/>
        </w:rPr>
        <w:t>6.2.3 For Future Research</w:t>
      </w:r>
      <w:bookmarkEnd w:id="100"/>
    </w:p>
    <w:p w14:paraId="11CEDEEC" w14:textId="77777777" w:rsidR="00484965" w:rsidRDefault="00484965" w:rsidP="00484965">
      <w:pPr>
        <w:pStyle w:val="ListParagraph"/>
        <w:numPr>
          <w:ilvl w:val="0"/>
          <w:numId w:val="28"/>
        </w:numPr>
        <w:spacing w:line="360" w:lineRule="auto"/>
        <w:rPr>
          <w:rFonts w:ascii="Arial" w:hAnsi="Arial" w:cs="Arial"/>
        </w:rPr>
      </w:pPr>
      <w:r w:rsidRPr="00484965">
        <w:rPr>
          <w:rFonts w:ascii="Arial" w:hAnsi="Arial" w:cs="Arial"/>
        </w:rPr>
        <w:t>Understanding Both Early and Late Diagnosis</w:t>
      </w:r>
      <w:r>
        <w:rPr>
          <w:rFonts w:ascii="Arial" w:hAnsi="Arial" w:cs="Arial"/>
        </w:rPr>
        <w:t xml:space="preserve">: </w:t>
      </w:r>
      <w:r w:rsidRPr="00484965">
        <w:rPr>
          <w:rFonts w:ascii="Arial" w:hAnsi="Arial" w:cs="Arial"/>
        </w:rPr>
        <w:t>Future research should establish clearer and standardised definitions for diagnostic timing to improve comparability among studies.</w:t>
      </w:r>
    </w:p>
    <w:p w14:paraId="642B3B4A" w14:textId="77777777" w:rsidR="00484965" w:rsidRDefault="00484965" w:rsidP="00484965">
      <w:pPr>
        <w:pStyle w:val="ListParagraph"/>
        <w:numPr>
          <w:ilvl w:val="0"/>
          <w:numId w:val="28"/>
        </w:numPr>
        <w:spacing w:line="360" w:lineRule="auto"/>
        <w:rPr>
          <w:rFonts w:ascii="Arial" w:hAnsi="Arial" w:cs="Arial"/>
        </w:rPr>
      </w:pPr>
      <w:r w:rsidRPr="00484965">
        <w:rPr>
          <w:rFonts w:ascii="Arial" w:hAnsi="Arial" w:cs="Arial"/>
        </w:rPr>
        <w:t>Assessment of Post-Diagnostic Pathways</w:t>
      </w:r>
      <w:r>
        <w:rPr>
          <w:rFonts w:ascii="Arial" w:hAnsi="Arial" w:cs="Arial"/>
        </w:rPr>
        <w:t xml:space="preserve">: </w:t>
      </w:r>
      <w:r w:rsidRPr="00484965">
        <w:rPr>
          <w:rFonts w:ascii="Arial" w:hAnsi="Arial" w:cs="Arial"/>
        </w:rPr>
        <w:t>Comparative studies are essential to evaluate which follow-up care models most effectively improve mental health outcomes.</w:t>
      </w:r>
    </w:p>
    <w:p w14:paraId="634AB0B1" w14:textId="77777777" w:rsidR="00484965" w:rsidRDefault="00484965" w:rsidP="00484965">
      <w:pPr>
        <w:pStyle w:val="ListParagraph"/>
        <w:numPr>
          <w:ilvl w:val="0"/>
          <w:numId w:val="28"/>
        </w:numPr>
        <w:spacing w:line="360" w:lineRule="auto"/>
        <w:rPr>
          <w:rFonts w:ascii="Arial" w:hAnsi="Arial" w:cs="Arial"/>
        </w:rPr>
      </w:pPr>
      <w:r w:rsidRPr="00484965">
        <w:rPr>
          <w:rFonts w:ascii="Arial" w:hAnsi="Arial" w:cs="Arial"/>
        </w:rPr>
        <w:t>Longitudinal Approaches</w:t>
      </w:r>
      <w:r>
        <w:rPr>
          <w:rFonts w:ascii="Arial" w:hAnsi="Arial" w:cs="Arial"/>
        </w:rPr>
        <w:t xml:space="preserve">: </w:t>
      </w:r>
      <w:r w:rsidRPr="00484965">
        <w:rPr>
          <w:rFonts w:ascii="Arial" w:hAnsi="Arial" w:cs="Arial"/>
        </w:rPr>
        <w:t>Longitudinal studies should investigate the influence of early diagnosis on mental health trajectories over time, particularly regarding transitions into advanced stages of dementia.</w:t>
      </w:r>
    </w:p>
    <w:p w14:paraId="48DD12E7" w14:textId="77777777" w:rsidR="00484965" w:rsidRDefault="00484965" w:rsidP="00484965">
      <w:pPr>
        <w:pStyle w:val="ListParagraph"/>
        <w:numPr>
          <w:ilvl w:val="0"/>
          <w:numId w:val="28"/>
        </w:numPr>
        <w:spacing w:line="360" w:lineRule="auto"/>
        <w:rPr>
          <w:rFonts w:ascii="Arial" w:hAnsi="Arial" w:cs="Arial"/>
        </w:rPr>
      </w:pPr>
      <w:r w:rsidRPr="00484965">
        <w:rPr>
          <w:rFonts w:ascii="Arial" w:hAnsi="Arial" w:cs="Arial"/>
        </w:rPr>
        <w:t>Inclusion of Marginalised Demographics</w:t>
      </w:r>
      <w:r>
        <w:rPr>
          <w:rFonts w:ascii="Arial" w:hAnsi="Arial" w:cs="Arial"/>
        </w:rPr>
        <w:t xml:space="preserve">: </w:t>
      </w:r>
      <w:r w:rsidRPr="00484965">
        <w:rPr>
          <w:rFonts w:ascii="Arial" w:hAnsi="Arial" w:cs="Arial"/>
        </w:rPr>
        <w:t>Research must proactively engage participants from minority ethnic communities, economically disadvantaged groups, and younger-onset populations to guarantee inclusivity and equity.</w:t>
      </w:r>
    </w:p>
    <w:p w14:paraId="79EE68B6" w14:textId="0BA77AD2" w:rsidR="00484965" w:rsidRDefault="00484965" w:rsidP="00484965">
      <w:pPr>
        <w:pStyle w:val="ListParagraph"/>
        <w:numPr>
          <w:ilvl w:val="0"/>
          <w:numId w:val="28"/>
        </w:numPr>
        <w:spacing w:line="360" w:lineRule="auto"/>
        <w:rPr>
          <w:rFonts w:ascii="Arial" w:hAnsi="Arial" w:cs="Arial"/>
        </w:rPr>
      </w:pPr>
      <w:r w:rsidRPr="00484965">
        <w:rPr>
          <w:rFonts w:ascii="Arial" w:hAnsi="Arial" w:cs="Arial"/>
        </w:rPr>
        <w:t>Studies Focussing on Carers</w:t>
      </w:r>
      <w:r>
        <w:rPr>
          <w:rFonts w:ascii="Arial" w:hAnsi="Arial" w:cs="Arial"/>
        </w:rPr>
        <w:t xml:space="preserve">: </w:t>
      </w:r>
      <w:r w:rsidRPr="00484965">
        <w:rPr>
          <w:rFonts w:ascii="Arial" w:hAnsi="Arial" w:cs="Arial"/>
        </w:rPr>
        <w:t>Further investigation is necessary regarding the dual influence of diagnosis on carers' mental health and the personalised nature of support interventions to reduce carer burden.</w:t>
      </w:r>
    </w:p>
    <w:p w14:paraId="5D6A345E" w14:textId="3924E76F" w:rsidR="00484965" w:rsidRPr="00484965" w:rsidRDefault="00484965" w:rsidP="00484965">
      <w:pPr>
        <w:pStyle w:val="Heading2"/>
        <w:spacing w:line="360" w:lineRule="auto"/>
        <w:jc w:val="left"/>
        <w:rPr>
          <w:rFonts w:ascii="Arial" w:hAnsi="Arial" w:cs="Arial"/>
        </w:rPr>
      </w:pPr>
      <w:bookmarkStart w:id="101" w:name="_Toc210677424"/>
      <w:r w:rsidRPr="00484965">
        <w:rPr>
          <w:rFonts w:ascii="Arial" w:hAnsi="Arial" w:cs="Arial"/>
        </w:rPr>
        <w:t>6.3 Contribution of the Study</w:t>
      </w:r>
      <w:bookmarkEnd w:id="101"/>
    </w:p>
    <w:p w14:paraId="1CB5C034" w14:textId="7E7B2E96" w:rsidR="00F57BEF" w:rsidRDefault="00F57BEF" w:rsidP="00F57BEF">
      <w:pPr>
        <w:spacing w:line="360" w:lineRule="auto"/>
        <w:rPr>
          <w:rFonts w:ascii="Arial" w:hAnsi="Arial" w:cs="Arial"/>
        </w:rPr>
      </w:pPr>
      <w:r w:rsidRPr="00F57BEF">
        <w:rPr>
          <w:rFonts w:ascii="Arial" w:hAnsi="Arial" w:cs="Arial"/>
        </w:rPr>
        <w:t>This dissertation significantly contributes to dementia research in multiple important ways.</w:t>
      </w:r>
      <w:r w:rsidRPr="00F57BEF">
        <w:rPr>
          <w:rFonts w:ascii="Arial" w:hAnsi="Arial" w:cs="Arial"/>
        </w:rPr>
        <w:br/>
      </w:r>
      <w:r>
        <w:rPr>
          <w:rFonts w:ascii="Arial" w:hAnsi="Arial" w:cs="Arial"/>
        </w:rPr>
        <w:t>First, t</w:t>
      </w:r>
      <w:r w:rsidRPr="00F57BEF">
        <w:rPr>
          <w:rFonts w:ascii="Arial" w:hAnsi="Arial" w:cs="Arial"/>
        </w:rPr>
        <w:t>his is one of the few systematic reviews that explicitly investigates the relationship between diagnosis timing and mental health outcomes within a UK context. This study prioritises psychological wellbeing, highlighting a significant gap in the literature, in contrast to the predominant focus on cognitive or clinical outcomes in many studies.</w:t>
      </w:r>
      <w:r w:rsidRPr="00F57BEF">
        <w:rPr>
          <w:rFonts w:ascii="Arial" w:hAnsi="Arial" w:cs="Arial"/>
        </w:rPr>
        <w:br/>
      </w:r>
      <w:r w:rsidRPr="00F57BEF">
        <w:rPr>
          <w:rFonts w:ascii="Arial" w:hAnsi="Arial" w:cs="Arial"/>
        </w:rPr>
        <w:br/>
        <w:t>Secondly, by integrating qualitative and quantitative evidence, the research paper demonstrates that the timing of diagnosis alone does not dictate outcomes; rather, it is the interaction of support, family dynamics, and service quality that is significant. This integrated perspective offers a more detailed understanding than studies that concentrate exclusively on either biomedical or psychosocial aspects.</w:t>
      </w:r>
      <w:r w:rsidRPr="00F57BEF">
        <w:rPr>
          <w:rFonts w:ascii="Arial" w:hAnsi="Arial" w:cs="Arial"/>
        </w:rPr>
        <w:br/>
      </w:r>
      <w:r w:rsidRPr="00F57BEF">
        <w:rPr>
          <w:rFonts w:ascii="Arial" w:hAnsi="Arial" w:cs="Arial"/>
        </w:rPr>
        <w:br/>
      </w:r>
      <w:r>
        <w:rPr>
          <w:rFonts w:ascii="Arial" w:hAnsi="Arial" w:cs="Arial"/>
        </w:rPr>
        <w:lastRenderedPageBreak/>
        <w:t>Third, t</w:t>
      </w:r>
      <w:r w:rsidRPr="00F57BEF">
        <w:rPr>
          <w:rFonts w:ascii="Arial" w:hAnsi="Arial" w:cs="Arial"/>
        </w:rPr>
        <w:t>he integration of various theoretical frameworks</w:t>
      </w:r>
      <w:r>
        <w:rPr>
          <w:rFonts w:ascii="Arial" w:hAnsi="Arial" w:cs="Arial"/>
        </w:rPr>
        <w:t xml:space="preserve">: </w:t>
      </w:r>
      <w:r w:rsidRPr="00F57BEF">
        <w:rPr>
          <w:rFonts w:ascii="Arial" w:hAnsi="Arial" w:cs="Arial"/>
        </w:rPr>
        <w:t>Stress Process Model, Biopsychosocial Model, Stress and Coping Theory, and Person-Centred Care</w:t>
      </w:r>
      <w:r>
        <w:rPr>
          <w:rFonts w:ascii="Arial" w:hAnsi="Arial" w:cs="Arial"/>
        </w:rPr>
        <w:t xml:space="preserve">, </w:t>
      </w:r>
      <w:r w:rsidRPr="00F57BEF">
        <w:rPr>
          <w:rFonts w:ascii="Arial" w:hAnsi="Arial" w:cs="Arial"/>
        </w:rPr>
        <w:t>provides a solid conceptual basis for analysing results. This multifaceted framework improves theoretical progress in dementia care.</w:t>
      </w:r>
      <w:r w:rsidRPr="00F57BEF">
        <w:rPr>
          <w:rFonts w:ascii="Arial" w:hAnsi="Arial" w:cs="Arial"/>
        </w:rPr>
        <w:br/>
      </w:r>
      <w:r w:rsidRPr="00F57BEF">
        <w:rPr>
          <w:rFonts w:ascii="Arial" w:hAnsi="Arial" w:cs="Arial"/>
        </w:rPr>
        <w:br/>
      </w:r>
      <w:r>
        <w:rPr>
          <w:rFonts w:ascii="Arial" w:hAnsi="Arial" w:cs="Arial"/>
        </w:rPr>
        <w:t>T</w:t>
      </w:r>
      <w:r w:rsidRPr="00F57BEF">
        <w:rPr>
          <w:rFonts w:ascii="Arial" w:hAnsi="Arial" w:cs="Arial"/>
        </w:rPr>
        <w:t>he study ultimately offers practical and policy-relevant insights, highlighting the necessity of overcoming diagnostic targets to prioritise the wellbeing of patients and carers. The dissertation highlights how stigma, relational structure, and the quality of support influence mental health outcomes, accentuating the human aspects of dementia care.</w:t>
      </w:r>
    </w:p>
    <w:p w14:paraId="4C135700" w14:textId="7C3D2D32" w:rsidR="00F57BEF" w:rsidRPr="00996052" w:rsidRDefault="00996052" w:rsidP="00996052">
      <w:pPr>
        <w:pStyle w:val="Heading2"/>
        <w:spacing w:line="360" w:lineRule="auto"/>
        <w:jc w:val="left"/>
        <w:rPr>
          <w:rFonts w:ascii="Arial" w:hAnsi="Arial" w:cs="Arial"/>
        </w:rPr>
      </w:pPr>
      <w:bookmarkStart w:id="102" w:name="_Toc210677425"/>
      <w:r w:rsidRPr="00996052">
        <w:rPr>
          <w:rFonts w:ascii="Arial" w:hAnsi="Arial" w:cs="Arial"/>
        </w:rPr>
        <w:t>6.4 Closing Reflection</w:t>
      </w:r>
      <w:bookmarkEnd w:id="102"/>
    </w:p>
    <w:p w14:paraId="61C7806D" w14:textId="77777777" w:rsidR="00996052" w:rsidRPr="00996052" w:rsidRDefault="00996052" w:rsidP="00996052">
      <w:pPr>
        <w:spacing w:line="360" w:lineRule="auto"/>
        <w:rPr>
          <w:rFonts w:ascii="Arial" w:hAnsi="Arial" w:cs="Arial"/>
        </w:rPr>
      </w:pPr>
      <w:r w:rsidRPr="00996052">
        <w:rPr>
          <w:rFonts w:ascii="Arial" w:hAnsi="Arial" w:cs="Arial"/>
        </w:rPr>
        <w:t>This research started with the acknowledgement that dementia is both a clinical and social condition, significantly impacting not only the individuals diagnosed but also their families and communities. The review indicates that early diagnosis can be both beneficial and burdensome. The critical element lies not only in the timing, but in the hard work, empathy, and sustained assistance that follows.</w:t>
      </w:r>
      <w:r w:rsidRPr="00996052">
        <w:rPr>
          <w:rFonts w:ascii="Arial" w:hAnsi="Arial" w:cs="Arial"/>
        </w:rPr>
        <w:br/>
      </w:r>
      <w:r w:rsidRPr="00996052">
        <w:rPr>
          <w:rFonts w:ascii="Arial" w:hAnsi="Arial" w:cs="Arial"/>
        </w:rPr>
        <w:br/>
        <w:t>This dissertation's contribution is to clarify that improving mental health outcomes in dementia requires the system to view early diagnosis not just as a target but as an entry point to a lifelong, person-centred care journey.</w:t>
      </w:r>
    </w:p>
    <w:p w14:paraId="0A1234C8" w14:textId="77777777" w:rsidR="00484965" w:rsidRPr="00484965" w:rsidRDefault="00484965" w:rsidP="00484965"/>
    <w:p w14:paraId="05FED6EE" w14:textId="296E57AF" w:rsidR="009F64C5" w:rsidRDefault="009F64C5">
      <w:pPr>
        <w:spacing w:after="0"/>
        <w:rPr>
          <w:rFonts w:asciiTheme="minorBidi" w:eastAsia="Calibri" w:hAnsiTheme="minorBidi"/>
        </w:rPr>
      </w:pPr>
      <w:r w:rsidRPr="007F1C8A">
        <w:rPr>
          <w:rFonts w:asciiTheme="minorBidi" w:hAnsiTheme="minorBidi"/>
        </w:rPr>
        <w:tab/>
      </w:r>
      <w:r w:rsidRPr="007F1C8A">
        <w:rPr>
          <w:rFonts w:asciiTheme="minorBidi" w:eastAsia="Calibri" w:hAnsiTheme="minorBidi"/>
        </w:rPr>
        <w:t xml:space="preserve"> </w:t>
      </w:r>
    </w:p>
    <w:p w14:paraId="11C43DDD" w14:textId="77777777" w:rsidR="009F373E" w:rsidRPr="007F1C8A" w:rsidRDefault="009F373E">
      <w:pPr>
        <w:spacing w:after="0"/>
        <w:rPr>
          <w:rFonts w:asciiTheme="minorBidi" w:hAnsiTheme="minorBidi"/>
        </w:rPr>
      </w:pPr>
    </w:p>
    <w:p w14:paraId="21668B29" w14:textId="77777777" w:rsidR="009706D0" w:rsidRPr="007F1C8A" w:rsidRDefault="009706D0">
      <w:pPr>
        <w:rPr>
          <w:rFonts w:asciiTheme="minorBidi" w:eastAsia="Times New Roman" w:hAnsiTheme="minorBidi"/>
          <w:b/>
          <w:color w:val="000000"/>
          <w:sz w:val="24"/>
        </w:rPr>
      </w:pPr>
      <w:bookmarkStart w:id="103" w:name="_Toc12222"/>
      <w:r w:rsidRPr="007F1C8A">
        <w:rPr>
          <w:rFonts w:asciiTheme="minorBidi" w:hAnsiTheme="minorBidi"/>
        </w:rPr>
        <w:br w:type="page"/>
      </w:r>
    </w:p>
    <w:bookmarkEnd w:id="103" w:displacedByCustomXml="next"/>
    <w:bookmarkStart w:id="104" w:name="_Toc210677426" w:displacedByCustomXml="next"/>
    <w:sdt>
      <w:sdtPr>
        <w:rPr>
          <w:rFonts w:asciiTheme="minorHAnsi" w:eastAsiaTheme="minorEastAsia" w:hAnsiTheme="minorHAnsi" w:cstheme="minorBidi"/>
          <w:b w:val="0"/>
          <w:color w:val="auto"/>
          <w:sz w:val="22"/>
        </w:rPr>
        <w:id w:val="528605390"/>
        <w:docPartObj>
          <w:docPartGallery w:val="Bibliographies"/>
          <w:docPartUnique/>
        </w:docPartObj>
      </w:sdtPr>
      <w:sdtContent>
        <w:p w14:paraId="1EC9B46D" w14:textId="0F74D29E" w:rsidR="00D17976" w:rsidRPr="00D17976" w:rsidRDefault="00D17976" w:rsidP="00D17976">
          <w:pPr>
            <w:pStyle w:val="Heading1"/>
            <w:spacing w:line="360" w:lineRule="auto"/>
            <w:rPr>
              <w:rFonts w:ascii="Arial" w:hAnsi="Arial" w:cs="Arial"/>
              <w:sz w:val="28"/>
              <w:szCs w:val="24"/>
            </w:rPr>
          </w:pPr>
          <w:r w:rsidRPr="00D17976">
            <w:rPr>
              <w:rFonts w:ascii="Arial" w:hAnsi="Arial" w:cs="Arial"/>
              <w:sz w:val="28"/>
              <w:szCs w:val="24"/>
            </w:rPr>
            <w:t>References</w:t>
          </w:r>
          <w:bookmarkEnd w:id="104"/>
        </w:p>
        <w:sdt>
          <w:sdtPr>
            <w:id w:val="-573587230"/>
            <w:bibliography/>
          </w:sdtPr>
          <w:sdtContent>
            <w:p w14:paraId="2FD7932E" w14:textId="77777777" w:rsidR="001E393B" w:rsidRDefault="00D17976" w:rsidP="001E393B">
              <w:pPr>
                <w:pStyle w:val="Bibliography"/>
                <w:rPr>
                  <w:noProof/>
                  <w:kern w:val="0"/>
                  <w:sz w:val="24"/>
                  <w:szCs w:val="24"/>
                  <w14:ligatures w14:val="none"/>
                </w:rPr>
              </w:pPr>
              <w:r>
                <w:fldChar w:fldCharType="begin"/>
              </w:r>
              <w:r>
                <w:instrText xml:space="preserve"> BIBLIOGRAPHY </w:instrText>
              </w:r>
              <w:r>
                <w:fldChar w:fldCharType="separate"/>
              </w:r>
              <w:r w:rsidR="001E393B">
                <w:rPr>
                  <w:noProof/>
                </w:rPr>
                <w:t xml:space="preserve">Annalisa, C. et al., 2021. Determinants of Caregiver Burden in Early-Onset Dementia. </w:t>
              </w:r>
              <w:r w:rsidR="001E393B">
                <w:rPr>
                  <w:i/>
                  <w:iCs/>
                  <w:noProof/>
                </w:rPr>
                <w:t xml:space="preserve"> Dementia and Geriatric Cognitive Disorders Extra, </w:t>
              </w:r>
              <w:r w:rsidR="001E393B">
                <w:rPr>
                  <w:noProof/>
                </w:rPr>
                <w:t>11(2), pp. 189-197.</w:t>
              </w:r>
            </w:p>
            <w:p w14:paraId="7C3627CB" w14:textId="77777777" w:rsidR="001E393B" w:rsidRDefault="001E393B" w:rsidP="001E393B">
              <w:pPr>
                <w:pStyle w:val="Bibliography"/>
                <w:rPr>
                  <w:noProof/>
                </w:rPr>
              </w:pPr>
              <w:r>
                <w:rPr>
                  <w:noProof/>
                </w:rPr>
                <w:t xml:space="preserve">Asmundson, G. J. G. &amp; Andersson, G., 2002. Cognitive Behaviour Therapy : Publication Trends and Future Directions. </w:t>
              </w:r>
              <w:r>
                <w:rPr>
                  <w:i/>
                  <w:iCs/>
                  <w:noProof/>
                </w:rPr>
                <w:t xml:space="preserve">Cognitive Behaviour Therapy, </w:t>
              </w:r>
              <w:r>
                <w:rPr>
                  <w:noProof/>
                </w:rPr>
                <w:t>31(1), pp. 3-7.</w:t>
              </w:r>
            </w:p>
            <w:p w14:paraId="44A1A004" w14:textId="77777777" w:rsidR="001E393B" w:rsidRDefault="001E393B" w:rsidP="001E393B">
              <w:pPr>
                <w:pStyle w:val="Bibliography"/>
                <w:rPr>
                  <w:noProof/>
                </w:rPr>
              </w:pPr>
              <w:r>
                <w:rPr>
                  <w:noProof/>
                </w:rPr>
                <w:t xml:space="preserve">Bamford, C. et al., 2023. Improving primary care based post-diagnostic support for people living with dementia and carers: Developing a complex intervention using the Theory of Change. </w:t>
              </w:r>
              <w:r>
                <w:rPr>
                  <w:i/>
                  <w:iCs/>
                  <w:noProof/>
                </w:rPr>
                <w:t xml:space="preserve">PLoS ONE, </w:t>
              </w:r>
              <w:r>
                <w:rPr>
                  <w:noProof/>
                </w:rPr>
                <w:t>18(5), p. e0283818.</w:t>
              </w:r>
            </w:p>
            <w:p w14:paraId="07848A4E" w14:textId="77777777" w:rsidR="001E393B" w:rsidRDefault="001E393B" w:rsidP="001E393B">
              <w:pPr>
                <w:pStyle w:val="Bibliography"/>
                <w:rPr>
                  <w:noProof/>
                </w:rPr>
              </w:pPr>
              <w:r>
                <w:rPr>
                  <w:noProof/>
                </w:rPr>
                <w:t xml:space="preserve">Bell, G. et al., 2024. Predictors of primary care psychological therapy outcomes for depression and anxiety in people living with dementia: evidence from national healthcare records in England. </w:t>
              </w:r>
              <w:r>
                <w:rPr>
                  <w:i/>
                  <w:iCs/>
                  <w:noProof/>
                </w:rPr>
                <w:t xml:space="preserve">The British Journal of Psychiatry, </w:t>
              </w:r>
              <w:r>
                <w:rPr>
                  <w:noProof/>
                </w:rPr>
                <w:t>Volume 224, pp. 205-212.</w:t>
              </w:r>
            </w:p>
            <w:p w14:paraId="02BA8571" w14:textId="77777777" w:rsidR="001E393B" w:rsidRDefault="001E393B" w:rsidP="001E393B">
              <w:pPr>
                <w:pStyle w:val="Bibliography"/>
                <w:rPr>
                  <w:noProof/>
                </w:rPr>
              </w:pPr>
              <w:r>
                <w:rPr>
                  <w:noProof/>
                </w:rPr>
                <w:t xml:space="preserve">Bell, G. et al., 2022. Effectiveness of primary care psychological therapy services for the treatment of depression and anxiety in people living with dementia: Evidence from national healthcare records in England. </w:t>
              </w:r>
              <w:r>
                <w:rPr>
                  <w:i/>
                  <w:iCs/>
                  <w:noProof/>
                </w:rPr>
                <w:t xml:space="preserve">eClinicalMedicine, </w:t>
              </w:r>
              <w:r>
                <w:rPr>
                  <w:noProof/>
                </w:rPr>
                <w:t>Volume 52, p. 101692.</w:t>
              </w:r>
            </w:p>
            <w:p w14:paraId="489DEEE1" w14:textId="77777777" w:rsidR="001E393B" w:rsidRDefault="001E393B" w:rsidP="001E393B">
              <w:pPr>
                <w:pStyle w:val="Bibliography"/>
                <w:rPr>
                  <w:noProof/>
                </w:rPr>
              </w:pPr>
              <w:r>
                <w:rPr>
                  <w:noProof/>
                </w:rPr>
                <w:t xml:space="preserve">Bradford, A. et al., 2009. Missed and Delayed Diagnosis of Dementia in Primary Care: Prevalence and Contributing Factors.. </w:t>
              </w:r>
              <w:r>
                <w:rPr>
                  <w:i/>
                  <w:iCs/>
                  <w:noProof/>
                </w:rPr>
                <w:t xml:space="preserve">Alzheimer Disease &amp; Associated Disorders, </w:t>
              </w:r>
              <w:r>
                <w:rPr>
                  <w:noProof/>
                </w:rPr>
                <w:t>23(4), pp. 306-314.</w:t>
              </w:r>
            </w:p>
            <w:p w14:paraId="6DE21BBC" w14:textId="77777777" w:rsidR="001E393B" w:rsidRDefault="001E393B" w:rsidP="001E393B">
              <w:pPr>
                <w:pStyle w:val="Bibliography"/>
                <w:rPr>
                  <w:noProof/>
                </w:rPr>
              </w:pPr>
              <w:r>
                <w:rPr>
                  <w:noProof/>
                </w:rPr>
                <w:t xml:space="preserve">Braun, V. &amp; Clarke, V., 2019. Reflecting on reflexive thematic analysis. </w:t>
              </w:r>
              <w:r>
                <w:rPr>
                  <w:i/>
                  <w:iCs/>
                  <w:noProof/>
                </w:rPr>
                <w:t xml:space="preserve">Qualitative Research in Sport, Exercise and Health , </w:t>
              </w:r>
              <w:r>
                <w:rPr>
                  <w:noProof/>
                </w:rPr>
                <w:t>11(4), pp. 589-597.</w:t>
              </w:r>
            </w:p>
            <w:p w14:paraId="164EDEA8" w14:textId="77777777" w:rsidR="001E393B" w:rsidRDefault="001E393B" w:rsidP="001E393B">
              <w:pPr>
                <w:pStyle w:val="Bibliography"/>
                <w:rPr>
                  <w:noProof/>
                </w:rPr>
              </w:pPr>
              <w:r>
                <w:rPr>
                  <w:noProof/>
                </w:rPr>
                <w:t xml:space="preserve">Bunn, F. et al., 2017. Healthcare organisation and delivery for people with dementia and comorbidity: a qualitative study exploring the views of patients, carers and professionals. </w:t>
              </w:r>
              <w:r>
                <w:rPr>
                  <w:i/>
                  <w:iCs/>
                  <w:noProof/>
                </w:rPr>
                <w:t xml:space="preserve">Health services research, BMJ Open, </w:t>
              </w:r>
              <w:r>
                <w:rPr>
                  <w:noProof/>
                </w:rPr>
                <w:t>7(1), p. e013067.</w:t>
              </w:r>
            </w:p>
            <w:p w14:paraId="6AC0811C" w14:textId="77777777" w:rsidR="001E393B" w:rsidRDefault="001E393B" w:rsidP="001E393B">
              <w:pPr>
                <w:pStyle w:val="Bibliography"/>
                <w:rPr>
                  <w:noProof/>
                </w:rPr>
              </w:pPr>
              <w:r>
                <w:rPr>
                  <w:noProof/>
                </w:rPr>
                <w:t xml:space="preserve">Bunn, F. et al., 2018. Supporting shared decision making for older people with multiple health and social care needs: a realist synthesis. </w:t>
              </w:r>
              <w:r>
                <w:rPr>
                  <w:i/>
                  <w:iCs/>
                  <w:noProof/>
                </w:rPr>
                <w:t xml:space="preserve">BMC Geriatrics, </w:t>
              </w:r>
              <w:r>
                <w:rPr>
                  <w:noProof/>
                </w:rPr>
                <w:t>18(165).</w:t>
              </w:r>
            </w:p>
            <w:p w14:paraId="76260435" w14:textId="77777777" w:rsidR="001E393B" w:rsidRDefault="001E393B" w:rsidP="001E393B">
              <w:pPr>
                <w:pStyle w:val="Bibliography"/>
                <w:rPr>
                  <w:noProof/>
                </w:rPr>
              </w:pPr>
              <w:r>
                <w:rPr>
                  <w:noProof/>
                </w:rPr>
                <w:t xml:space="preserve">Burns, A. &amp; Robert, P., 2009. The National Dementia strategy in England. </w:t>
              </w:r>
              <w:r>
                <w:rPr>
                  <w:i/>
                  <w:iCs/>
                  <w:noProof/>
                </w:rPr>
                <w:t xml:space="preserve">The BMJ, </w:t>
              </w:r>
              <w:r>
                <w:rPr>
                  <w:noProof/>
                </w:rPr>
                <w:t>p. 338:B931.</w:t>
              </w:r>
            </w:p>
            <w:p w14:paraId="2B7C5AD1" w14:textId="77777777" w:rsidR="001E393B" w:rsidRDefault="001E393B" w:rsidP="001E393B">
              <w:pPr>
                <w:pStyle w:val="Bibliography"/>
                <w:rPr>
                  <w:noProof/>
                </w:rPr>
              </w:pPr>
              <w:r>
                <w:rPr>
                  <w:noProof/>
                </w:rPr>
                <w:t xml:space="preserve">Cammisuli, D. M., Cipriani, G., Giusti, E. M. &amp; Castelnuovo, G., 2022. Effects of Reminiscence Therapy on Cognition, Depression and Quality of Life in Elderly People with Alzheimer’s Disease: A Systematic Review of Randomized Controlled Trials. </w:t>
              </w:r>
              <w:r>
                <w:rPr>
                  <w:i/>
                  <w:iCs/>
                  <w:noProof/>
                </w:rPr>
                <w:t xml:space="preserve">Journal of Clinical Medicine, </w:t>
              </w:r>
              <w:r>
                <w:rPr>
                  <w:noProof/>
                </w:rPr>
                <w:t>11(19), p. 5752.</w:t>
              </w:r>
            </w:p>
            <w:p w14:paraId="5CB4DD9D" w14:textId="77777777" w:rsidR="001E393B" w:rsidRDefault="001E393B" w:rsidP="001E393B">
              <w:pPr>
                <w:pStyle w:val="Bibliography"/>
                <w:rPr>
                  <w:noProof/>
                </w:rPr>
              </w:pPr>
              <w:r>
                <w:rPr>
                  <w:noProof/>
                </w:rPr>
                <w:t xml:space="preserve">Canva, 2025. </w:t>
              </w:r>
              <w:r>
                <w:rPr>
                  <w:i/>
                  <w:iCs/>
                  <w:noProof/>
                </w:rPr>
                <w:t xml:space="preserve">Canva. </w:t>
              </w:r>
              <w:r>
                <w:rPr>
                  <w:noProof/>
                </w:rPr>
                <w:t xml:space="preserve">[Online] </w:t>
              </w:r>
              <w:r>
                <w:rPr>
                  <w:noProof/>
                </w:rPr>
                <w:br/>
                <w:t xml:space="preserve">Available at: </w:t>
              </w:r>
              <w:r>
                <w:rPr>
                  <w:noProof/>
                  <w:u w:val="single"/>
                </w:rPr>
                <w:t>https://www.canva.com/en_gb/</w:t>
              </w:r>
              <w:r>
                <w:rPr>
                  <w:noProof/>
                </w:rPr>
                <w:br/>
                <w:t>[Accessed 15 July 2025].</w:t>
              </w:r>
            </w:p>
            <w:p w14:paraId="21A6BA23" w14:textId="77777777" w:rsidR="001E393B" w:rsidRDefault="001E393B" w:rsidP="001E393B">
              <w:pPr>
                <w:pStyle w:val="Bibliography"/>
                <w:rPr>
                  <w:noProof/>
                </w:rPr>
              </w:pPr>
              <w:r>
                <w:rPr>
                  <w:noProof/>
                </w:rPr>
                <w:t xml:space="preserve">Care, D. o. H. a. S., 2009. </w:t>
              </w:r>
              <w:r>
                <w:rPr>
                  <w:i/>
                  <w:iCs/>
                  <w:noProof/>
                </w:rPr>
                <w:t xml:space="preserve">Living Well With Dementia: a national dementia strategy. </w:t>
              </w:r>
              <w:r>
                <w:rPr>
                  <w:noProof/>
                </w:rPr>
                <w:t xml:space="preserve">[Online] </w:t>
              </w:r>
              <w:r>
                <w:rPr>
                  <w:noProof/>
                </w:rPr>
                <w:br/>
                <w:t xml:space="preserve">Available at: </w:t>
              </w:r>
              <w:r>
                <w:rPr>
                  <w:noProof/>
                  <w:u w:val="single"/>
                </w:rPr>
                <w:t>https://www.gov.uk/government/publications/living-well-with-dementia-a-national-dementia-strategy</w:t>
              </w:r>
              <w:r>
                <w:rPr>
                  <w:noProof/>
                </w:rPr>
                <w:br/>
                <w:t>[Accessed 14 July 2025].</w:t>
              </w:r>
            </w:p>
            <w:p w14:paraId="143F8BFC" w14:textId="77777777" w:rsidR="001E393B" w:rsidRDefault="001E393B" w:rsidP="001E393B">
              <w:pPr>
                <w:pStyle w:val="Bibliography"/>
                <w:rPr>
                  <w:noProof/>
                </w:rPr>
              </w:pPr>
              <w:r>
                <w:rPr>
                  <w:noProof/>
                </w:rPr>
                <w:t xml:space="preserve">Carreira, H., Williams, R., Strongman, H. &amp; Bhaskaran, K., 2019. Identification of mental health and quality of life outcomes in primary care databases in the UK: a systematic review. </w:t>
              </w:r>
              <w:r>
                <w:rPr>
                  <w:i/>
                  <w:iCs/>
                  <w:noProof/>
                </w:rPr>
                <w:t xml:space="preserve">BMJ Open, </w:t>
              </w:r>
              <w:r>
                <w:rPr>
                  <w:noProof/>
                </w:rPr>
                <w:t>Volume 9, p. e029227.</w:t>
              </w:r>
            </w:p>
            <w:p w14:paraId="64EA1005" w14:textId="77777777" w:rsidR="001E393B" w:rsidRDefault="001E393B" w:rsidP="001E393B">
              <w:pPr>
                <w:pStyle w:val="Bibliography"/>
                <w:rPr>
                  <w:noProof/>
                </w:rPr>
              </w:pPr>
              <w:r>
                <w:rPr>
                  <w:noProof/>
                </w:rPr>
                <w:lastRenderedPageBreak/>
                <w:t xml:space="preserve">Catherine, Q. et al., 2014. Self-management in early-stage dementia: a pilot randomised controlled trial of the efficacy and cost-effectiveness of a self-management group intervention (the SMART study). </w:t>
              </w:r>
              <w:r>
                <w:rPr>
                  <w:i/>
                  <w:iCs/>
                  <w:noProof/>
                </w:rPr>
                <w:t xml:space="preserve">Trials, </w:t>
              </w:r>
              <w:r>
                <w:rPr>
                  <w:noProof/>
                </w:rPr>
                <w:t>15(1), pp. 74-74.</w:t>
              </w:r>
            </w:p>
            <w:p w14:paraId="027588FB" w14:textId="77777777" w:rsidR="001E393B" w:rsidRDefault="001E393B" w:rsidP="001E393B">
              <w:pPr>
                <w:pStyle w:val="Bibliography"/>
                <w:rPr>
                  <w:noProof/>
                </w:rPr>
              </w:pPr>
              <w:r>
                <w:rPr>
                  <w:noProof/>
                </w:rPr>
                <w:t xml:space="preserve">Cesar, V., Jean-Pierre, H. &amp; Jennifer, B., 2004. Evidence-Based Public Health: Moving Beyond Randomized Trials. </w:t>
              </w:r>
              <w:r>
                <w:rPr>
                  <w:i/>
                  <w:iCs/>
                  <w:noProof/>
                </w:rPr>
                <w:t xml:space="preserve">American Journal of Public Health, </w:t>
              </w:r>
              <w:r>
                <w:rPr>
                  <w:noProof/>
                </w:rPr>
                <w:t>94(3), p. 400.</w:t>
              </w:r>
            </w:p>
            <w:p w14:paraId="7214ADA4" w14:textId="77777777" w:rsidR="001E393B" w:rsidRDefault="001E393B" w:rsidP="001E393B">
              <w:pPr>
                <w:pStyle w:val="Bibliography"/>
                <w:rPr>
                  <w:noProof/>
                </w:rPr>
              </w:pPr>
              <w:r>
                <w:rPr>
                  <w:noProof/>
                </w:rPr>
                <w:t xml:space="preserve">Chen, P., Smits, L., Miranda, R. &amp; Liao, J., 2022. Impact of home healthcare on end-oflife outcomes for people with dementia:. </w:t>
              </w:r>
              <w:r>
                <w:rPr>
                  <w:i/>
                  <w:iCs/>
                  <w:noProof/>
                </w:rPr>
                <w:t xml:space="preserve">Scholarly Journal, </w:t>
              </w:r>
              <w:r>
                <w:rPr>
                  <w:noProof/>
                </w:rPr>
                <w:t>Volume 22, pp. 1-14.</w:t>
              </w:r>
            </w:p>
            <w:p w14:paraId="1E567015" w14:textId="77777777" w:rsidR="001E393B" w:rsidRDefault="001E393B" w:rsidP="001E393B">
              <w:pPr>
                <w:pStyle w:val="Bibliography"/>
                <w:rPr>
                  <w:noProof/>
                </w:rPr>
              </w:pPr>
              <w:r>
                <w:rPr>
                  <w:noProof/>
                </w:rPr>
                <w:t xml:space="preserve">Chithiramohan, A., Iliffe, S. &amp; Khattak, I., 2019. Identifying barriers to diagnosing dementia following incentivisation and policy pressures: General practitioners' perspectives. </w:t>
              </w:r>
              <w:r>
                <w:rPr>
                  <w:i/>
                  <w:iCs/>
                  <w:noProof/>
                </w:rPr>
                <w:t xml:space="preserve">Dementia (London), </w:t>
              </w:r>
              <w:r>
                <w:rPr>
                  <w:noProof/>
                </w:rPr>
                <w:t>18(2), pp. 514-529.</w:t>
              </w:r>
            </w:p>
            <w:p w14:paraId="751697A3" w14:textId="77777777" w:rsidR="001E393B" w:rsidRDefault="001E393B" w:rsidP="001E393B">
              <w:pPr>
                <w:pStyle w:val="Bibliography"/>
                <w:rPr>
                  <w:noProof/>
                </w:rPr>
              </w:pPr>
              <w:r>
                <w:rPr>
                  <w:noProof/>
                </w:rPr>
                <w:t xml:space="preserve">Clarke, C. et al., 2020. Measuring the well-being of people with dementia: a conceptual scoping review. </w:t>
              </w:r>
              <w:r>
                <w:rPr>
                  <w:i/>
                  <w:iCs/>
                  <w:noProof/>
                </w:rPr>
                <w:t xml:space="preserve">Health and Quality of Life Outcomes, </w:t>
              </w:r>
              <w:r>
                <w:rPr>
                  <w:noProof/>
                </w:rPr>
                <w:t>18(249), pp. 1-14.</w:t>
              </w:r>
            </w:p>
            <w:p w14:paraId="7EC44963" w14:textId="77777777" w:rsidR="001E393B" w:rsidRDefault="001E393B" w:rsidP="001E393B">
              <w:pPr>
                <w:pStyle w:val="Bibliography"/>
                <w:rPr>
                  <w:noProof/>
                </w:rPr>
              </w:pPr>
              <w:r>
                <w:rPr>
                  <w:noProof/>
                </w:rPr>
                <w:t xml:space="preserve">Corporation, M., 2025. </w:t>
              </w:r>
              <w:r>
                <w:rPr>
                  <w:i/>
                  <w:iCs/>
                  <w:noProof/>
                </w:rPr>
                <w:t xml:space="preserve">Microsoft Excel. </w:t>
              </w:r>
              <w:r>
                <w:rPr>
                  <w:noProof/>
                </w:rPr>
                <w:t xml:space="preserve">[Online] </w:t>
              </w:r>
              <w:r>
                <w:rPr>
                  <w:noProof/>
                </w:rPr>
                <w:br/>
                <w:t xml:space="preserve">Available at: </w:t>
              </w:r>
              <w:r>
                <w:rPr>
                  <w:noProof/>
                  <w:u w:val="single"/>
                </w:rPr>
                <w:t>https://www.microsoft.com/en-gb/microsoft-365/excel</w:t>
              </w:r>
              <w:r>
                <w:rPr>
                  <w:noProof/>
                </w:rPr>
                <w:br/>
                <w:t>[Accessed 29 June 2025].</w:t>
              </w:r>
            </w:p>
            <w:p w14:paraId="4B4060DD" w14:textId="77777777" w:rsidR="001E393B" w:rsidRDefault="001E393B" w:rsidP="001E393B">
              <w:pPr>
                <w:pStyle w:val="Bibliography"/>
                <w:rPr>
                  <w:noProof/>
                </w:rPr>
              </w:pPr>
              <w:r>
                <w:rPr>
                  <w:noProof/>
                </w:rPr>
                <w:t xml:space="preserve">Creavin, S. T. et al., 2022. Clinical judgement by primary care physicians for the diagnosis of all‐cause dementia or cognitive impairment in symptomatic people. </w:t>
              </w:r>
              <w:r>
                <w:rPr>
                  <w:i/>
                  <w:iCs/>
                  <w:noProof/>
                </w:rPr>
                <w:t xml:space="preserve">Cochrane database of systematic reviews, </w:t>
              </w:r>
              <w:r>
                <w:rPr>
                  <w:noProof/>
                </w:rPr>
                <w:t>2022(6), p. CD012558.</w:t>
              </w:r>
            </w:p>
            <w:p w14:paraId="7FD0C889" w14:textId="77777777" w:rsidR="001E393B" w:rsidRDefault="001E393B" w:rsidP="001E393B">
              <w:pPr>
                <w:pStyle w:val="Bibliography"/>
                <w:rPr>
                  <w:noProof/>
                </w:rPr>
              </w:pPr>
              <w:r>
                <w:rPr>
                  <w:noProof/>
                </w:rPr>
                <w:t xml:space="preserve">Darshini, A. et al., 2021. Patient-Reported Outcome Measures to Inform Care of People With Dementia—A Systematic Scoping Review. </w:t>
              </w:r>
              <w:r>
                <w:rPr>
                  <w:i/>
                  <w:iCs/>
                  <w:noProof/>
                </w:rPr>
                <w:t xml:space="preserve">The Gerontologist, </w:t>
              </w:r>
              <w:r>
                <w:rPr>
                  <w:noProof/>
                </w:rPr>
                <w:t>61(5), pp. e185-e194.</w:t>
              </w:r>
            </w:p>
            <w:p w14:paraId="07AA3033" w14:textId="77777777" w:rsidR="001E393B" w:rsidRDefault="001E393B" w:rsidP="001E393B">
              <w:pPr>
                <w:pStyle w:val="Bibliography"/>
                <w:rPr>
                  <w:noProof/>
                </w:rPr>
              </w:pPr>
              <w:r>
                <w:rPr>
                  <w:noProof/>
                </w:rPr>
                <w:t xml:space="preserve">Deepika, B., Claes, W. &amp; Kai, P., 2015. </w:t>
              </w:r>
              <w:r>
                <w:rPr>
                  <w:i/>
                  <w:iCs/>
                  <w:noProof/>
                </w:rPr>
                <w:t xml:space="preserve">Experiences from using snowballing and database searches in systematic literature studies. </w:t>
              </w:r>
              <w:r>
                <w:rPr>
                  <w:noProof/>
                </w:rPr>
                <w:t>New York, Proceedings of the 19th International Conference on Evaluation and Assessment in Software Engineering.</w:t>
              </w:r>
            </w:p>
            <w:p w14:paraId="2707D4E5" w14:textId="77777777" w:rsidR="001E393B" w:rsidRDefault="001E393B" w:rsidP="001E393B">
              <w:pPr>
                <w:pStyle w:val="Bibliography"/>
                <w:rPr>
                  <w:noProof/>
                </w:rPr>
              </w:pPr>
              <w:r>
                <w:rPr>
                  <w:noProof/>
                </w:rPr>
                <w:t xml:space="preserve">DeokJu, K., 2020. The Effects of a Recollection-Based Occupational Therapy Program of Alzheimer’s Disease: A Randomized Controlled Trial. </w:t>
              </w:r>
              <w:r>
                <w:rPr>
                  <w:i/>
                  <w:iCs/>
                  <w:noProof/>
                </w:rPr>
                <w:t>Occupational Therapy International.</w:t>
              </w:r>
            </w:p>
            <w:p w14:paraId="727F09CA" w14:textId="77777777" w:rsidR="001E393B" w:rsidRDefault="001E393B" w:rsidP="001E393B">
              <w:pPr>
                <w:pStyle w:val="Bibliography"/>
                <w:rPr>
                  <w:noProof/>
                </w:rPr>
              </w:pPr>
              <w:r>
                <w:rPr>
                  <w:noProof/>
                </w:rPr>
                <w:t xml:space="preserve">Douglas, S., James, I. &amp; Ballard, C., 2004. Non-pharmacological interventions in dementia. </w:t>
              </w:r>
              <w:r>
                <w:rPr>
                  <w:i/>
                  <w:iCs/>
                  <w:noProof/>
                </w:rPr>
                <w:t xml:space="preserve">Advances in Psychiatric Treatment, </w:t>
              </w:r>
              <w:r>
                <w:rPr>
                  <w:noProof/>
                </w:rPr>
                <w:t>10(3), pp. 171-177.</w:t>
              </w:r>
            </w:p>
            <w:p w14:paraId="0EA777DB" w14:textId="77777777" w:rsidR="001E393B" w:rsidRDefault="001E393B" w:rsidP="001E393B">
              <w:pPr>
                <w:pStyle w:val="Bibliography"/>
                <w:rPr>
                  <w:noProof/>
                </w:rPr>
              </w:pPr>
              <w:r>
                <w:rPr>
                  <w:noProof/>
                </w:rPr>
                <w:t xml:space="preserve">Edwards, B. M., Busse, M., Clouston, T. J. &amp; Hannigan, B., 2024. Exploring the impact of early-stage dementia on everyday activities. </w:t>
              </w:r>
              <w:r>
                <w:rPr>
                  <w:i/>
                  <w:iCs/>
                  <w:noProof/>
                </w:rPr>
                <w:t xml:space="preserve">British Journal of Occupational Therapy, </w:t>
              </w:r>
              <w:r>
                <w:rPr>
                  <w:noProof/>
                </w:rPr>
                <w:t>87(11), pp. 704-714.</w:t>
              </w:r>
            </w:p>
            <w:p w14:paraId="49ADCE92" w14:textId="77777777" w:rsidR="001E393B" w:rsidRDefault="001E393B" w:rsidP="001E393B">
              <w:pPr>
                <w:pStyle w:val="Bibliography"/>
                <w:rPr>
                  <w:noProof/>
                </w:rPr>
              </w:pPr>
              <w:r>
                <w:rPr>
                  <w:noProof/>
                </w:rPr>
                <w:t xml:space="preserve">Engel, G. L., 1977. The Need for a New Medical Model: A Challenge for Biomedicine. </w:t>
              </w:r>
              <w:r>
                <w:rPr>
                  <w:i/>
                  <w:iCs/>
                  <w:noProof/>
                </w:rPr>
                <w:t xml:space="preserve">Science, </w:t>
              </w:r>
              <w:r>
                <w:rPr>
                  <w:noProof/>
                </w:rPr>
                <w:t>196(4286), pp. 129-136.</w:t>
              </w:r>
            </w:p>
            <w:p w14:paraId="2BDA91DB" w14:textId="77777777" w:rsidR="001E393B" w:rsidRDefault="001E393B" w:rsidP="001E393B">
              <w:pPr>
                <w:pStyle w:val="Bibliography"/>
                <w:rPr>
                  <w:noProof/>
                </w:rPr>
              </w:pPr>
              <w:r>
                <w:rPr>
                  <w:noProof/>
                </w:rPr>
                <w:t xml:space="preserve">England, N., 2025. </w:t>
              </w:r>
              <w:r>
                <w:rPr>
                  <w:i/>
                  <w:iCs/>
                  <w:noProof/>
                </w:rPr>
                <w:t xml:space="preserve">Dementia. </w:t>
              </w:r>
              <w:r>
                <w:rPr>
                  <w:noProof/>
                </w:rPr>
                <w:t xml:space="preserve">[Online] </w:t>
              </w:r>
              <w:r>
                <w:rPr>
                  <w:noProof/>
                </w:rPr>
                <w:br/>
                <w:t xml:space="preserve">Available at: </w:t>
              </w:r>
              <w:r>
                <w:rPr>
                  <w:noProof/>
                  <w:u w:val="single"/>
                </w:rPr>
                <w:t>https://www.england.nhs.uk/mental-health/dementia/</w:t>
              </w:r>
              <w:r>
                <w:rPr>
                  <w:noProof/>
                </w:rPr>
                <w:br/>
                <w:t>[Accessed 05 August 2025].</w:t>
              </w:r>
            </w:p>
            <w:p w14:paraId="7B1A37BA" w14:textId="77777777" w:rsidR="001E393B" w:rsidRDefault="001E393B" w:rsidP="001E393B">
              <w:pPr>
                <w:pStyle w:val="Bibliography"/>
                <w:rPr>
                  <w:noProof/>
                </w:rPr>
              </w:pPr>
              <w:r>
                <w:rPr>
                  <w:noProof/>
                </w:rPr>
                <w:t xml:space="preserve">Faranak, A., Molnar Frank J, Dalziel William B &amp; Debbie, A., 2012. A Review of Barriers and Enablers to Diagnosis and Management of Persons with Dementia in Primary Care. </w:t>
              </w:r>
              <w:r>
                <w:rPr>
                  <w:i/>
                  <w:iCs/>
                  <w:noProof/>
                </w:rPr>
                <w:t xml:space="preserve">Canadian Geriatrics Journal, </w:t>
              </w:r>
              <w:r>
                <w:rPr>
                  <w:noProof/>
                </w:rPr>
                <w:t>15(3), pp. 85-94.</w:t>
              </w:r>
            </w:p>
            <w:p w14:paraId="37D8CB1D" w14:textId="77777777" w:rsidR="001E393B" w:rsidRDefault="001E393B" w:rsidP="001E393B">
              <w:pPr>
                <w:pStyle w:val="Bibliography"/>
                <w:rPr>
                  <w:noProof/>
                </w:rPr>
              </w:pPr>
              <w:r>
                <w:rPr>
                  <w:noProof/>
                </w:rPr>
                <w:t xml:space="preserve">Fetters, M. D. &amp; Freshwater, D., 2015. Publishing a Methodological Mixed Methods Research Article. </w:t>
              </w:r>
              <w:r>
                <w:rPr>
                  <w:i/>
                  <w:iCs/>
                  <w:noProof/>
                </w:rPr>
                <w:t xml:space="preserve">Journal of Mixed Methods Research, </w:t>
              </w:r>
              <w:r>
                <w:rPr>
                  <w:noProof/>
                </w:rPr>
                <w:t>9(3), pp. 203-213.</w:t>
              </w:r>
            </w:p>
            <w:p w14:paraId="12F4EAC9" w14:textId="77777777" w:rsidR="001E393B" w:rsidRDefault="001E393B" w:rsidP="001E393B">
              <w:pPr>
                <w:pStyle w:val="Bibliography"/>
                <w:rPr>
                  <w:noProof/>
                </w:rPr>
              </w:pPr>
              <w:r>
                <w:rPr>
                  <w:noProof/>
                </w:rPr>
                <w:lastRenderedPageBreak/>
                <w:t xml:space="preserve">Field, B., Coates, E. &amp; Gail, M., 2021. What influences uptake of psychosocial interventions by people living with early dementia? A qualitative study. </w:t>
              </w:r>
              <w:r>
                <w:rPr>
                  <w:i/>
                  <w:iCs/>
                  <w:noProof/>
                </w:rPr>
                <w:t xml:space="preserve">Sage Journals. Dementia, </w:t>
              </w:r>
              <w:r>
                <w:rPr>
                  <w:noProof/>
                </w:rPr>
                <w:t>20(8), pp. 2668-2688.</w:t>
              </w:r>
            </w:p>
            <w:p w14:paraId="58DFCCED" w14:textId="77777777" w:rsidR="001E393B" w:rsidRDefault="001E393B" w:rsidP="001E393B">
              <w:pPr>
                <w:pStyle w:val="Bibliography"/>
                <w:rPr>
                  <w:noProof/>
                </w:rPr>
              </w:pPr>
              <w:r>
                <w:rPr>
                  <w:noProof/>
                </w:rPr>
                <w:t xml:space="preserve">Fox, C., Lafortune, L., Boustani, M. &amp; Brayne, C., 2013. The pros and cons of early diagnosis in dementia. </w:t>
              </w:r>
              <w:r>
                <w:rPr>
                  <w:i/>
                  <w:iCs/>
                  <w:noProof/>
                </w:rPr>
                <w:t xml:space="preserve">British Journal of General Practice, </w:t>
              </w:r>
              <w:r>
                <w:rPr>
                  <w:noProof/>
                </w:rPr>
                <w:t>63(612), p. e510–e512.</w:t>
              </w:r>
            </w:p>
            <w:p w14:paraId="1CC58ADF" w14:textId="77777777" w:rsidR="001E393B" w:rsidRDefault="001E393B" w:rsidP="001E393B">
              <w:pPr>
                <w:pStyle w:val="Bibliography"/>
                <w:rPr>
                  <w:noProof/>
                </w:rPr>
              </w:pPr>
              <w:r>
                <w:rPr>
                  <w:noProof/>
                </w:rPr>
                <w:t xml:space="preserve">Giebel, C. &amp; Heath, B., 2023. A 3-UK-nation survey on dementia and the cost of living crisis: contributions of gender and ethnicity on struggling to pay for social care. </w:t>
              </w:r>
              <w:r>
                <w:rPr>
                  <w:i/>
                  <w:iCs/>
                  <w:noProof/>
                </w:rPr>
                <w:t xml:space="preserve">Aging &amp; Mental Health, </w:t>
              </w:r>
              <w:r>
                <w:rPr>
                  <w:noProof/>
                </w:rPr>
                <w:t>27(12), pp. 2368-2376.</w:t>
              </w:r>
            </w:p>
            <w:p w14:paraId="616D60A1" w14:textId="77777777" w:rsidR="001E393B" w:rsidRDefault="001E393B" w:rsidP="001E393B">
              <w:pPr>
                <w:pStyle w:val="Bibliography"/>
                <w:rPr>
                  <w:noProof/>
                </w:rPr>
              </w:pPr>
              <w:r>
                <w:rPr>
                  <w:noProof/>
                </w:rPr>
                <w:t xml:space="preserve">Gough, D., Thomas, J. &amp; Oliver, S., 2017. </w:t>
              </w:r>
              <w:r>
                <w:rPr>
                  <w:i/>
                  <w:iCs/>
                  <w:noProof/>
                </w:rPr>
                <w:t xml:space="preserve">An Introduction to Systematic Reviews, </w:t>
              </w:r>
              <w:r>
                <w:rPr>
                  <w:noProof/>
                </w:rPr>
                <w:t>Ebook: Sage publications.</w:t>
              </w:r>
            </w:p>
            <w:p w14:paraId="3C20F59A" w14:textId="77777777" w:rsidR="001E393B" w:rsidRDefault="001E393B" w:rsidP="001E393B">
              <w:pPr>
                <w:pStyle w:val="Bibliography"/>
                <w:rPr>
                  <w:noProof/>
                </w:rPr>
              </w:pPr>
              <w:r>
                <w:rPr>
                  <w:noProof/>
                </w:rPr>
                <w:t xml:space="preserve">GOV.UK, 2009. </w:t>
              </w:r>
              <w:r>
                <w:rPr>
                  <w:i/>
                  <w:iCs/>
                  <w:noProof/>
                </w:rPr>
                <w:t xml:space="preserve">Living Well With Dementia: A national dementia strategy, Department of Health and Social Care. </w:t>
              </w:r>
              <w:r>
                <w:rPr>
                  <w:noProof/>
                </w:rPr>
                <w:t xml:space="preserve">[Online] </w:t>
              </w:r>
              <w:r>
                <w:rPr>
                  <w:noProof/>
                </w:rPr>
                <w:br/>
                <w:t xml:space="preserve">Available at: </w:t>
              </w:r>
              <w:r>
                <w:rPr>
                  <w:noProof/>
                  <w:u w:val="single"/>
                </w:rPr>
                <w:t>https://www.gov.uk/government/news/living-well-with-dementia-a-national-dementia-strategy</w:t>
              </w:r>
              <w:r>
                <w:rPr>
                  <w:noProof/>
                </w:rPr>
                <w:br/>
                <w:t>[Accessed 27 July 2025].</w:t>
              </w:r>
            </w:p>
            <w:p w14:paraId="577AEB1D" w14:textId="77777777" w:rsidR="001E393B" w:rsidRDefault="001E393B" w:rsidP="001E393B">
              <w:pPr>
                <w:pStyle w:val="Bibliography"/>
                <w:rPr>
                  <w:noProof/>
                </w:rPr>
              </w:pPr>
              <w:r>
                <w:rPr>
                  <w:noProof/>
                </w:rPr>
                <w:t xml:space="preserve">Haddaway, N. R., Page, M. J., Pritchard, C. C. &amp; McGuinness, L. A., 2022. PRISMA2020: An R package and Shiny app for producing PRISMA 2020-compliant flow diagrams, with interactivity for optimised digital transparency and Open Synthesis. </w:t>
              </w:r>
              <w:r>
                <w:rPr>
                  <w:i/>
                  <w:iCs/>
                  <w:noProof/>
                </w:rPr>
                <w:t xml:space="preserve">METHODS RESEARCH PAPER Campbell Systematic Reviews, </w:t>
              </w:r>
              <w:r>
                <w:rPr>
                  <w:noProof/>
                </w:rPr>
                <w:t>18(2), p. e1230.</w:t>
              </w:r>
            </w:p>
            <w:p w14:paraId="219A8D08" w14:textId="77777777" w:rsidR="001E393B" w:rsidRDefault="001E393B" w:rsidP="001E393B">
              <w:pPr>
                <w:pStyle w:val="Bibliography"/>
                <w:rPr>
                  <w:noProof/>
                </w:rPr>
              </w:pPr>
              <w:r>
                <w:rPr>
                  <w:noProof/>
                </w:rPr>
                <w:t xml:space="preserve">Hao, M. &amp; Chen, J., 2025. Trend analysis and future predictions of global burden of alzheimer’s disease and other dementias: a study based on the global burden of disease database from 1990 to 2021. </w:t>
              </w:r>
              <w:r>
                <w:rPr>
                  <w:i/>
                  <w:iCs/>
                  <w:noProof/>
                </w:rPr>
                <w:t xml:space="preserve">BMC Medicine, </w:t>
              </w:r>
              <w:r>
                <w:rPr>
                  <w:noProof/>
                </w:rPr>
                <w:t>Volume 23, pp. 1-18.</w:t>
              </w:r>
            </w:p>
            <w:p w14:paraId="4121290C" w14:textId="77777777" w:rsidR="001E393B" w:rsidRDefault="001E393B" w:rsidP="001E393B">
              <w:pPr>
                <w:pStyle w:val="Bibliography"/>
                <w:rPr>
                  <w:noProof/>
                </w:rPr>
              </w:pPr>
              <w:r>
                <w:rPr>
                  <w:noProof/>
                </w:rPr>
                <w:t xml:space="preserve">Harden, J. T. &amp;. A., 2008. Methods for the thematic synthesis of qualitative research in systematic reviews. </w:t>
              </w:r>
              <w:r>
                <w:rPr>
                  <w:i/>
                  <w:iCs/>
                  <w:noProof/>
                </w:rPr>
                <w:t xml:space="preserve">BMC Medical Research Methodology, </w:t>
              </w:r>
              <w:r>
                <w:rPr>
                  <w:noProof/>
                </w:rPr>
                <w:t>8(45).</w:t>
              </w:r>
            </w:p>
            <w:p w14:paraId="30309397" w14:textId="77777777" w:rsidR="001E393B" w:rsidRDefault="001E393B" w:rsidP="001E393B">
              <w:pPr>
                <w:pStyle w:val="Bibliography"/>
                <w:rPr>
                  <w:noProof/>
                </w:rPr>
              </w:pPr>
              <w:r>
                <w:rPr>
                  <w:noProof/>
                </w:rPr>
                <w:t xml:space="preserve">Hélène, A. et al., 2005. The 9 year cognitive decline before dementia of the Alzheimer type: a prospective population-based study. </w:t>
              </w:r>
              <w:r>
                <w:rPr>
                  <w:i/>
                  <w:iCs/>
                  <w:noProof/>
                </w:rPr>
                <w:t xml:space="preserve">Brain (London, England : 1878), </w:t>
              </w:r>
              <w:r>
                <w:rPr>
                  <w:noProof/>
                </w:rPr>
                <w:t>128(5), pp. 1093-1101.</w:t>
              </w:r>
            </w:p>
            <w:p w14:paraId="529AE6B7" w14:textId="77777777" w:rsidR="001E393B" w:rsidRDefault="001E393B" w:rsidP="001E393B">
              <w:pPr>
                <w:pStyle w:val="Bibliography"/>
                <w:rPr>
                  <w:noProof/>
                </w:rPr>
              </w:pPr>
              <w:r>
                <w:rPr>
                  <w:noProof/>
                </w:rPr>
                <w:t xml:space="preserve">Hunt, A. et al., 2023. The associations between personality traits and quality of life, satisfaction with life, and well-being over time in people with dementia and their caregivers: findings from the IDEAL programme. </w:t>
              </w:r>
              <w:r>
                <w:rPr>
                  <w:i/>
                  <w:iCs/>
                  <w:noProof/>
                </w:rPr>
                <w:t xml:space="preserve">BMC Geriatrics, </w:t>
              </w:r>
              <w:r>
                <w:rPr>
                  <w:noProof/>
                </w:rPr>
                <w:t>23(354), pp. 1-12.</w:t>
              </w:r>
            </w:p>
            <w:p w14:paraId="1B91D2AC" w14:textId="77777777" w:rsidR="001E393B" w:rsidRDefault="001E393B" w:rsidP="001E393B">
              <w:pPr>
                <w:pStyle w:val="Bibliography"/>
                <w:rPr>
                  <w:noProof/>
                </w:rPr>
              </w:pPr>
              <w:r>
                <w:rPr>
                  <w:noProof/>
                </w:rPr>
                <w:t xml:space="preserve">Isabelle, V. et al., 2020. Assessing care models implemented in primary healthcare for persons with dementia: a mixed-methods study protocol. </w:t>
              </w:r>
              <w:r>
                <w:rPr>
                  <w:i/>
                  <w:iCs/>
                  <w:noProof/>
                </w:rPr>
                <w:t xml:space="preserve">BMJ Open, </w:t>
              </w:r>
              <w:r>
                <w:rPr>
                  <w:noProof/>
                </w:rPr>
                <w:t>10(5), p. e035916.</w:t>
              </w:r>
            </w:p>
            <w:p w14:paraId="444BE24E" w14:textId="77777777" w:rsidR="001E393B" w:rsidRDefault="001E393B" w:rsidP="001E393B">
              <w:pPr>
                <w:pStyle w:val="Bibliography"/>
                <w:rPr>
                  <w:noProof/>
                </w:rPr>
              </w:pPr>
              <w:r>
                <w:rPr>
                  <w:noProof/>
                </w:rPr>
                <w:t xml:space="preserve">Janati, M. A.-B. &amp;. A., 2020. Population, Intervention, Comparison, Outcomes and Study (PICOS) design as a framework to formulate eligibility criteria in systematic reviews. </w:t>
              </w:r>
              <w:r>
                <w:rPr>
                  <w:i/>
                  <w:iCs/>
                  <w:noProof/>
                </w:rPr>
                <w:t xml:space="preserve">Emergency Medicine Journal : EMJ, </w:t>
              </w:r>
              <w:r>
                <w:rPr>
                  <w:noProof/>
                </w:rPr>
                <w:t>37(6), pp. 387-387.</w:t>
              </w:r>
            </w:p>
            <w:p w14:paraId="2E35B1AA" w14:textId="77777777" w:rsidR="001E393B" w:rsidRDefault="001E393B" w:rsidP="001E393B">
              <w:pPr>
                <w:pStyle w:val="Bibliography"/>
                <w:rPr>
                  <w:noProof/>
                </w:rPr>
              </w:pPr>
              <w:r>
                <w:rPr>
                  <w:noProof/>
                </w:rPr>
                <w:t xml:space="preserve">John, S. &amp; Christopher, K., 2019. Measuring younger onset dementia: What the qualitative literature reveals about the ‘lived experience’ for patients and caregivers. </w:t>
              </w:r>
              <w:r>
                <w:rPr>
                  <w:i/>
                  <w:iCs/>
                  <w:noProof/>
                </w:rPr>
                <w:t xml:space="preserve">Dementia (London, England), </w:t>
              </w:r>
              <w:r>
                <w:rPr>
                  <w:noProof/>
                </w:rPr>
                <w:t>18(2), pp. 579-598.</w:t>
              </w:r>
            </w:p>
            <w:p w14:paraId="5CED8CBD" w14:textId="77777777" w:rsidR="001E393B" w:rsidRDefault="001E393B" w:rsidP="001E393B">
              <w:pPr>
                <w:pStyle w:val="Bibliography"/>
                <w:rPr>
                  <w:noProof/>
                </w:rPr>
              </w:pPr>
              <w:r>
                <w:rPr>
                  <w:noProof/>
                </w:rPr>
                <w:t xml:space="preserve">Jonathan, J., 2022. A Methodological Framework for Investigating Diversity in Clinical Researc. </w:t>
              </w:r>
              <w:r>
                <w:rPr>
                  <w:i/>
                  <w:iCs/>
                  <w:noProof/>
                </w:rPr>
                <w:t xml:space="preserve">Alzheimer's &amp; dementia, </w:t>
              </w:r>
              <w:r>
                <w:rPr>
                  <w:noProof/>
                </w:rPr>
                <w:t>18(11).</w:t>
              </w:r>
            </w:p>
            <w:p w14:paraId="203D2187" w14:textId="77777777" w:rsidR="001E393B" w:rsidRDefault="001E393B" w:rsidP="001E393B">
              <w:pPr>
                <w:pStyle w:val="Bibliography"/>
                <w:rPr>
                  <w:noProof/>
                </w:rPr>
              </w:pPr>
              <w:r>
                <w:rPr>
                  <w:noProof/>
                </w:rPr>
                <w:t xml:space="preserve">Julia, B. &amp; Halima, A., 2023. Impact of diagnosed (vs undiagnosed) dementia on family caregiving experiences. </w:t>
              </w:r>
              <w:r>
                <w:rPr>
                  <w:i/>
                  <w:iCs/>
                  <w:noProof/>
                </w:rPr>
                <w:t xml:space="preserve">Journal of the American Geriatrics Society, </w:t>
              </w:r>
              <w:r>
                <w:rPr>
                  <w:noProof/>
                </w:rPr>
                <w:t>71(4), p. 1236–1242.</w:t>
              </w:r>
            </w:p>
            <w:p w14:paraId="643BFCFA" w14:textId="77777777" w:rsidR="001E393B" w:rsidRDefault="001E393B" w:rsidP="001E393B">
              <w:pPr>
                <w:pStyle w:val="Bibliography"/>
                <w:rPr>
                  <w:noProof/>
                </w:rPr>
              </w:pPr>
              <w:r>
                <w:rPr>
                  <w:noProof/>
                </w:rPr>
                <w:lastRenderedPageBreak/>
                <w:t xml:space="preserve">Julie, W. et al., 2023. ‘I feel more part of the world’: Participatory action research to develop post-diagnostic dementia support. </w:t>
              </w:r>
              <w:r>
                <w:rPr>
                  <w:i/>
                  <w:iCs/>
                  <w:noProof/>
                </w:rPr>
                <w:t xml:space="preserve">Dementia (London, England), </w:t>
              </w:r>
              <w:r>
                <w:rPr>
                  <w:noProof/>
                </w:rPr>
                <w:t>22(7), pp. 1420-1439.</w:t>
              </w:r>
            </w:p>
            <w:p w14:paraId="6C64E0DA" w14:textId="77777777" w:rsidR="001E393B" w:rsidRDefault="001E393B" w:rsidP="001E393B">
              <w:pPr>
                <w:pStyle w:val="Bibliography"/>
                <w:rPr>
                  <w:noProof/>
                </w:rPr>
              </w:pPr>
              <w:r>
                <w:rPr>
                  <w:noProof/>
                </w:rPr>
                <w:t xml:space="preserve">Kajander, M. et al., 2022. Health promotion in early-stage dementia – user experiences from an educative intervention. </w:t>
              </w:r>
              <w:r>
                <w:rPr>
                  <w:i/>
                  <w:iCs/>
                  <w:noProof/>
                </w:rPr>
                <w:t xml:space="preserve">Educational Gerontology, </w:t>
              </w:r>
              <w:r>
                <w:rPr>
                  <w:noProof/>
                </w:rPr>
                <w:t>48(9), pp. 391-403.</w:t>
              </w:r>
            </w:p>
            <w:p w14:paraId="751309D2" w14:textId="77777777" w:rsidR="001E393B" w:rsidRDefault="001E393B" w:rsidP="001E393B">
              <w:pPr>
                <w:pStyle w:val="Bibliography"/>
                <w:rPr>
                  <w:noProof/>
                </w:rPr>
              </w:pPr>
              <w:r>
                <w:rPr>
                  <w:noProof/>
                </w:rPr>
                <w:t xml:space="preserve">Kitwood, T. &amp; Brooker, D., 1997. </w:t>
              </w:r>
              <w:r>
                <w:rPr>
                  <w:i/>
                  <w:iCs/>
                  <w:noProof/>
                </w:rPr>
                <w:t xml:space="preserve">Dementia Reconsidered Revisited: The Person Still Comes First. </w:t>
              </w:r>
              <w:r>
                <w:rPr>
                  <w:noProof/>
                </w:rPr>
                <w:t>Second Edition ed. London: Open University Press.</w:t>
              </w:r>
            </w:p>
            <w:p w14:paraId="766CBC97" w14:textId="77777777" w:rsidR="001E393B" w:rsidRDefault="001E393B" w:rsidP="001E393B">
              <w:pPr>
                <w:pStyle w:val="Bibliography"/>
                <w:rPr>
                  <w:noProof/>
                </w:rPr>
              </w:pPr>
              <w:r>
                <w:rPr>
                  <w:noProof/>
                </w:rPr>
                <w:t xml:space="preserve">Lane, R., 2020. Special Issue:Understanding and Managing Uncertainty in Healthcare: Revisiting and Advancing Sociological Contributions. </w:t>
              </w:r>
              <w:r>
                <w:rPr>
                  <w:i/>
                  <w:iCs/>
                  <w:noProof/>
                </w:rPr>
                <w:t xml:space="preserve">Sociology of Health &amp; Illness, </w:t>
              </w:r>
              <w:r>
                <w:rPr>
                  <w:noProof/>
                </w:rPr>
                <w:t>43(1), pp. 69-83.</w:t>
              </w:r>
            </w:p>
            <w:p w14:paraId="448BDE12" w14:textId="77777777" w:rsidR="001E393B" w:rsidRDefault="001E393B" w:rsidP="001E393B">
              <w:pPr>
                <w:pStyle w:val="Bibliography"/>
                <w:rPr>
                  <w:noProof/>
                </w:rPr>
              </w:pPr>
              <w:r>
                <w:rPr>
                  <w:noProof/>
                </w:rPr>
                <w:t xml:space="preserve">Laurent, Y. et al., 2019. Identifying Changepoints in Biomarkers During the Preclinical Phase of Alzheimer’s Disease. </w:t>
              </w:r>
              <w:r>
                <w:rPr>
                  <w:i/>
                  <w:iCs/>
                  <w:noProof/>
                </w:rPr>
                <w:t>Frontiers in Aging Neuroscience.</w:t>
              </w:r>
            </w:p>
            <w:p w14:paraId="44D34410" w14:textId="77777777" w:rsidR="001E393B" w:rsidRDefault="001E393B" w:rsidP="001E393B">
              <w:pPr>
                <w:pStyle w:val="Bibliography"/>
                <w:rPr>
                  <w:noProof/>
                </w:rPr>
              </w:pPr>
              <w:r>
                <w:rPr>
                  <w:noProof/>
                </w:rPr>
                <w:t xml:space="preserve">Lazarus, R. S. &amp; Folkman, S., 1984. </w:t>
              </w:r>
              <w:r>
                <w:rPr>
                  <w:i/>
                  <w:iCs/>
                  <w:noProof/>
                </w:rPr>
                <w:t xml:space="preserve">Stress, Appraisal, and Coping. </w:t>
              </w:r>
              <w:r>
                <w:rPr>
                  <w:noProof/>
                </w:rPr>
                <w:t>New York: Springer.</w:t>
              </w:r>
            </w:p>
            <w:p w14:paraId="77E6E663" w14:textId="77777777" w:rsidR="001E393B" w:rsidRDefault="001E393B" w:rsidP="001E393B">
              <w:pPr>
                <w:pStyle w:val="Bibliography"/>
                <w:rPr>
                  <w:noProof/>
                </w:rPr>
              </w:pPr>
              <w:r>
                <w:rPr>
                  <w:noProof/>
                </w:rPr>
                <w:t xml:space="preserve">Livingston, G. et al., 2017. Dementia prevention, intervention, and care. </w:t>
              </w:r>
              <w:r>
                <w:rPr>
                  <w:i/>
                  <w:iCs/>
                  <w:noProof/>
                </w:rPr>
                <w:t xml:space="preserve">The Lancet, </w:t>
              </w:r>
              <w:r>
                <w:rPr>
                  <w:noProof/>
                </w:rPr>
                <w:t>390(10113), pp. 2673-2734.</w:t>
              </w:r>
            </w:p>
            <w:p w14:paraId="7021563A" w14:textId="77777777" w:rsidR="001E393B" w:rsidRDefault="001E393B" w:rsidP="001E393B">
              <w:pPr>
                <w:pStyle w:val="Bibliography"/>
                <w:rPr>
                  <w:noProof/>
                </w:rPr>
              </w:pPr>
              <w:r>
                <w:rPr>
                  <w:noProof/>
                </w:rPr>
                <w:t xml:space="preserve">Maxine, M., 2024. </w:t>
              </w:r>
              <w:r>
                <w:rPr>
                  <w:i/>
                  <w:iCs/>
                  <w:noProof/>
                </w:rPr>
                <w:t xml:space="preserve">Using Primary Care Electronic Health Records to Investigate Preclinical Dementia: Development of a Methodological Toolkit, </w:t>
              </w:r>
              <w:r>
                <w:rPr>
                  <w:noProof/>
                </w:rPr>
                <w:t>London: University College London.</w:t>
              </w:r>
            </w:p>
            <w:p w14:paraId="49F5EF6C" w14:textId="77777777" w:rsidR="001E393B" w:rsidRDefault="001E393B" w:rsidP="001E393B">
              <w:pPr>
                <w:pStyle w:val="Bibliography"/>
                <w:rPr>
                  <w:noProof/>
                </w:rPr>
              </w:pPr>
              <w:r>
                <w:rPr>
                  <w:noProof/>
                </w:rPr>
                <w:t xml:space="preserve">Milne, A., 2010. Dementia screening and early diagnosis: The case for and against. </w:t>
              </w:r>
              <w:r>
                <w:rPr>
                  <w:i/>
                  <w:iCs/>
                  <w:noProof/>
                </w:rPr>
                <w:t xml:space="preserve">Health, Risk &amp; Society, </w:t>
              </w:r>
              <w:r>
                <w:rPr>
                  <w:noProof/>
                </w:rPr>
                <w:t>12(1), pp. 65-76.</w:t>
              </w:r>
            </w:p>
            <w:p w14:paraId="7AEEE1EA" w14:textId="77777777" w:rsidR="001E393B" w:rsidRDefault="001E393B" w:rsidP="001E393B">
              <w:pPr>
                <w:pStyle w:val="Bibliography"/>
                <w:rPr>
                  <w:noProof/>
                </w:rPr>
              </w:pPr>
              <w:r>
                <w:rPr>
                  <w:noProof/>
                </w:rPr>
                <w:t xml:space="preserve">Moher, D., Liberati, A., Tetzlaff, J. &amp; Altman, D. G., 2009. Preferred reporting items for systematic reviews and meta-analyses: the PRISMA statement. </w:t>
              </w:r>
              <w:r>
                <w:rPr>
                  <w:i/>
                  <w:iCs/>
                  <w:noProof/>
                </w:rPr>
                <w:t xml:space="preserve">The BMJ Research Methods &amp; Reporting, </w:t>
              </w:r>
              <w:r>
                <w:rPr>
                  <w:noProof/>
                </w:rPr>
                <w:t>p. 339:b2535.</w:t>
              </w:r>
            </w:p>
            <w:p w14:paraId="395DCC7D" w14:textId="77777777" w:rsidR="001E393B" w:rsidRDefault="001E393B" w:rsidP="001E393B">
              <w:pPr>
                <w:pStyle w:val="Bibliography"/>
                <w:rPr>
                  <w:noProof/>
                </w:rPr>
              </w:pPr>
              <w:r>
                <w:rPr>
                  <w:noProof/>
                </w:rPr>
                <w:t xml:space="preserve">Monica, F. et al., 2019. An early palliative care intervention can be confronting but reassuring: A qualitative study on the experiences of patients with advanced cancer. </w:t>
              </w:r>
              <w:r>
                <w:rPr>
                  <w:i/>
                  <w:iCs/>
                  <w:noProof/>
                </w:rPr>
                <w:t xml:space="preserve">Palliative medicine, </w:t>
              </w:r>
              <w:r>
                <w:rPr>
                  <w:noProof/>
                </w:rPr>
                <w:t>33(7), pp. 783-792.</w:t>
              </w:r>
            </w:p>
            <w:p w14:paraId="5E7AA243" w14:textId="77777777" w:rsidR="001E393B" w:rsidRDefault="001E393B" w:rsidP="001E393B">
              <w:pPr>
                <w:pStyle w:val="Bibliography"/>
                <w:rPr>
                  <w:noProof/>
                </w:rPr>
              </w:pPr>
              <w:r>
                <w:rPr>
                  <w:noProof/>
                </w:rPr>
                <w:t xml:space="preserve">Moniz-Cook, E. &amp; Mountain, G., 2023. The memory clinic and psychosocial intervention: Translating past promise into current practices. </w:t>
              </w:r>
              <w:r>
                <w:rPr>
                  <w:i/>
                  <w:iCs/>
                  <w:noProof/>
                </w:rPr>
                <w:t xml:space="preserve">Frontiers in Rehabilitation Sciences - Innovations in dementia and ageing care, </w:t>
              </w:r>
              <w:r>
                <w:rPr>
                  <w:noProof/>
                </w:rPr>
                <w:t>Volume 4, p. 1052244.</w:t>
              </w:r>
            </w:p>
            <w:p w14:paraId="21AFCFCA" w14:textId="77777777" w:rsidR="001E393B" w:rsidRDefault="001E393B" w:rsidP="001E393B">
              <w:pPr>
                <w:pStyle w:val="Bibliography"/>
                <w:rPr>
                  <w:noProof/>
                </w:rPr>
              </w:pPr>
              <w:r>
                <w:rPr>
                  <w:noProof/>
                </w:rPr>
                <w:t xml:space="preserve">Morrison, A. et al., 2012. THE EFFECT OF ENGLISH-LANGUAGE RESTRICTION ON SYSTEMATIC REVIEW-BASED META-ANALYSES: A SYSTEMATIC REVIEW OF EMPIRICAL STUDIES. </w:t>
              </w:r>
              <w:r>
                <w:rPr>
                  <w:i/>
                  <w:iCs/>
                  <w:noProof/>
                </w:rPr>
                <w:t xml:space="preserve">International Journal of Technology Assessment in Health Care, </w:t>
              </w:r>
              <w:r>
                <w:rPr>
                  <w:noProof/>
                </w:rPr>
                <w:t>28(2), pp. 138-144.</w:t>
              </w:r>
            </w:p>
            <w:p w14:paraId="70C33DFD" w14:textId="77777777" w:rsidR="001E393B" w:rsidRDefault="001E393B" w:rsidP="001E393B">
              <w:pPr>
                <w:pStyle w:val="Bibliography"/>
                <w:rPr>
                  <w:noProof/>
                </w:rPr>
              </w:pPr>
              <w:r>
                <w:rPr>
                  <w:noProof/>
                </w:rPr>
                <w:t xml:space="preserve">Mukadam, N. et al., 2020. Effective interventions for potentially modifiable risk factors for late-onset dementia: a costs and cost-effectiveness modelling study Effective interventions for potentially modifiable risk factors for late-onset dementia: a costs and cost-effectiveness. </w:t>
              </w:r>
              <w:r>
                <w:rPr>
                  <w:i/>
                  <w:iCs/>
                  <w:noProof/>
                </w:rPr>
                <w:t xml:space="preserve">The Lancet. Healthy longevity, </w:t>
              </w:r>
              <w:r>
                <w:rPr>
                  <w:noProof/>
                </w:rPr>
                <w:t>1(1), pp. e13-e20.</w:t>
              </w:r>
            </w:p>
            <w:p w14:paraId="0D2E094D" w14:textId="77777777" w:rsidR="001E393B" w:rsidRDefault="001E393B" w:rsidP="001E393B">
              <w:pPr>
                <w:pStyle w:val="Bibliography"/>
                <w:rPr>
                  <w:noProof/>
                </w:rPr>
              </w:pPr>
              <w:r>
                <w:rPr>
                  <w:noProof/>
                </w:rPr>
                <w:t xml:space="preserve">Naaheed, M., Claudia, C., Nishin, K. &amp; Gill, L., 2015. A systematic review of interventions to detect dementia or cognitive impairment. </w:t>
              </w:r>
              <w:r>
                <w:rPr>
                  <w:i/>
                  <w:iCs/>
                  <w:noProof/>
                </w:rPr>
                <w:t xml:space="preserve">International journal of geriatric psychiatry, </w:t>
              </w:r>
              <w:r>
                <w:rPr>
                  <w:noProof/>
                </w:rPr>
                <w:t>30(1), pp. 32-45.</w:t>
              </w:r>
            </w:p>
            <w:p w14:paraId="3A278226" w14:textId="77777777" w:rsidR="001E393B" w:rsidRDefault="001E393B" w:rsidP="001E393B">
              <w:pPr>
                <w:pStyle w:val="Bibliography"/>
                <w:rPr>
                  <w:noProof/>
                </w:rPr>
              </w:pPr>
              <w:r>
                <w:rPr>
                  <w:noProof/>
                </w:rPr>
                <w:t xml:space="preserve">NHS, 2025. </w:t>
              </w:r>
              <w:r>
                <w:rPr>
                  <w:i/>
                  <w:iCs/>
                  <w:noProof/>
                </w:rPr>
                <w:t xml:space="preserve">Primary Care Dementia Data, June 2025. </w:t>
              </w:r>
              <w:r>
                <w:rPr>
                  <w:noProof/>
                </w:rPr>
                <w:t xml:space="preserve">[Online] </w:t>
              </w:r>
              <w:r>
                <w:rPr>
                  <w:noProof/>
                </w:rPr>
                <w:br/>
                <w:t xml:space="preserve">Available at: </w:t>
              </w:r>
              <w:r>
                <w:rPr>
                  <w:noProof/>
                  <w:u w:val="single"/>
                </w:rPr>
                <w:t>https://digital.nhs.uk/data-and-information/publications/statistical/primary-care-dementia-data/june-2025</w:t>
              </w:r>
              <w:r>
                <w:rPr>
                  <w:noProof/>
                </w:rPr>
                <w:br/>
                <w:t>[Accessed 26 June 2025].</w:t>
              </w:r>
            </w:p>
            <w:p w14:paraId="18B8C7F8" w14:textId="77777777" w:rsidR="001E393B" w:rsidRDefault="001E393B" w:rsidP="001E393B">
              <w:pPr>
                <w:pStyle w:val="Bibliography"/>
                <w:rPr>
                  <w:noProof/>
                </w:rPr>
              </w:pPr>
              <w:r>
                <w:rPr>
                  <w:noProof/>
                </w:rPr>
                <w:lastRenderedPageBreak/>
                <w:t xml:space="preserve">NICE, 2018. </w:t>
              </w:r>
              <w:r>
                <w:rPr>
                  <w:i/>
                  <w:iCs/>
                  <w:noProof/>
                </w:rPr>
                <w:t xml:space="preserve">Dementia: assessment, management and support for people living with dementia and their carers. NICE guideline. Person-centred care. </w:t>
              </w:r>
              <w:r>
                <w:rPr>
                  <w:noProof/>
                </w:rPr>
                <w:t xml:space="preserve">[Online] </w:t>
              </w:r>
              <w:r>
                <w:rPr>
                  <w:noProof/>
                </w:rPr>
                <w:br/>
                <w:t xml:space="preserve">Available at: </w:t>
              </w:r>
              <w:r>
                <w:rPr>
                  <w:noProof/>
                  <w:u w:val="single"/>
                </w:rPr>
                <w:t>https://www.nice.org.uk/guidance/ng97/chapter/Person-centred-care</w:t>
              </w:r>
              <w:r>
                <w:rPr>
                  <w:noProof/>
                </w:rPr>
                <w:br/>
                <w:t>[Accessed 05 August 2025].</w:t>
              </w:r>
            </w:p>
            <w:p w14:paraId="03DC389C" w14:textId="77777777" w:rsidR="001E393B" w:rsidRDefault="001E393B" w:rsidP="001E393B">
              <w:pPr>
                <w:pStyle w:val="Bibliography"/>
                <w:rPr>
                  <w:noProof/>
                </w:rPr>
              </w:pPr>
              <w:r>
                <w:rPr>
                  <w:noProof/>
                </w:rPr>
                <w:t xml:space="preserve">Nowell, L. S., Norris, J. M. &amp; Moules, N. J., 2017. Thematic Analysis: Striving to Meet the Trustworthiness Criteria. </w:t>
              </w:r>
              <w:r>
                <w:rPr>
                  <w:i/>
                  <w:iCs/>
                  <w:noProof/>
                </w:rPr>
                <w:t xml:space="preserve">International Journal of Qualitative Methods, </w:t>
              </w:r>
              <w:r>
                <w:rPr>
                  <w:noProof/>
                </w:rPr>
                <w:t>16(1).</w:t>
              </w:r>
            </w:p>
            <w:p w14:paraId="32745F09" w14:textId="77777777" w:rsidR="001E393B" w:rsidRDefault="001E393B" w:rsidP="001E393B">
              <w:pPr>
                <w:pStyle w:val="Bibliography"/>
                <w:rPr>
                  <w:noProof/>
                </w:rPr>
              </w:pPr>
              <w:r>
                <w:rPr>
                  <w:noProof/>
                </w:rPr>
                <w:t xml:space="preserve">O’Malley, M. et al., 2021. Current UK clinical practice in diagnosing dementia in younger adults: compliance with quality indicators in electronic health records from mental health trusts. </w:t>
              </w:r>
              <w:r>
                <w:rPr>
                  <w:i/>
                  <w:iCs/>
                  <w:noProof/>
                </w:rPr>
                <w:t xml:space="preserve">Aging Ment Health, </w:t>
              </w:r>
              <w:r>
                <w:rPr>
                  <w:noProof/>
                </w:rPr>
                <w:t>26(11), pp. 2233-2242.</w:t>
              </w:r>
            </w:p>
            <w:p w14:paraId="356EB61C" w14:textId="77777777" w:rsidR="001E393B" w:rsidRDefault="001E393B" w:rsidP="001E393B">
              <w:pPr>
                <w:pStyle w:val="Bibliography"/>
                <w:rPr>
                  <w:noProof/>
                </w:rPr>
              </w:pPr>
              <w:r>
                <w:rPr>
                  <w:noProof/>
                </w:rPr>
                <w:t xml:space="preserve">Orgeta, V. et al., 2022. Psychological treatments for depression and anxiety in dementia and mild cognitive impairment. </w:t>
              </w:r>
              <w:r>
                <w:rPr>
                  <w:i/>
                  <w:iCs/>
                  <w:noProof/>
                </w:rPr>
                <w:t xml:space="preserve">Cochrane Database of Systematic reviews, </w:t>
              </w:r>
              <w:r>
                <w:rPr>
                  <w:noProof/>
                </w:rPr>
                <w:t>Issue 4 Art. No.: CD009125.</w:t>
              </w:r>
            </w:p>
            <w:p w14:paraId="734D21D7" w14:textId="77777777" w:rsidR="001E393B" w:rsidRDefault="001E393B" w:rsidP="001E393B">
              <w:pPr>
                <w:pStyle w:val="Bibliography"/>
                <w:rPr>
                  <w:noProof/>
                </w:rPr>
              </w:pPr>
              <w:r>
                <w:rPr>
                  <w:noProof/>
                </w:rPr>
                <w:t xml:space="preserve">Page, M. J. et al., 2021. The PRISMA 2020 statement: an updated guideline for reporting systematic reviews. </w:t>
              </w:r>
              <w:r>
                <w:rPr>
                  <w:i/>
                  <w:iCs/>
                  <w:noProof/>
                </w:rPr>
                <w:t xml:space="preserve">The BMJ Research Methods &amp; Reporting, </w:t>
              </w:r>
              <w:r>
                <w:rPr>
                  <w:noProof/>
                </w:rPr>
                <w:t>p. 372.</w:t>
              </w:r>
            </w:p>
            <w:p w14:paraId="711834DB" w14:textId="77777777" w:rsidR="001E393B" w:rsidRDefault="001E393B" w:rsidP="001E393B">
              <w:pPr>
                <w:pStyle w:val="Bibliography"/>
                <w:rPr>
                  <w:noProof/>
                </w:rPr>
              </w:pPr>
              <w:r>
                <w:rPr>
                  <w:noProof/>
                </w:rPr>
                <w:t xml:space="preserve">Pearlin, L. I., Menaghan, E. G. &amp; Mullan, M. A. L. a. J. T., 1981. The Stress Process. </w:t>
              </w:r>
              <w:r>
                <w:rPr>
                  <w:i/>
                  <w:iCs/>
                  <w:noProof/>
                </w:rPr>
                <w:t xml:space="preserve">Journal of Health and Social Behavior, </w:t>
              </w:r>
              <w:r>
                <w:rPr>
                  <w:noProof/>
                </w:rPr>
                <w:t>22(4), pp. 337-356.</w:t>
              </w:r>
            </w:p>
            <w:p w14:paraId="48B0AA39" w14:textId="77777777" w:rsidR="001E393B" w:rsidRDefault="001E393B" w:rsidP="001E393B">
              <w:pPr>
                <w:pStyle w:val="Bibliography"/>
                <w:rPr>
                  <w:noProof/>
                </w:rPr>
              </w:pPr>
              <w:r>
                <w:rPr>
                  <w:noProof/>
                </w:rPr>
                <w:t xml:space="preserve">Pujades-Rodriguez, M. et al., 2018. The diagnosis, burden and prognosis of dementia: A record-linkage cohort study in England. </w:t>
              </w:r>
              <w:r>
                <w:rPr>
                  <w:i/>
                  <w:iCs/>
                  <w:noProof/>
                </w:rPr>
                <w:t xml:space="preserve">PLOS ONE, </w:t>
              </w:r>
              <w:r>
                <w:rPr>
                  <w:noProof/>
                </w:rPr>
                <w:t>13(6), p. e0199026.</w:t>
              </w:r>
            </w:p>
            <w:p w14:paraId="3C7F1F81" w14:textId="77777777" w:rsidR="001E393B" w:rsidRDefault="001E393B" w:rsidP="001E393B">
              <w:pPr>
                <w:pStyle w:val="Bibliography"/>
                <w:rPr>
                  <w:noProof/>
                </w:rPr>
              </w:pPr>
              <w:r>
                <w:rPr>
                  <w:noProof/>
                </w:rPr>
                <w:t xml:space="preserve">Remco, T. et al., 2021. Life under lockdown and social restrictions - the experiences of people living with dementia and their carers during the COVID-19 pandemic in England. </w:t>
              </w:r>
              <w:r>
                <w:rPr>
                  <w:i/>
                  <w:iCs/>
                  <w:noProof/>
                </w:rPr>
                <w:t xml:space="preserve">BMC geriatrics, </w:t>
              </w:r>
              <w:r>
                <w:rPr>
                  <w:noProof/>
                </w:rPr>
                <w:t>21(1), pp. 301-12.</w:t>
              </w:r>
            </w:p>
            <w:p w14:paraId="73E866AF" w14:textId="77777777" w:rsidR="001E393B" w:rsidRDefault="001E393B" w:rsidP="001E393B">
              <w:pPr>
                <w:pStyle w:val="Bibliography"/>
                <w:rPr>
                  <w:noProof/>
                </w:rPr>
              </w:pPr>
              <w:r>
                <w:rPr>
                  <w:noProof/>
                </w:rPr>
                <w:t xml:space="preserve">Safavi, R., Wearden, A. &amp; Berry, K., 2023. Psychological well-being in persons with dementia: The role of caregiver expressed emotion. </w:t>
              </w:r>
              <w:r>
                <w:rPr>
                  <w:i/>
                  <w:iCs/>
                  <w:noProof/>
                </w:rPr>
                <w:t xml:space="preserve">British Journal of Clinical Psychology, </w:t>
              </w:r>
              <w:r>
                <w:rPr>
                  <w:noProof/>
                </w:rPr>
                <w:t>62(2), pp. 431-443.</w:t>
              </w:r>
            </w:p>
            <w:p w14:paraId="35B84B13" w14:textId="77777777" w:rsidR="001E393B" w:rsidRDefault="001E393B" w:rsidP="001E393B">
              <w:pPr>
                <w:pStyle w:val="Bibliography"/>
                <w:rPr>
                  <w:noProof/>
                </w:rPr>
              </w:pPr>
              <w:r>
                <w:rPr>
                  <w:noProof/>
                </w:rPr>
                <w:t xml:space="preserve">Singh-Manoux, et al., 2017. Trajectories of Depressive Symptoms Before Diagnosis of Dementia: A 28-Year Follow-up Study. </w:t>
              </w:r>
            </w:p>
            <w:p w14:paraId="7A24E959" w14:textId="77777777" w:rsidR="001E393B" w:rsidRDefault="001E393B" w:rsidP="001E393B">
              <w:pPr>
                <w:pStyle w:val="Bibliography"/>
                <w:rPr>
                  <w:noProof/>
                </w:rPr>
              </w:pPr>
              <w:r>
                <w:rPr>
                  <w:noProof/>
                </w:rPr>
                <w:t xml:space="preserve">Society, A., 2024. </w:t>
              </w:r>
              <w:r>
                <w:rPr>
                  <w:i/>
                  <w:iCs/>
                  <w:noProof/>
                </w:rPr>
                <w:t xml:space="preserve">How many people have dementia in the UK?. </w:t>
              </w:r>
              <w:r>
                <w:rPr>
                  <w:noProof/>
                </w:rPr>
                <w:t xml:space="preserve">[Online] </w:t>
              </w:r>
              <w:r>
                <w:rPr>
                  <w:noProof/>
                </w:rPr>
                <w:br/>
                <w:t xml:space="preserve">Available at: </w:t>
              </w:r>
              <w:r>
                <w:rPr>
                  <w:noProof/>
                  <w:u w:val="single"/>
                </w:rPr>
                <w:t>https://www.alzheimers.org.uk/blog/how-many-people-have-dementia-uk</w:t>
              </w:r>
              <w:r>
                <w:rPr>
                  <w:noProof/>
                </w:rPr>
                <w:br/>
                <w:t>[Accessed 11 July 2025].</w:t>
              </w:r>
            </w:p>
            <w:p w14:paraId="7518E62D" w14:textId="77777777" w:rsidR="001E393B" w:rsidRDefault="001E393B" w:rsidP="001E393B">
              <w:pPr>
                <w:pStyle w:val="Bibliography"/>
                <w:rPr>
                  <w:noProof/>
                </w:rPr>
              </w:pPr>
              <w:r>
                <w:rPr>
                  <w:noProof/>
                </w:rPr>
                <w:t xml:space="preserve">Society, T. B. P., 2021. </w:t>
              </w:r>
              <w:r>
                <w:rPr>
                  <w:i/>
                  <w:iCs/>
                  <w:noProof/>
                </w:rPr>
                <w:t xml:space="preserve">BPS Code of Human Research Ethics. </w:t>
              </w:r>
              <w:r>
                <w:rPr>
                  <w:noProof/>
                </w:rPr>
                <w:t xml:space="preserve">[Online] </w:t>
              </w:r>
              <w:r>
                <w:rPr>
                  <w:noProof/>
                </w:rPr>
                <w:br/>
                <w:t xml:space="preserve">Available at: </w:t>
              </w:r>
              <w:r>
                <w:rPr>
                  <w:noProof/>
                  <w:u w:val="single"/>
                </w:rPr>
                <w:t>https://www.bps.org.uk/guideline/bps-code-human-research-ethics</w:t>
              </w:r>
              <w:r>
                <w:rPr>
                  <w:noProof/>
                </w:rPr>
                <w:br/>
                <w:t>[Accessed 05 May 2025].</w:t>
              </w:r>
            </w:p>
            <w:p w14:paraId="57434D73" w14:textId="77777777" w:rsidR="001E393B" w:rsidRDefault="001E393B" w:rsidP="001E393B">
              <w:pPr>
                <w:pStyle w:val="Bibliography"/>
                <w:rPr>
                  <w:noProof/>
                </w:rPr>
              </w:pPr>
              <w:r>
                <w:rPr>
                  <w:noProof/>
                </w:rPr>
                <w:t xml:space="preserve">Spector, A. et al., 2018. Cognitive–behavioural therapy for anxiety in dementia: pilotrandomised controlled trial. </w:t>
              </w:r>
              <w:r>
                <w:rPr>
                  <w:i/>
                  <w:iCs/>
                  <w:noProof/>
                </w:rPr>
                <w:t xml:space="preserve">The British Journal of Psychiatry, </w:t>
              </w:r>
              <w:r>
                <w:rPr>
                  <w:noProof/>
                </w:rPr>
                <w:t>206(6), pp. 509-516.</w:t>
              </w:r>
            </w:p>
            <w:p w14:paraId="4BFF0D6B" w14:textId="77777777" w:rsidR="001E393B" w:rsidRDefault="001E393B" w:rsidP="001E393B">
              <w:pPr>
                <w:pStyle w:val="Bibliography"/>
                <w:rPr>
                  <w:noProof/>
                </w:rPr>
              </w:pPr>
              <w:r>
                <w:rPr>
                  <w:noProof/>
                </w:rPr>
                <w:t xml:space="preserve">Tarsilla, M., 2010. Cochrane Handbook for Systematic Reviews of Interventions. </w:t>
              </w:r>
              <w:r>
                <w:rPr>
                  <w:i/>
                  <w:iCs/>
                  <w:noProof/>
                </w:rPr>
                <w:t xml:space="preserve">Journal of MultiDisciplinary Evaluation, </w:t>
              </w:r>
              <w:r>
                <w:rPr>
                  <w:noProof/>
                </w:rPr>
                <w:t>6(14), pp. 142-148.</w:t>
              </w:r>
            </w:p>
            <w:p w14:paraId="12B29725" w14:textId="77777777" w:rsidR="001E393B" w:rsidRDefault="001E393B" w:rsidP="001E393B">
              <w:pPr>
                <w:pStyle w:val="Bibliography"/>
                <w:rPr>
                  <w:noProof/>
                </w:rPr>
              </w:pPr>
              <w:r>
                <w:rPr>
                  <w:noProof/>
                </w:rPr>
                <w:t xml:space="preserve">Tarsilla, M., 2010. Cochrane Handbook for Systematic Reviews of Interventions. </w:t>
              </w:r>
              <w:r>
                <w:rPr>
                  <w:i/>
                  <w:iCs/>
                  <w:noProof/>
                </w:rPr>
                <w:t xml:space="preserve">Journal of MultiDisciplinary Evaluation, </w:t>
              </w:r>
              <w:r>
                <w:rPr>
                  <w:noProof/>
                </w:rPr>
                <w:t>6(14), pp. 142-148.</w:t>
              </w:r>
            </w:p>
            <w:p w14:paraId="685D0EAD" w14:textId="77777777" w:rsidR="001E393B" w:rsidRDefault="001E393B" w:rsidP="001E393B">
              <w:pPr>
                <w:pStyle w:val="Bibliography"/>
                <w:rPr>
                  <w:noProof/>
                </w:rPr>
              </w:pPr>
              <w:r>
                <w:rPr>
                  <w:noProof/>
                </w:rPr>
                <w:t xml:space="preserve">Terracciano, A. et al., 2018. PERSONALITY CHANGES WITH DEMENTIA FROM THE INFORMANT PERSPECTIVE: NEW DATA AND META-ANALYSIS. </w:t>
              </w:r>
              <w:r>
                <w:rPr>
                  <w:i/>
                  <w:iCs/>
                  <w:noProof/>
                </w:rPr>
                <w:t xml:space="preserve">Innovation in Aging, </w:t>
              </w:r>
              <w:r>
                <w:rPr>
                  <w:noProof/>
                </w:rPr>
                <w:t>Volume 2, p. 973.</w:t>
              </w:r>
            </w:p>
            <w:p w14:paraId="5508F171" w14:textId="77777777" w:rsidR="001E393B" w:rsidRDefault="001E393B" w:rsidP="001E393B">
              <w:pPr>
                <w:pStyle w:val="Bibliography"/>
                <w:rPr>
                  <w:noProof/>
                </w:rPr>
              </w:pPr>
              <w:r>
                <w:rPr>
                  <w:noProof/>
                </w:rPr>
                <w:lastRenderedPageBreak/>
                <w:t xml:space="preserve">Thomas, J. M. &amp; Sezgin, D., 2021. Effectiveness of reminiscence therapy in reducing agitation and depression and improving quality of life and cognition in long-term care residents with dementia: A systematic review and meta-analysis. </w:t>
              </w:r>
              <w:r>
                <w:rPr>
                  <w:i/>
                  <w:iCs/>
                  <w:noProof/>
                </w:rPr>
                <w:t xml:space="preserve">Geriatric Nursing, </w:t>
              </w:r>
              <w:r>
                <w:rPr>
                  <w:noProof/>
                </w:rPr>
                <w:t>42(6), pp. 1497-1506.</w:t>
              </w:r>
            </w:p>
            <w:p w14:paraId="532359C9" w14:textId="77777777" w:rsidR="001E393B" w:rsidRDefault="001E393B" w:rsidP="001E393B">
              <w:pPr>
                <w:pStyle w:val="Bibliography"/>
                <w:rPr>
                  <w:noProof/>
                </w:rPr>
              </w:pPr>
              <w:r>
                <w:rPr>
                  <w:noProof/>
                </w:rPr>
                <w:t xml:space="preserve">UCL, 2023. </w:t>
              </w:r>
              <w:r>
                <w:rPr>
                  <w:i/>
                  <w:iCs/>
                  <w:noProof/>
                </w:rPr>
                <w:t xml:space="preserve">Link between talking therapy and lower rates of dementia assessed. </w:t>
              </w:r>
              <w:r>
                <w:rPr>
                  <w:noProof/>
                </w:rPr>
                <w:t xml:space="preserve">[Online] </w:t>
              </w:r>
              <w:r>
                <w:rPr>
                  <w:noProof/>
                </w:rPr>
                <w:br/>
                <w:t xml:space="preserve">Available at: </w:t>
              </w:r>
              <w:r>
                <w:rPr>
                  <w:noProof/>
                  <w:u w:val="single"/>
                </w:rPr>
                <w:t>https://www.ucl.ac.uk/news/2023/feb/link-between-talking-therapy-and-lower-rates-dementia-assessed?utm_source</w:t>
              </w:r>
              <w:r>
                <w:rPr>
                  <w:noProof/>
                </w:rPr>
                <w:br/>
                <w:t>[Accessed 04 August 2025].</w:t>
              </w:r>
            </w:p>
            <w:p w14:paraId="0E3856C7" w14:textId="77777777" w:rsidR="001E393B" w:rsidRDefault="001E393B" w:rsidP="001E393B">
              <w:pPr>
                <w:pStyle w:val="Bibliography"/>
                <w:rPr>
                  <w:noProof/>
                </w:rPr>
              </w:pPr>
              <w:r>
                <w:rPr>
                  <w:noProof/>
                </w:rPr>
                <w:t xml:space="preserve">UK, G., 2011. </w:t>
              </w:r>
              <w:r>
                <w:rPr>
                  <w:i/>
                  <w:iCs/>
                  <w:noProof/>
                </w:rPr>
                <w:t xml:space="preserve">Living Well With Dementia: A national dementia strategy. </w:t>
              </w:r>
              <w:r>
                <w:rPr>
                  <w:noProof/>
                </w:rPr>
                <w:t xml:space="preserve">[Online] </w:t>
              </w:r>
              <w:r>
                <w:rPr>
                  <w:noProof/>
                </w:rPr>
                <w:br/>
                <w:t xml:space="preserve">Available at: </w:t>
              </w:r>
              <w:r>
                <w:rPr>
                  <w:noProof/>
                  <w:u w:val="single"/>
                </w:rPr>
                <w:t>https://www.gov.uk/government/news/living-well-with-dementia-a-national-dementia-strategy</w:t>
              </w:r>
              <w:r>
                <w:rPr>
                  <w:noProof/>
                </w:rPr>
                <w:br/>
                <w:t>[Accessed 04 August 2025].</w:t>
              </w:r>
            </w:p>
            <w:p w14:paraId="2265D335" w14:textId="77777777" w:rsidR="001E393B" w:rsidRDefault="001E393B" w:rsidP="001E393B">
              <w:pPr>
                <w:pStyle w:val="Bibliography"/>
                <w:rPr>
                  <w:noProof/>
                </w:rPr>
              </w:pPr>
              <w:r>
                <w:rPr>
                  <w:noProof/>
                </w:rPr>
                <w:t xml:space="preserve">UK, G., 2015. </w:t>
              </w:r>
              <w:r>
                <w:rPr>
                  <w:i/>
                  <w:iCs/>
                  <w:noProof/>
                </w:rPr>
                <w:t xml:space="preserve">Prime Minister's challenge on dementia 2020. </w:t>
              </w:r>
              <w:r>
                <w:rPr>
                  <w:noProof/>
                </w:rPr>
                <w:t xml:space="preserve">[Online] </w:t>
              </w:r>
              <w:r>
                <w:rPr>
                  <w:noProof/>
                </w:rPr>
                <w:br/>
                <w:t xml:space="preserve">Available at: </w:t>
              </w:r>
              <w:r>
                <w:rPr>
                  <w:noProof/>
                  <w:u w:val="single"/>
                </w:rPr>
                <w:t>https://www.gov.uk/government/publications/prime-ministers-challenge-on-dementia-2020</w:t>
              </w:r>
              <w:r>
                <w:rPr>
                  <w:noProof/>
                </w:rPr>
                <w:br/>
                <w:t>[Accessed 04 August 2025].</w:t>
              </w:r>
            </w:p>
            <w:p w14:paraId="37645399" w14:textId="77777777" w:rsidR="001E393B" w:rsidRDefault="001E393B" w:rsidP="001E393B">
              <w:pPr>
                <w:pStyle w:val="Bibliography"/>
                <w:rPr>
                  <w:noProof/>
                </w:rPr>
              </w:pPr>
              <w:r>
                <w:rPr>
                  <w:noProof/>
                </w:rPr>
                <w:t xml:space="preserve">Usha, P., J., M. K., Rong, W. &amp; C., S. D., 2023. 59 The Impact of Anxiety on Memory Performance in Older Adults with Depression. </w:t>
              </w:r>
              <w:r>
                <w:rPr>
                  <w:i/>
                  <w:iCs/>
                  <w:noProof/>
                </w:rPr>
                <w:t xml:space="preserve">Journal of the International Neuropsychological Society, </w:t>
              </w:r>
              <w:r>
                <w:rPr>
                  <w:noProof/>
                </w:rPr>
                <w:t>29(1), pp. 844-845.</w:t>
              </w:r>
            </w:p>
            <w:p w14:paraId="1EE7E907" w14:textId="77777777" w:rsidR="001E393B" w:rsidRDefault="001E393B" w:rsidP="001E393B">
              <w:pPr>
                <w:pStyle w:val="Bibliography"/>
                <w:rPr>
                  <w:noProof/>
                </w:rPr>
              </w:pPr>
              <w:r>
                <w:rPr>
                  <w:noProof/>
                </w:rPr>
                <w:t xml:space="preserve">Vugt, M. d. &amp; Verhey, F., 2013. The impact of early dementia diagnosis and intervention on informal caregivers. </w:t>
              </w:r>
              <w:r>
                <w:rPr>
                  <w:i/>
                  <w:iCs/>
                  <w:noProof/>
                </w:rPr>
                <w:t xml:space="preserve">Progress in neurobiology, </w:t>
              </w:r>
              <w:r>
                <w:rPr>
                  <w:noProof/>
                </w:rPr>
                <w:t>Volume 110, pp. 54-62.</w:t>
              </w:r>
            </w:p>
            <w:p w14:paraId="41E38038" w14:textId="77777777" w:rsidR="001E393B" w:rsidRDefault="001E393B" w:rsidP="001E393B">
              <w:pPr>
                <w:pStyle w:val="Bibliography"/>
                <w:rPr>
                  <w:noProof/>
                </w:rPr>
              </w:pPr>
              <w:r>
                <w:rPr>
                  <w:noProof/>
                </w:rPr>
                <w:t xml:space="preserve">Wen, L. et al., 2025. Global burden of Alzheimer’s disease and other dementias in adults aged 65 years and over, and health inequality related to SDI, 1990–2021: analysis of data from GBD 2021. </w:t>
              </w:r>
              <w:r>
                <w:rPr>
                  <w:i/>
                  <w:iCs/>
                  <w:noProof/>
                </w:rPr>
                <w:t xml:space="preserve">BMC Public Health, </w:t>
              </w:r>
              <w:r>
                <w:rPr>
                  <w:noProof/>
                </w:rPr>
                <w:t>Volume 25, pp. 1-10.</w:t>
              </w:r>
            </w:p>
            <w:p w14:paraId="4FBAB38B" w14:textId="77777777" w:rsidR="001E393B" w:rsidRDefault="001E393B" w:rsidP="001E393B">
              <w:pPr>
                <w:pStyle w:val="Bibliography"/>
                <w:rPr>
                  <w:noProof/>
                </w:rPr>
              </w:pPr>
              <w:r>
                <w:rPr>
                  <w:noProof/>
                </w:rPr>
                <w:t xml:space="preserve">Wheatley, A. et al., 2021. Implementing post-diagnostic support for people living with dementia in England: a qualitative study of barriers and strategies used to address these in practice. </w:t>
              </w:r>
              <w:r>
                <w:rPr>
                  <w:i/>
                  <w:iCs/>
                  <w:noProof/>
                </w:rPr>
                <w:t xml:space="preserve">Age and Ageing, </w:t>
              </w:r>
              <w:r>
                <w:rPr>
                  <w:noProof/>
                </w:rPr>
                <w:t>Volume 50, pp. 2230-2237.</w:t>
              </w:r>
            </w:p>
            <w:p w14:paraId="4886B51C" w14:textId="77777777" w:rsidR="001E393B" w:rsidRDefault="001E393B" w:rsidP="001E393B">
              <w:pPr>
                <w:pStyle w:val="Bibliography"/>
                <w:rPr>
                  <w:noProof/>
                </w:rPr>
              </w:pPr>
              <w:r>
                <w:rPr>
                  <w:noProof/>
                </w:rPr>
                <w:t xml:space="preserve">Wolfs, C. A. G. et al., 2018. Integrated multidisciplinary diagnostic approach for dementiacare: Randomised controlled trial. </w:t>
              </w:r>
              <w:r>
                <w:rPr>
                  <w:i/>
                  <w:iCs/>
                  <w:noProof/>
                </w:rPr>
                <w:t xml:space="preserve">The British Journal of Psychiatry, </w:t>
              </w:r>
              <w:r>
                <w:rPr>
                  <w:noProof/>
                </w:rPr>
                <w:t>192(4), pp. 300-305.</w:t>
              </w:r>
            </w:p>
            <w:p w14:paraId="72DED64D" w14:textId="77777777" w:rsidR="001E393B" w:rsidRDefault="001E393B" w:rsidP="001E393B">
              <w:pPr>
                <w:pStyle w:val="Bibliography"/>
                <w:rPr>
                  <w:noProof/>
                </w:rPr>
              </w:pPr>
              <w:r>
                <w:rPr>
                  <w:noProof/>
                </w:rPr>
                <w:t xml:space="preserve">Wolters, F. J. &amp; Ikram, M., 2018. </w:t>
              </w:r>
              <w:r>
                <w:rPr>
                  <w:i/>
                  <w:iCs/>
                  <w:noProof/>
                </w:rPr>
                <w:t xml:space="preserve">Epidemiology of Dementia: The Burden on Society, the Challenges for Research, </w:t>
              </w:r>
              <w:r>
                <w:rPr>
                  <w:noProof/>
                </w:rPr>
                <w:t>New York: Humana Press.</w:t>
              </w:r>
            </w:p>
            <w:p w14:paraId="69D02DB9" w14:textId="77777777" w:rsidR="001E393B" w:rsidRDefault="001E393B" w:rsidP="001E393B">
              <w:pPr>
                <w:pStyle w:val="Bibliography"/>
                <w:rPr>
                  <w:noProof/>
                </w:rPr>
              </w:pPr>
              <w:r>
                <w:rPr>
                  <w:noProof/>
                </w:rPr>
                <w:t xml:space="preserve">Yehuda, B. et al., 2025. Sub‐Sampling at the Researcher's Peril: New Insights Into Sampling Strategy to Avoid Invalid Findings. </w:t>
              </w:r>
              <w:r>
                <w:rPr>
                  <w:i/>
                  <w:iCs/>
                  <w:noProof/>
                </w:rPr>
                <w:t>Human resource management journal.</w:t>
              </w:r>
            </w:p>
            <w:p w14:paraId="727705D2" w14:textId="77777777" w:rsidR="001E393B" w:rsidRDefault="001E393B" w:rsidP="001E393B">
              <w:pPr>
                <w:pStyle w:val="Bibliography"/>
                <w:rPr>
                  <w:noProof/>
                </w:rPr>
              </w:pPr>
              <w:r>
                <w:rPr>
                  <w:noProof/>
                </w:rPr>
                <w:t xml:space="preserve">Ying, L., Shan, H., Yan, Z. &amp; Rong, D. B., 2015. Cholinesterase inhibitors for rarer dementias associated with neurological conditions. </w:t>
              </w:r>
              <w:r>
                <w:rPr>
                  <w:i/>
                  <w:iCs/>
                  <w:noProof/>
                </w:rPr>
                <w:t xml:space="preserve">Cochrane database of systematic reviews, </w:t>
              </w:r>
              <w:r>
                <w:rPr>
                  <w:noProof/>
                </w:rPr>
                <w:t>Volume 3, p. CD009444.</w:t>
              </w:r>
            </w:p>
            <w:p w14:paraId="3B1B7C6F" w14:textId="26E3E27E" w:rsidR="00D17976" w:rsidRDefault="00D17976" w:rsidP="001E393B">
              <w:r>
                <w:rPr>
                  <w:b/>
                  <w:bCs/>
                  <w:noProof/>
                </w:rPr>
                <w:fldChar w:fldCharType="end"/>
              </w:r>
            </w:p>
          </w:sdtContent>
        </w:sdt>
      </w:sdtContent>
    </w:sdt>
    <w:p w14:paraId="0EF5AC8F" w14:textId="2909589D" w:rsidR="009F64C5" w:rsidRPr="007F1C8A" w:rsidRDefault="009F64C5" w:rsidP="001E393B">
      <w:pPr>
        <w:spacing w:after="0"/>
        <w:rPr>
          <w:rFonts w:asciiTheme="minorBidi" w:hAnsiTheme="minorBidi"/>
        </w:rPr>
      </w:pPr>
      <w:r w:rsidRPr="007F1C8A">
        <w:rPr>
          <w:rFonts w:asciiTheme="minorBidi" w:eastAsia="Times New Roman" w:hAnsiTheme="minorBidi"/>
          <w:b/>
        </w:rPr>
        <w:tab/>
        <w:t xml:space="preserve"> </w:t>
      </w:r>
    </w:p>
    <w:sectPr w:rsidR="009F64C5" w:rsidRPr="007F1C8A" w:rsidSect="0069255D">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19C8C" w14:textId="77777777" w:rsidR="00823EA9" w:rsidRDefault="00823EA9">
      <w:pPr>
        <w:spacing w:after="0" w:line="240" w:lineRule="auto"/>
      </w:pPr>
      <w:r>
        <w:separator/>
      </w:r>
    </w:p>
  </w:endnote>
  <w:endnote w:type="continuationSeparator" w:id="0">
    <w:p w14:paraId="3F24A97F" w14:textId="77777777" w:rsidR="00823EA9" w:rsidRDefault="00823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617101"/>
      <w:docPartObj>
        <w:docPartGallery w:val="Page Numbers (Bottom of Page)"/>
        <w:docPartUnique/>
      </w:docPartObj>
    </w:sdtPr>
    <w:sdtEndPr>
      <w:rPr>
        <w:noProof/>
      </w:rPr>
    </w:sdtEndPr>
    <w:sdtContent>
      <w:p w14:paraId="4618D0E9" w14:textId="5C117D95" w:rsidR="0069255D" w:rsidRDefault="006925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69E3F4" w14:textId="61EFC300" w:rsidR="009A1B64" w:rsidRDefault="009A1B64">
    <w:pPr>
      <w:tabs>
        <w:tab w:val="center" w:pos="4405"/>
      </w:tabs>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1878987"/>
      <w:docPartObj>
        <w:docPartGallery w:val="Page Numbers (Bottom of Page)"/>
        <w:docPartUnique/>
      </w:docPartObj>
    </w:sdtPr>
    <w:sdtEndPr>
      <w:rPr>
        <w:noProof/>
      </w:rPr>
    </w:sdtEndPr>
    <w:sdtContent>
      <w:p w14:paraId="677F7FFC" w14:textId="2464EE2B" w:rsidR="004116F3" w:rsidRDefault="004116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B72DA1" w14:textId="7B78E1E8" w:rsidR="009A1B64" w:rsidRDefault="009A1B64">
    <w:pPr>
      <w:tabs>
        <w:tab w:val="center" w:pos="4405"/>
      </w:tabs>
      <w:spacing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DB24A" w14:textId="77777777" w:rsidR="00823EA9" w:rsidRDefault="00823EA9">
      <w:pPr>
        <w:spacing w:after="0" w:line="240" w:lineRule="auto"/>
      </w:pPr>
      <w:r>
        <w:separator/>
      </w:r>
    </w:p>
  </w:footnote>
  <w:footnote w:type="continuationSeparator" w:id="0">
    <w:p w14:paraId="1533D7FC" w14:textId="77777777" w:rsidR="00823EA9" w:rsidRDefault="00823E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ED772C"/>
    <w:multiLevelType w:val="hybridMultilevel"/>
    <w:tmpl w:val="5664B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0055A"/>
    <w:multiLevelType w:val="hybridMultilevel"/>
    <w:tmpl w:val="160E8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A6C67"/>
    <w:multiLevelType w:val="hybridMultilevel"/>
    <w:tmpl w:val="EC24E5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B2879"/>
    <w:multiLevelType w:val="hybridMultilevel"/>
    <w:tmpl w:val="E5D01D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F066DE5"/>
    <w:multiLevelType w:val="hybridMultilevel"/>
    <w:tmpl w:val="9808E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45D57"/>
    <w:multiLevelType w:val="hybridMultilevel"/>
    <w:tmpl w:val="319EDF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9C3538"/>
    <w:multiLevelType w:val="hybridMultilevel"/>
    <w:tmpl w:val="2908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B656F1"/>
    <w:multiLevelType w:val="hybridMultilevel"/>
    <w:tmpl w:val="62A6E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37B75E8"/>
    <w:multiLevelType w:val="hybridMultilevel"/>
    <w:tmpl w:val="4F363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7427C03"/>
    <w:multiLevelType w:val="hybridMultilevel"/>
    <w:tmpl w:val="B980FB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956330"/>
    <w:multiLevelType w:val="hybridMultilevel"/>
    <w:tmpl w:val="D0200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AF2DE7"/>
    <w:multiLevelType w:val="hybridMultilevel"/>
    <w:tmpl w:val="50E60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F4A55B7"/>
    <w:multiLevelType w:val="hybridMultilevel"/>
    <w:tmpl w:val="3B50D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DC5B4B"/>
    <w:multiLevelType w:val="hybridMultilevel"/>
    <w:tmpl w:val="116A7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4B7D39"/>
    <w:multiLevelType w:val="hybridMultilevel"/>
    <w:tmpl w:val="ACA25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DC25FE"/>
    <w:multiLevelType w:val="hybridMultilevel"/>
    <w:tmpl w:val="D0946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70353B"/>
    <w:multiLevelType w:val="hybridMultilevel"/>
    <w:tmpl w:val="912CC1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3182580"/>
    <w:multiLevelType w:val="multilevel"/>
    <w:tmpl w:val="B082F47A"/>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97A14FB"/>
    <w:multiLevelType w:val="hybridMultilevel"/>
    <w:tmpl w:val="491AF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1E54D1"/>
    <w:multiLevelType w:val="hybridMultilevel"/>
    <w:tmpl w:val="BC1AB326"/>
    <w:lvl w:ilvl="0" w:tplc="84C851CE">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774614">
    <w:abstractNumId w:val="25"/>
  </w:num>
  <w:num w:numId="2" w16cid:durableId="941229834">
    <w:abstractNumId w:val="0"/>
  </w:num>
  <w:num w:numId="3" w16cid:durableId="1012418139">
    <w:abstractNumId w:val="16"/>
  </w:num>
  <w:num w:numId="4" w16cid:durableId="1373456878">
    <w:abstractNumId w:val="9"/>
  </w:num>
  <w:num w:numId="5" w16cid:durableId="1904363585">
    <w:abstractNumId w:val="11"/>
  </w:num>
  <w:num w:numId="6" w16cid:durableId="550387977">
    <w:abstractNumId w:val="17"/>
  </w:num>
  <w:num w:numId="7" w16cid:durableId="1167091014">
    <w:abstractNumId w:val="23"/>
  </w:num>
  <w:num w:numId="8" w16cid:durableId="2031225886">
    <w:abstractNumId w:val="12"/>
  </w:num>
  <w:num w:numId="9" w16cid:durableId="2006783459">
    <w:abstractNumId w:val="14"/>
  </w:num>
  <w:num w:numId="10" w16cid:durableId="1728842544">
    <w:abstractNumId w:val="24"/>
  </w:num>
  <w:num w:numId="11" w16cid:durableId="1759136227">
    <w:abstractNumId w:val="13"/>
  </w:num>
  <w:num w:numId="12" w16cid:durableId="346635411">
    <w:abstractNumId w:val="3"/>
  </w:num>
  <w:num w:numId="13" w16cid:durableId="2117480132">
    <w:abstractNumId w:val="27"/>
  </w:num>
  <w:num w:numId="14" w16cid:durableId="1772821032">
    <w:abstractNumId w:val="6"/>
  </w:num>
  <w:num w:numId="15" w16cid:durableId="86462548">
    <w:abstractNumId w:val="20"/>
  </w:num>
  <w:num w:numId="16" w16cid:durableId="1120879937">
    <w:abstractNumId w:val="4"/>
  </w:num>
  <w:num w:numId="17" w16cid:durableId="610169407">
    <w:abstractNumId w:val="5"/>
  </w:num>
  <w:num w:numId="18" w16cid:durableId="513615983">
    <w:abstractNumId w:val="18"/>
  </w:num>
  <w:num w:numId="19" w16cid:durableId="940915671">
    <w:abstractNumId w:val="19"/>
  </w:num>
  <w:num w:numId="20" w16cid:durableId="167137963">
    <w:abstractNumId w:val="7"/>
  </w:num>
  <w:num w:numId="21" w16cid:durableId="1548293358">
    <w:abstractNumId w:val="8"/>
  </w:num>
  <w:num w:numId="22" w16cid:durableId="938834470">
    <w:abstractNumId w:val="15"/>
  </w:num>
  <w:num w:numId="23" w16cid:durableId="584068458">
    <w:abstractNumId w:val="26"/>
  </w:num>
  <w:num w:numId="24" w16cid:durableId="502814567">
    <w:abstractNumId w:val="22"/>
  </w:num>
  <w:num w:numId="25" w16cid:durableId="2129857829">
    <w:abstractNumId w:val="2"/>
  </w:num>
  <w:num w:numId="26" w16cid:durableId="391461483">
    <w:abstractNumId w:val="21"/>
  </w:num>
  <w:num w:numId="27" w16cid:durableId="827862667">
    <w:abstractNumId w:val="10"/>
  </w:num>
  <w:num w:numId="28" w16cid:durableId="1664314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00D7F"/>
    <w:rsid w:val="00003602"/>
    <w:rsid w:val="00004535"/>
    <w:rsid w:val="00011232"/>
    <w:rsid w:val="00026737"/>
    <w:rsid w:val="0003006D"/>
    <w:rsid w:val="0003653B"/>
    <w:rsid w:val="000376E2"/>
    <w:rsid w:val="00040E72"/>
    <w:rsid w:val="000555DE"/>
    <w:rsid w:val="000705C3"/>
    <w:rsid w:val="000849AC"/>
    <w:rsid w:val="000B404D"/>
    <w:rsid w:val="000C39D5"/>
    <w:rsid w:val="000D282D"/>
    <w:rsid w:val="000D5E12"/>
    <w:rsid w:val="000E09CB"/>
    <w:rsid w:val="000E22E7"/>
    <w:rsid w:val="000E6F7A"/>
    <w:rsid w:val="000E6FAB"/>
    <w:rsid w:val="001009A8"/>
    <w:rsid w:val="00104239"/>
    <w:rsid w:val="00105AA6"/>
    <w:rsid w:val="00113366"/>
    <w:rsid w:val="00115F53"/>
    <w:rsid w:val="001202FE"/>
    <w:rsid w:val="001468A9"/>
    <w:rsid w:val="00147588"/>
    <w:rsid w:val="00150DED"/>
    <w:rsid w:val="00151D3E"/>
    <w:rsid w:val="00160AC0"/>
    <w:rsid w:val="00161EED"/>
    <w:rsid w:val="00181C36"/>
    <w:rsid w:val="001934AA"/>
    <w:rsid w:val="001964E7"/>
    <w:rsid w:val="001A0EA4"/>
    <w:rsid w:val="001A4F40"/>
    <w:rsid w:val="001B58B9"/>
    <w:rsid w:val="001B6B7B"/>
    <w:rsid w:val="001C2B7C"/>
    <w:rsid w:val="001C5965"/>
    <w:rsid w:val="001C6B5A"/>
    <w:rsid w:val="001E393B"/>
    <w:rsid w:val="001E5290"/>
    <w:rsid w:val="001F1B76"/>
    <w:rsid w:val="002112B4"/>
    <w:rsid w:val="00220BFF"/>
    <w:rsid w:val="00225529"/>
    <w:rsid w:val="002343A9"/>
    <w:rsid w:val="0024023C"/>
    <w:rsid w:val="00240974"/>
    <w:rsid w:val="00245E40"/>
    <w:rsid w:val="002472FF"/>
    <w:rsid w:val="00251165"/>
    <w:rsid w:val="00261978"/>
    <w:rsid w:val="00273D67"/>
    <w:rsid w:val="0027599A"/>
    <w:rsid w:val="002764EC"/>
    <w:rsid w:val="0027788D"/>
    <w:rsid w:val="00280241"/>
    <w:rsid w:val="002869B9"/>
    <w:rsid w:val="002900DF"/>
    <w:rsid w:val="00291137"/>
    <w:rsid w:val="00293DE5"/>
    <w:rsid w:val="0029733A"/>
    <w:rsid w:val="002A09C6"/>
    <w:rsid w:val="002A4FDC"/>
    <w:rsid w:val="002B04A6"/>
    <w:rsid w:val="002B523E"/>
    <w:rsid w:val="002B7B0C"/>
    <w:rsid w:val="002C3C81"/>
    <w:rsid w:val="002C786A"/>
    <w:rsid w:val="002D3751"/>
    <w:rsid w:val="002D4C61"/>
    <w:rsid w:val="002D6F98"/>
    <w:rsid w:val="002E602B"/>
    <w:rsid w:val="002F0AC9"/>
    <w:rsid w:val="002F0FEE"/>
    <w:rsid w:val="00302E08"/>
    <w:rsid w:val="00304724"/>
    <w:rsid w:val="003078CC"/>
    <w:rsid w:val="00307D83"/>
    <w:rsid w:val="00312713"/>
    <w:rsid w:val="00312733"/>
    <w:rsid w:val="00315D8D"/>
    <w:rsid w:val="003302BD"/>
    <w:rsid w:val="00353135"/>
    <w:rsid w:val="00382921"/>
    <w:rsid w:val="003A02A2"/>
    <w:rsid w:val="003A084F"/>
    <w:rsid w:val="003A6E34"/>
    <w:rsid w:val="003B077F"/>
    <w:rsid w:val="003B6B18"/>
    <w:rsid w:val="003C35D2"/>
    <w:rsid w:val="003D30C6"/>
    <w:rsid w:val="003D6CA4"/>
    <w:rsid w:val="003D6DBD"/>
    <w:rsid w:val="003E4F5F"/>
    <w:rsid w:val="003F05AD"/>
    <w:rsid w:val="003F14B0"/>
    <w:rsid w:val="004116F3"/>
    <w:rsid w:val="00414934"/>
    <w:rsid w:val="00415EB7"/>
    <w:rsid w:val="00426BB1"/>
    <w:rsid w:val="00444A96"/>
    <w:rsid w:val="004528E6"/>
    <w:rsid w:val="004546BB"/>
    <w:rsid w:val="00460ADE"/>
    <w:rsid w:val="004617E1"/>
    <w:rsid w:val="004654B8"/>
    <w:rsid w:val="00472027"/>
    <w:rsid w:val="00476948"/>
    <w:rsid w:val="00482304"/>
    <w:rsid w:val="00482944"/>
    <w:rsid w:val="00484965"/>
    <w:rsid w:val="0049463F"/>
    <w:rsid w:val="004A045D"/>
    <w:rsid w:val="004A6D8E"/>
    <w:rsid w:val="004C03A4"/>
    <w:rsid w:val="004C3964"/>
    <w:rsid w:val="004D375C"/>
    <w:rsid w:val="004D4274"/>
    <w:rsid w:val="004D5EA5"/>
    <w:rsid w:val="004D7CA1"/>
    <w:rsid w:val="004E04C3"/>
    <w:rsid w:val="004E2AB4"/>
    <w:rsid w:val="004E6FAA"/>
    <w:rsid w:val="00501981"/>
    <w:rsid w:val="00502979"/>
    <w:rsid w:val="00504721"/>
    <w:rsid w:val="00507860"/>
    <w:rsid w:val="00534808"/>
    <w:rsid w:val="00534D80"/>
    <w:rsid w:val="00537360"/>
    <w:rsid w:val="00540503"/>
    <w:rsid w:val="00550272"/>
    <w:rsid w:val="00550C8D"/>
    <w:rsid w:val="0055169C"/>
    <w:rsid w:val="00555B42"/>
    <w:rsid w:val="00566AE8"/>
    <w:rsid w:val="0057473C"/>
    <w:rsid w:val="00576F1A"/>
    <w:rsid w:val="00582995"/>
    <w:rsid w:val="005832A6"/>
    <w:rsid w:val="005870A6"/>
    <w:rsid w:val="00593955"/>
    <w:rsid w:val="005A3314"/>
    <w:rsid w:val="005B07FE"/>
    <w:rsid w:val="005B39E7"/>
    <w:rsid w:val="005C31D7"/>
    <w:rsid w:val="005D4AEF"/>
    <w:rsid w:val="005E000A"/>
    <w:rsid w:val="005E1B8C"/>
    <w:rsid w:val="005E382D"/>
    <w:rsid w:val="005E4A17"/>
    <w:rsid w:val="005E6BE7"/>
    <w:rsid w:val="005F1D71"/>
    <w:rsid w:val="005F1EA9"/>
    <w:rsid w:val="005F2A6B"/>
    <w:rsid w:val="005F4A29"/>
    <w:rsid w:val="00600D07"/>
    <w:rsid w:val="006036DB"/>
    <w:rsid w:val="00605B57"/>
    <w:rsid w:val="00623C0E"/>
    <w:rsid w:val="00630D5F"/>
    <w:rsid w:val="00632AA9"/>
    <w:rsid w:val="00651829"/>
    <w:rsid w:val="00657BB3"/>
    <w:rsid w:val="00663382"/>
    <w:rsid w:val="00674F92"/>
    <w:rsid w:val="00680E55"/>
    <w:rsid w:val="00682E56"/>
    <w:rsid w:val="00683079"/>
    <w:rsid w:val="0069255D"/>
    <w:rsid w:val="00695626"/>
    <w:rsid w:val="006A7FD3"/>
    <w:rsid w:val="006B147C"/>
    <w:rsid w:val="006B5C80"/>
    <w:rsid w:val="006C5F2E"/>
    <w:rsid w:val="006C6927"/>
    <w:rsid w:val="006D0472"/>
    <w:rsid w:val="006D212A"/>
    <w:rsid w:val="006E1A9E"/>
    <w:rsid w:val="006E1D39"/>
    <w:rsid w:val="006F0C0E"/>
    <w:rsid w:val="006F3BDC"/>
    <w:rsid w:val="006F5C68"/>
    <w:rsid w:val="007001CF"/>
    <w:rsid w:val="0070279F"/>
    <w:rsid w:val="00703381"/>
    <w:rsid w:val="00713940"/>
    <w:rsid w:val="007148AA"/>
    <w:rsid w:val="00715BD9"/>
    <w:rsid w:val="00715DCD"/>
    <w:rsid w:val="00731826"/>
    <w:rsid w:val="00743B17"/>
    <w:rsid w:val="007446D0"/>
    <w:rsid w:val="007520ED"/>
    <w:rsid w:val="00765471"/>
    <w:rsid w:val="00766FF0"/>
    <w:rsid w:val="00775591"/>
    <w:rsid w:val="007843AD"/>
    <w:rsid w:val="007848E6"/>
    <w:rsid w:val="00784EF5"/>
    <w:rsid w:val="007A0895"/>
    <w:rsid w:val="007A0DB8"/>
    <w:rsid w:val="007A1D00"/>
    <w:rsid w:val="007A7963"/>
    <w:rsid w:val="007B00C9"/>
    <w:rsid w:val="007B36E2"/>
    <w:rsid w:val="007B6506"/>
    <w:rsid w:val="007C5CE0"/>
    <w:rsid w:val="007C7C1C"/>
    <w:rsid w:val="007D60B7"/>
    <w:rsid w:val="007D6DB3"/>
    <w:rsid w:val="007E261B"/>
    <w:rsid w:val="007E3C0F"/>
    <w:rsid w:val="007F1C8A"/>
    <w:rsid w:val="007F29CB"/>
    <w:rsid w:val="007F3292"/>
    <w:rsid w:val="008119F7"/>
    <w:rsid w:val="00823EA9"/>
    <w:rsid w:val="008334FC"/>
    <w:rsid w:val="00851D37"/>
    <w:rsid w:val="008559D0"/>
    <w:rsid w:val="0087098A"/>
    <w:rsid w:val="00871BC4"/>
    <w:rsid w:val="00880483"/>
    <w:rsid w:val="00883ECE"/>
    <w:rsid w:val="008843A2"/>
    <w:rsid w:val="008910D3"/>
    <w:rsid w:val="008A4323"/>
    <w:rsid w:val="008A57B9"/>
    <w:rsid w:val="008A67EB"/>
    <w:rsid w:val="008A73BC"/>
    <w:rsid w:val="008A7534"/>
    <w:rsid w:val="008B00EB"/>
    <w:rsid w:val="008B34F0"/>
    <w:rsid w:val="008B3A77"/>
    <w:rsid w:val="008C102F"/>
    <w:rsid w:val="008D365F"/>
    <w:rsid w:val="008D4A36"/>
    <w:rsid w:val="008D51B0"/>
    <w:rsid w:val="008D6B41"/>
    <w:rsid w:val="008D6BF7"/>
    <w:rsid w:val="008D6EF8"/>
    <w:rsid w:val="008D6FF9"/>
    <w:rsid w:val="008E3675"/>
    <w:rsid w:val="008F0F26"/>
    <w:rsid w:val="0090046F"/>
    <w:rsid w:val="00900EBB"/>
    <w:rsid w:val="00902B3F"/>
    <w:rsid w:val="00904B0F"/>
    <w:rsid w:val="00906715"/>
    <w:rsid w:val="00916B7A"/>
    <w:rsid w:val="009177B6"/>
    <w:rsid w:val="00917F2E"/>
    <w:rsid w:val="00934BA1"/>
    <w:rsid w:val="00947D98"/>
    <w:rsid w:val="00952253"/>
    <w:rsid w:val="00954E4C"/>
    <w:rsid w:val="00967000"/>
    <w:rsid w:val="009706D0"/>
    <w:rsid w:val="00975720"/>
    <w:rsid w:val="009801FD"/>
    <w:rsid w:val="00981B53"/>
    <w:rsid w:val="00985763"/>
    <w:rsid w:val="00986A40"/>
    <w:rsid w:val="00991533"/>
    <w:rsid w:val="00996052"/>
    <w:rsid w:val="00996A5A"/>
    <w:rsid w:val="009A1B64"/>
    <w:rsid w:val="009A3630"/>
    <w:rsid w:val="009A4A03"/>
    <w:rsid w:val="009A7A48"/>
    <w:rsid w:val="009A7D99"/>
    <w:rsid w:val="009B53A5"/>
    <w:rsid w:val="009C2395"/>
    <w:rsid w:val="009C55ED"/>
    <w:rsid w:val="009C671F"/>
    <w:rsid w:val="009D33AF"/>
    <w:rsid w:val="009D4F41"/>
    <w:rsid w:val="009D694A"/>
    <w:rsid w:val="009D6961"/>
    <w:rsid w:val="009D79E8"/>
    <w:rsid w:val="009E33B9"/>
    <w:rsid w:val="009F1BA5"/>
    <w:rsid w:val="009F373E"/>
    <w:rsid w:val="009F64C5"/>
    <w:rsid w:val="00A01555"/>
    <w:rsid w:val="00A030B6"/>
    <w:rsid w:val="00A111DD"/>
    <w:rsid w:val="00A14D27"/>
    <w:rsid w:val="00A24901"/>
    <w:rsid w:val="00A279E9"/>
    <w:rsid w:val="00A333CE"/>
    <w:rsid w:val="00A4455F"/>
    <w:rsid w:val="00A45F98"/>
    <w:rsid w:val="00A50432"/>
    <w:rsid w:val="00A57B0F"/>
    <w:rsid w:val="00A63B5C"/>
    <w:rsid w:val="00A66E69"/>
    <w:rsid w:val="00A81102"/>
    <w:rsid w:val="00A82F0A"/>
    <w:rsid w:val="00A866E8"/>
    <w:rsid w:val="00A9635A"/>
    <w:rsid w:val="00AA1785"/>
    <w:rsid w:val="00AB69F2"/>
    <w:rsid w:val="00AD413B"/>
    <w:rsid w:val="00AD4B29"/>
    <w:rsid w:val="00AE6BF8"/>
    <w:rsid w:val="00AF2D3F"/>
    <w:rsid w:val="00AF4A3C"/>
    <w:rsid w:val="00B11506"/>
    <w:rsid w:val="00B2109E"/>
    <w:rsid w:val="00B23D9D"/>
    <w:rsid w:val="00B23ED7"/>
    <w:rsid w:val="00B259DF"/>
    <w:rsid w:val="00B350B3"/>
    <w:rsid w:val="00B4237C"/>
    <w:rsid w:val="00B4497B"/>
    <w:rsid w:val="00B476CB"/>
    <w:rsid w:val="00B5225A"/>
    <w:rsid w:val="00B5295E"/>
    <w:rsid w:val="00B563DD"/>
    <w:rsid w:val="00B6681A"/>
    <w:rsid w:val="00B82726"/>
    <w:rsid w:val="00B841F9"/>
    <w:rsid w:val="00B874AD"/>
    <w:rsid w:val="00B91513"/>
    <w:rsid w:val="00B933F4"/>
    <w:rsid w:val="00BA70B3"/>
    <w:rsid w:val="00BC1F77"/>
    <w:rsid w:val="00BC31DC"/>
    <w:rsid w:val="00BC67C0"/>
    <w:rsid w:val="00BE12B5"/>
    <w:rsid w:val="00BE5F21"/>
    <w:rsid w:val="00BE7F3A"/>
    <w:rsid w:val="00C02783"/>
    <w:rsid w:val="00C04A00"/>
    <w:rsid w:val="00C21405"/>
    <w:rsid w:val="00C23A60"/>
    <w:rsid w:val="00C25876"/>
    <w:rsid w:val="00C30983"/>
    <w:rsid w:val="00C3481D"/>
    <w:rsid w:val="00C53FED"/>
    <w:rsid w:val="00C63A21"/>
    <w:rsid w:val="00C64738"/>
    <w:rsid w:val="00C66D2E"/>
    <w:rsid w:val="00C70166"/>
    <w:rsid w:val="00C71E87"/>
    <w:rsid w:val="00C84FA9"/>
    <w:rsid w:val="00C86854"/>
    <w:rsid w:val="00C9348C"/>
    <w:rsid w:val="00CA097E"/>
    <w:rsid w:val="00CA22D2"/>
    <w:rsid w:val="00CA3E22"/>
    <w:rsid w:val="00CA42A5"/>
    <w:rsid w:val="00CB61E8"/>
    <w:rsid w:val="00CC2DCE"/>
    <w:rsid w:val="00CC6C26"/>
    <w:rsid w:val="00CD117A"/>
    <w:rsid w:val="00CD7735"/>
    <w:rsid w:val="00CE2BC0"/>
    <w:rsid w:val="00CF2FA3"/>
    <w:rsid w:val="00CF450C"/>
    <w:rsid w:val="00D17976"/>
    <w:rsid w:val="00D304D1"/>
    <w:rsid w:val="00D4081B"/>
    <w:rsid w:val="00D42AC6"/>
    <w:rsid w:val="00D46212"/>
    <w:rsid w:val="00D530F6"/>
    <w:rsid w:val="00D5762E"/>
    <w:rsid w:val="00D63495"/>
    <w:rsid w:val="00D903E8"/>
    <w:rsid w:val="00D9596C"/>
    <w:rsid w:val="00DA3CF0"/>
    <w:rsid w:val="00DB2DE9"/>
    <w:rsid w:val="00DC58E2"/>
    <w:rsid w:val="00DD36C5"/>
    <w:rsid w:val="00DD521A"/>
    <w:rsid w:val="00DD7AA5"/>
    <w:rsid w:val="00DE0031"/>
    <w:rsid w:val="00E165F3"/>
    <w:rsid w:val="00E2209A"/>
    <w:rsid w:val="00E33543"/>
    <w:rsid w:val="00E475E0"/>
    <w:rsid w:val="00E52280"/>
    <w:rsid w:val="00E641AD"/>
    <w:rsid w:val="00E65C9C"/>
    <w:rsid w:val="00E731F7"/>
    <w:rsid w:val="00E933F7"/>
    <w:rsid w:val="00EA0B60"/>
    <w:rsid w:val="00EA6D1D"/>
    <w:rsid w:val="00EB1732"/>
    <w:rsid w:val="00EC1DAA"/>
    <w:rsid w:val="00ED0DD4"/>
    <w:rsid w:val="00ED1CCA"/>
    <w:rsid w:val="00ED1CD5"/>
    <w:rsid w:val="00ED5796"/>
    <w:rsid w:val="00EE0F02"/>
    <w:rsid w:val="00EE26A5"/>
    <w:rsid w:val="00EE2EAF"/>
    <w:rsid w:val="00F17853"/>
    <w:rsid w:val="00F24400"/>
    <w:rsid w:val="00F3114B"/>
    <w:rsid w:val="00F470E2"/>
    <w:rsid w:val="00F5035A"/>
    <w:rsid w:val="00F57BEF"/>
    <w:rsid w:val="00F70EF8"/>
    <w:rsid w:val="00F77B60"/>
    <w:rsid w:val="00F77D49"/>
    <w:rsid w:val="00F83DD7"/>
    <w:rsid w:val="00F83E5B"/>
    <w:rsid w:val="00F90498"/>
    <w:rsid w:val="00F923A5"/>
    <w:rsid w:val="00FA17BE"/>
    <w:rsid w:val="00FA4F6C"/>
    <w:rsid w:val="00FB7189"/>
    <w:rsid w:val="00FB7ACF"/>
    <w:rsid w:val="00FD0BDD"/>
    <w:rsid w:val="00FD59AF"/>
    <w:rsid w:val="00FE0AE5"/>
    <w:rsid w:val="00FE1EC8"/>
    <w:rsid w:val="00FE76CA"/>
    <w:rsid w:val="00FF4DAA"/>
    <w:rsid w:val="00FF65C9"/>
    <w:rsid w:val="013950EA"/>
    <w:rsid w:val="020CE250"/>
    <w:rsid w:val="023B9F1A"/>
    <w:rsid w:val="02464BC2"/>
    <w:rsid w:val="03DA7CB8"/>
    <w:rsid w:val="044DDCF8"/>
    <w:rsid w:val="049AF716"/>
    <w:rsid w:val="0562BA28"/>
    <w:rsid w:val="07C90E5D"/>
    <w:rsid w:val="0965B13B"/>
    <w:rsid w:val="09E0C1D0"/>
    <w:rsid w:val="0C9F7F28"/>
    <w:rsid w:val="0D364AEB"/>
    <w:rsid w:val="0D512E40"/>
    <w:rsid w:val="0F83C2ED"/>
    <w:rsid w:val="104D0113"/>
    <w:rsid w:val="109184A9"/>
    <w:rsid w:val="10ABBA52"/>
    <w:rsid w:val="123AC7E1"/>
    <w:rsid w:val="126B02B3"/>
    <w:rsid w:val="15610A9C"/>
    <w:rsid w:val="1630ED85"/>
    <w:rsid w:val="16BEFFE6"/>
    <w:rsid w:val="16E618D0"/>
    <w:rsid w:val="17838A78"/>
    <w:rsid w:val="187716F5"/>
    <w:rsid w:val="18BE7F08"/>
    <w:rsid w:val="194B74E7"/>
    <w:rsid w:val="196B1649"/>
    <w:rsid w:val="19725A20"/>
    <w:rsid w:val="1C7AF3AB"/>
    <w:rsid w:val="1DAFA448"/>
    <w:rsid w:val="1DC8A4BD"/>
    <w:rsid w:val="1EEB245B"/>
    <w:rsid w:val="1F3C0A24"/>
    <w:rsid w:val="1F56BD98"/>
    <w:rsid w:val="20348E0A"/>
    <w:rsid w:val="2047F9B3"/>
    <w:rsid w:val="20C021B4"/>
    <w:rsid w:val="228A29C7"/>
    <w:rsid w:val="238628BA"/>
    <w:rsid w:val="25E743AA"/>
    <w:rsid w:val="2A7ED426"/>
    <w:rsid w:val="2F164CFF"/>
    <w:rsid w:val="2FAE23DE"/>
    <w:rsid w:val="324B05C2"/>
    <w:rsid w:val="32E5A97F"/>
    <w:rsid w:val="33A84A19"/>
    <w:rsid w:val="33F16BE2"/>
    <w:rsid w:val="33FAF692"/>
    <w:rsid w:val="34630932"/>
    <w:rsid w:val="371E3AF7"/>
    <w:rsid w:val="3778BF81"/>
    <w:rsid w:val="3D9B1C2A"/>
    <w:rsid w:val="3DB842D8"/>
    <w:rsid w:val="3F3C6809"/>
    <w:rsid w:val="407A3838"/>
    <w:rsid w:val="40FACAA4"/>
    <w:rsid w:val="41401B2F"/>
    <w:rsid w:val="4310E7B8"/>
    <w:rsid w:val="452E2402"/>
    <w:rsid w:val="4615EFA1"/>
    <w:rsid w:val="477064BC"/>
    <w:rsid w:val="47F18691"/>
    <w:rsid w:val="49707E33"/>
    <w:rsid w:val="49E9731F"/>
    <w:rsid w:val="4C066A06"/>
    <w:rsid w:val="4CCE9261"/>
    <w:rsid w:val="4D786085"/>
    <w:rsid w:val="4DC12670"/>
    <w:rsid w:val="4EFAA9D8"/>
    <w:rsid w:val="503D83E1"/>
    <w:rsid w:val="50D422DA"/>
    <w:rsid w:val="510E5C16"/>
    <w:rsid w:val="51BB61C6"/>
    <w:rsid w:val="5206E82A"/>
    <w:rsid w:val="526C7B32"/>
    <w:rsid w:val="52D7A134"/>
    <w:rsid w:val="53A6CC9C"/>
    <w:rsid w:val="54C771F5"/>
    <w:rsid w:val="5B5454E7"/>
    <w:rsid w:val="5C97B155"/>
    <w:rsid w:val="5D75560C"/>
    <w:rsid w:val="5E5E2704"/>
    <w:rsid w:val="6116D297"/>
    <w:rsid w:val="61294C0D"/>
    <w:rsid w:val="64268A0E"/>
    <w:rsid w:val="650DF860"/>
    <w:rsid w:val="65E2893B"/>
    <w:rsid w:val="67F354F5"/>
    <w:rsid w:val="68A9FDD9"/>
    <w:rsid w:val="691DEBAC"/>
    <w:rsid w:val="6AF2610C"/>
    <w:rsid w:val="6B9DC03C"/>
    <w:rsid w:val="6C8F757C"/>
    <w:rsid w:val="6D56E31B"/>
    <w:rsid w:val="6D995898"/>
    <w:rsid w:val="6DD1541D"/>
    <w:rsid w:val="6DEEA96C"/>
    <w:rsid w:val="6E4EE4D1"/>
    <w:rsid w:val="6E7CF0DE"/>
    <w:rsid w:val="6F0C0F2B"/>
    <w:rsid w:val="707AAAD1"/>
    <w:rsid w:val="707EB318"/>
    <w:rsid w:val="711E5AEB"/>
    <w:rsid w:val="71AEE26C"/>
    <w:rsid w:val="73475F41"/>
    <w:rsid w:val="74329AF1"/>
    <w:rsid w:val="749BA7C8"/>
    <w:rsid w:val="758DDECE"/>
    <w:rsid w:val="760EEADC"/>
    <w:rsid w:val="763F7748"/>
    <w:rsid w:val="792897CA"/>
    <w:rsid w:val="79293CDC"/>
    <w:rsid w:val="79CB152B"/>
    <w:rsid w:val="7A0B9E5D"/>
    <w:rsid w:val="7BD9764A"/>
    <w:rsid w:val="7C13B46D"/>
    <w:rsid w:val="7C3EA68F"/>
    <w:rsid w:val="7C943708"/>
    <w:rsid w:val="7D599C2F"/>
    <w:rsid w:val="7E81EC3B"/>
    <w:rsid w:val="7EA381DD"/>
    <w:rsid w:val="7ED6B0B6"/>
    <w:rsid w:val="7ED7FC7A"/>
    <w:rsid w:val="7F73F3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paragraph" w:styleId="Heading4">
    <w:name w:val="heading 4"/>
    <w:basedOn w:val="Normal"/>
    <w:next w:val="Normal"/>
    <w:link w:val="Heading4Char"/>
    <w:uiPriority w:val="9"/>
    <w:semiHidden/>
    <w:unhideWhenUsed/>
    <w:qFormat/>
    <w:rsid w:val="002343A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rsid w:val="009F64C5"/>
    <w:rPr>
      <w:rFonts w:ascii="Times New Roman" w:eastAsia="Times New Roman" w:hAnsi="Times New Roman" w:cs="Times New Roman"/>
      <w:color w:val="000000"/>
      <w:sz w:val="24"/>
      <w:u w:val="single"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151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D3E"/>
  </w:style>
  <w:style w:type="table" w:styleId="TableGrid">
    <w:name w:val="Table Grid"/>
    <w:basedOn w:val="TableNormal"/>
    <w:uiPriority w:val="39"/>
    <w:rsid w:val="00247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472F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472FF"/>
    <w:pPr>
      <w:spacing w:after="0"/>
    </w:pPr>
  </w:style>
  <w:style w:type="character" w:styleId="Hyperlink">
    <w:name w:val="Hyperlink"/>
    <w:basedOn w:val="DefaultParagraphFont"/>
    <w:uiPriority w:val="99"/>
    <w:unhideWhenUsed/>
    <w:rsid w:val="002472FF"/>
    <w:rPr>
      <w:color w:val="0563C1" w:themeColor="hyperlink"/>
      <w:u w:val="single"/>
    </w:rPr>
  </w:style>
  <w:style w:type="paragraph" w:styleId="TOCHeading">
    <w:name w:val="TOC Heading"/>
    <w:basedOn w:val="Heading1"/>
    <w:next w:val="Normal"/>
    <w:uiPriority w:val="39"/>
    <w:unhideWhenUsed/>
    <w:qFormat/>
    <w:rsid w:val="009D4F41"/>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9D4F41"/>
    <w:pPr>
      <w:spacing w:after="100"/>
      <w:ind w:left="220"/>
    </w:pPr>
  </w:style>
  <w:style w:type="paragraph" w:styleId="TOC3">
    <w:name w:val="toc 3"/>
    <w:basedOn w:val="Normal"/>
    <w:next w:val="Normal"/>
    <w:autoRedefine/>
    <w:uiPriority w:val="39"/>
    <w:unhideWhenUsed/>
    <w:rsid w:val="009D4F41"/>
    <w:pPr>
      <w:spacing w:after="100"/>
      <w:ind w:left="440"/>
    </w:pPr>
  </w:style>
  <w:style w:type="paragraph" w:styleId="Bibliography">
    <w:name w:val="Bibliography"/>
    <w:basedOn w:val="Normal"/>
    <w:next w:val="Normal"/>
    <w:uiPriority w:val="37"/>
    <w:unhideWhenUsed/>
    <w:rsid w:val="009D4F41"/>
  </w:style>
  <w:style w:type="paragraph" w:styleId="Footer">
    <w:name w:val="footer"/>
    <w:basedOn w:val="Normal"/>
    <w:link w:val="FooterChar"/>
    <w:uiPriority w:val="99"/>
    <w:unhideWhenUsed/>
    <w:rsid w:val="0069255D"/>
    <w:pPr>
      <w:tabs>
        <w:tab w:val="center" w:pos="4680"/>
        <w:tab w:val="right" w:pos="9360"/>
      </w:tabs>
      <w:spacing w:after="0" w:line="240" w:lineRule="auto"/>
    </w:pPr>
    <w:rPr>
      <w:rFonts w:cs="Times New Roman"/>
      <w:kern w:val="0"/>
      <w:lang w:val="en-US" w:eastAsia="en-US"/>
      <w14:ligatures w14:val="none"/>
    </w:rPr>
  </w:style>
  <w:style w:type="character" w:customStyle="1" w:styleId="FooterChar">
    <w:name w:val="Footer Char"/>
    <w:basedOn w:val="DefaultParagraphFont"/>
    <w:link w:val="Footer"/>
    <w:uiPriority w:val="99"/>
    <w:rsid w:val="0069255D"/>
    <w:rPr>
      <w:rFonts w:cs="Times New Roman"/>
      <w:kern w:val="0"/>
      <w:lang w:val="en-US" w:eastAsia="en-US"/>
      <w14:ligatures w14:val="none"/>
    </w:rPr>
  </w:style>
  <w:style w:type="paragraph" w:styleId="ListParagraph">
    <w:name w:val="List Paragraph"/>
    <w:basedOn w:val="Normal"/>
    <w:uiPriority w:val="34"/>
    <w:qFormat/>
    <w:rsid w:val="009D79E8"/>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4Char">
    <w:name w:val="Heading 4 Char"/>
    <w:basedOn w:val="DefaultParagraphFont"/>
    <w:link w:val="Heading4"/>
    <w:uiPriority w:val="9"/>
    <w:semiHidden/>
    <w:rsid w:val="002343A9"/>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DB2DE9"/>
    <w:pPr>
      <w:spacing w:after="100" w:line="278" w:lineRule="auto"/>
      <w:ind w:left="720"/>
    </w:pPr>
    <w:rPr>
      <w:sz w:val="24"/>
      <w:szCs w:val="24"/>
      <w:lang w:eastAsia="en-GB"/>
    </w:rPr>
  </w:style>
  <w:style w:type="paragraph" w:styleId="TOC5">
    <w:name w:val="toc 5"/>
    <w:basedOn w:val="Normal"/>
    <w:next w:val="Normal"/>
    <w:autoRedefine/>
    <w:uiPriority w:val="39"/>
    <w:unhideWhenUsed/>
    <w:rsid w:val="00DB2DE9"/>
    <w:pPr>
      <w:spacing w:after="100" w:line="278" w:lineRule="auto"/>
      <w:ind w:left="960"/>
    </w:pPr>
    <w:rPr>
      <w:sz w:val="24"/>
      <w:szCs w:val="24"/>
      <w:lang w:eastAsia="en-GB"/>
    </w:rPr>
  </w:style>
  <w:style w:type="paragraph" w:styleId="TOC6">
    <w:name w:val="toc 6"/>
    <w:basedOn w:val="Normal"/>
    <w:next w:val="Normal"/>
    <w:autoRedefine/>
    <w:uiPriority w:val="39"/>
    <w:unhideWhenUsed/>
    <w:rsid w:val="00DB2DE9"/>
    <w:pPr>
      <w:spacing w:after="100" w:line="278" w:lineRule="auto"/>
      <w:ind w:left="1200"/>
    </w:pPr>
    <w:rPr>
      <w:sz w:val="24"/>
      <w:szCs w:val="24"/>
      <w:lang w:eastAsia="en-GB"/>
    </w:rPr>
  </w:style>
  <w:style w:type="paragraph" w:styleId="TOC7">
    <w:name w:val="toc 7"/>
    <w:basedOn w:val="Normal"/>
    <w:next w:val="Normal"/>
    <w:autoRedefine/>
    <w:uiPriority w:val="39"/>
    <w:unhideWhenUsed/>
    <w:rsid w:val="00DB2DE9"/>
    <w:pPr>
      <w:spacing w:after="100" w:line="278" w:lineRule="auto"/>
      <w:ind w:left="1440"/>
    </w:pPr>
    <w:rPr>
      <w:sz w:val="24"/>
      <w:szCs w:val="24"/>
      <w:lang w:eastAsia="en-GB"/>
    </w:rPr>
  </w:style>
  <w:style w:type="paragraph" w:styleId="TOC8">
    <w:name w:val="toc 8"/>
    <w:basedOn w:val="Normal"/>
    <w:next w:val="Normal"/>
    <w:autoRedefine/>
    <w:uiPriority w:val="39"/>
    <w:unhideWhenUsed/>
    <w:rsid w:val="00DB2DE9"/>
    <w:pPr>
      <w:spacing w:after="100" w:line="278" w:lineRule="auto"/>
      <w:ind w:left="1680"/>
    </w:pPr>
    <w:rPr>
      <w:sz w:val="24"/>
      <w:szCs w:val="24"/>
      <w:lang w:eastAsia="en-GB"/>
    </w:rPr>
  </w:style>
  <w:style w:type="paragraph" w:styleId="TOC9">
    <w:name w:val="toc 9"/>
    <w:basedOn w:val="Normal"/>
    <w:next w:val="Normal"/>
    <w:autoRedefine/>
    <w:uiPriority w:val="39"/>
    <w:unhideWhenUsed/>
    <w:rsid w:val="00DB2DE9"/>
    <w:pPr>
      <w:spacing w:after="100" w:line="278" w:lineRule="auto"/>
      <w:ind w:left="1920"/>
    </w:pPr>
    <w:rPr>
      <w:sz w:val="24"/>
      <w:szCs w:val="24"/>
      <w:lang w:eastAsia="en-GB"/>
    </w:rPr>
  </w:style>
  <w:style w:type="character" w:styleId="UnresolvedMention">
    <w:name w:val="Unresolved Mention"/>
    <w:basedOn w:val="DefaultParagraphFont"/>
    <w:uiPriority w:val="99"/>
    <w:semiHidden/>
    <w:unhideWhenUsed/>
    <w:rsid w:val="00DB2D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020">
      <w:bodyDiv w:val="1"/>
      <w:marLeft w:val="0"/>
      <w:marRight w:val="0"/>
      <w:marTop w:val="0"/>
      <w:marBottom w:val="0"/>
      <w:divBdr>
        <w:top w:val="none" w:sz="0" w:space="0" w:color="auto"/>
        <w:left w:val="none" w:sz="0" w:space="0" w:color="auto"/>
        <w:bottom w:val="none" w:sz="0" w:space="0" w:color="auto"/>
        <w:right w:val="none" w:sz="0" w:space="0" w:color="auto"/>
      </w:divBdr>
    </w:div>
    <w:div w:id="2630806">
      <w:bodyDiv w:val="1"/>
      <w:marLeft w:val="0"/>
      <w:marRight w:val="0"/>
      <w:marTop w:val="0"/>
      <w:marBottom w:val="0"/>
      <w:divBdr>
        <w:top w:val="none" w:sz="0" w:space="0" w:color="auto"/>
        <w:left w:val="none" w:sz="0" w:space="0" w:color="auto"/>
        <w:bottom w:val="none" w:sz="0" w:space="0" w:color="auto"/>
        <w:right w:val="none" w:sz="0" w:space="0" w:color="auto"/>
      </w:divBdr>
    </w:div>
    <w:div w:id="6835298">
      <w:bodyDiv w:val="1"/>
      <w:marLeft w:val="0"/>
      <w:marRight w:val="0"/>
      <w:marTop w:val="0"/>
      <w:marBottom w:val="0"/>
      <w:divBdr>
        <w:top w:val="none" w:sz="0" w:space="0" w:color="auto"/>
        <w:left w:val="none" w:sz="0" w:space="0" w:color="auto"/>
        <w:bottom w:val="none" w:sz="0" w:space="0" w:color="auto"/>
        <w:right w:val="none" w:sz="0" w:space="0" w:color="auto"/>
      </w:divBdr>
    </w:div>
    <w:div w:id="7603375">
      <w:bodyDiv w:val="1"/>
      <w:marLeft w:val="0"/>
      <w:marRight w:val="0"/>
      <w:marTop w:val="0"/>
      <w:marBottom w:val="0"/>
      <w:divBdr>
        <w:top w:val="none" w:sz="0" w:space="0" w:color="auto"/>
        <w:left w:val="none" w:sz="0" w:space="0" w:color="auto"/>
        <w:bottom w:val="none" w:sz="0" w:space="0" w:color="auto"/>
        <w:right w:val="none" w:sz="0" w:space="0" w:color="auto"/>
      </w:divBdr>
    </w:div>
    <w:div w:id="15741991">
      <w:bodyDiv w:val="1"/>
      <w:marLeft w:val="0"/>
      <w:marRight w:val="0"/>
      <w:marTop w:val="0"/>
      <w:marBottom w:val="0"/>
      <w:divBdr>
        <w:top w:val="none" w:sz="0" w:space="0" w:color="auto"/>
        <w:left w:val="none" w:sz="0" w:space="0" w:color="auto"/>
        <w:bottom w:val="none" w:sz="0" w:space="0" w:color="auto"/>
        <w:right w:val="none" w:sz="0" w:space="0" w:color="auto"/>
      </w:divBdr>
    </w:div>
    <w:div w:id="16735249">
      <w:bodyDiv w:val="1"/>
      <w:marLeft w:val="0"/>
      <w:marRight w:val="0"/>
      <w:marTop w:val="0"/>
      <w:marBottom w:val="0"/>
      <w:divBdr>
        <w:top w:val="none" w:sz="0" w:space="0" w:color="auto"/>
        <w:left w:val="none" w:sz="0" w:space="0" w:color="auto"/>
        <w:bottom w:val="none" w:sz="0" w:space="0" w:color="auto"/>
        <w:right w:val="none" w:sz="0" w:space="0" w:color="auto"/>
      </w:divBdr>
    </w:div>
    <w:div w:id="20132286">
      <w:bodyDiv w:val="1"/>
      <w:marLeft w:val="0"/>
      <w:marRight w:val="0"/>
      <w:marTop w:val="0"/>
      <w:marBottom w:val="0"/>
      <w:divBdr>
        <w:top w:val="none" w:sz="0" w:space="0" w:color="auto"/>
        <w:left w:val="none" w:sz="0" w:space="0" w:color="auto"/>
        <w:bottom w:val="none" w:sz="0" w:space="0" w:color="auto"/>
        <w:right w:val="none" w:sz="0" w:space="0" w:color="auto"/>
      </w:divBdr>
    </w:div>
    <w:div w:id="22903181">
      <w:bodyDiv w:val="1"/>
      <w:marLeft w:val="0"/>
      <w:marRight w:val="0"/>
      <w:marTop w:val="0"/>
      <w:marBottom w:val="0"/>
      <w:divBdr>
        <w:top w:val="none" w:sz="0" w:space="0" w:color="auto"/>
        <w:left w:val="none" w:sz="0" w:space="0" w:color="auto"/>
        <w:bottom w:val="none" w:sz="0" w:space="0" w:color="auto"/>
        <w:right w:val="none" w:sz="0" w:space="0" w:color="auto"/>
      </w:divBdr>
    </w:div>
    <w:div w:id="28801319">
      <w:bodyDiv w:val="1"/>
      <w:marLeft w:val="0"/>
      <w:marRight w:val="0"/>
      <w:marTop w:val="0"/>
      <w:marBottom w:val="0"/>
      <w:divBdr>
        <w:top w:val="none" w:sz="0" w:space="0" w:color="auto"/>
        <w:left w:val="none" w:sz="0" w:space="0" w:color="auto"/>
        <w:bottom w:val="none" w:sz="0" w:space="0" w:color="auto"/>
        <w:right w:val="none" w:sz="0" w:space="0" w:color="auto"/>
      </w:divBdr>
    </w:div>
    <w:div w:id="31733688">
      <w:bodyDiv w:val="1"/>
      <w:marLeft w:val="0"/>
      <w:marRight w:val="0"/>
      <w:marTop w:val="0"/>
      <w:marBottom w:val="0"/>
      <w:divBdr>
        <w:top w:val="none" w:sz="0" w:space="0" w:color="auto"/>
        <w:left w:val="none" w:sz="0" w:space="0" w:color="auto"/>
        <w:bottom w:val="none" w:sz="0" w:space="0" w:color="auto"/>
        <w:right w:val="none" w:sz="0" w:space="0" w:color="auto"/>
      </w:divBdr>
    </w:div>
    <w:div w:id="33192609">
      <w:bodyDiv w:val="1"/>
      <w:marLeft w:val="0"/>
      <w:marRight w:val="0"/>
      <w:marTop w:val="0"/>
      <w:marBottom w:val="0"/>
      <w:divBdr>
        <w:top w:val="none" w:sz="0" w:space="0" w:color="auto"/>
        <w:left w:val="none" w:sz="0" w:space="0" w:color="auto"/>
        <w:bottom w:val="none" w:sz="0" w:space="0" w:color="auto"/>
        <w:right w:val="none" w:sz="0" w:space="0" w:color="auto"/>
      </w:divBdr>
    </w:div>
    <w:div w:id="36786435">
      <w:bodyDiv w:val="1"/>
      <w:marLeft w:val="0"/>
      <w:marRight w:val="0"/>
      <w:marTop w:val="0"/>
      <w:marBottom w:val="0"/>
      <w:divBdr>
        <w:top w:val="none" w:sz="0" w:space="0" w:color="auto"/>
        <w:left w:val="none" w:sz="0" w:space="0" w:color="auto"/>
        <w:bottom w:val="none" w:sz="0" w:space="0" w:color="auto"/>
        <w:right w:val="none" w:sz="0" w:space="0" w:color="auto"/>
      </w:divBdr>
    </w:div>
    <w:div w:id="37170904">
      <w:bodyDiv w:val="1"/>
      <w:marLeft w:val="0"/>
      <w:marRight w:val="0"/>
      <w:marTop w:val="0"/>
      <w:marBottom w:val="0"/>
      <w:divBdr>
        <w:top w:val="none" w:sz="0" w:space="0" w:color="auto"/>
        <w:left w:val="none" w:sz="0" w:space="0" w:color="auto"/>
        <w:bottom w:val="none" w:sz="0" w:space="0" w:color="auto"/>
        <w:right w:val="none" w:sz="0" w:space="0" w:color="auto"/>
      </w:divBdr>
    </w:div>
    <w:div w:id="41104660">
      <w:bodyDiv w:val="1"/>
      <w:marLeft w:val="0"/>
      <w:marRight w:val="0"/>
      <w:marTop w:val="0"/>
      <w:marBottom w:val="0"/>
      <w:divBdr>
        <w:top w:val="none" w:sz="0" w:space="0" w:color="auto"/>
        <w:left w:val="none" w:sz="0" w:space="0" w:color="auto"/>
        <w:bottom w:val="none" w:sz="0" w:space="0" w:color="auto"/>
        <w:right w:val="none" w:sz="0" w:space="0" w:color="auto"/>
      </w:divBdr>
    </w:div>
    <w:div w:id="47533142">
      <w:bodyDiv w:val="1"/>
      <w:marLeft w:val="0"/>
      <w:marRight w:val="0"/>
      <w:marTop w:val="0"/>
      <w:marBottom w:val="0"/>
      <w:divBdr>
        <w:top w:val="none" w:sz="0" w:space="0" w:color="auto"/>
        <w:left w:val="none" w:sz="0" w:space="0" w:color="auto"/>
        <w:bottom w:val="none" w:sz="0" w:space="0" w:color="auto"/>
        <w:right w:val="none" w:sz="0" w:space="0" w:color="auto"/>
      </w:divBdr>
    </w:div>
    <w:div w:id="48574652">
      <w:bodyDiv w:val="1"/>
      <w:marLeft w:val="0"/>
      <w:marRight w:val="0"/>
      <w:marTop w:val="0"/>
      <w:marBottom w:val="0"/>
      <w:divBdr>
        <w:top w:val="none" w:sz="0" w:space="0" w:color="auto"/>
        <w:left w:val="none" w:sz="0" w:space="0" w:color="auto"/>
        <w:bottom w:val="none" w:sz="0" w:space="0" w:color="auto"/>
        <w:right w:val="none" w:sz="0" w:space="0" w:color="auto"/>
      </w:divBdr>
    </w:div>
    <w:div w:id="49966331">
      <w:bodyDiv w:val="1"/>
      <w:marLeft w:val="0"/>
      <w:marRight w:val="0"/>
      <w:marTop w:val="0"/>
      <w:marBottom w:val="0"/>
      <w:divBdr>
        <w:top w:val="none" w:sz="0" w:space="0" w:color="auto"/>
        <w:left w:val="none" w:sz="0" w:space="0" w:color="auto"/>
        <w:bottom w:val="none" w:sz="0" w:space="0" w:color="auto"/>
        <w:right w:val="none" w:sz="0" w:space="0" w:color="auto"/>
      </w:divBdr>
    </w:div>
    <w:div w:id="50160981">
      <w:bodyDiv w:val="1"/>
      <w:marLeft w:val="0"/>
      <w:marRight w:val="0"/>
      <w:marTop w:val="0"/>
      <w:marBottom w:val="0"/>
      <w:divBdr>
        <w:top w:val="none" w:sz="0" w:space="0" w:color="auto"/>
        <w:left w:val="none" w:sz="0" w:space="0" w:color="auto"/>
        <w:bottom w:val="none" w:sz="0" w:space="0" w:color="auto"/>
        <w:right w:val="none" w:sz="0" w:space="0" w:color="auto"/>
      </w:divBdr>
    </w:div>
    <w:div w:id="53817815">
      <w:bodyDiv w:val="1"/>
      <w:marLeft w:val="0"/>
      <w:marRight w:val="0"/>
      <w:marTop w:val="0"/>
      <w:marBottom w:val="0"/>
      <w:divBdr>
        <w:top w:val="none" w:sz="0" w:space="0" w:color="auto"/>
        <w:left w:val="none" w:sz="0" w:space="0" w:color="auto"/>
        <w:bottom w:val="none" w:sz="0" w:space="0" w:color="auto"/>
        <w:right w:val="none" w:sz="0" w:space="0" w:color="auto"/>
      </w:divBdr>
    </w:div>
    <w:div w:id="55393604">
      <w:bodyDiv w:val="1"/>
      <w:marLeft w:val="0"/>
      <w:marRight w:val="0"/>
      <w:marTop w:val="0"/>
      <w:marBottom w:val="0"/>
      <w:divBdr>
        <w:top w:val="none" w:sz="0" w:space="0" w:color="auto"/>
        <w:left w:val="none" w:sz="0" w:space="0" w:color="auto"/>
        <w:bottom w:val="none" w:sz="0" w:space="0" w:color="auto"/>
        <w:right w:val="none" w:sz="0" w:space="0" w:color="auto"/>
      </w:divBdr>
    </w:div>
    <w:div w:id="55668770">
      <w:bodyDiv w:val="1"/>
      <w:marLeft w:val="0"/>
      <w:marRight w:val="0"/>
      <w:marTop w:val="0"/>
      <w:marBottom w:val="0"/>
      <w:divBdr>
        <w:top w:val="none" w:sz="0" w:space="0" w:color="auto"/>
        <w:left w:val="none" w:sz="0" w:space="0" w:color="auto"/>
        <w:bottom w:val="none" w:sz="0" w:space="0" w:color="auto"/>
        <w:right w:val="none" w:sz="0" w:space="0" w:color="auto"/>
      </w:divBdr>
    </w:div>
    <w:div w:id="58482046">
      <w:bodyDiv w:val="1"/>
      <w:marLeft w:val="0"/>
      <w:marRight w:val="0"/>
      <w:marTop w:val="0"/>
      <w:marBottom w:val="0"/>
      <w:divBdr>
        <w:top w:val="none" w:sz="0" w:space="0" w:color="auto"/>
        <w:left w:val="none" w:sz="0" w:space="0" w:color="auto"/>
        <w:bottom w:val="none" w:sz="0" w:space="0" w:color="auto"/>
        <w:right w:val="none" w:sz="0" w:space="0" w:color="auto"/>
      </w:divBdr>
    </w:div>
    <w:div w:id="59443637">
      <w:bodyDiv w:val="1"/>
      <w:marLeft w:val="0"/>
      <w:marRight w:val="0"/>
      <w:marTop w:val="0"/>
      <w:marBottom w:val="0"/>
      <w:divBdr>
        <w:top w:val="none" w:sz="0" w:space="0" w:color="auto"/>
        <w:left w:val="none" w:sz="0" w:space="0" w:color="auto"/>
        <w:bottom w:val="none" w:sz="0" w:space="0" w:color="auto"/>
        <w:right w:val="none" w:sz="0" w:space="0" w:color="auto"/>
      </w:divBdr>
    </w:div>
    <w:div w:id="60756552">
      <w:bodyDiv w:val="1"/>
      <w:marLeft w:val="0"/>
      <w:marRight w:val="0"/>
      <w:marTop w:val="0"/>
      <w:marBottom w:val="0"/>
      <w:divBdr>
        <w:top w:val="none" w:sz="0" w:space="0" w:color="auto"/>
        <w:left w:val="none" w:sz="0" w:space="0" w:color="auto"/>
        <w:bottom w:val="none" w:sz="0" w:space="0" w:color="auto"/>
        <w:right w:val="none" w:sz="0" w:space="0" w:color="auto"/>
      </w:divBdr>
    </w:div>
    <w:div w:id="65029468">
      <w:bodyDiv w:val="1"/>
      <w:marLeft w:val="0"/>
      <w:marRight w:val="0"/>
      <w:marTop w:val="0"/>
      <w:marBottom w:val="0"/>
      <w:divBdr>
        <w:top w:val="none" w:sz="0" w:space="0" w:color="auto"/>
        <w:left w:val="none" w:sz="0" w:space="0" w:color="auto"/>
        <w:bottom w:val="none" w:sz="0" w:space="0" w:color="auto"/>
        <w:right w:val="none" w:sz="0" w:space="0" w:color="auto"/>
      </w:divBdr>
    </w:div>
    <w:div w:id="66389236">
      <w:bodyDiv w:val="1"/>
      <w:marLeft w:val="0"/>
      <w:marRight w:val="0"/>
      <w:marTop w:val="0"/>
      <w:marBottom w:val="0"/>
      <w:divBdr>
        <w:top w:val="none" w:sz="0" w:space="0" w:color="auto"/>
        <w:left w:val="none" w:sz="0" w:space="0" w:color="auto"/>
        <w:bottom w:val="none" w:sz="0" w:space="0" w:color="auto"/>
        <w:right w:val="none" w:sz="0" w:space="0" w:color="auto"/>
      </w:divBdr>
    </w:div>
    <w:div w:id="72094139">
      <w:bodyDiv w:val="1"/>
      <w:marLeft w:val="0"/>
      <w:marRight w:val="0"/>
      <w:marTop w:val="0"/>
      <w:marBottom w:val="0"/>
      <w:divBdr>
        <w:top w:val="none" w:sz="0" w:space="0" w:color="auto"/>
        <w:left w:val="none" w:sz="0" w:space="0" w:color="auto"/>
        <w:bottom w:val="none" w:sz="0" w:space="0" w:color="auto"/>
        <w:right w:val="none" w:sz="0" w:space="0" w:color="auto"/>
      </w:divBdr>
    </w:div>
    <w:div w:id="72166929">
      <w:bodyDiv w:val="1"/>
      <w:marLeft w:val="0"/>
      <w:marRight w:val="0"/>
      <w:marTop w:val="0"/>
      <w:marBottom w:val="0"/>
      <w:divBdr>
        <w:top w:val="none" w:sz="0" w:space="0" w:color="auto"/>
        <w:left w:val="none" w:sz="0" w:space="0" w:color="auto"/>
        <w:bottom w:val="none" w:sz="0" w:space="0" w:color="auto"/>
        <w:right w:val="none" w:sz="0" w:space="0" w:color="auto"/>
      </w:divBdr>
    </w:div>
    <w:div w:id="73212123">
      <w:bodyDiv w:val="1"/>
      <w:marLeft w:val="0"/>
      <w:marRight w:val="0"/>
      <w:marTop w:val="0"/>
      <w:marBottom w:val="0"/>
      <w:divBdr>
        <w:top w:val="none" w:sz="0" w:space="0" w:color="auto"/>
        <w:left w:val="none" w:sz="0" w:space="0" w:color="auto"/>
        <w:bottom w:val="none" w:sz="0" w:space="0" w:color="auto"/>
        <w:right w:val="none" w:sz="0" w:space="0" w:color="auto"/>
      </w:divBdr>
    </w:div>
    <w:div w:id="74203100">
      <w:bodyDiv w:val="1"/>
      <w:marLeft w:val="0"/>
      <w:marRight w:val="0"/>
      <w:marTop w:val="0"/>
      <w:marBottom w:val="0"/>
      <w:divBdr>
        <w:top w:val="none" w:sz="0" w:space="0" w:color="auto"/>
        <w:left w:val="none" w:sz="0" w:space="0" w:color="auto"/>
        <w:bottom w:val="none" w:sz="0" w:space="0" w:color="auto"/>
        <w:right w:val="none" w:sz="0" w:space="0" w:color="auto"/>
      </w:divBdr>
    </w:div>
    <w:div w:id="75059245">
      <w:bodyDiv w:val="1"/>
      <w:marLeft w:val="0"/>
      <w:marRight w:val="0"/>
      <w:marTop w:val="0"/>
      <w:marBottom w:val="0"/>
      <w:divBdr>
        <w:top w:val="none" w:sz="0" w:space="0" w:color="auto"/>
        <w:left w:val="none" w:sz="0" w:space="0" w:color="auto"/>
        <w:bottom w:val="none" w:sz="0" w:space="0" w:color="auto"/>
        <w:right w:val="none" w:sz="0" w:space="0" w:color="auto"/>
      </w:divBdr>
    </w:div>
    <w:div w:id="75327695">
      <w:bodyDiv w:val="1"/>
      <w:marLeft w:val="0"/>
      <w:marRight w:val="0"/>
      <w:marTop w:val="0"/>
      <w:marBottom w:val="0"/>
      <w:divBdr>
        <w:top w:val="none" w:sz="0" w:space="0" w:color="auto"/>
        <w:left w:val="none" w:sz="0" w:space="0" w:color="auto"/>
        <w:bottom w:val="none" w:sz="0" w:space="0" w:color="auto"/>
        <w:right w:val="none" w:sz="0" w:space="0" w:color="auto"/>
      </w:divBdr>
    </w:div>
    <w:div w:id="80881006">
      <w:bodyDiv w:val="1"/>
      <w:marLeft w:val="0"/>
      <w:marRight w:val="0"/>
      <w:marTop w:val="0"/>
      <w:marBottom w:val="0"/>
      <w:divBdr>
        <w:top w:val="none" w:sz="0" w:space="0" w:color="auto"/>
        <w:left w:val="none" w:sz="0" w:space="0" w:color="auto"/>
        <w:bottom w:val="none" w:sz="0" w:space="0" w:color="auto"/>
        <w:right w:val="none" w:sz="0" w:space="0" w:color="auto"/>
      </w:divBdr>
    </w:div>
    <w:div w:id="85075844">
      <w:bodyDiv w:val="1"/>
      <w:marLeft w:val="0"/>
      <w:marRight w:val="0"/>
      <w:marTop w:val="0"/>
      <w:marBottom w:val="0"/>
      <w:divBdr>
        <w:top w:val="none" w:sz="0" w:space="0" w:color="auto"/>
        <w:left w:val="none" w:sz="0" w:space="0" w:color="auto"/>
        <w:bottom w:val="none" w:sz="0" w:space="0" w:color="auto"/>
        <w:right w:val="none" w:sz="0" w:space="0" w:color="auto"/>
      </w:divBdr>
    </w:div>
    <w:div w:id="87392216">
      <w:bodyDiv w:val="1"/>
      <w:marLeft w:val="0"/>
      <w:marRight w:val="0"/>
      <w:marTop w:val="0"/>
      <w:marBottom w:val="0"/>
      <w:divBdr>
        <w:top w:val="none" w:sz="0" w:space="0" w:color="auto"/>
        <w:left w:val="none" w:sz="0" w:space="0" w:color="auto"/>
        <w:bottom w:val="none" w:sz="0" w:space="0" w:color="auto"/>
        <w:right w:val="none" w:sz="0" w:space="0" w:color="auto"/>
      </w:divBdr>
    </w:div>
    <w:div w:id="91779820">
      <w:bodyDiv w:val="1"/>
      <w:marLeft w:val="0"/>
      <w:marRight w:val="0"/>
      <w:marTop w:val="0"/>
      <w:marBottom w:val="0"/>
      <w:divBdr>
        <w:top w:val="none" w:sz="0" w:space="0" w:color="auto"/>
        <w:left w:val="none" w:sz="0" w:space="0" w:color="auto"/>
        <w:bottom w:val="none" w:sz="0" w:space="0" w:color="auto"/>
        <w:right w:val="none" w:sz="0" w:space="0" w:color="auto"/>
      </w:divBdr>
    </w:div>
    <w:div w:id="93405498">
      <w:bodyDiv w:val="1"/>
      <w:marLeft w:val="0"/>
      <w:marRight w:val="0"/>
      <w:marTop w:val="0"/>
      <w:marBottom w:val="0"/>
      <w:divBdr>
        <w:top w:val="none" w:sz="0" w:space="0" w:color="auto"/>
        <w:left w:val="none" w:sz="0" w:space="0" w:color="auto"/>
        <w:bottom w:val="none" w:sz="0" w:space="0" w:color="auto"/>
        <w:right w:val="none" w:sz="0" w:space="0" w:color="auto"/>
      </w:divBdr>
    </w:div>
    <w:div w:id="95101729">
      <w:bodyDiv w:val="1"/>
      <w:marLeft w:val="0"/>
      <w:marRight w:val="0"/>
      <w:marTop w:val="0"/>
      <w:marBottom w:val="0"/>
      <w:divBdr>
        <w:top w:val="none" w:sz="0" w:space="0" w:color="auto"/>
        <w:left w:val="none" w:sz="0" w:space="0" w:color="auto"/>
        <w:bottom w:val="none" w:sz="0" w:space="0" w:color="auto"/>
        <w:right w:val="none" w:sz="0" w:space="0" w:color="auto"/>
      </w:divBdr>
    </w:div>
    <w:div w:id="96221432">
      <w:bodyDiv w:val="1"/>
      <w:marLeft w:val="0"/>
      <w:marRight w:val="0"/>
      <w:marTop w:val="0"/>
      <w:marBottom w:val="0"/>
      <w:divBdr>
        <w:top w:val="none" w:sz="0" w:space="0" w:color="auto"/>
        <w:left w:val="none" w:sz="0" w:space="0" w:color="auto"/>
        <w:bottom w:val="none" w:sz="0" w:space="0" w:color="auto"/>
        <w:right w:val="none" w:sz="0" w:space="0" w:color="auto"/>
      </w:divBdr>
    </w:div>
    <w:div w:id="101147266">
      <w:bodyDiv w:val="1"/>
      <w:marLeft w:val="0"/>
      <w:marRight w:val="0"/>
      <w:marTop w:val="0"/>
      <w:marBottom w:val="0"/>
      <w:divBdr>
        <w:top w:val="none" w:sz="0" w:space="0" w:color="auto"/>
        <w:left w:val="none" w:sz="0" w:space="0" w:color="auto"/>
        <w:bottom w:val="none" w:sz="0" w:space="0" w:color="auto"/>
        <w:right w:val="none" w:sz="0" w:space="0" w:color="auto"/>
      </w:divBdr>
    </w:div>
    <w:div w:id="102111064">
      <w:bodyDiv w:val="1"/>
      <w:marLeft w:val="0"/>
      <w:marRight w:val="0"/>
      <w:marTop w:val="0"/>
      <w:marBottom w:val="0"/>
      <w:divBdr>
        <w:top w:val="none" w:sz="0" w:space="0" w:color="auto"/>
        <w:left w:val="none" w:sz="0" w:space="0" w:color="auto"/>
        <w:bottom w:val="none" w:sz="0" w:space="0" w:color="auto"/>
        <w:right w:val="none" w:sz="0" w:space="0" w:color="auto"/>
      </w:divBdr>
    </w:div>
    <w:div w:id="104889713">
      <w:bodyDiv w:val="1"/>
      <w:marLeft w:val="0"/>
      <w:marRight w:val="0"/>
      <w:marTop w:val="0"/>
      <w:marBottom w:val="0"/>
      <w:divBdr>
        <w:top w:val="none" w:sz="0" w:space="0" w:color="auto"/>
        <w:left w:val="none" w:sz="0" w:space="0" w:color="auto"/>
        <w:bottom w:val="none" w:sz="0" w:space="0" w:color="auto"/>
        <w:right w:val="none" w:sz="0" w:space="0" w:color="auto"/>
      </w:divBdr>
    </w:div>
    <w:div w:id="106198640">
      <w:bodyDiv w:val="1"/>
      <w:marLeft w:val="0"/>
      <w:marRight w:val="0"/>
      <w:marTop w:val="0"/>
      <w:marBottom w:val="0"/>
      <w:divBdr>
        <w:top w:val="none" w:sz="0" w:space="0" w:color="auto"/>
        <w:left w:val="none" w:sz="0" w:space="0" w:color="auto"/>
        <w:bottom w:val="none" w:sz="0" w:space="0" w:color="auto"/>
        <w:right w:val="none" w:sz="0" w:space="0" w:color="auto"/>
      </w:divBdr>
    </w:div>
    <w:div w:id="106311883">
      <w:bodyDiv w:val="1"/>
      <w:marLeft w:val="0"/>
      <w:marRight w:val="0"/>
      <w:marTop w:val="0"/>
      <w:marBottom w:val="0"/>
      <w:divBdr>
        <w:top w:val="none" w:sz="0" w:space="0" w:color="auto"/>
        <w:left w:val="none" w:sz="0" w:space="0" w:color="auto"/>
        <w:bottom w:val="none" w:sz="0" w:space="0" w:color="auto"/>
        <w:right w:val="none" w:sz="0" w:space="0" w:color="auto"/>
      </w:divBdr>
    </w:div>
    <w:div w:id="107169377">
      <w:bodyDiv w:val="1"/>
      <w:marLeft w:val="0"/>
      <w:marRight w:val="0"/>
      <w:marTop w:val="0"/>
      <w:marBottom w:val="0"/>
      <w:divBdr>
        <w:top w:val="none" w:sz="0" w:space="0" w:color="auto"/>
        <w:left w:val="none" w:sz="0" w:space="0" w:color="auto"/>
        <w:bottom w:val="none" w:sz="0" w:space="0" w:color="auto"/>
        <w:right w:val="none" w:sz="0" w:space="0" w:color="auto"/>
      </w:divBdr>
    </w:div>
    <w:div w:id="112091122">
      <w:bodyDiv w:val="1"/>
      <w:marLeft w:val="0"/>
      <w:marRight w:val="0"/>
      <w:marTop w:val="0"/>
      <w:marBottom w:val="0"/>
      <w:divBdr>
        <w:top w:val="none" w:sz="0" w:space="0" w:color="auto"/>
        <w:left w:val="none" w:sz="0" w:space="0" w:color="auto"/>
        <w:bottom w:val="none" w:sz="0" w:space="0" w:color="auto"/>
        <w:right w:val="none" w:sz="0" w:space="0" w:color="auto"/>
      </w:divBdr>
    </w:div>
    <w:div w:id="113526923">
      <w:bodyDiv w:val="1"/>
      <w:marLeft w:val="0"/>
      <w:marRight w:val="0"/>
      <w:marTop w:val="0"/>
      <w:marBottom w:val="0"/>
      <w:divBdr>
        <w:top w:val="none" w:sz="0" w:space="0" w:color="auto"/>
        <w:left w:val="none" w:sz="0" w:space="0" w:color="auto"/>
        <w:bottom w:val="none" w:sz="0" w:space="0" w:color="auto"/>
        <w:right w:val="none" w:sz="0" w:space="0" w:color="auto"/>
      </w:divBdr>
    </w:div>
    <w:div w:id="114760912">
      <w:bodyDiv w:val="1"/>
      <w:marLeft w:val="0"/>
      <w:marRight w:val="0"/>
      <w:marTop w:val="0"/>
      <w:marBottom w:val="0"/>
      <w:divBdr>
        <w:top w:val="none" w:sz="0" w:space="0" w:color="auto"/>
        <w:left w:val="none" w:sz="0" w:space="0" w:color="auto"/>
        <w:bottom w:val="none" w:sz="0" w:space="0" w:color="auto"/>
        <w:right w:val="none" w:sz="0" w:space="0" w:color="auto"/>
      </w:divBdr>
    </w:div>
    <w:div w:id="114833933">
      <w:bodyDiv w:val="1"/>
      <w:marLeft w:val="0"/>
      <w:marRight w:val="0"/>
      <w:marTop w:val="0"/>
      <w:marBottom w:val="0"/>
      <w:divBdr>
        <w:top w:val="none" w:sz="0" w:space="0" w:color="auto"/>
        <w:left w:val="none" w:sz="0" w:space="0" w:color="auto"/>
        <w:bottom w:val="none" w:sz="0" w:space="0" w:color="auto"/>
        <w:right w:val="none" w:sz="0" w:space="0" w:color="auto"/>
      </w:divBdr>
    </w:div>
    <w:div w:id="115492423">
      <w:bodyDiv w:val="1"/>
      <w:marLeft w:val="0"/>
      <w:marRight w:val="0"/>
      <w:marTop w:val="0"/>
      <w:marBottom w:val="0"/>
      <w:divBdr>
        <w:top w:val="none" w:sz="0" w:space="0" w:color="auto"/>
        <w:left w:val="none" w:sz="0" w:space="0" w:color="auto"/>
        <w:bottom w:val="none" w:sz="0" w:space="0" w:color="auto"/>
        <w:right w:val="none" w:sz="0" w:space="0" w:color="auto"/>
      </w:divBdr>
    </w:div>
    <w:div w:id="116457918">
      <w:bodyDiv w:val="1"/>
      <w:marLeft w:val="0"/>
      <w:marRight w:val="0"/>
      <w:marTop w:val="0"/>
      <w:marBottom w:val="0"/>
      <w:divBdr>
        <w:top w:val="none" w:sz="0" w:space="0" w:color="auto"/>
        <w:left w:val="none" w:sz="0" w:space="0" w:color="auto"/>
        <w:bottom w:val="none" w:sz="0" w:space="0" w:color="auto"/>
        <w:right w:val="none" w:sz="0" w:space="0" w:color="auto"/>
      </w:divBdr>
    </w:div>
    <w:div w:id="119154169">
      <w:bodyDiv w:val="1"/>
      <w:marLeft w:val="0"/>
      <w:marRight w:val="0"/>
      <w:marTop w:val="0"/>
      <w:marBottom w:val="0"/>
      <w:divBdr>
        <w:top w:val="none" w:sz="0" w:space="0" w:color="auto"/>
        <w:left w:val="none" w:sz="0" w:space="0" w:color="auto"/>
        <w:bottom w:val="none" w:sz="0" w:space="0" w:color="auto"/>
        <w:right w:val="none" w:sz="0" w:space="0" w:color="auto"/>
      </w:divBdr>
    </w:div>
    <w:div w:id="125242965">
      <w:bodyDiv w:val="1"/>
      <w:marLeft w:val="0"/>
      <w:marRight w:val="0"/>
      <w:marTop w:val="0"/>
      <w:marBottom w:val="0"/>
      <w:divBdr>
        <w:top w:val="none" w:sz="0" w:space="0" w:color="auto"/>
        <w:left w:val="none" w:sz="0" w:space="0" w:color="auto"/>
        <w:bottom w:val="none" w:sz="0" w:space="0" w:color="auto"/>
        <w:right w:val="none" w:sz="0" w:space="0" w:color="auto"/>
      </w:divBdr>
    </w:div>
    <w:div w:id="127861755">
      <w:bodyDiv w:val="1"/>
      <w:marLeft w:val="0"/>
      <w:marRight w:val="0"/>
      <w:marTop w:val="0"/>
      <w:marBottom w:val="0"/>
      <w:divBdr>
        <w:top w:val="none" w:sz="0" w:space="0" w:color="auto"/>
        <w:left w:val="none" w:sz="0" w:space="0" w:color="auto"/>
        <w:bottom w:val="none" w:sz="0" w:space="0" w:color="auto"/>
        <w:right w:val="none" w:sz="0" w:space="0" w:color="auto"/>
      </w:divBdr>
    </w:div>
    <w:div w:id="128978204">
      <w:bodyDiv w:val="1"/>
      <w:marLeft w:val="0"/>
      <w:marRight w:val="0"/>
      <w:marTop w:val="0"/>
      <w:marBottom w:val="0"/>
      <w:divBdr>
        <w:top w:val="none" w:sz="0" w:space="0" w:color="auto"/>
        <w:left w:val="none" w:sz="0" w:space="0" w:color="auto"/>
        <w:bottom w:val="none" w:sz="0" w:space="0" w:color="auto"/>
        <w:right w:val="none" w:sz="0" w:space="0" w:color="auto"/>
      </w:divBdr>
    </w:div>
    <w:div w:id="131020269">
      <w:bodyDiv w:val="1"/>
      <w:marLeft w:val="0"/>
      <w:marRight w:val="0"/>
      <w:marTop w:val="0"/>
      <w:marBottom w:val="0"/>
      <w:divBdr>
        <w:top w:val="none" w:sz="0" w:space="0" w:color="auto"/>
        <w:left w:val="none" w:sz="0" w:space="0" w:color="auto"/>
        <w:bottom w:val="none" w:sz="0" w:space="0" w:color="auto"/>
        <w:right w:val="none" w:sz="0" w:space="0" w:color="auto"/>
      </w:divBdr>
    </w:div>
    <w:div w:id="132526768">
      <w:bodyDiv w:val="1"/>
      <w:marLeft w:val="0"/>
      <w:marRight w:val="0"/>
      <w:marTop w:val="0"/>
      <w:marBottom w:val="0"/>
      <w:divBdr>
        <w:top w:val="none" w:sz="0" w:space="0" w:color="auto"/>
        <w:left w:val="none" w:sz="0" w:space="0" w:color="auto"/>
        <w:bottom w:val="none" w:sz="0" w:space="0" w:color="auto"/>
        <w:right w:val="none" w:sz="0" w:space="0" w:color="auto"/>
      </w:divBdr>
    </w:div>
    <w:div w:id="137262304">
      <w:bodyDiv w:val="1"/>
      <w:marLeft w:val="0"/>
      <w:marRight w:val="0"/>
      <w:marTop w:val="0"/>
      <w:marBottom w:val="0"/>
      <w:divBdr>
        <w:top w:val="none" w:sz="0" w:space="0" w:color="auto"/>
        <w:left w:val="none" w:sz="0" w:space="0" w:color="auto"/>
        <w:bottom w:val="none" w:sz="0" w:space="0" w:color="auto"/>
        <w:right w:val="none" w:sz="0" w:space="0" w:color="auto"/>
      </w:divBdr>
    </w:div>
    <w:div w:id="138427608">
      <w:bodyDiv w:val="1"/>
      <w:marLeft w:val="0"/>
      <w:marRight w:val="0"/>
      <w:marTop w:val="0"/>
      <w:marBottom w:val="0"/>
      <w:divBdr>
        <w:top w:val="none" w:sz="0" w:space="0" w:color="auto"/>
        <w:left w:val="none" w:sz="0" w:space="0" w:color="auto"/>
        <w:bottom w:val="none" w:sz="0" w:space="0" w:color="auto"/>
        <w:right w:val="none" w:sz="0" w:space="0" w:color="auto"/>
      </w:divBdr>
    </w:div>
    <w:div w:id="139813035">
      <w:bodyDiv w:val="1"/>
      <w:marLeft w:val="0"/>
      <w:marRight w:val="0"/>
      <w:marTop w:val="0"/>
      <w:marBottom w:val="0"/>
      <w:divBdr>
        <w:top w:val="none" w:sz="0" w:space="0" w:color="auto"/>
        <w:left w:val="none" w:sz="0" w:space="0" w:color="auto"/>
        <w:bottom w:val="none" w:sz="0" w:space="0" w:color="auto"/>
        <w:right w:val="none" w:sz="0" w:space="0" w:color="auto"/>
      </w:divBdr>
    </w:div>
    <w:div w:id="142624766">
      <w:bodyDiv w:val="1"/>
      <w:marLeft w:val="0"/>
      <w:marRight w:val="0"/>
      <w:marTop w:val="0"/>
      <w:marBottom w:val="0"/>
      <w:divBdr>
        <w:top w:val="none" w:sz="0" w:space="0" w:color="auto"/>
        <w:left w:val="none" w:sz="0" w:space="0" w:color="auto"/>
        <w:bottom w:val="none" w:sz="0" w:space="0" w:color="auto"/>
        <w:right w:val="none" w:sz="0" w:space="0" w:color="auto"/>
      </w:divBdr>
    </w:div>
    <w:div w:id="142700543">
      <w:bodyDiv w:val="1"/>
      <w:marLeft w:val="0"/>
      <w:marRight w:val="0"/>
      <w:marTop w:val="0"/>
      <w:marBottom w:val="0"/>
      <w:divBdr>
        <w:top w:val="none" w:sz="0" w:space="0" w:color="auto"/>
        <w:left w:val="none" w:sz="0" w:space="0" w:color="auto"/>
        <w:bottom w:val="none" w:sz="0" w:space="0" w:color="auto"/>
        <w:right w:val="none" w:sz="0" w:space="0" w:color="auto"/>
      </w:divBdr>
    </w:div>
    <w:div w:id="143007294">
      <w:bodyDiv w:val="1"/>
      <w:marLeft w:val="0"/>
      <w:marRight w:val="0"/>
      <w:marTop w:val="0"/>
      <w:marBottom w:val="0"/>
      <w:divBdr>
        <w:top w:val="none" w:sz="0" w:space="0" w:color="auto"/>
        <w:left w:val="none" w:sz="0" w:space="0" w:color="auto"/>
        <w:bottom w:val="none" w:sz="0" w:space="0" w:color="auto"/>
        <w:right w:val="none" w:sz="0" w:space="0" w:color="auto"/>
      </w:divBdr>
    </w:div>
    <w:div w:id="143933267">
      <w:bodyDiv w:val="1"/>
      <w:marLeft w:val="0"/>
      <w:marRight w:val="0"/>
      <w:marTop w:val="0"/>
      <w:marBottom w:val="0"/>
      <w:divBdr>
        <w:top w:val="none" w:sz="0" w:space="0" w:color="auto"/>
        <w:left w:val="none" w:sz="0" w:space="0" w:color="auto"/>
        <w:bottom w:val="none" w:sz="0" w:space="0" w:color="auto"/>
        <w:right w:val="none" w:sz="0" w:space="0" w:color="auto"/>
      </w:divBdr>
    </w:div>
    <w:div w:id="144322764">
      <w:bodyDiv w:val="1"/>
      <w:marLeft w:val="0"/>
      <w:marRight w:val="0"/>
      <w:marTop w:val="0"/>
      <w:marBottom w:val="0"/>
      <w:divBdr>
        <w:top w:val="none" w:sz="0" w:space="0" w:color="auto"/>
        <w:left w:val="none" w:sz="0" w:space="0" w:color="auto"/>
        <w:bottom w:val="none" w:sz="0" w:space="0" w:color="auto"/>
        <w:right w:val="none" w:sz="0" w:space="0" w:color="auto"/>
      </w:divBdr>
    </w:div>
    <w:div w:id="144400269">
      <w:bodyDiv w:val="1"/>
      <w:marLeft w:val="0"/>
      <w:marRight w:val="0"/>
      <w:marTop w:val="0"/>
      <w:marBottom w:val="0"/>
      <w:divBdr>
        <w:top w:val="none" w:sz="0" w:space="0" w:color="auto"/>
        <w:left w:val="none" w:sz="0" w:space="0" w:color="auto"/>
        <w:bottom w:val="none" w:sz="0" w:space="0" w:color="auto"/>
        <w:right w:val="none" w:sz="0" w:space="0" w:color="auto"/>
      </w:divBdr>
    </w:div>
    <w:div w:id="147553114">
      <w:bodyDiv w:val="1"/>
      <w:marLeft w:val="0"/>
      <w:marRight w:val="0"/>
      <w:marTop w:val="0"/>
      <w:marBottom w:val="0"/>
      <w:divBdr>
        <w:top w:val="none" w:sz="0" w:space="0" w:color="auto"/>
        <w:left w:val="none" w:sz="0" w:space="0" w:color="auto"/>
        <w:bottom w:val="none" w:sz="0" w:space="0" w:color="auto"/>
        <w:right w:val="none" w:sz="0" w:space="0" w:color="auto"/>
      </w:divBdr>
    </w:div>
    <w:div w:id="148984873">
      <w:bodyDiv w:val="1"/>
      <w:marLeft w:val="0"/>
      <w:marRight w:val="0"/>
      <w:marTop w:val="0"/>
      <w:marBottom w:val="0"/>
      <w:divBdr>
        <w:top w:val="none" w:sz="0" w:space="0" w:color="auto"/>
        <w:left w:val="none" w:sz="0" w:space="0" w:color="auto"/>
        <w:bottom w:val="none" w:sz="0" w:space="0" w:color="auto"/>
        <w:right w:val="none" w:sz="0" w:space="0" w:color="auto"/>
      </w:divBdr>
    </w:div>
    <w:div w:id="159472068">
      <w:bodyDiv w:val="1"/>
      <w:marLeft w:val="0"/>
      <w:marRight w:val="0"/>
      <w:marTop w:val="0"/>
      <w:marBottom w:val="0"/>
      <w:divBdr>
        <w:top w:val="none" w:sz="0" w:space="0" w:color="auto"/>
        <w:left w:val="none" w:sz="0" w:space="0" w:color="auto"/>
        <w:bottom w:val="none" w:sz="0" w:space="0" w:color="auto"/>
        <w:right w:val="none" w:sz="0" w:space="0" w:color="auto"/>
      </w:divBdr>
    </w:div>
    <w:div w:id="162285034">
      <w:bodyDiv w:val="1"/>
      <w:marLeft w:val="0"/>
      <w:marRight w:val="0"/>
      <w:marTop w:val="0"/>
      <w:marBottom w:val="0"/>
      <w:divBdr>
        <w:top w:val="none" w:sz="0" w:space="0" w:color="auto"/>
        <w:left w:val="none" w:sz="0" w:space="0" w:color="auto"/>
        <w:bottom w:val="none" w:sz="0" w:space="0" w:color="auto"/>
        <w:right w:val="none" w:sz="0" w:space="0" w:color="auto"/>
      </w:divBdr>
    </w:div>
    <w:div w:id="162823961">
      <w:bodyDiv w:val="1"/>
      <w:marLeft w:val="0"/>
      <w:marRight w:val="0"/>
      <w:marTop w:val="0"/>
      <w:marBottom w:val="0"/>
      <w:divBdr>
        <w:top w:val="none" w:sz="0" w:space="0" w:color="auto"/>
        <w:left w:val="none" w:sz="0" w:space="0" w:color="auto"/>
        <w:bottom w:val="none" w:sz="0" w:space="0" w:color="auto"/>
        <w:right w:val="none" w:sz="0" w:space="0" w:color="auto"/>
      </w:divBdr>
    </w:div>
    <w:div w:id="163515114">
      <w:bodyDiv w:val="1"/>
      <w:marLeft w:val="0"/>
      <w:marRight w:val="0"/>
      <w:marTop w:val="0"/>
      <w:marBottom w:val="0"/>
      <w:divBdr>
        <w:top w:val="none" w:sz="0" w:space="0" w:color="auto"/>
        <w:left w:val="none" w:sz="0" w:space="0" w:color="auto"/>
        <w:bottom w:val="none" w:sz="0" w:space="0" w:color="auto"/>
        <w:right w:val="none" w:sz="0" w:space="0" w:color="auto"/>
      </w:divBdr>
    </w:div>
    <w:div w:id="164439738">
      <w:bodyDiv w:val="1"/>
      <w:marLeft w:val="0"/>
      <w:marRight w:val="0"/>
      <w:marTop w:val="0"/>
      <w:marBottom w:val="0"/>
      <w:divBdr>
        <w:top w:val="none" w:sz="0" w:space="0" w:color="auto"/>
        <w:left w:val="none" w:sz="0" w:space="0" w:color="auto"/>
        <w:bottom w:val="none" w:sz="0" w:space="0" w:color="auto"/>
        <w:right w:val="none" w:sz="0" w:space="0" w:color="auto"/>
      </w:divBdr>
    </w:div>
    <w:div w:id="165051180">
      <w:bodyDiv w:val="1"/>
      <w:marLeft w:val="0"/>
      <w:marRight w:val="0"/>
      <w:marTop w:val="0"/>
      <w:marBottom w:val="0"/>
      <w:divBdr>
        <w:top w:val="none" w:sz="0" w:space="0" w:color="auto"/>
        <w:left w:val="none" w:sz="0" w:space="0" w:color="auto"/>
        <w:bottom w:val="none" w:sz="0" w:space="0" w:color="auto"/>
        <w:right w:val="none" w:sz="0" w:space="0" w:color="auto"/>
      </w:divBdr>
    </w:div>
    <w:div w:id="166987676">
      <w:bodyDiv w:val="1"/>
      <w:marLeft w:val="0"/>
      <w:marRight w:val="0"/>
      <w:marTop w:val="0"/>
      <w:marBottom w:val="0"/>
      <w:divBdr>
        <w:top w:val="none" w:sz="0" w:space="0" w:color="auto"/>
        <w:left w:val="none" w:sz="0" w:space="0" w:color="auto"/>
        <w:bottom w:val="none" w:sz="0" w:space="0" w:color="auto"/>
        <w:right w:val="none" w:sz="0" w:space="0" w:color="auto"/>
      </w:divBdr>
    </w:div>
    <w:div w:id="170068785">
      <w:bodyDiv w:val="1"/>
      <w:marLeft w:val="0"/>
      <w:marRight w:val="0"/>
      <w:marTop w:val="0"/>
      <w:marBottom w:val="0"/>
      <w:divBdr>
        <w:top w:val="none" w:sz="0" w:space="0" w:color="auto"/>
        <w:left w:val="none" w:sz="0" w:space="0" w:color="auto"/>
        <w:bottom w:val="none" w:sz="0" w:space="0" w:color="auto"/>
        <w:right w:val="none" w:sz="0" w:space="0" w:color="auto"/>
      </w:divBdr>
    </w:div>
    <w:div w:id="171452146">
      <w:bodyDiv w:val="1"/>
      <w:marLeft w:val="0"/>
      <w:marRight w:val="0"/>
      <w:marTop w:val="0"/>
      <w:marBottom w:val="0"/>
      <w:divBdr>
        <w:top w:val="none" w:sz="0" w:space="0" w:color="auto"/>
        <w:left w:val="none" w:sz="0" w:space="0" w:color="auto"/>
        <w:bottom w:val="none" w:sz="0" w:space="0" w:color="auto"/>
        <w:right w:val="none" w:sz="0" w:space="0" w:color="auto"/>
      </w:divBdr>
    </w:div>
    <w:div w:id="171722918">
      <w:bodyDiv w:val="1"/>
      <w:marLeft w:val="0"/>
      <w:marRight w:val="0"/>
      <w:marTop w:val="0"/>
      <w:marBottom w:val="0"/>
      <w:divBdr>
        <w:top w:val="none" w:sz="0" w:space="0" w:color="auto"/>
        <w:left w:val="none" w:sz="0" w:space="0" w:color="auto"/>
        <w:bottom w:val="none" w:sz="0" w:space="0" w:color="auto"/>
        <w:right w:val="none" w:sz="0" w:space="0" w:color="auto"/>
      </w:divBdr>
    </w:div>
    <w:div w:id="172762905">
      <w:bodyDiv w:val="1"/>
      <w:marLeft w:val="0"/>
      <w:marRight w:val="0"/>
      <w:marTop w:val="0"/>
      <w:marBottom w:val="0"/>
      <w:divBdr>
        <w:top w:val="none" w:sz="0" w:space="0" w:color="auto"/>
        <w:left w:val="none" w:sz="0" w:space="0" w:color="auto"/>
        <w:bottom w:val="none" w:sz="0" w:space="0" w:color="auto"/>
        <w:right w:val="none" w:sz="0" w:space="0" w:color="auto"/>
      </w:divBdr>
    </w:div>
    <w:div w:id="173033544">
      <w:bodyDiv w:val="1"/>
      <w:marLeft w:val="0"/>
      <w:marRight w:val="0"/>
      <w:marTop w:val="0"/>
      <w:marBottom w:val="0"/>
      <w:divBdr>
        <w:top w:val="none" w:sz="0" w:space="0" w:color="auto"/>
        <w:left w:val="none" w:sz="0" w:space="0" w:color="auto"/>
        <w:bottom w:val="none" w:sz="0" w:space="0" w:color="auto"/>
        <w:right w:val="none" w:sz="0" w:space="0" w:color="auto"/>
      </w:divBdr>
    </w:div>
    <w:div w:id="174467872">
      <w:bodyDiv w:val="1"/>
      <w:marLeft w:val="0"/>
      <w:marRight w:val="0"/>
      <w:marTop w:val="0"/>
      <w:marBottom w:val="0"/>
      <w:divBdr>
        <w:top w:val="none" w:sz="0" w:space="0" w:color="auto"/>
        <w:left w:val="none" w:sz="0" w:space="0" w:color="auto"/>
        <w:bottom w:val="none" w:sz="0" w:space="0" w:color="auto"/>
        <w:right w:val="none" w:sz="0" w:space="0" w:color="auto"/>
      </w:divBdr>
    </w:div>
    <w:div w:id="177961637">
      <w:bodyDiv w:val="1"/>
      <w:marLeft w:val="0"/>
      <w:marRight w:val="0"/>
      <w:marTop w:val="0"/>
      <w:marBottom w:val="0"/>
      <w:divBdr>
        <w:top w:val="none" w:sz="0" w:space="0" w:color="auto"/>
        <w:left w:val="none" w:sz="0" w:space="0" w:color="auto"/>
        <w:bottom w:val="none" w:sz="0" w:space="0" w:color="auto"/>
        <w:right w:val="none" w:sz="0" w:space="0" w:color="auto"/>
      </w:divBdr>
    </w:div>
    <w:div w:id="178856204">
      <w:bodyDiv w:val="1"/>
      <w:marLeft w:val="0"/>
      <w:marRight w:val="0"/>
      <w:marTop w:val="0"/>
      <w:marBottom w:val="0"/>
      <w:divBdr>
        <w:top w:val="none" w:sz="0" w:space="0" w:color="auto"/>
        <w:left w:val="none" w:sz="0" w:space="0" w:color="auto"/>
        <w:bottom w:val="none" w:sz="0" w:space="0" w:color="auto"/>
        <w:right w:val="none" w:sz="0" w:space="0" w:color="auto"/>
      </w:divBdr>
    </w:div>
    <w:div w:id="179126453">
      <w:bodyDiv w:val="1"/>
      <w:marLeft w:val="0"/>
      <w:marRight w:val="0"/>
      <w:marTop w:val="0"/>
      <w:marBottom w:val="0"/>
      <w:divBdr>
        <w:top w:val="none" w:sz="0" w:space="0" w:color="auto"/>
        <w:left w:val="none" w:sz="0" w:space="0" w:color="auto"/>
        <w:bottom w:val="none" w:sz="0" w:space="0" w:color="auto"/>
        <w:right w:val="none" w:sz="0" w:space="0" w:color="auto"/>
      </w:divBdr>
    </w:div>
    <w:div w:id="182131414">
      <w:bodyDiv w:val="1"/>
      <w:marLeft w:val="0"/>
      <w:marRight w:val="0"/>
      <w:marTop w:val="0"/>
      <w:marBottom w:val="0"/>
      <w:divBdr>
        <w:top w:val="none" w:sz="0" w:space="0" w:color="auto"/>
        <w:left w:val="none" w:sz="0" w:space="0" w:color="auto"/>
        <w:bottom w:val="none" w:sz="0" w:space="0" w:color="auto"/>
        <w:right w:val="none" w:sz="0" w:space="0" w:color="auto"/>
      </w:divBdr>
    </w:div>
    <w:div w:id="186603983">
      <w:bodyDiv w:val="1"/>
      <w:marLeft w:val="0"/>
      <w:marRight w:val="0"/>
      <w:marTop w:val="0"/>
      <w:marBottom w:val="0"/>
      <w:divBdr>
        <w:top w:val="none" w:sz="0" w:space="0" w:color="auto"/>
        <w:left w:val="none" w:sz="0" w:space="0" w:color="auto"/>
        <w:bottom w:val="none" w:sz="0" w:space="0" w:color="auto"/>
        <w:right w:val="none" w:sz="0" w:space="0" w:color="auto"/>
      </w:divBdr>
    </w:div>
    <w:div w:id="186721735">
      <w:bodyDiv w:val="1"/>
      <w:marLeft w:val="0"/>
      <w:marRight w:val="0"/>
      <w:marTop w:val="0"/>
      <w:marBottom w:val="0"/>
      <w:divBdr>
        <w:top w:val="none" w:sz="0" w:space="0" w:color="auto"/>
        <w:left w:val="none" w:sz="0" w:space="0" w:color="auto"/>
        <w:bottom w:val="none" w:sz="0" w:space="0" w:color="auto"/>
        <w:right w:val="none" w:sz="0" w:space="0" w:color="auto"/>
      </w:divBdr>
    </w:div>
    <w:div w:id="187182055">
      <w:bodyDiv w:val="1"/>
      <w:marLeft w:val="0"/>
      <w:marRight w:val="0"/>
      <w:marTop w:val="0"/>
      <w:marBottom w:val="0"/>
      <w:divBdr>
        <w:top w:val="none" w:sz="0" w:space="0" w:color="auto"/>
        <w:left w:val="none" w:sz="0" w:space="0" w:color="auto"/>
        <w:bottom w:val="none" w:sz="0" w:space="0" w:color="auto"/>
        <w:right w:val="none" w:sz="0" w:space="0" w:color="auto"/>
      </w:divBdr>
    </w:div>
    <w:div w:id="189998206">
      <w:bodyDiv w:val="1"/>
      <w:marLeft w:val="0"/>
      <w:marRight w:val="0"/>
      <w:marTop w:val="0"/>
      <w:marBottom w:val="0"/>
      <w:divBdr>
        <w:top w:val="none" w:sz="0" w:space="0" w:color="auto"/>
        <w:left w:val="none" w:sz="0" w:space="0" w:color="auto"/>
        <w:bottom w:val="none" w:sz="0" w:space="0" w:color="auto"/>
        <w:right w:val="none" w:sz="0" w:space="0" w:color="auto"/>
      </w:divBdr>
    </w:div>
    <w:div w:id="192352356">
      <w:bodyDiv w:val="1"/>
      <w:marLeft w:val="0"/>
      <w:marRight w:val="0"/>
      <w:marTop w:val="0"/>
      <w:marBottom w:val="0"/>
      <w:divBdr>
        <w:top w:val="none" w:sz="0" w:space="0" w:color="auto"/>
        <w:left w:val="none" w:sz="0" w:space="0" w:color="auto"/>
        <w:bottom w:val="none" w:sz="0" w:space="0" w:color="auto"/>
        <w:right w:val="none" w:sz="0" w:space="0" w:color="auto"/>
      </w:divBdr>
    </w:div>
    <w:div w:id="196432772">
      <w:bodyDiv w:val="1"/>
      <w:marLeft w:val="0"/>
      <w:marRight w:val="0"/>
      <w:marTop w:val="0"/>
      <w:marBottom w:val="0"/>
      <w:divBdr>
        <w:top w:val="none" w:sz="0" w:space="0" w:color="auto"/>
        <w:left w:val="none" w:sz="0" w:space="0" w:color="auto"/>
        <w:bottom w:val="none" w:sz="0" w:space="0" w:color="auto"/>
        <w:right w:val="none" w:sz="0" w:space="0" w:color="auto"/>
      </w:divBdr>
    </w:div>
    <w:div w:id="197476347">
      <w:bodyDiv w:val="1"/>
      <w:marLeft w:val="0"/>
      <w:marRight w:val="0"/>
      <w:marTop w:val="0"/>
      <w:marBottom w:val="0"/>
      <w:divBdr>
        <w:top w:val="none" w:sz="0" w:space="0" w:color="auto"/>
        <w:left w:val="none" w:sz="0" w:space="0" w:color="auto"/>
        <w:bottom w:val="none" w:sz="0" w:space="0" w:color="auto"/>
        <w:right w:val="none" w:sz="0" w:space="0" w:color="auto"/>
      </w:divBdr>
    </w:div>
    <w:div w:id="198394750">
      <w:bodyDiv w:val="1"/>
      <w:marLeft w:val="0"/>
      <w:marRight w:val="0"/>
      <w:marTop w:val="0"/>
      <w:marBottom w:val="0"/>
      <w:divBdr>
        <w:top w:val="none" w:sz="0" w:space="0" w:color="auto"/>
        <w:left w:val="none" w:sz="0" w:space="0" w:color="auto"/>
        <w:bottom w:val="none" w:sz="0" w:space="0" w:color="auto"/>
        <w:right w:val="none" w:sz="0" w:space="0" w:color="auto"/>
      </w:divBdr>
    </w:div>
    <w:div w:id="201290605">
      <w:bodyDiv w:val="1"/>
      <w:marLeft w:val="0"/>
      <w:marRight w:val="0"/>
      <w:marTop w:val="0"/>
      <w:marBottom w:val="0"/>
      <w:divBdr>
        <w:top w:val="none" w:sz="0" w:space="0" w:color="auto"/>
        <w:left w:val="none" w:sz="0" w:space="0" w:color="auto"/>
        <w:bottom w:val="none" w:sz="0" w:space="0" w:color="auto"/>
        <w:right w:val="none" w:sz="0" w:space="0" w:color="auto"/>
      </w:divBdr>
    </w:div>
    <w:div w:id="205266311">
      <w:bodyDiv w:val="1"/>
      <w:marLeft w:val="0"/>
      <w:marRight w:val="0"/>
      <w:marTop w:val="0"/>
      <w:marBottom w:val="0"/>
      <w:divBdr>
        <w:top w:val="none" w:sz="0" w:space="0" w:color="auto"/>
        <w:left w:val="none" w:sz="0" w:space="0" w:color="auto"/>
        <w:bottom w:val="none" w:sz="0" w:space="0" w:color="auto"/>
        <w:right w:val="none" w:sz="0" w:space="0" w:color="auto"/>
      </w:divBdr>
    </w:div>
    <w:div w:id="210071894">
      <w:bodyDiv w:val="1"/>
      <w:marLeft w:val="0"/>
      <w:marRight w:val="0"/>
      <w:marTop w:val="0"/>
      <w:marBottom w:val="0"/>
      <w:divBdr>
        <w:top w:val="none" w:sz="0" w:space="0" w:color="auto"/>
        <w:left w:val="none" w:sz="0" w:space="0" w:color="auto"/>
        <w:bottom w:val="none" w:sz="0" w:space="0" w:color="auto"/>
        <w:right w:val="none" w:sz="0" w:space="0" w:color="auto"/>
      </w:divBdr>
    </w:div>
    <w:div w:id="210113183">
      <w:bodyDiv w:val="1"/>
      <w:marLeft w:val="0"/>
      <w:marRight w:val="0"/>
      <w:marTop w:val="0"/>
      <w:marBottom w:val="0"/>
      <w:divBdr>
        <w:top w:val="none" w:sz="0" w:space="0" w:color="auto"/>
        <w:left w:val="none" w:sz="0" w:space="0" w:color="auto"/>
        <w:bottom w:val="none" w:sz="0" w:space="0" w:color="auto"/>
        <w:right w:val="none" w:sz="0" w:space="0" w:color="auto"/>
      </w:divBdr>
    </w:div>
    <w:div w:id="212621621">
      <w:bodyDiv w:val="1"/>
      <w:marLeft w:val="0"/>
      <w:marRight w:val="0"/>
      <w:marTop w:val="0"/>
      <w:marBottom w:val="0"/>
      <w:divBdr>
        <w:top w:val="none" w:sz="0" w:space="0" w:color="auto"/>
        <w:left w:val="none" w:sz="0" w:space="0" w:color="auto"/>
        <w:bottom w:val="none" w:sz="0" w:space="0" w:color="auto"/>
        <w:right w:val="none" w:sz="0" w:space="0" w:color="auto"/>
      </w:divBdr>
    </w:div>
    <w:div w:id="216867213">
      <w:bodyDiv w:val="1"/>
      <w:marLeft w:val="0"/>
      <w:marRight w:val="0"/>
      <w:marTop w:val="0"/>
      <w:marBottom w:val="0"/>
      <w:divBdr>
        <w:top w:val="none" w:sz="0" w:space="0" w:color="auto"/>
        <w:left w:val="none" w:sz="0" w:space="0" w:color="auto"/>
        <w:bottom w:val="none" w:sz="0" w:space="0" w:color="auto"/>
        <w:right w:val="none" w:sz="0" w:space="0" w:color="auto"/>
      </w:divBdr>
    </w:div>
    <w:div w:id="222912813">
      <w:bodyDiv w:val="1"/>
      <w:marLeft w:val="0"/>
      <w:marRight w:val="0"/>
      <w:marTop w:val="0"/>
      <w:marBottom w:val="0"/>
      <w:divBdr>
        <w:top w:val="none" w:sz="0" w:space="0" w:color="auto"/>
        <w:left w:val="none" w:sz="0" w:space="0" w:color="auto"/>
        <w:bottom w:val="none" w:sz="0" w:space="0" w:color="auto"/>
        <w:right w:val="none" w:sz="0" w:space="0" w:color="auto"/>
      </w:divBdr>
    </w:div>
    <w:div w:id="228155648">
      <w:bodyDiv w:val="1"/>
      <w:marLeft w:val="0"/>
      <w:marRight w:val="0"/>
      <w:marTop w:val="0"/>
      <w:marBottom w:val="0"/>
      <w:divBdr>
        <w:top w:val="none" w:sz="0" w:space="0" w:color="auto"/>
        <w:left w:val="none" w:sz="0" w:space="0" w:color="auto"/>
        <w:bottom w:val="none" w:sz="0" w:space="0" w:color="auto"/>
        <w:right w:val="none" w:sz="0" w:space="0" w:color="auto"/>
      </w:divBdr>
    </w:div>
    <w:div w:id="228349059">
      <w:bodyDiv w:val="1"/>
      <w:marLeft w:val="0"/>
      <w:marRight w:val="0"/>
      <w:marTop w:val="0"/>
      <w:marBottom w:val="0"/>
      <w:divBdr>
        <w:top w:val="none" w:sz="0" w:space="0" w:color="auto"/>
        <w:left w:val="none" w:sz="0" w:space="0" w:color="auto"/>
        <w:bottom w:val="none" w:sz="0" w:space="0" w:color="auto"/>
        <w:right w:val="none" w:sz="0" w:space="0" w:color="auto"/>
      </w:divBdr>
    </w:div>
    <w:div w:id="230775770">
      <w:bodyDiv w:val="1"/>
      <w:marLeft w:val="0"/>
      <w:marRight w:val="0"/>
      <w:marTop w:val="0"/>
      <w:marBottom w:val="0"/>
      <w:divBdr>
        <w:top w:val="none" w:sz="0" w:space="0" w:color="auto"/>
        <w:left w:val="none" w:sz="0" w:space="0" w:color="auto"/>
        <w:bottom w:val="none" w:sz="0" w:space="0" w:color="auto"/>
        <w:right w:val="none" w:sz="0" w:space="0" w:color="auto"/>
      </w:divBdr>
    </w:div>
    <w:div w:id="233665823">
      <w:bodyDiv w:val="1"/>
      <w:marLeft w:val="0"/>
      <w:marRight w:val="0"/>
      <w:marTop w:val="0"/>
      <w:marBottom w:val="0"/>
      <w:divBdr>
        <w:top w:val="none" w:sz="0" w:space="0" w:color="auto"/>
        <w:left w:val="none" w:sz="0" w:space="0" w:color="auto"/>
        <w:bottom w:val="none" w:sz="0" w:space="0" w:color="auto"/>
        <w:right w:val="none" w:sz="0" w:space="0" w:color="auto"/>
      </w:divBdr>
    </w:div>
    <w:div w:id="235012739">
      <w:bodyDiv w:val="1"/>
      <w:marLeft w:val="0"/>
      <w:marRight w:val="0"/>
      <w:marTop w:val="0"/>
      <w:marBottom w:val="0"/>
      <w:divBdr>
        <w:top w:val="none" w:sz="0" w:space="0" w:color="auto"/>
        <w:left w:val="none" w:sz="0" w:space="0" w:color="auto"/>
        <w:bottom w:val="none" w:sz="0" w:space="0" w:color="auto"/>
        <w:right w:val="none" w:sz="0" w:space="0" w:color="auto"/>
      </w:divBdr>
    </w:div>
    <w:div w:id="237136942">
      <w:bodyDiv w:val="1"/>
      <w:marLeft w:val="0"/>
      <w:marRight w:val="0"/>
      <w:marTop w:val="0"/>
      <w:marBottom w:val="0"/>
      <w:divBdr>
        <w:top w:val="none" w:sz="0" w:space="0" w:color="auto"/>
        <w:left w:val="none" w:sz="0" w:space="0" w:color="auto"/>
        <w:bottom w:val="none" w:sz="0" w:space="0" w:color="auto"/>
        <w:right w:val="none" w:sz="0" w:space="0" w:color="auto"/>
      </w:divBdr>
    </w:div>
    <w:div w:id="238443623">
      <w:bodyDiv w:val="1"/>
      <w:marLeft w:val="0"/>
      <w:marRight w:val="0"/>
      <w:marTop w:val="0"/>
      <w:marBottom w:val="0"/>
      <w:divBdr>
        <w:top w:val="none" w:sz="0" w:space="0" w:color="auto"/>
        <w:left w:val="none" w:sz="0" w:space="0" w:color="auto"/>
        <w:bottom w:val="none" w:sz="0" w:space="0" w:color="auto"/>
        <w:right w:val="none" w:sz="0" w:space="0" w:color="auto"/>
      </w:divBdr>
    </w:div>
    <w:div w:id="242105434">
      <w:bodyDiv w:val="1"/>
      <w:marLeft w:val="0"/>
      <w:marRight w:val="0"/>
      <w:marTop w:val="0"/>
      <w:marBottom w:val="0"/>
      <w:divBdr>
        <w:top w:val="none" w:sz="0" w:space="0" w:color="auto"/>
        <w:left w:val="none" w:sz="0" w:space="0" w:color="auto"/>
        <w:bottom w:val="none" w:sz="0" w:space="0" w:color="auto"/>
        <w:right w:val="none" w:sz="0" w:space="0" w:color="auto"/>
      </w:divBdr>
    </w:div>
    <w:div w:id="243994582">
      <w:bodyDiv w:val="1"/>
      <w:marLeft w:val="0"/>
      <w:marRight w:val="0"/>
      <w:marTop w:val="0"/>
      <w:marBottom w:val="0"/>
      <w:divBdr>
        <w:top w:val="none" w:sz="0" w:space="0" w:color="auto"/>
        <w:left w:val="none" w:sz="0" w:space="0" w:color="auto"/>
        <w:bottom w:val="none" w:sz="0" w:space="0" w:color="auto"/>
        <w:right w:val="none" w:sz="0" w:space="0" w:color="auto"/>
      </w:divBdr>
    </w:div>
    <w:div w:id="248581053">
      <w:bodyDiv w:val="1"/>
      <w:marLeft w:val="0"/>
      <w:marRight w:val="0"/>
      <w:marTop w:val="0"/>
      <w:marBottom w:val="0"/>
      <w:divBdr>
        <w:top w:val="none" w:sz="0" w:space="0" w:color="auto"/>
        <w:left w:val="none" w:sz="0" w:space="0" w:color="auto"/>
        <w:bottom w:val="none" w:sz="0" w:space="0" w:color="auto"/>
        <w:right w:val="none" w:sz="0" w:space="0" w:color="auto"/>
      </w:divBdr>
    </w:div>
    <w:div w:id="249316760">
      <w:bodyDiv w:val="1"/>
      <w:marLeft w:val="0"/>
      <w:marRight w:val="0"/>
      <w:marTop w:val="0"/>
      <w:marBottom w:val="0"/>
      <w:divBdr>
        <w:top w:val="none" w:sz="0" w:space="0" w:color="auto"/>
        <w:left w:val="none" w:sz="0" w:space="0" w:color="auto"/>
        <w:bottom w:val="none" w:sz="0" w:space="0" w:color="auto"/>
        <w:right w:val="none" w:sz="0" w:space="0" w:color="auto"/>
      </w:divBdr>
    </w:div>
    <w:div w:id="249512124">
      <w:bodyDiv w:val="1"/>
      <w:marLeft w:val="0"/>
      <w:marRight w:val="0"/>
      <w:marTop w:val="0"/>
      <w:marBottom w:val="0"/>
      <w:divBdr>
        <w:top w:val="none" w:sz="0" w:space="0" w:color="auto"/>
        <w:left w:val="none" w:sz="0" w:space="0" w:color="auto"/>
        <w:bottom w:val="none" w:sz="0" w:space="0" w:color="auto"/>
        <w:right w:val="none" w:sz="0" w:space="0" w:color="auto"/>
      </w:divBdr>
    </w:div>
    <w:div w:id="250244157">
      <w:bodyDiv w:val="1"/>
      <w:marLeft w:val="0"/>
      <w:marRight w:val="0"/>
      <w:marTop w:val="0"/>
      <w:marBottom w:val="0"/>
      <w:divBdr>
        <w:top w:val="none" w:sz="0" w:space="0" w:color="auto"/>
        <w:left w:val="none" w:sz="0" w:space="0" w:color="auto"/>
        <w:bottom w:val="none" w:sz="0" w:space="0" w:color="auto"/>
        <w:right w:val="none" w:sz="0" w:space="0" w:color="auto"/>
      </w:divBdr>
    </w:div>
    <w:div w:id="253783585">
      <w:bodyDiv w:val="1"/>
      <w:marLeft w:val="0"/>
      <w:marRight w:val="0"/>
      <w:marTop w:val="0"/>
      <w:marBottom w:val="0"/>
      <w:divBdr>
        <w:top w:val="none" w:sz="0" w:space="0" w:color="auto"/>
        <w:left w:val="none" w:sz="0" w:space="0" w:color="auto"/>
        <w:bottom w:val="none" w:sz="0" w:space="0" w:color="auto"/>
        <w:right w:val="none" w:sz="0" w:space="0" w:color="auto"/>
      </w:divBdr>
    </w:div>
    <w:div w:id="254679087">
      <w:bodyDiv w:val="1"/>
      <w:marLeft w:val="0"/>
      <w:marRight w:val="0"/>
      <w:marTop w:val="0"/>
      <w:marBottom w:val="0"/>
      <w:divBdr>
        <w:top w:val="none" w:sz="0" w:space="0" w:color="auto"/>
        <w:left w:val="none" w:sz="0" w:space="0" w:color="auto"/>
        <w:bottom w:val="none" w:sz="0" w:space="0" w:color="auto"/>
        <w:right w:val="none" w:sz="0" w:space="0" w:color="auto"/>
      </w:divBdr>
    </w:div>
    <w:div w:id="255208722">
      <w:bodyDiv w:val="1"/>
      <w:marLeft w:val="0"/>
      <w:marRight w:val="0"/>
      <w:marTop w:val="0"/>
      <w:marBottom w:val="0"/>
      <w:divBdr>
        <w:top w:val="none" w:sz="0" w:space="0" w:color="auto"/>
        <w:left w:val="none" w:sz="0" w:space="0" w:color="auto"/>
        <w:bottom w:val="none" w:sz="0" w:space="0" w:color="auto"/>
        <w:right w:val="none" w:sz="0" w:space="0" w:color="auto"/>
      </w:divBdr>
    </w:div>
    <w:div w:id="255284154">
      <w:bodyDiv w:val="1"/>
      <w:marLeft w:val="0"/>
      <w:marRight w:val="0"/>
      <w:marTop w:val="0"/>
      <w:marBottom w:val="0"/>
      <w:divBdr>
        <w:top w:val="none" w:sz="0" w:space="0" w:color="auto"/>
        <w:left w:val="none" w:sz="0" w:space="0" w:color="auto"/>
        <w:bottom w:val="none" w:sz="0" w:space="0" w:color="auto"/>
        <w:right w:val="none" w:sz="0" w:space="0" w:color="auto"/>
      </w:divBdr>
    </w:div>
    <w:div w:id="263540518">
      <w:bodyDiv w:val="1"/>
      <w:marLeft w:val="0"/>
      <w:marRight w:val="0"/>
      <w:marTop w:val="0"/>
      <w:marBottom w:val="0"/>
      <w:divBdr>
        <w:top w:val="none" w:sz="0" w:space="0" w:color="auto"/>
        <w:left w:val="none" w:sz="0" w:space="0" w:color="auto"/>
        <w:bottom w:val="none" w:sz="0" w:space="0" w:color="auto"/>
        <w:right w:val="none" w:sz="0" w:space="0" w:color="auto"/>
      </w:divBdr>
    </w:div>
    <w:div w:id="264314818">
      <w:bodyDiv w:val="1"/>
      <w:marLeft w:val="0"/>
      <w:marRight w:val="0"/>
      <w:marTop w:val="0"/>
      <w:marBottom w:val="0"/>
      <w:divBdr>
        <w:top w:val="none" w:sz="0" w:space="0" w:color="auto"/>
        <w:left w:val="none" w:sz="0" w:space="0" w:color="auto"/>
        <w:bottom w:val="none" w:sz="0" w:space="0" w:color="auto"/>
        <w:right w:val="none" w:sz="0" w:space="0" w:color="auto"/>
      </w:divBdr>
    </w:div>
    <w:div w:id="266545890">
      <w:bodyDiv w:val="1"/>
      <w:marLeft w:val="0"/>
      <w:marRight w:val="0"/>
      <w:marTop w:val="0"/>
      <w:marBottom w:val="0"/>
      <w:divBdr>
        <w:top w:val="none" w:sz="0" w:space="0" w:color="auto"/>
        <w:left w:val="none" w:sz="0" w:space="0" w:color="auto"/>
        <w:bottom w:val="none" w:sz="0" w:space="0" w:color="auto"/>
        <w:right w:val="none" w:sz="0" w:space="0" w:color="auto"/>
      </w:divBdr>
    </w:div>
    <w:div w:id="267466598">
      <w:bodyDiv w:val="1"/>
      <w:marLeft w:val="0"/>
      <w:marRight w:val="0"/>
      <w:marTop w:val="0"/>
      <w:marBottom w:val="0"/>
      <w:divBdr>
        <w:top w:val="none" w:sz="0" w:space="0" w:color="auto"/>
        <w:left w:val="none" w:sz="0" w:space="0" w:color="auto"/>
        <w:bottom w:val="none" w:sz="0" w:space="0" w:color="auto"/>
        <w:right w:val="none" w:sz="0" w:space="0" w:color="auto"/>
      </w:divBdr>
    </w:div>
    <w:div w:id="269774775">
      <w:bodyDiv w:val="1"/>
      <w:marLeft w:val="0"/>
      <w:marRight w:val="0"/>
      <w:marTop w:val="0"/>
      <w:marBottom w:val="0"/>
      <w:divBdr>
        <w:top w:val="none" w:sz="0" w:space="0" w:color="auto"/>
        <w:left w:val="none" w:sz="0" w:space="0" w:color="auto"/>
        <w:bottom w:val="none" w:sz="0" w:space="0" w:color="auto"/>
        <w:right w:val="none" w:sz="0" w:space="0" w:color="auto"/>
      </w:divBdr>
    </w:div>
    <w:div w:id="272984067">
      <w:bodyDiv w:val="1"/>
      <w:marLeft w:val="0"/>
      <w:marRight w:val="0"/>
      <w:marTop w:val="0"/>
      <w:marBottom w:val="0"/>
      <w:divBdr>
        <w:top w:val="none" w:sz="0" w:space="0" w:color="auto"/>
        <w:left w:val="none" w:sz="0" w:space="0" w:color="auto"/>
        <w:bottom w:val="none" w:sz="0" w:space="0" w:color="auto"/>
        <w:right w:val="none" w:sz="0" w:space="0" w:color="auto"/>
      </w:divBdr>
    </w:div>
    <w:div w:id="274793002">
      <w:bodyDiv w:val="1"/>
      <w:marLeft w:val="0"/>
      <w:marRight w:val="0"/>
      <w:marTop w:val="0"/>
      <w:marBottom w:val="0"/>
      <w:divBdr>
        <w:top w:val="none" w:sz="0" w:space="0" w:color="auto"/>
        <w:left w:val="none" w:sz="0" w:space="0" w:color="auto"/>
        <w:bottom w:val="none" w:sz="0" w:space="0" w:color="auto"/>
        <w:right w:val="none" w:sz="0" w:space="0" w:color="auto"/>
      </w:divBdr>
    </w:div>
    <w:div w:id="276715291">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278029897">
      <w:bodyDiv w:val="1"/>
      <w:marLeft w:val="0"/>
      <w:marRight w:val="0"/>
      <w:marTop w:val="0"/>
      <w:marBottom w:val="0"/>
      <w:divBdr>
        <w:top w:val="none" w:sz="0" w:space="0" w:color="auto"/>
        <w:left w:val="none" w:sz="0" w:space="0" w:color="auto"/>
        <w:bottom w:val="none" w:sz="0" w:space="0" w:color="auto"/>
        <w:right w:val="none" w:sz="0" w:space="0" w:color="auto"/>
      </w:divBdr>
    </w:div>
    <w:div w:id="279335844">
      <w:bodyDiv w:val="1"/>
      <w:marLeft w:val="0"/>
      <w:marRight w:val="0"/>
      <w:marTop w:val="0"/>
      <w:marBottom w:val="0"/>
      <w:divBdr>
        <w:top w:val="none" w:sz="0" w:space="0" w:color="auto"/>
        <w:left w:val="none" w:sz="0" w:space="0" w:color="auto"/>
        <w:bottom w:val="none" w:sz="0" w:space="0" w:color="auto"/>
        <w:right w:val="none" w:sz="0" w:space="0" w:color="auto"/>
      </w:divBdr>
    </w:div>
    <w:div w:id="280454985">
      <w:bodyDiv w:val="1"/>
      <w:marLeft w:val="0"/>
      <w:marRight w:val="0"/>
      <w:marTop w:val="0"/>
      <w:marBottom w:val="0"/>
      <w:divBdr>
        <w:top w:val="none" w:sz="0" w:space="0" w:color="auto"/>
        <w:left w:val="none" w:sz="0" w:space="0" w:color="auto"/>
        <w:bottom w:val="none" w:sz="0" w:space="0" w:color="auto"/>
        <w:right w:val="none" w:sz="0" w:space="0" w:color="auto"/>
      </w:divBdr>
    </w:div>
    <w:div w:id="282275875">
      <w:bodyDiv w:val="1"/>
      <w:marLeft w:val="0"/>
      <w:marRight w:val="0"/>
      <w:marTop w:val="0"/>
      <w:marBottom w:val="0"/>
      <w:divBdr>
        <w:top w:val="none" w:sz="0" w:space="0" w:color="auto"/>
        <w:left w:val="none" w:sz="0" w:space="0" w:color="auto"/>
        <w:bottom w:val="none" w:sz="0" w:space="0" w:color="auto"/>
        <w:right w:val="none" w:sz="0" w:space="0" w:color="auto"/>
      </w:divBdr>
    </w:div>
    <w:div w:id="282540803">
      <w:bodyDiv w:val="1"/>
      <w:marLeft w:val="0"/>
      <w:marRight w:val="0"/>
      <w:marTop w:val="0"/>
      <w:marBottom w:val="0"/>
      <w:divBdr>
        <w:top w:val="none" w:sz="0" w:space="0" w:color="auto"/>
        <w:left w:val="none" w:sz="0" w:space="0" w:color="auto"/>
        <w:bottom w:val="none" w:sz="0" w:space="0" w:color="auto"/>
        <w:right w:val="none" w:sz="0" w:space="0" w:color="auto"/>
      </w:divBdr>
    </w:div>
    <w:div w:id="283460422">
      <w:bodyDiv w:val="1"/>
      <w:marLeft w:val="0"/>
      <w:marRight w:val="0"/>
      <w:marTop w:val="0"/>
      <w:marBottom w:val="0"/>
      <w:divBdr>
        <w:top w:val="none" w:sz="0" w:space="0" w:color="auto"/>
        <w:left w:val="none" w:sz="0" w:space="0" w:color="auto"/>
        <w:bottom w:val="none" w:sz="0" w:space="0" w:color="auto"/>
        <w:right w:val="none" w:sz="0" w:space="0" w:color="auto"/>
      </w:divBdr>
    </w:div>
    <w:div w:id="284428599">
      <w:bodyDiv w:val="1"/>
      <w:marLeft w:val="0"/>
      <w:marRight w:val="0"/>
      <w:marTop w:val="0"/>
      <w:marBottom w:val="0"/>
      <w:divBdr>
        <w:top w:val="none" w:sz="0" w:space="0" w:color="auto"/>
        <w:left w:val="none" w:sz="0" w:space="0" w:color="auto"/>
        <w:bottom w:val="none" w:sz="0" w:space="0" w:color="auto"/>
        <w:right w:val="none" w:sz="0" w:space="0" w:color="auto"/>
      </w:divBdr>
    </w:div>
    <w:div w:id="286277500">
      <w:bodyDiv w:val="1"/>
      <w:marLeft w:val="0"/>
      <w:marRight w:val="0"/>
      <w:marTop w:val="0"/>
      <w:marBottom w:val="0"/>
      <w:divBdr>
        <w:top w:val="none" w:sz="0" w:space="0" w:color="auto"/>
        <w:left w:val="none" w:sz="0" w:space="0" w:color="auto"/>
        <w:bottom w:val="none" w:sz="0" w:space="0" w:color="auto"/>
        <w:right w:val="none" w:sz="0" w:space="0" w:color="auto"/>
      </w:divBdr>
    </w:div>
    <w:div w:id="286353394">
      <w:bodyDiv w:val="1"/>
      <w:marLeft w:val="0"/>
      <w:marRight w:val="0"/>
      <w:marTop w:val="0"/>
      <w:marBottom w:val="0"/>
      <w:divBdr>
        <w:top w:val="none" w:sz="0" w:space="0" w:color="auto"/>
        <w:left w:val="none" w:sz="0" w:space="0" w:color="auto"/>
        <w:bottom w:val="none" w:sz="0" w:space="0" w:color="auto"/>
        <w:right w:val="none" w:sz="0" w:space="0" w:color="auto"/>
      </w:divBdr>
    </w:div>
    <w:div w:id="289483507">
      <w:bodyDiv w:val="1"/>
      <w:marLeft w:val="0"/>
      <w:marRight w:val="0"/>
      <w:marTop w:val="0"/>
      <w:marBottom w:val="0"/>
      <w:divBdr>
        <w:top w:val="none" w:sz="0" w:space="0" w:color="auto"/>
        <w:left w:val="none" w:sz="0" w:space="0" w:color="auto"/>
        <w:bottom w:val="none" w:sz="0" w:space="0" w:color="auto"/>
        <w:right w:val="none" w:sz="0" w:space="0" w:color="auto"/>
      </w:divBdr>
    </w:div>
    <w:div w:id="290014812">
      <w:bodyDiv w:val="1"/>
      <w:marLeft w:val="0"/>
      <w:marRight w:val="0"/>
      <w:marTop w:val="0"/>
      <w:marBottom w:val="0"/>
      <w:divBdr>
        <w:top w:val="none" w:sz="0" w:space="0" w:color="auto"/>
        <w:left w:val="none" w:sz="0" w:space="0" w:color="auto"/>
        <w:bottom w:val="none" w:sz="0" w:space="0" w:color="auto"/>
        <w:right w:val="none" w:sz="0" w:space="0" w:color="auto"/>
      </w:divBdr>
    </w:div>
    <w:div w:id="292442405">
      <w:bodyDiv w:val="1"/>
      <w:marLeft w:val="0"/>
      <w:marRight w:val="0"/>
      <w:marTop w:val="0"/>
      <w:marBottom w:val="0"/>
      <w:divBdr>
        <w:top w:val="none" w:sz="0" w:space="0" w:color="auto"/>
        <w:left w:val="none" w:sz="0" w:space="0" w:color="auto"/>
        <w:bottom w:val="none" w:sz="0" w:space="0" w:color="auto"/>
        <w:right w:val="none" w:sz="0" w:space="0" w:color="auto"/>
      </w:divBdr>
    </w:div>
    <w:div w:id="293101731">
      <w:bodyDiv w:val="1"/>
      <w:marLeft w:val="0"/>
      <w:marRight w:val="0"/>
      <w:marTop w:val="0"/>
      <w:marBottom w:val="0"/>
      <w:divBdr>
        <w:top w:val="none" w:sz="0" w:space="0" w:color="auto"/>
        <w:left w:val="none" w:sz="0" w:space="0" w:color="auto"/>
        <w:bottom w:val="none" w:sz="0" w:space="0" w:color="auto"/>
        <w:right w:val="none" w:sz="0" w:space="0" w:color="auto"/>
      </w:divBdr>
    </w:div>
    <w:div w:id="294456933">
      <w:bodyDiv w:val="1"/>
      <w:marLeft w:val="0"/>
      <w:marRight w:val="0"/>
      <w:marTop w:val="0"/>
      <w:marBottom w:val="0"/>
      <w:divBdr>
        <w:top w:val="none" w:sz="0" w:space="0" w:color="auto"/>
        <w:left w:val="none" w:sz="0" w:space="0" w:color="auto"/>
        <w:bottom w:val="none" w:sz="0" w:space="0" w:color="auto"/>
        <w:right w:val="none" w:sz="0" w:space="0" w:color="auto"/>
      </w:divBdr>
    </w:div>
    <w:div w:id="298150517">
      <w:bodyDiv w:val="1"/>
      <w:marLeft w:val="0"/>
      <w:marRight w:val="0"/>
      <w:marTop w:val="0"/>
      <w:marBottom w:val="0"/>
      <w:divBdr>
        <w:top w:val="none" w:sz="0" w:space="0" w:color="auto"/>
        <w:left w:val="none" w:sz="0" w:space="0" w:color="auto"/>
        <w:bottom w:val="none" w:sz="0" w:space="0" w:color="auto"/>
        <w:right w:val="none" w:sz="0" w:space="0" w:color="auto"/>
      </w:divBdr>
    </w:div>
    <w:div w:id="304941357">
      <w:bodyDiv w:val="1"/>
      <w:marLeft w:val="0"/>
      <w:marRight w:val="0"/>
      <w:marTop w:val="0"/>
      <w:marBottom w:val="0"/>
      <w:divBdr>
        <w:top w:val="none" w:sz="0" w:space="0" w:color="auto"/>
        <w:left w:val="none" w:sz="0" w:space="0" w:color="auto"/>
        <w:bottom w:val="none" w:sz="0" w:space="0" w:color="auto"/>
        <w:right w:val="none" w:sz="0" w:space="0" w:color="auto"/>
      </w:divBdr>
    </w:div>
    <w:div w:id="310519863">
      <w:bodyDiv w:val="1"/>
      <w:marLeft w:val="0"/>
      <w:marRight w:val="0"/>
      <w:marTop w:val="0"/>
      <w:marBottom w:val="0"/>
      <w:divBdr>
        <w:top w:val="none" w:sz="0" w:space="0" w:color="auto"/>
        <w:left w:val="none" w:sz="0" w:space="0" w:color="auto"/>
        <w:bottom w:val="none" w:sz="0" w:space="0" w:color="auto"/>
        <w:right w:val="none" w:sz="0" w:space="0" w:color="auto"/>
      </w:divBdr>
    </w:div>
    <w:div w:id="316613658">
      <w:bodyDiv w:val="1"/>
      <w:marLeft w:val="0"/>
      <w:marRight w:val="0"/>
      <w:marTop w:val="0"/>
      <w:marBottom w:val="0"/>
      <w:divBdr>
        <w:top w:val="none" w:sz="0" w:space="0" w:color="auto"/>
        <w:left w:val="none" w:sz="0" w:space="0" w:color="auto"/>
        <w:bottom w:val="none" w:sz="0" w:space="0" w:color="auto"/>
        <w:right w:val="none" w:sz="0" w:space="0" w:color="auto"/>
      </w:divBdr>
    </w:div>
    <w:div w:id="316880239">
      <w:bodyDiv w:val="1"/>
      <w:marLeft w:val="0"/>
      <w:marRight w:val="0"/>
      <w:marTop w:val="0"/>
      <w:marBottom w:val="0"/>
      <w:divBdr>
        <w:top w:val="none" w:sz="0" w:space="0" w:color="auto"/>
        <w:left w:val="none" w:sz="0" w:space="0" w:color="auto"/>
        <w:bottom w:val="none" w:sz="0" w:space="0" w:color="auto"/>
        <w:right w:val="none" w:sz="0" w:space="0" w:color="auto"/>
      </w:divBdr>
    </w:div>
    <w:div w:id="320164578">
      <w:bodyDiv w:val="1"/>
      <w:marLeft w:val="0"/>
      <w:marRight w:val="0"/>
      <w:marTop w:val="0"/>
      <w:marBottom w:val="0"/>
      <w:divBdr>
        <w:top w:val="none" w:sz="0" w:space="0" w:color="auto"/>
        <w:left w:val="none" w:sz="0" w:space="0" w:color="auto"/>
        <w:bottom w:val="none" w:sz="0" w:space="0" w:color="auto"/>
        <w:right w:val="none" w:sz="0" w:space="0" w:color="auto"/>
      </w:divBdr>
    </w:div>
    <w:div w:id="321742909">
      <w:bodyDiv w:val="1"/>
      <w:marLeft w:val="0"/>
      <w:marRight w:val="0"/>
      <w:marTop w:val="0"/>
      <w:marBottom w:val="0"/>
      <w:divBdr>
        <w:top w:val="none" w:sz="0" w:space="0" w:color="auto"/>
        <w:left w:val="none" w:sz="0" w:space="0" w:color="auto"/>
        <w:bottom w:val="none" w:sz="0" w:space="0" w:color="auto"/>
        <w:right w:val="none" w:sz="0" w:space="0" w:color="auto"/>
      </w:divBdr>
    </w:div>
    <w:div w:id="322468556">
      <w:bodyDiv w:val="1"/>
      <w:marLeft w:val="0"/>
      <w:marRight w:val="0"/>
      <w:marTop w:val="0"/>
      <w:marBottom w:val="0"/>
      <w:divBdr>
        <w:top w:val="none" w:sz="0" w:space="0" w:color="auto"/>
        <w:left w:val="none" w:sz="0" w:space="0" w:color="auto"/>
        <w:bottom w:val="none" w:sz="0" w:space="0" w:color="auto"/>
        <w:right w:val="none" w:sz="0" w:space="0" w:color="auto"/>
      </w:divBdr>
    </w:div>
    <w:div w:id="323514828">
      <w:bodyDiv w:val="1"/>
      <w:marLeft w:val="0"/>
      <w:marRight w:val="0"/>
      <w:marTop w:val="0"/>
      <w:marBottom w:val="0"/>
      <w:divBdr>
        <w:top w:val="none" w:sz="0" w:space="0" w:color="auto"/>
        <w:left w:val="none" w:sz="0" w:space="0" w:color="auto"/>
        <w:bottom w:val="none" w:sz="0" w:space="0" w:color="auto"/>
        <w:right w:val="none" w:sz="0" w:space="0" w:color="auto"/>
      </w:divBdr>
    </w:div>
    <w:div w:id="326518055">
      <w:bodyDiv w:val="1"/>
      <w:marLeft w:val="0"/>
      <w:marRight w:val="0"/>
      <w:marTop w:val="0"/>
      <w:marBottom w:val="0"/>
      <w:divBdr>
        <w:top w:val="none" w:sz="0" w:space="0" w:color="auto"/>
        <w:left w:val="none" w:sz="0" w:space="0" w:color="auto"/>
        <w:bottom w:val="none" w:sz="0" w:space="0" w:color="auto"/>
        <w:right w:val="none" w:sz="0" w:space="0" w:color="auto"/>
      </w:divBdr>
    </w:div>
    <w:div w:id="333151923">
      <w:bodyDiv w:val="1"/>
      <w:marLeft w:val="0"/>
      <w:marRight w:val="0"/>
      <w:marTop w:val="0"/>
      <w:marBottom w:val="0"/>
      <w:divBdr>
        <w:top w:val="none" w:sz="0" w:space="0" w:color="auto"/>
        <w:left w:val="none" w:sz="0" w:space="0" w:color="auto"/>
        <w:bottom w:val="none" w:sz="0" w:space="0" w:color="auto"/>
        <w:right w:val="none" w:sz="0" w:space="0" w:color="auto"/>
      </w:divBdr>
    </w:div>
    <w:div w:id="334576549">
      <w:bodyDiv w:val="1"/>
      <w:marLeft w:val="0"/>
      <w:marRight w:val="0"/>
      <w:marTop w:val="0"/>
      <w:marBottom w:val="0"/>
      <w:divBdr>
        <w:top w:val="none" w:sz="0" w:space="0" w:color="auto"/>
        <w:left w:val="none" w:sz="0" w:space="0" w:color="auto"/>
        <w:bottom w:val="none" w:sz="0" w:space="0" w:color="auto"/>
        <w:right w:val="none" w:sz="0" w:space="0" w:color="auto"/>
      </w:divBdr>
    </w:div>
    <w:div w:id="335308332">
      <w:bodyDiv w:val="1"/>
      <w:marLeft w:val="0"/>
      <w:marRight w:val="0"/>
      <w:marTop w:val="0"/>
      <w:marBottom w:val="0"/>
      <w:divBdr>
        <w:top w:val="none" w:sz="0" w:space="0" w:color="auto"/>
        <w:left w:val="none" w:sz="0" w:space="0" w:color="auto"/>
        <w:bottom w:val="none" w:sz="0" w:space="0" w:color="auto"/>
        <w:right w:val="none" w:sz="0" w:space="0" w:color="auto"/>
      </w:divBdr>
    </w:div>
    <w:div w:id="335422961">
      <w:bodyDiv w:val="1"/>
      <w:marLeft w:val="0"/>
      <w:marRight w:val="0"/>
      <w:marTop w:val="0"/>
      <w:marBottom w:val="0"/>
      <w:divBdr>
        <w:top w:val="none" w:sz="0" w:space="0" w:color="auto"/>
        <w:left w:val="none" w:sz="0" w:space="0" w:color="auto"/>
        <w:bottom w:val="none" w:sz="0" w:space="0" w:color="auto"/>
        <w:right w:val="none" w:sz="0" w:space="0" w:color="auto"/>
      </w:divBdr>
    </w:div>
    <w:div w:id="337851362">
      <w:bodyDiv w:val="1"/>
      <w:marLeft w:val="0"/>
      <w:marRight w:val="0"/>
      <w:marTop w:val="0"/>
      <w:marBottom w:val="0"/>
      <w:divBdr>
        <w:top w:val="none" w:sz="0" w:space="0" w:color="auto"/>
        <w:left w:val="none" w:sz="0" w:space="0" w:color="auto"/>
        <w:bottom w:val="none" w:sz="0" w:space="0" w:color="auto"/>
        <w:right w:val="none" w:sz="0" w:space="0" w:color="auto"/>
      </w:divBdr>
    </w:div>
    <w:div w:id="343897742">
      <w:bodyDiv w:val="1"/>
      <w:marLeft w:val="0"/>
      <w:marRight w:val="0"/>
      <w:marTop w:val="0"/>
      <w:marBottom w:val="0"/>
      <w:divBdr>
        <w:top w:val="none" w:sz="0" w:space="0" w:color="auto"/>
        <w:left w:val="none" w:sz="0" w:space="0" w:color="auto"/>
        <w:bottom w:val="none" w:sz="0" w:space="0" w:color="auto"/>
        <w:right w:val="none" w:sz="0" w:space="0" w:color="auto"/>
      </w:divBdr>
    </w:div>
    <w:div w:id="344943452">
      <w:bodyDiv w:val="1"/>
      <w:marLeft w:val="0"/>
      <w:marRight w:val="0"/>
      <w:marTop w:val="0"/>
      <w:marBottom w:val="0"/>
      <w:divBdr>
        <w:top w:val="none" w:sz="0" w:space="0" w:color="auto"/>
        <w:left w:val="none" w:sz="0" w:space="0" w:color="auto"/>
        <w:bottom w:val="none" w:sz="0" w:space="0" w:color="auto"/>
        <w:right w:val="none" w:sz="0" w:space="0" w:color="auto"/>
      </w:divBdr>
    </w:div>
    <w:div w:id="346324896">
      <w:bodyDiv w:val="1"/>
      <w:marLeft w:val="0"/>
      <w:marRight w:val="0"/>
      <w:marTop w:val="0"/>
      <w:marBottom w:val="0"/>
      <w:divBdr>
        <w:top w:val="none" w:sz="0" w:space="0" w:color="auto"/>
        <w:left w:val="none" w:sz="0" w:space="0" w:color="auto"/>
        <w:bottom w:val="none" w:sz="0" w:space="0" w:color="auto"/>
        <w:right w:val="none" w:sz="0" w:space="0" w:color="auto"/>
      </w:divBdr>
    </w:div>
    <w:div w:id="348290655">
      <w:bodyDiv w:val="1"/>
      <w:marLeft w:val="0"/>
      <w:marRight w:val="0"/>
      <w:marTop w:val="0"/>
      <w:marBottom w:val="0"/>
      <w:divBdr>
        <w:top w:val="none" w:sz="0" w:space="0" w:color="auto"/>
        <w:left w:val="none" w:sz="0" w:space="0" w:color="auto"/>
        <w:bottom w:val="none" w:sz="0" w:space="0" w:color="auto"/>
        <w:right w:val="none" w:sz="0" w:space="0" w:color="auto"/>
      </w:divBdr>
    </w:div>
    <w:div w:id="351418338">
      <w:bodyDiv w:val="1"/>
      <w:marLeft w:val="0"/>
      <w:marRight w:val="0"/>
      <w:marTop w:val="0"/>
      <w:marBottom w:val="0"/>
      <w:divBdr>
        <w:top w:val="none" w:sz="0" w:space="0" w:color="auto"/>
        <w:left w:val="none" w:sz="0" w:space="0" w:color="auto"/>
        <w:bottom w:val="none" w:sz="0" w:space="0" w:color="auto"/>
        <w:right w:val="none" w:sz="0" w:space="0" w:color="auto"/>
      </w:divBdr>
    </w:div>
    <w:div w:id="353196848">
      <w:bodyDiv w:val="1"/>
      <w:marLeft w:val="0"/>
      <w:marRight w:val="0"/>
      <w:marTop w:val="0"/>
      <w:marBottom w:val="0"/>
      <w:divBdr>
        <w:top w:val="none" w:sz="0" w:space="0" w:color="auto"/>
        <w:left w:val="none" w:sz="0" w:space="0" w:color="auto"/>
        <w:bottom w:val="none" w:sz="0" w:space="0" w:color="auto"/>
        <w:right w:val="none" w:sz="0" w:space="0" w:color="auto"/>
      </w:divBdr>
    </w:div>
    <w:div w:id="354692163">
      <w:bodyDiv w:val="1"/>
      <w:marLeft w:val="0"/>
      <w:marRight w:val="0"/>
      <w:marTop w:val="0"/>
      <w:marBottom w:val="0"/>
      <w:divBdr>
        <w:top w:val="none" w:sz="0" w:space="0" w:color="auto"/>
        <w:left w:val="none" w:sz="0" w:space="0" w:color="auto"/>
        <w:bottom w:val="none" w:sz="0" w:space="0" w:color="auto"/>
        <w:right w:val="none" w:sz="0" w:space="0" w:color="auto"/>
      </w:divBdr>
    </w:div>
    <w:div w:id="355349031">
      <w:bodyDiv w:val="1"/>
      <w:marLeft w:val="0"/>
      <w:marRight w:val="0"/>
      <w:marTop w:val="0"/>
      <w:marBottom w:val="0"/>
      <w:divBdr>
        <w:top w:val="none" w:sz="0" w:space="0" w:color="auto"/>
        <w:left w:val="none" w:sz="0" w:space="0" w:color="auto"/>
        <w:bottom w:val="none" w:sz="0" w:space="0" w:color="auto"/>
        <w:right w:val="none" w:sz="0" w:space="0" w:color="auto"/>
      </w:divBdr>
    </w:div>
    <w:div w:id="359625136">
      <w:bodyDiv w:val="1"/>
      <w:marLeft w:val="0"/>
      <w:marRight w:val="0"/>
      <w:marTop w:val="0"/>
      <w:marBottom w:val="0"/>
      <w:divBdr>
        <w:top w:val="none" w:sz="0" w:space="0" w:color="auto"/>
        <w:left w:val="none" w:sz="0" w:space="0" w:color="auto"/>
        <w:bottom w:val="none" w:sz="0" w:space="0" w:color="auto"/>
        <w:right w:val="none" w:sz="0" w:space="0" w:color="auto"/>
      </w:divBdr>
    </w:div>
    <w:div w:id="364331872">
      <w:bodyDiv w:val="1"/>
      <w:marLeft w:val="0"/>
      <w:marRight w:val="0"/>
      <w:marTop w:val="0"/>
      <w:marBottom w:val="0"/>
      <w:divBdr>
        <w:top w:val="none" w:sz="0" w:space="0" w:color="auto"/>
        <w:left w:val="none" w:sz="0" w:space="0" w:color="auto"/>
        <w:bottom w:val="none" w:sz="0" w:space="0" w:color="auto"/>
        <w:right w:val="none" w:sz="0" w:space="0" w:color="auto"/>
      </w:divBdr>
    </w:div>
    <w:div w:id="365640992">
      <w:bodyDiv w:val="1"/>
      <w:marLeft w:val="0"/>
      <w:marRight w:val="0"/>
      <w:marTop w:val="0"/>
      <w:marBottom w:val="0"/>
      <w:divBdr>
        <w:top w:val="none" w:sz="0" w:space="0" w:color="auto"/>
        <w:left w:val="none" w:sz="0" w:space="0" w:color="auto"/>
        <w:bottom w:val="none" w:sz="0" w:space="0" w:color="auto"/>
        <w:right w:val="none" w:sz="0" w:space="0" w:color="auto"/>
      </w:divBdr>
    </w:div>
    <w:div w:id="370158273">
      <w:bodyDiv w:val="1"/>
      <w:marLeft w:val="0"/>
      <w:marRight w:val="0"/>
      <w:marTop w:val="0"/>
      <w:marBottom w:val="0"/>
      <w:divBdr>
        <w:top w:val="none" w:sz="0" w:space="0" w:color="auto"/>
        <w:left w:val="none" w:sz="0" w:space="0" w:color="auto"/>
        <w:bottom w:val="none" w:sz="0" w:space="0" w:color="auto"/>
        <w:right w:val="none" w:sz="0" w:space="0" w:color="auto"/>
      </w:divBdr>
    </w:div>
    <w:div w:id="371417898">
      <w:bodyDiv w:val="1"/>
      <w:marLeft w:val="0"/>
      <w:marRight w:val="0"/>
      <w:marTop w:val="0"/>
      <w:marBottom w:val="0"/>
      <w:divBdr>
        <w:top w:val="none" w:sz="0" w:space="0" w:color="auto"/>
        <w:left w:val="none" w:sz="0" w:space="0" w:color="auto"/>
        <w:bottom w:val="none" w:sz="0" w:space="0" w:color="auto"/>
        <w:right w:val="none" w:sz="0" w:space="0" w:color="auto"/>
      </w:divBdr>
    </w:div>
    <w:div w:id="372996449">
      <w:bodyDiv w:val="1"/>
      <w:marLeft w:val="0"/>
      <w:marRight w:val="0"/>
      <w:marTop w:val="0"/>
      <w:marBottom w:val="0"/>
      <w:divBdr>
        <w:top w:val="none" w:sz="0" w:space="0" w:color="auto"/>
        <w:left w:val="none" w:sz="0" w:space="0" w:color="auto"/>
        <w:bottom w:val="none" w:sz="0" w:space="0" w:color="auto"/>
        <w:right w:val="none" w:sz="0" w:space="0" w:color="auto"/>
      </w:divBdr>
    </w:div>
    <w:div w:id="380907378">
      <w:bodyDiv w:val="1"/>
      <w:marLeft w:val="0"/>
      <w:marRight w:val="0"/>
      <w:marTop w:val="0"/>
      <w:marBottom w:val="0"/>
      <w:divBdr>
        <w:top w:val="none" w:sz="0" w:space="0" w:color="auto"/>
        <w:left w:val="none" w:sz="0" w:space="0" w:color="auto"/>
        <w:bottom w:val="none" w:sz="0" w:space="0" w:color="auto"/>
        <w:right w:val="none" w:sz="0" w:space="0" w:color="auto"/>
      </w:divBdr>
    </w:div>
    <w:div w:id="382024082">
      <w:bodyDiv w:val="1"/>
      <w:marLeft w:val="0"/>
      <w:marRight w:val="0"/>
      <w:marTop w:val="0"/>
      <w:marBottom w:val="0"/>
      <w:divBdr>
        <w:top w:val="none" w:sz="0" w:space="0" w:color="auto"/>
        <w:left w:val="none" w:sz="0" w:space="0" w:color="auto"/>
        <w:bottom w:val="none" w:sz="0" w:space="0" w:color="auto"/>
        <w:right w:val="none" w:sz="0" w:space="0" w:color="auto"/>
      </w:divBdr>
    </w:div>
    <w:div w:id="386337490">
      <w:bodyDiv w:val="1"/>
      <w:marLeft w:val="0"/>
      <w:marRight w:val="0"/>
      <w:marTop w:val="0"/>
      <w:marBottom w:val="0"/>
      <w:divBdr>
        <w:top w:val="none" w:sz="0" w:space="0" w:color="auto"/>
        <w:left w:val="none" w:sz="0" w:space="0" w:color="auto"/>
        <w:bottom w:val="none" w:sz="0" w:space="0" w:color="auto"/>
        <w:right w:val="none" w:sz="0" w:space="0" w:color="auto"/>
      </w:divBdr>
    </w:div>
    <w:div w:id="386956041">
      <w:bodyDiv w:val="1"/>
      <w:marLeft w:val="0"/>
      <w:marRight w:val="0"/>
      <w:marTop w:val="0"/>
      <w:marBottom w:val="0"/>
      <w:divBdr>
        <w:top w:val="none" w:sz="0" w:space="0" w:color="auto"/>
        <w:left w:val="none" w:sz="0" w:space="0" w:color="auto"/>
        <w:bottom w:val="none" w:sz="0" w:space="0" w:color="auto"/>
        <w:right w:val="none" w:sz="0" w:space="0" w:color="auto"/>
      </w:divBdr>
    </w:div>
    <w:div w:id="387608072">
      <w:bodyDiv w:val="1"/>
      <w:marLeft w:val="0"/>
      <w:marRight w:val="0"/>
      <w:marTop w:val="0"/>
      <w:marBottom w:val="0"/>
      <w:divBdr>
        <w:top w:val="none" w:sz="0" w:space="0" w:color="auto"/>
        <w:left w:val="none" w:sz="0" w:space="0" w:color="auto"/>
        <w:bottom w:val="none" w:sz="0" w:space="0" w:color="auto"/>
        <w:right w:val="none" w:sz="0" w:space="0" w:color="auto"/>
      </w:divBdr>
    </w:div>
    <w:div w:id="388187558">
      <w:bodyDiv w:val="1"/>
      <w:marLeft w:val="0"/>
      <w:marRight w:val="0"/>
      <w:marTop w:val="0"/>
      <w:marBottom w:val="0"/>
      <w:divBdr>
        <w:top w:val="none" w:sz="0" w:space="0" w:color="auto"/>
        <w:left w:val="none" w:sz="0" w:space="0" w:color="auto"/>
        <w:bottom w:val="none" w:sz="0" w:space="0" w:color="auto"/>
        <w:right w:val="none" w:sz="0" w:space="0" w:color="auto"/>
      </w:divBdr>
    </w:div>
    <w:div w:id="388917295">
      <w:bodyDiv w:val="1"/>
      <w:marLeft w:val="0"/>
      <w:marRight w:val="0"/>
      <w:marTop w:val="0"/>
      <w:marBottom w:val="0"/>
      <w:divBdr>
        <w:top w:val="none" w:sz="0" w:space="0" w:color="auto"/>
        <w:left w:val="none" w:sz="0" w:space="0" w:color="auto"/>
        <w:bottom w:val="none" w:sz="0" w:space="0" w:color="auto"/>
        <w:right w:val="none" w:sz="0" w:space="0" w:color="auto"/>
      </w:divBdr>
    </w:div>
    <w:div w:id="395008772">
      <w:bodyDiv w:val="1"/>
      <w:marLeft w:val="0"/>
      <w:marRight w:val="0"/>
      <w:marTop w:val="0"/>
      <w:marBottom w:val="0"/>
      <w:divBdr>
        <w:top w:val="none" w:sz="0" w:space="0" w:color="auto"/>
        <w:left w:val="none" w:sz="0" w:space="0" w:color="auto"/>
        <w:bottom w:val="none" w:sz="0" w:space="0" w:color="auto"/>
        <w:right w:val="none" w:sz="0" w:space="0" w:color="auto"/>
      </w:divBdr>
    </w:div>
    <w:div w:id="397241853">
      <w:bodyDiv w:val="1"/>
      <w:marLeft w:val="0"/>
      <w:marRight w:val="0"/>
      <w:marTop w:val="0"/>
      <w:marBottom w:val="0"/>
      <w:divBdr>
        <w:top w:val="none" w:sz="0" w:space="0" w:color="auto"/>
        <w:left w:val="none" w:sz="0" w:space="0" w:color="auto"/>
        <w:bottom w:val="none" w:sz="0" w:space="0" w:color="auto"/>
        <w:right w:val="none" w:sz="0" w:space="0" w:color="auto"/>
      </w:divBdr>
    </w:div>
    <w:div w:id="398400773">
      <w:bodyDiv w:val="1"/>
      <w:marLeft w:val="0"/>
      <w:marRight w:val="0"/>
      <w:marTop w:val="0"/>
      <w:marBottom w:val="0"/>
      <w:divBdr>
        <w:top w:val="none" w:sz="0" w:space="0" w:color="auto"/>
        <w:left w:val="none" w:sz="0" w:space="0" w:color="auto"/>
        <w:bottom w:val="none" w:sz="0" w:space="0" w:color="auto"/>
        <w:right w:val="none" w:sz="0" w:space="0" w:color="auto"/>
      </w:divBdr>
    </w:div>
    <w:div w:id="401031454">
      <w:bodyDiv w:val="1"/>
      <w:marLeft w:val="0"/>
      <w:marRight w:val="0"/>
      <w:marTop w:val="0"/>
      <w:marBottom w:val="0"/>
      <w:divBdr>
        <w:top w:val="none" w:sz="0" w:space="0" w:color="auto"/>
        <w:left w:val="none" w:sz="0" w:space="0" w:color="auto"/>
        <w:bottom w:val="none" w:sz="0" w:space="0" w:color="auto"/>
        <w:right w:val="none" w:sz="0" w:space="0" w:color="auto"/>
      </w:divBdr>
    </w:div>
    <w:div w:id="402068553">
      <w:bodyDiv w:val="1"/>
      <w:marLeft w:val="0"/>
      <w:marRight w:val="0"/>
      <w:marTop w:val="0"/>
      <w:marBottom w:val="0"/>
      <w:divBdr>
        <w:top w:val="none" w:sz="0" w:space="0" w:color="auto"/>
        <w:left w:val="none" w:sz="0" w:space="0" w:color="auto"/>
        <w:bottom w:val="none" w:sz="0" w:space="0" w:color="auto"/>
        <w:right w:val="none" w:sz="0" w:space="0" w:color="auto"/>
      </w:divBdr>
    </w:div>
    <w:div w:id="403185423">
      <w:bodyDiv w:val="1"/>
      <w:marLeft w:val="0"/>
      <w:marRight w:val="0"/>
      <w:marTop w:val="0"/>
      <w:marBottom w:val="0"/>
      <w:divBdr>
        <w:top w:val="none" w:sz="0" w:space="0" w:color="auto"/>
        <w:left w:val="none" w:sz="0" w:space="0" w:color="auto"/>
        <w:bottom w:val="none" w:sz="0" w:space="0" w:color="auto"/>
        <w:right w:val="none" w:sz="0" w:space="0" w:color="auto"/>
      </w:divBdr>
    </w:div>
    <w:div w:id="404036326">
      <w:bodyDiv w:val="1"/>
      <w:marLeft w:val="0"/>
      <w:marRight w:val="0"/>
      <w:marTop w:val="0"/>
      <w:marBottom w:val="0"/>
      <w:divBdr>
        <w:top w:val="none" w:sz="0" w:space="0" w:color="auto"/>
        <w:left w:val="none" w:sz="0" w:space="0" w:color="auto"/>
        <w:bottom w:val="none" w:sz="0" w:space="0" w:color="auto"/>
        <w:right w:val="none" w:sz="0" w:space="0" w:color="auto"/>
      </w:divBdr>
    </w:div>
    <w:div w:id="405763855">
      <w:bodyDiv w:val="1"/>
      <w:marLeft w:val="0"/>
      <w:marRight w:val="0"/>
      <w:marTop w:val="0"/>
      <w:marBottom w:val="0"/>
      <w:divBdr>
        <w:top w:val="none" w:sz="0" w:space="0" w:color="auto"/>
        <w:left w:val="none" w:sz="0" w:space="0" w:color="auto"/>
        <w:bottom w:val="none" w:sz="0" w:space="0" w:color="auto"/>
        <w:right w:val="none" w:sz="0" w:space="0" w:color="auto"/>
      </w:divBdr>
    </w:div>
    <w:div w:id="407308408">
      <w:bodyDiv w:val="1"/>
      <w:marLeft w:val="0"/>
      <w:marRight w:val="0"/>
      <w:marTop w:val="0"/>
      <w:marBottom w:val="0"/>
      <w:divBdr>
        <w:top w:val="none" w:sz="0" w:space="0" w:color="auto"/>
        <w:left w:val="none" w:sz="0" w:space="0" w:color="auto"/>
        <w:bottom w:val="none" w:sz="0" w:space="0" w:color="auto"/>
        <w:right w:val="none" w:sz="0" w:space="0" w:color="auto"/>
      </w:divBdr>
    </w:div>
    <w:div w:id="409273368">
      <w:bodyDiv w:val="1"/>
      <w:marLeft w:val="0"/>
      <w:marRight w:val="0"/>
      <w:marTop w:val="0"/>
      <w:marBottom w:val="0"/>
      <w:divBdr>
        <w:top w:val="none" w:sz="0" w:space="0" w:color="auto"/>
        <w:left w:val="none" w:sz="0" w:space="0" w:color="auto"/>
        <w:bottom w:val="none" w:sz="0" w:space="0" w:color="auto"/>
        <w:right w:val="none" w:sz="0" w:space="0" w:color="auto"/>
      </w:divBdr>
    </w:div>
    <w:div w:id="412895868">
      <w:bodyDiv w:val="1"/>
      <w:marLeft w:val="0"/>
      <w:marRight w:val="0"/>
      <w:marTop w:val="0"/>
      <w:marBottom w:val="0"/>
      <w:divBdr>
        <w:top w:val="none" w:sz="0" w:space="0" w:color="auto"/>
        <w:left w:val="none" w:sz="0" w:space="0" w:color="auto"/>
        <w:bottom w:val="none" w:sz="0" w:space="0" w:color="auto"/>
        <w:right w:val="none" w:sz="0" w:space="0" w:color="auto"/>
      </w:divBdr>
    </w:div>
    <w:div w:id="421531740">
      <w:bodyDiv w:val="1"/>
      <w:marLeft w:val="0"/>
      <w:marRight w:val="0"/>
      <w:marTop w:val="0"/>
      <w:marBottom w:val="0"/>
      <w:divBdr>
        <w:top w:val="none" w:sz="0" w:space="0" w:color="auto"/>
        <w:left w:val="none" w:sz="0" w:space="0" w:color="auto"/>
        <w:bottom w:val="none" w:sz="0" w:space="0" w:color="auto"/>
        <w:right w:val="none" w:sz="0" w:space="0" w:color="auto"/>
      </w:divBdr>
    </w:div>
    <w:div w:id="424614922">
      <w:bodyDiv w:val="1"/>
      <w:marLeft w:val="0"/>
      <w:marRight w:val="0"/>
      <w:marTop w:val="0"/>
      <w:marBottom w:val="0"/>
      <w:divBdr>
        <w:top w:val="none" w:sz="0" w:space="0" w:color="auto"/>
        <w:left w:val="none" w:sz="0" w:space="0" w:color="auto"/>
        <w:bottom w:val="none" w:sz="0" w:space="0" w:color="auto"/>
        <w:right w:val="none" w:sz="0" w:space="0" w:color="auto"/>
      </w:divBdr>
    </w:div>
    <w:div w:id="426196190">
      <w:bodyDiv w:val="1"/>
      <w:marLeft w:val="0"/>
      <w:marRight w:val="0"/>
      <w:marTop w:val="0"/>
      <w:marBottom w:val="0"/>
      <w:divBdr>
        <w:top w:val="none" w:sz="0" w:space="0" w:color="auto"/>
        <w:left w:val="none" w:sz="0" w:space="0" w:color="auto"/>
        <w:bottom w:val="none" w:sz="0" w:space="0" w:color="auto"/>
        <w:right w:val="none" w:sz="0" w:space="0" w:color="auto"/>
      </w:divBdr>
    </w:div>
    <w:div w:id="426853057">
      <w:bodyDiv w:val="1"/>
      <w:marLeft w:val="0"/>
      <w:marRight w:val="0"/>
      <w:marTop w:val="0"/>
      <w:marBottom w:val="0"/>
      <w:divBdr>
        <w:top w:val="none" w:sz="0" w:space="0" w:color="auto"/>
        <w:left w:val="none" w:sz="0" w:space="0" w:color="auto"/>
        <w:bottom w:val="none" w:sz="0" w:space="0" w:color="auto"/>
        <w:right w:val="none" w:sz="0" w:space="0" w:color="auto"/>
      </w:divBdr>
    </w:div>
    <w:div w:id="429854356">
      <w:bodyDiv w:val="1"/>
      <w:marLeft w:val="0"/>
      <w:marRight w:val="0"/>
      <w:marTop w:val="0"/>
      <w:marBottom w:val="0"/>
      <w:divBdr>
        <w:top w:val="none" w:sz="0" w:space="0" w:color="auto"/>
        <w:left w:val="none" w:sz="0" w:space="0" w:color="auto"/>
        <w:bottom w:val="none" w:sz="0" w:space="0" w:color="auto"/>
        <w:right w:val="none" w:sz="0" w:space="0" w:color="auto"/>
      </w:divBdr>
    </w:div>
    <w:div w:id="431971595">
      <w:bodyDiv w:val="1"/>
      <w:marLeft w:val="0"/>
      <w:marRight w:val="0"/>
      <w:marTop w:val="0"/>
      <w:marBottom w:val="0"/>
      <w:divBdr>
        <w:top w:val="none" w:sz="0" w:space="0" w:color="auto"/>
        <w:left w:val="none" w:sz="0" w:space="0" w:color="auto"/>
        <w:bottom w:val="none" w:sz="0" w:space="0" w:color="auto"/>
        <w:right w:val="none" w:sz="0" w:space="0" w:color="auto"/>
      </w:divBdr>
    </w:div>
    <w:div w:id="432433142">
      <w:bodyDiv w:val="1"/>
      <w:marLeft w:val="0"/>
      <w:marRight w:val="0"/>
      <w:marTop w:val="0"/>
      <w:marBottom w:val="0"/>
      <w:divBdr>
        <w:top w:val="none" w:sz="0" w:space="0" w:color="auto"/>
        <w:left w:val="none" w:sz="0" w:space="0" w:color="auto"/>
        <w:bottom w:val="none" w:sz="0" w:space="0" w:color="auto"/>
        <w:right w:val="none" w:sz="0" w:space="0" w:color="auto"/>
      </w:divBdr>
    </w:div>
    <w:div w:id="437602374">
      <w:bodyDiv w:val="1"/>
      <w:marLeft w:val="0"/>
      <w:marRight w:val="0"/>
      <w:marTop w:val="0"/>
      <w:marBottom w:val="0"/>
      <w:divBdr>
        <w:top w:val="none" w:sz="0" w:space="0" w:color="auto"/>
        <w:left w:val="none" w:sz="0" w:space="0" w:color="auto"/>
        <w:bottom w:val="none" w:sz="0" w:space="0" w:color="auto"/>
        <w:right w:val="none" w:sz="0" w:space="0" w:color="auto"/>
      </w:divBdr>
    </w:div>
    <w:div w:id="437793133">
      <w:bodyDiv w:val="1"/>
      <w:marLeft w:val="0"/>
      <w:marRight w:val="0"/>
      <w:marTop w:val="0"/>
      <w:marBottom w:val="0"/>
      <w:divBdr>
        <w:top w:val="none" w:sz="0" w:space="0" w:color="auto"/>
        <w:left w:val="none" w:sz="0" w:space="0" w:color="auto"/>
        <w:bottom w:val="none" w:sz="0" w:space="0" w:color="auto"/>
        <w:right w:val="none" w:sz="0" w:space="0" w:color="auto"/>
      </w:divBdr>
    </w:div>
    <w:div w:id="438181358">
      <w:bodyDiv w:val="1"/>
      <w:marLeft w:val="0"/>
      <w:marRight w:val="0"/>
      <w:marTop w:val="0"/>
      <w:marBottom w:val="0"/>
      <w:divBdr>
        <w:top w:val="none" w:sz="0" w:space="0" w:color="auto"/>
        <w:left w:val="none" w:sz="0" w:space="0" w:color="auto"/>
        <w:bottom w:val="none" w:sz="0" w:space="0" w:color="auto"/>
        <w:right w:val="none" w:sz="0" w:space="0" w:color="auto"/>
      </w:divBdr>
    </w:div>
    <w:div w:id="440344221">
      <w:bodyDiv w:val="1"/>
      <w:marLeft w:val="0"/>
      <w:marRight w:val="0"/>
      <w:marTop w:val="0"/>
      <w:marBottom w:val="0"/>
      <w:divBdr>
        <w:top w:val="none" w:sz="0" w:space="0" w:color="auto"/>
        <w:left w:val="none" w:sz="0" w:space="0" w:color="auto"/>
        <w:bottom w:val="none" w:sz="0" w:space="0" w:color="auto"/>
        <w:right w:val="none" w:sz="0" w:space="0" w:color="auto"/>
      </w:divBdr>
    </w:div>
    <w:div w:id="444035717">
      <w:bodyDiv w:val="1"/>
      <w:marLeft w:val="0"/>
      <w:marRight w:val="0"/>
      <w:marTop w:val="0"/>
      <w:marBottom w:val="0"/>
      <w:divBdr>
        <w:top w:val="none" w:sz="0" w:space="0" w:color="auto"/>
        <w:left w:val="none" w:sz="0" w:space="0" w:color="auto"/>
        <w:bottom w:val="none" w:sz="0" w:space="0" w:color="auto"/>
        <w:right w:val="none" w:sz="0" w:space="0" w:color="auto"/>
      </w:divBdr>
    </w:div>
    <w:div w:id="447238305">
      <w:bodyDiv w:val="1"/>
      <w:marLeft w:val="0"/>
      <w:marRight w:val="0"/>
      <w:marTop w:val="0"/>
      <w:marBottom w:val="0"/>
      <w:divBdr>
        <w:top w:val="none" w:sz="0" w:space="0" w:color="auto"/>
        <w:left w:val="none" w:sz="0" w:space="0" w:color="auto"/>
        <w:bottom w:val="none" w:sz="0" w:space="0" w:color="auto"/>
        <w:right w:val="none" w:sz="0" w:space="0" w:color="auto"/>
      </w:divBdr>
    </w:div>
    <w:div w:id="448084331">
      <w:bodyDiv w:val="1"/>
      <w:marLeft w:val="0"/>
      <w:marRight w:val="0"/>
      <w:marTop w:val="0"/>
      <w:marBottom w:val="0"/>
      <w:divBdr>
        <w:top w:val="none" w:sz="0" w:space="0" w:color="auto"/>
        <w:left w:val="none" w:sz="0" w:space="0" w:color="auto"/>
        <w:bottom w:val="none" w:sz="0" w:space="0" w:color="auto"/>
        <w:right w:val="none" w:sz="0" w:space="0" w:color="auto"/>
      </w:divBdr>
    </w:div>
    <w:div w:id="450173451">
      <w:bodyDiv w:val="1"/>
      <w:marLeft w:val="0"/>
      <w:marRight w:val="0"/>
      <w:marTop w:val="0"/>
      <w:marBottom w:val="0"/>
      <w:divBdr>
        <w:top w:val="none" w:sz="0" w:space="0" w:color="auto"/>
        <w:left w:val="none" w:sz="0" w:space="0" w:color="auto"/>
        <w:bottom w:val="none" w:sz="0" w:space="0" w:color="auto"/>
        <w:right w:val="none" w:sz="0" w:space="0" w:color="auto"/>
      </w:divBdr>
    </w:div>
    <w:div w:id="452208772">
      <w:bodyDiv w:val="1"/>
      <w:marLeft w:val="0"/>
      <w:marRight w:val="0"/>
      <w:marTop w:val="0"/>
      <w:marBottom w:val="0"/>
      <w:divBdr>
        <w:top w:val="none" w:sz="0" w:space="0" w:color="auto"/>
        <w:left w:val="none" w:sz="0" w:space="0" w:color="auto"/>
        <w:bottom w:val="none" w:sz="0" w:space="0" w:color="auto"/>
        <w:right w:val="none" w:sz="0" w:space="0" w:color="auto"/>
      </w:divBdr>
    </w:div>
    <w:div w:id="457648088">
      <w:bodyDiv w:val="1"/>
      <w:marLeft w:val="0"/>
      <w:marRight w:val="0"/>
      <w:marTop w:val="0"/>
      <w:marBottom w:val="0"/>
      <w:divBdr>
        <w:top w:val="none" w:sz="0" w:space="0" w:color="auto"/>
        <w:left w:val="none" w:sz="0" w:space="0" w:color="auto"/>
        <w:bottom w:val="none" w:sz="0" w:space="0" w:color="auto"/>
        <w:right w:val="none" w:sz="0" w:space="0" w:color="auto"/>
      </w:divBdr>
    </w:div>
    <w:div w:id="462307976">
      <w:bodyDiv w:val="1"/>
      <w:marLeft w:val="0"/>
      <w:marRight w:val="0"/>
      <w:marTop w:val="0"/>
      <w:marBottom w:val="0"/>
      <w:divBdr>
        <w:top w:val="none" w:sz="0" w:space="0" w:color="auto"/>
        <w:left w:val="none" w:sz="0" w:space="0" w:color="auto"/>
        <w:bottom w:val="none" w:sz="0" w:space="0" w:color="auto"/>
        <w:right w:val="none" w:sz="0" w:space="0" w:color="auto"/>
      </w:divBdr>
    </w:div>
    <w:div w:id="464201317">
      <w:bodyDiv w:val="1"/>
      <w:marLeft w:val="0"/>
      <w:marRight w:val="0"/>
      <w:marTop w:val="0"/>
      <w:marBottom w:val="0"/>
      <w:divBdr>
        <w:top w:val="none" w:sz="0" w:space="0" w:color="auto"/>
        <w:left w:val="none" w:sz="0" w:space="0" w:color="auto"/>
        <w:bottom w:val="none" w:sz="0" w:space="0" w:color="auto"/>
        <w:right w:val="none" w:sz="0" w:space="0" w:color="auto"/>
      </w:divBdr>
    </w:div>
    <w:div w:id="466095534">
      <w:bodyDiv w:val="1"/>
      <w:marLeft w:val="0"/>
      <w:marRight w:val="0"/>
      <w:marTop w:val="0"/>
      <w:marBottom w:val="0"/>
      <w:divBdr>
        <w:top w:val="none" w:sz="0" w:space="0" w:color="auto"/>
        <w:left w:val="none" w:sz="0" w:space="0" w:color="auto"/>
        <w:bottom w:val="none" w:sz="0" w:space="0" w:color="auto"/>
        <w:right w:val="none" w:sz="0" w:space="0" w:color="auto"/>
      </w:divBdr>
    </w:div>
    <w:div w:id="469782510">
      <w:bodyDiv w:val="1"/>
      <w:marLeft w:val="0"/>
      <w:marRight w:val="0"/>
      <w:marTop w:val="0"/>
      <w:marBottom w:val="0"/>
      <w:divBdr>
        <w:top w:val="none" w:sz="0" w:space="0" w:color="auto"/>
        <w:left w:val="none" w:sz="0" w:space="0" w:color="auto"/>
        <w:bottom w:val="none" w:sz="0" w:space="0" w:color="auto"/>
        <w:right w:val="none" w:sz="0" w:space="0" w:color="auto"/>
      </w:divBdr>
    </w:div>
    <w:div w:id="472335158">
      <w:bodyDiv w:val="1"/>
      <w:marLeft w:val="0"/>
      <w:marRight w:val="0"/>
      <w:marTop w:val="0"/>
      <w:marBottom w:val="0"/>
      <w:divBdr>
        <w:top w:val="none" w:sz="0" w:space="0" w:color="auto"/>
        <w:left w:val="none" w:sz="0" w:space="0" w:color="auto"/>
        <w:bottom w:val="none" w:sz="0" w:space="0" w:color="auto"/>
        <w:right w:val="none" w:sz="0" w:space="0" w:color="auto"/>
      </w:divBdr>
    </w:div>
    <w:div w:id="474102211">
      <w:bodyDiv w:val="1"/>
      <w:marLeft w:val="0"/>
      <w:marRight w:val="0"/>
      <w:marTop w:val="0"/>
      <w:marBottom w:val="0"/>
      <w:divBdr>
        <w:top w:val="none" w:sz="0" w:space="0" w:color="auto"/>
        <w:left w:val="none" w:sz="0" w:space="0" w:color="auto"/>
        <w:bottom w:val="none" w:sz="0" w:space="0" w:color="auto"/>
        <w:right w:val="none" w:sz="0" w:space="0" w:color="auto"/>
      </w:divBdr>
    </w:div>
    <w:div w:id="475025559">
      <w:bodyDiv w:val="1"/>
      <w:marLeft w:val="0"/>
      <w:marRight w:val="0"/>
      <w:marTop w:val="0"/>
      <w:marBottom w:val="0"/>
      <w:divBdr>
        <w:top w:val="none" w:sz="0" w:space="0" w:color="auto"/>
        <w:left w:val="none" w:sz="0" w:space="0" w:color="auto"/>
        <w:bottom w:val="none" w:sz="0" w:space="0" w:color="auto"/>
        <w:right w:val="none" w:sz="0" w:space="0" w:color="auto"/>
      </w:divBdr>
    </w:div>
    <w:div w:id="475998426">
      <w:bodyDiv w:val="1"/>
      <w:marLeft w:val="0"/>
      <w:marRight w:val="0"/>
      <w:marTop w:val="0"/>
      <w:marBottom w:val="0"/>
      <w:divBdr>
        <w:top w:val="none" w:sz="0" w:space="0" w:color="auto"/>
        <w:left w:val="none" w:sz="0" w:space="0" w:color="auto"/>
        <w:bottom w:val="none" w:sz="0" w:space="0" w:color="auto"/>
        <w:right w:val="none" w:sz="0" w:space="0" w:color="auto"/>
      </w:divBdr>
    </w:div>
    <w:div w:id="476144667">
      <w:bodyDiv w:val="1"/>
      <w:marLeft w:val="0"/>
      <w:marRight w:val="0"/>
      <w:marTop w:val="0"/>
      <w:marBottom w:val="0"/>
      <w:divBdr>
        <w:top w:val="none" w:sz="0" w:space="0" w:color="auto"/>
        <w:left w:val="none" w:sz="0" w:space="0" w:color="auto"/>
        <w:bottom w:val="none" w:sz="0" w:space="0" w:color="auto"/>
        <w:right w:val="none" w:sz="0" w:space="0" w:color="auto"/>
      </w:divBdr>
    </w:div>
    <w:div w:id="476187674">
      <w:bodyDiv w:val="1"/>
      <w:marLeft w:val="0"/>
      <w:marRight w:val="0"/>
      <w:marTop w:val="0"/>
      <w:marBottom w:val="0"/>
      <w:divBdr>
        <w:top w:val="none" w:sz="0" w:space="0" w:color="auto"/>
        <w:left w:val="none" w:sz="0" w:space="0" w:color="auto"/>
        <w:bottom w:val="none" w:sz="0" w:space="0" w:color="auto"/>
        <w:right w:val="none" w:sz="0" w:space="0" w:color="auto"/>
      </w:divBdr>
    </w:div>
    <w:div w:id="481852772">
      <w:bodyDiv w:val="1"/>
      <w:marLeft w:val="0"/>
      <w:marRight w:val="0"/>
      <w:marTop w:val="0"/>
      <w:marBottom w:val="0"/>
      <w:divBdr>
        <w:top w:val="none" w:sz="0" w:space="0" w:color="auto"/>
        <w:left w:val="none" w:sz="0" w:space="0" w:color="auto"/>
        <w:bottom w:val="none" w:sz="0" w:space="0" w:color="auto"/>
        <w:right w:val="none" w:sz="0" w:space="0" w:color="auto"/>
      </w:divBdr>
    </w:div>
    <w:div w:id="482090661">
      <w:bodyDiv w:val="1"/>
      <w:marLeft w:val="0"/>
      <w:marRight w:val="0"/>
      <w:marTop w:val="0"/>
      <w:marBottom w:val="0"/>
      <w:divBdr>
        <w:top w:val="none" w:sz="0" w:space="0" w:color="auto"/>
        <w:left w:val="none" w:sz="0" w:space="0" w:color="auto"/>
        <w:bottom w:val="none" w:sz="0" w:space="0" w:color="auto"/>
        <w:right w:val="none" w:sz="0" w:space="0" w:color="auto"/>
      </w:divBdr>
    </w:div>
    <w:div w:id="484785469">
      <w:bodyDiv w:val="1"/>
      <w:marLeft w:val="0"/>
      <w:marRight w:val="0"/>
      <w:marTop w:val="0"/>
      <w:marBottom w:val="0"/>
      <w:divBdr>
        <w:top w:val="none" w:sz="0" w:space="0" w:color="auto"/>
        <w:left w:val="none" w:sz="0" w:space="0" w:color="auto"/>
        <w:bottom w:val="none" w:sz="0" w:space="0" w:color="auto"/>
        <w:right w:val="none" w:sz="0" w:space="0" w:color="auto"/>
      </w:divBdr>
    </w:div>
    <w:div w:id="487206652">
      <w:bodyDiv w:val="1"/>
      <w:marLeft w:val="0"/>
      <w:marRight w:val="0"/>
      <w:marTop w:val="0"/>
      <w:marBottom w:val="0"/>
      <w:divBdr>
        <w:top w:val="none" w:sz="0" w:space="0" w:color="auto"/>
        <w:left w:val="none" w:sz="0" w:space="0" w:color="auto"/>
        <w:bottom w:val="none" w:sz="0" w:space="0" w:color="auto"/>
        <w:right w:val="none" w:sz="0" w:space="0" w:color="auto"/>
      </w:divBdr>
    </w:div>
    <w:div w:id="488446413">
      <w:bodyDiv w:val="1"/>
      <w:marLeft w:val="0"/>
      <w:marRight w:val="0"/>
      <w:marTop w:val="0"/>
      <w:marBottom w:val="0"/>
      <w:divBdr>
        <w:top w:val="none" w:sz="0" w:space="0" w:color="auto"/>
        <w:left w:val="none" w:sz="0" w:space="0" w:color="auto"/>
        <w:bottom w:val="none" w:sz="0" w:space="0" w:color="auto"/>
        <w:right w:val="none" w:sz="0" w:space="0" w:color="auto"/>
      </w:divBdr>
    </w:div>
    <w:div w:id="493568690">
      <w:bodyDiv w:val="1"/>
      <w:marLeft w:val="0"/>
      <w:marRight w:val="0"/>
      <w:marTop w:val="0"/>
      <w:marBottom w:val="0"/>
      <w:divBdr>
        <w:top w:val="none" w:sz="0" w:space="0" w:color="auto"/>
        <w:left w:val="none" w:sz="0" w:space="0" w:color="auto"/>
        <w:bottom w:val="none" w:sz="0" w:space="0" w:color="auto"/>
        <w:right w:val="none" w:sz="0" w:space="0" w:color="auto"/>
      </w:divBdr>
    </w:div>
    <w:div w:id="501169727">
      <w:bodyDiv w:val="1"/>
      <w:marLeft w:val="0"/>
      <w:marRight w:val="0"/>
      <w:marTop w:val="0"/>
      <w:marBottom w:val="0"/>
      <w:divBdr>
        <w:top w:val="none" w:sz="0" w:space="0" w:color="auto"/>
        <w:left w:val="none" w:sz="0" w:space="0" w:color="auto"/>
        <w:bottom w:val="none" w:sz="0" w:space="0" w:color="auto"/>
        <w:right w:val="none" w:sz="0" w:space="0" w:color="auto"/>
      </w:divBdr>
    </w:div>
    <w:div w:id="501971136">
      <w:bodyDiv w:val="1"/>
      <w:marLeft w:val="0"/>
      <w:marRight w:val="0"/>
      <w:marTop w:val="0"/>
      <w:marBottom w:val="0"/>
      <w:divBdr>
        <w:top w:val="none" w:sz="0" w:space="0" w:color="auto"/>
        <w:left w:val="none" w:sz="0" w:space="0" w:color="auto"/>
        <w:bottom w:val="none" w:sz="0" w:space="0" w:color="auto"/>
        <w:right w:val="none" w:sz="0" w:space="0" w:color="auto"/>
      </w:divBdr>
    </w:div>
    <w:div w:id="505873503">
      <w:bodyDiv w:val="1"/>
      <w:marLeft w:val="0"/>
      <w:marRight w:val="0"/>
      <w:marTop w:val="0"/>
      <w:marBottom w:val="0"/>
      <w:divBdr>
        <w:top w:val="none" w:sz="0" w:space="0" w:color="auto"/>
        <w:left w:val="none" w:sz="0" w:space="0" w:color="auto"/>
        <w:bottom w:val="none" w:sz="0" w:space="0" w:color="auto"/>
        <w:right w:val="none" w:sz="0" w:space="0" w:color="auto"/>
      </w:divBdr>
    </w:div>
    <w:div w:id="510295291">
      <w:bodyDiv w:val="1"/>
      <w:marLeft w:val="0"/>
      <w:marRight w:val="0"/>
      <w:marTop w:val="0"/>
      <w:marBottom w:val="0"/>
      <w:divBdr>
        <w:top w:val="none" w:sz="0" w:space="0" w:color="auto"/>
        <w:left w:val="none" w:sz="0" w:space="0" w:color="auto"/>
        <w:bottom w:val="none" w:sz="0" w:space="0" w:color="auto"/>
        <w:right w:val="none" w:sz="0" w:space="0" w:color="auto"/>
      </w:divBdr>
    </w:div>
    <w:div w:id="513422910">
      <w:bodyDiv w:val="1"/>
      <w:marLeft w:val="0"/>
      <w:marRight w:val="0"/>
      <w:marTop w:val="0"/>
      <w:marBottom w:val="0"/>
      <w:divBdr>
        <w:top w:val="none" w:sz="0" w:space="0" w:color="auto"/>
        <w:left w:val="none" w:sz="0" w:space="0" w:color="auto"/>
        <w:bottom w:val="none" w:sz="0" w:space="0" w:color="auto"/>
        <w:right w:val="none" w:sz="0" w:space="0" w:color="auto"/>
      </w:divBdr>
    </w:div>
    <w:div w:id="515190426">
      <w:bodyDiv w:val="1"/>
      <w:marLeft w:val="0"/>
      <w:marRight w:val="0"/>
      <w:marTop w:val="0"/>
      <w:marBottom w:val="0"/>
      <w:divBdr>
        <w:top w:val="none" w:sz="0" w:space="0" w:color="auto"/>
        <w:left w:val="none" w:sz="0" w:space="0" w:color="auto"/>
        <w:bottom w:val="none" w:sz="0" w:space="0" w:color="auto"/>
        <w:right w:val="none" w:sz="0" w:space="0" w:color="auto"/>
      </w:divBdr>
    </w:div>
    <w:div w:id="516698988">
      <w:bodyDiv w:val="1"/>
      <w:marLeft w:val="0"/>
      <w:marRight w:val="0"/>
      <w:marTop w:val="0"/>
      <w:marBottom w:val="0"/>
      <w:divBdr>
        <w:top w:val="none" w:sz="0" w:space="0" w:color="auto"/>
        <w:left w:val="none" w:sz="0" w:space="0" w:color="auto"/>
        <w:bottom w:val="none" w:sz="0" w:space="0" w:color="auto"/>
        <w:right w:val="none" w:sz="0" w:space="0" w:color="auto"/>
      </w:divBdr>
    </w:div>
    <w:div w:id="521014259">
      <w:bodyDiv w:val="1"/>
      <w:marLeft w:val="0"/>
      <w:marRight w:val="0"/>
      <w:marTop w:val="0"/>
      <w:marBottom w:val="0"/>
      <w:divBdr>
        <w:top w:val="none" w:sz="0" w:space="0" w:color="auto"/>
        <w:left w:val="none" w:sz="0" w:space="0" w:color="auto"/>
        <w:bottom w:val="none" w:sz="0" w:space="0" w:color="auto"/>
        <w:right w:val="none" w:sz="0" w:space="0" w:color="auto"/>
      </w:divBdr>
    </w:div>
    <w:div w:id="522018808">
      <w:bodyDiv w:val="1"/>
      <w:marLeft w:val="0"/>
      <w:marRight w:val="0"/>
      <w:marTop w:val="0"/>
      <w:marBottom w:val="0"/>
      <w:divBdr>
        <w:top w:val="none" w:sz="0" w:space="0" w:color="auto"/>
        <w:left w:val="none" w:sz="0" w:space="0" w:color="auto"/>
        <w:bottom w:val="none" w:sz="0" w:space="0" w:color="auto"/>
        <w:right w:val="none" w:sz="0" w:space="0" w:color="auto"/>
      </w:divBdr>
    </w:div>
    <w:div w:id="525170603">
      <w:bodyDiv w:val="1"/>
      <w:marLeft w:val="0"/>
      <w:marRight w:val="0"/>
      <w:marTop w:val="0"/>
      <w:marBottom w:val="0"/>
      <w:divBdr>
        <w:top w:val="none" w:sz="0" w:space="0" w:color="auto"/>
        <w:left w:val="none" w:sz="0" w:space="0" w:color="auto"/>
        <w:bottom w:val="none" w:sz="0" w:space="0" w:color="auto"/>
        <w:right w:val="none" w:sz="0" w:space="0" w:color="auto"/>
      </w:divBdr>
    </w:div>
    <w:div w:id="527917033">
      <w:bodyDiv w:val="1"/>
      <w:marLeft w:val="0"/>
      <w:marRight w:val="0"/>
      <w:marTop w:val="0"/>
      <w:marBottom w:val="0"/>
      <w:divBdr>
        <w:top w:val="none" w:sz="0" w:space="0" w:color="auto"/>
        <w:left w:val="none" w:sz="0" w:space="0" w:color="auto"/>
        <w:bottom w:val="none" w:sz="0" w:space="0" w:color="auto"/>
        <w:right w:val="none" w:sz="0" w:space="0" w:color="auto"/>
      </w:divBdr>
    </w:div>
    <w:div w:id="530725700">
      <w:bodyDiv w:val="1"/>
      <w:marLeft w:val="0"/>
      <w:marRight w:val="0"/>
      <w:marTop w:val="0"/>
      <w:marBottom w:val="0"/>
      <w:divBdr>
        <w:top w:val="none" w:sz="0" w:space="0" w:color="auto"/>
        <w:left w:val="none" w:sz="0" w:space="0" w:color="auto"/>
        <w:bottom w:val="none" w:sz="0" w:space="0" w:color="auto"/>
        <w:right w:val="none" w:sz="0" w:space="0" w:color="auto"/>
      </w:divBdr>
    </w:div>
    <w:div w:id="532766695">
      <w:bodyDiv w:val="1"/>
      <w:marLeft w:val="0"/>
      <w:marRight w:val="0"/>
      <w:marTop w:val="0"/>
      <w:marBottom w:val="0"/>
      <w:divBdr>
        <w:top w:val="none" w:sz="0" w:space="0" w:color="auto"/>
        <w:left w:val="none" w:sz="0" w:space="0" w:color="auto"/>
        <w:bottom w:val="none" w:sz="0" w:space="0" w:color="auto"/>
        <w:right w:val="none" w:sz="0" w:space="0" w:color="auto"/>
      </w:divBdr>
    </w:div>
    <w:div w:id="534584552">
      <w:bodyDiv w:val="1"/>
      <w:marLeft w:val="0"/>
      <w:marRight w:val="0"/>
      <w:marTop w:val="0"/>
      <w:marBottom w:val="0"/>
      <w:divBdr>
        <w:top w:val="none" w:sz="0" w:space="0" w:color="auto"/>
        <w:left w:val="none" w:sz="0" w:space="0" w:color="auto"/>
        <w:bottom w:val="none" w:sz="0" w:space="0" w:color="auto"/>
        <w:right w:val="none" w:sz="0" w:space="0" w:color="auto"/>
      </w:divBdr>
    </w:div>
    <w:div w:id="534923028">
      <w:bodyDiv w:val="1"/>
      <w:marLeft w:val="0"/>
      <w:marRight w:val="0"/>
      <w:marTop w:val="0"/>
      <w:marBottom w:val="0"/>
      <w:divBdr>
        <w:top w:val="none" w:sz="0" w:space="0" w:color="auto"/>
        <w:left w:val="none" w:sz="0" w:space="0" w:color="auto"/>
        <w:bottom w:val="none" w:sz="0" w:space="0" w:color="auto"/>
        <w:right w:val="none" w:sz="0" w:space="0" w:color="auto"/>
      </w:divBdr>
    </w:div>
    <w:div w:id="535387220">
      <w:bodyDiv w:val="1"/>
      <w:marLeft w:val="0"/>
      <w:marRight w:val="0"/>
      <w:marTop w:val="0"/>
      <w:marBottom w:val="0"/>
      <w:divBdr>
        <w:top w:val="none" w:sz="0" w:space="0" w:color="auto"/>
        <w:left w:val="none" w:sz="0" w:space="0" w:color="auto"/>
        <w:bottom w:val="none" w:sz="0" w:space="0" w:color="auto"/>
        <w:right w:val="none" w:sz="0" w:space="0" w:color="auto"/>
      </w:divBdr>
    </w:div>
    <w:div w:id="536893259">
      <w:bodyDiv w:val="1"/>
      <w:marLeft w:val="0"/>
      <w:marRight w:val="0"/>
      <w:marTop w:val="0"/>
      <w:marBottom w:val="0"/>
      <w:divBdr>
        <w:top w:val="none" w:sz="0" w:space="0" w:color="auto"/>
        <w:left w:val="none" w:sz="0" w:space="0" w:color="auto"/>
        <w:bottom w:val="none" w:sz="0" w:space="0" w:color="auto"/>
        <w:right w:val="none" w:sz="0" w:space="0" w:color="auto"/>
      </w:divBdr>
    </w:div>
    <w:div w:id="541867384">
      <w:bodyDiv w:val="1"/>
      <w:marLeft w:val="0"/>
      <w:marRight w:val="0"/>
      <w:marTop w:val="0"/>
      <w:marBottom w:val="0"/>
      <w:divBdr>
        <w:top w:val="none" w:sz="0" w:space="0" w:color="auto"/>
        <w:left w:val="none" w:sz="0" w:space="0" w:color="auto"/>
        <w:bottom w:val="none" w:sz="0" w:space="0" w:color="auto"/>
        <w:right w:val="none" w:sz="0" w:space="0" w:color="auto"/>
      </w:divBdr>
    </w:div>
    <w:div w:id="542526568">
      <w:bodyDiv w:val="1"/>
      <w:marLeft w:val="0"/>
      <w:marRight w:val="0"/>
      <w:marTop w:val="0"/>
      <w:marBottom w:val="0"/>
      <w:divBdr>
        <w:top w:val="none" w:sz="0" w:space="0" w:color="auto"/>
        <w:left w:val="none" w:sz="0" w:space="0" w:color="auto"/>
        <w:bottom w:val="none" w:sz="0" w:space="0" w:color="auto"/>
        <w:right w:val="none" w:sz="0" w:space="0" w:color="auto"/>
      </w:divBdr>
    </w:div>
    <w:div w:id="549417528">
      <w:bodyDiv w:val="1"/>
      <w:marLeft w:val="0"/>
      <w:marRight w:val="0"/>
      <w:marTop w:val="0"/>
      <w:marBottom w:val="0"/>
      <w:divBdr>
        <w:top w:val="none" w:sz="0" w:space="0" w:color="auto"/>
        <w:left w:val="none" w:sz="0" w:space="0" w:color="auto"/>
        <w:bottom w:val="none" w:sz="0" w:space="0" w:color="auto"/>
        <w:right w:val="none" w:sz="0" w:space="0" w:color="auto"/>
      </w:divBdr>
    </w:div>
    <w:div w:id="551355844">
      <w:bodyDiv w:val="1"/>
      <w:marLeft w:val="0"/>
      <w:marRight w:val="0"/>
      <w:marTop w:val="0"/>
      <w:marBottom w:val="0"/>
      <w:divBdr>
        <w:top w:val="none" w:sz="0" w:space="0" w:color="auto"/>
        <w:left w:val="none" w:sz="0" w:space="0" w:color="auto"/>
        <w:bottom w:val="none" w:sz="0" w:space="0" w:color="auto"/>
        <w:right w:val="none" w:sz="0" w:space="0" w:color="auto"/>
      </w:divBdr>
    </w:div>
    <w:div w:id="552425421">
      <w:bodyDiv w:val="1"/>
      <w:marLeft w:val="0"/>
      <w:marRight w:val="0"/>
      <w:marTop w:val="0"/>
      <w:marBottom w:val="0"/>
      <w:divBdr>
        <w:top w:val="none" w:sz="0" w:space="0" w:color="auto"/>
        <w:left w:val="none" w:sz="0" w:space="0" w:color="auto"/>
        <w:bottom w:val="none" w:sz="0" w:space="0" w:color="auto"/>
        <w:right w:val="none" w:sz="0" w:space="0" w:color="auto"/>
      </w:divBdr>
    </w:div>
    <w:div w:id="553389697">
      <w:bodyDiv w:val="1"/>
      <w:marLeft w:val="0"/>
      <w:marRight w:val="0"/>
      <w:marTop w:val="0"/>
      <w:marBottom w:val="0"/>
      <w:divBdr>
        <w:top w:val="none" w:sz="0" w:space="0" w:color="auto"/>
        <w:left w:val="none" w:sz="0" w:space="0" w:color="auto"/>
        <w:bottom w:val="none" w:sz="0" w:space="0" w:color="auto"/>
        <w:right w:val="none" w:sz="0" w:space="0" w:color="auto"/>
      </w:divBdr>
    </w:div>
    <w:div w:id="553810047">
      <w:bodyDiv w:val="1"/>
      <w:marLeft w:val="0"/>
      <w:marRight w:val="0"/>
      <w:marTop w:val="0"/>
      <w:marBottom w:val="0"/>
      <w:divBdr>
        <w:top w:val="none" w:sz="0" w:space="0" w:color="auto"/>
        <w:left w:val="none" w:sz="0" w:space="0" w:color="auto"/>
        <w:bottom w:val="none" w:sz="0" w:space="0" w:color="auto"/>
        <w:right w:val="none" w:sz="0" w:space="0" w:color="auto"/>
      </w:divBdr>
    </w:div>
    <w:div w:id="555971616">
      <w:bodyDiv w:val="1"/>
      <w:marLeft w:val="0"/>
      <w:marRight w:val="0"/>
      <w:marTop w:val="0"/>
      <w:marBottom w:val="0"/>
      <w:divBdr>
        <w:top w:val="none" w:sz="0" w:space="0" w:color="auto"/>
        <w:left w:val="none" w:sz="0" w:space="0" w:color="auto"/>
        <w:bottom w:val="none" w:sz="0" w:space="0" w:color="auto"/>
        <w:right w:val="none" w:sz="0" w:space="0" w:color="auto"/>
      </w:divBdr>
    </w:div>
    <w:div w:id="558515351">
      <w:bodyDiv w:val="1"/>
      <w:marLeft w:val="0"/>
      <w:marRight w:val="0"/>
      <w:marTop w:val="0"/>
      <w:marBottom w:val="0"/>
      <w:divBdr>
        <w:top w:val="none" w:sz="0" w:space="0" w:color="auto"/>
        <w:left w:val="none" w:sz="0" w:space="0" w:color="auto"/>
        <w:bottom w:val="none" w:sz="0" w:space="0" w:color="auto"/>
        <w:right w:val="none" w:sz="0" w:space="0" w:color="auto"/>
      </w:divBdr>
    </w:div>
    <w:div w:id="560597647">
      <w:bodyDiv w:val="1"/>
      <w:marLeft w:val="0"/>
      <w:marRight w:val="0"/>
      <w:marTop w:val="0"/>
      <w:marBottom w:val="0"/>
      <w:divBdr>
        <w:top w:val="none" w:sz="0" w:space="0" w:color="auto"/>
        <w:left w:val="none" w:sz="0" w:space="0" w:color="auto"/>
        <w:bottom w:val="none" w:sz="0" w:space="0" w:color="auto"/>
        <w:right w:val="none" w:sz="0" w:space="0" w:color="auto"/>
      </w:divBdr>
    </w:div>
    <w:div w:id="561448651">
      <w:bodyDiv w:val="1"/>
      <w:marLeft w:val="0"/>
      <w:marRight w:val="0"/>
      <w:marTop w:val="0"/>
      <w:marBottom w:val="0"/>
      <w:divBdr>
        <w:top w:val="none" w:sz="0" w:space="0" w:color="auto"/>
        <w:left w:val="none" w:sz="0" w:space="0" w:color="auto"/>
        <w:bottom w:val="none" w:sz="0" w:space="0" w:color="auto"/>
        <w:right w:val="none" w:sz="0" w:space="0" w:color="auto"/>
      </w:divBdr>
    </w:div>
    <w:div w:id="561984132">
      <w:bodyDiv w:val="1"/>
      <w:marLeft w:val="0"/>
      <w:marRight w:val="0"/>
      <w:marTop w:val="0"/>
      <w:marBottom w:val="0"/>
      <w:divBdr>
        <w:top w:val="none" w:sz="0" w:space="0" w:color="auto"/>
        <w:left w:val="none" w:sz="0" w:space="0" w:color="auto"/>
        <w:bottom w:val="none" w:sz="0" w:space="0" w:color="auto"/>
        <w:right w:val="none" w:sz="0" w:space="0" w:color="auto"/>
      </w:divBdr>
    </w:div>
    <w:div w:id="563612599">
      <w:bodyDiv w:val="1"/>
      <w:marLeft w:val="0"/>
      <w:marRight w:val="0"/>
      <w:marTop w:val="0"/>
      <w:marBottom w:val="0"/>
      <w:divBdr>
        <w:top w:val="none" w:sz="0" w:space="0" w:color="auto"/>
        <w:left w:val="none" w:sz="0" w:space="0" w:color="auto"/>
        <w:bottom w:val="none" w:sz="0" w:space="0" w:color="auto"/>
        <w:right w:val="none" w:sz="0" w:space="0" w:color="auto"/>
      </w:divBdr>
    </w:div>
    <w:div w:id="565144527">
      <w:bodyDiv w:val="1"/>
      <w:marLeft w:val="0"/>
      <w:marRight w:val="0"/>
      <w:marTop w:val="0"/>
      <w:marBottom w:val="0"/>
      <w:divBdr>
        <w:top w:val="none" w:sz="0" w:space="0" w:color="auto"/>
        <w:left w:val="none" w:sz="0" w:space="0" w:color="auto"/>
        <w:bottom w:val="none" w:sz="0" w:space="0" w:color="auto"/>
        <w:right w:val="none" w:sz="0" w:space="0" w:color="auto"/>
      </w:divBdr>
    </w:div>
    <w:div w:id="565384358">
      <w:bodyDiv w:val="1"/>
      <w:marLeft w:val="0"/>
      <w:marRight w:val="0"/>
      <w:marTop w:val="0"/>
      <w:marBottom w:val="0"/>
      <w:divBdr>
        <w:top w:val="none" w:sz="0" w:space="0" w:color="auto"/>
        <w:left w:val="none" w:sz="0" w:space="0" w:color="auto"/>
        <w:bottom w:val="none" w:sz="0" w:space="0" w:color="auto"/>
        <w:right w:val="none" w:sz="0" w:space="0" w:color="auto"/>
      </w:divBdr>
    </w:div>
    <w:div w:id="573201928">
      <w:bodyDiv w:val="1"/>
      <w:marLeft w:val="0"/>
      <w:marRight w:val="0"/>
      <w:marTop w:val="0"/>
      <w:marBottom w:val="0"/>
      <w:divBdr>
        <w:top w:val="none" w:sz="0" w:space="0" w:color="auto"/>
        <w:left w:val="none" w:sz="0" w:space="0" w:color="auto"/>
        <w:bottom w:val="none" w:sz="0" w:space="0" w:color="auto"/>
        <w:right w:val="none" w:sz="0" w:space="0" w:color="auto"/>
      </w:divBdr>
    </w:div>
    <w:div w:id="573318114">
      <w:bodyDiv w:val="1"/>
      <w:marLeft w:val="0"/>
      <w:marRight w:val="0"/>
      <w:marTop w:val="0"/>
      <w:marBottom w:val="0"/>
      <w:divBdr>
        <w:top w:val="none" w:sz="0" w:space="0" w:color="auto"/>
        <w:left w:val="none" w:sz="0" w:space="0" w:color="auto"/>
        <w:bottom w:val="none" w:sz="0" w:space="0" w:color="auto"/>
        <w:right w:val="none" w:sz="0" w:space="0" w:color="auto"/>
      </w:divBdr>
    </w:div>
    <w:div w:id="573704721">
      <w:bodyDiv w:val="1"/>
      <w:marLeft w:val="0"/>
      <w:marRight w:val="0"/>
      <w:marTop w:val="0"/>
      <w:marBottom w:val="0"/>
      <w:divBdr>
        <w:top w:val="none" w:sz="0" w:space="0" w:color="auto"/>
        <w:left w:val="none" w:sz="0" w:space="0" w:color="auto"/>
        <w:bottom w:val="none" w:sz="0" w:space="0" w:color="auto"/>
        <w:right w:val="none" w:sz="0" w:space="0" w:color="auto"/>
      </w:divBdr>
    </w:div>
    <w:div w:id="574557273">
      <w:bodyDiv w:val="1"/>
      <w:marLeft w:val="0"/>
      <w:marRight w:val="0"/>
      <w:marTop w:val="0"/>
      <w:marBottom w:val="0"/>
      <w:divBdr>
        <w:top w:val="none" w:sz="0" w:space="0" w:color="auto"/>
        <w:left w:val="none" w:sz="0" w:space="0" w:color="auto"/>
        <w:bottom w:val="none" w:sz="0" w:space="0" w:color="auto"/>
        <w:right w:val="none" w:sz="0" w:space="0" w:color="auto"/>
      </w:divBdr>
    </w:div>
    <w:div w:id="575551583">
      <w:bodyDiv w:val="1"/>
      <w:marLeft w:val="0"/>
      <w:marRight w:val="0"/>
      <w:marTop w:val="0"/>
      <w:marBottom w:val="0"/>
      <w:divBdr>
        <w:top w:val="none" w:sz="0" w:space="0" w:color="auto"/>
        <w:left w:val="none" w:sz="0" w:space="0" w:color="auto"/>
        <w:bottom w:val="none" w:sz="0" w:space="0" w:color="auto"/>
        <w:right w:val="none" w:sz="0" w:space="0" w:color="auto"/>
      </w:divBdr>
    </w:div>
    <w:div w:id="576019665">
      <w:bodyDiv w:val="1"/>
      <w:marLeft w:val="0"/>
      <w:marRight w:val="0"/>
      <w:marTop w:val="0"/>
      <w:marBottom w:val="0"/>
      <w:divBdr>
        <w:top w:val="none" w:sz="0" w:space="0" w:color="auto"/>
        <w:left w:val="none" w:sz="0" w:space="0" w:color="auto"/>
        <w:bottom w:val="none" w:sz="0" w:space="0" w:color="auto"/>
        <w:right w:val="none" w:sz="0" w:space="0" w:color="auto"/>
      </w:divBdr>
    </w:div>
    <w:div w:id="576866390">
      <w:bodyDiv w:val="1"/>
      <w:marLeft w:val="0"/>
      <w:marRight w:val="0"/>
      <w:marTop w:val="0"/>
      <w:marBottom w:val="0"/>
      <w:divBdr>
        <w:top w:val="none" w:sz="0" w:space="0" w:color="auto"/>
        <w:left w:val="none" w:sz="0" w:space="0" w:color="auto"/>
        <w:bottom w:val="none" w:sz="0" w:space="0" w:color="auto"/>
        <w:right w:val="none" w:sz="0" w:space="0" w:color="auto"/>
      </w:divBdr>
    </w:div>
    <w:div w:id="577180243">
      <w:bodyDiv w:val="1"/>
      <w:marLeft w:val="0"/>
      <w:marRight w:val="0"/>
      <w:marTop w:val="0"/>
      <w:marBottom w:val="0"/>
      <w:divBdr>
        <w:top w:val="none" w:sz="0" w:space="0" w:color="auto"/>
        <w:left w:val="none" w:sz="0" w:space="0" w:color="auto"/>
        <w:bottom w:val="none" w:sz="0" w:space="0" w:color="auto"/>
        <w:right w:val="none" w:sz="0" w:space="0" w:color="auto"/>
      </w:divBdr>
    </w:div>
    <w:div w:id="580482591">
      <w:bodyDiv w:val="1"/>
      <w:marLeft w:val="0"/>
      <w:marRight w:val="0"/>
      <w:marTop w:val="0"/>
      <w:marBottom w:val="0"/>
      <w:divBdr>
        <w:top w:val="none" w:sz="0" w:space="0" w:color="auto"/>
        <w:left w:val="none" w:sz="0" w:space="0" w:color="auto"/>
        <w:bottom w:val="none" w:sz="0" w:space="0" w:color="auto"/>
        <w:right w:val="none" w:sz="0" w:space="0" w:color="auto"/>
      </w:divBdr>
    </w:div>
    <w:div w:id="580720971">
      <w:bodyDiv w:val="1"/>
      <w:marLeft w:val="0"/>
      <w:marRight w:val="0"/>
      <w:marTop w:val="0"/>
      <w:marBottom w:val="0"/>
      <w:divBdr>
        <w:top w:val="none" w:sz="0" w:space="0" w:color="auto"/>
        <w:left w:val="none" w:sz="0" w:space="0" w:color="auto"/>
        <w:bottom w:val="none" w:sz="0" w:space="0" w:color="auto"/>
        <w:right w:val="none" w:sz="0" w:space="0" w:color="auto"/>
      </w:divBdr>
    </w:div>
    <w:div w:id="582492174">
      <w:bodyDiv w:val="1"/>
      <w:marLeft w:val="0"/>
      <w:marRight w:val="0"/>
      <w:marTop w:val="0"/>
      <w:marBottom w:val="0"/>
      <w:divBdr>
        <w:top w:val="none" w:sz="0" w:space="0" w:color="auto"/>
        <w:left w:val="none" w:sz="0" w:space="0" w:color="auto"/>
        <w:bottom w:val="none" w:sz="0" w:space="0" w:color="auto"/>
        <w:right w:val="none" w:sz="0" w:space="0" w:color="auto"/>
      </w:divBdr>
    </w:div>
    <w:div w:id="584654188">
      <w:bodyDiv w:val="1"/>
      <w:marLeft w:val="0"/>
      <w:marRight w:val="0"/>
      <w:marTop w:val="0"/>
      <w:marBottom w:val="0"/>
      <w:divBdr>
        <w:top w:val="none" w:sz="0" w:space="0" w:color="auto"/>
        <w:left w:val="none" w:sz="0" w:space="0" w:color="auto"/>
        <w:bottom w:val="none" w:sz="0" w:space="0" w:color="auto"/>
        <w:right w:val="none" w:sz="0" w:space="0" w:color="auto"/>
      </w:divBdr>
    </w:div>
    <w:div w:id="592124594">
      <w:bodyDiv w:val="1"/>
      <w:marLeft w:val="0"/>
      <w:marRight w:val="0"/>
      <w:marTop w:val="0"/>
      <w:marBottom w:val="0"/>
      <w:divBdr>
        <w:top w:val="none" w:sz="0" w:space="0" w:color="auto"/>
        <w:left w:val="none" w:sz="0" w:space="0" w:color="auto"/>
        <w:bottom w:val="none" w:sz="0" w:space="0" w:color="auto"/>
        <w:right w:val="none" w:sz="0" w:space="0" w:color="auto"/>
      </w:divBdr>
    </w:div>
    <w:div w:id="595290594">
      <w:bodyDiv w:val="1"/>
      <w:marLeft w:val="0"/>
      <w:marRight w:val="0"/>
      <w:marTop w:val="0"/>
      <w:marBottom w:val="0"/>
      <w:divBdr>
        <w:top w:val="none" w:sz="0" w:space="0" w:color="auto"/>
        <w:left w:val="none" w:sz="0" w:space="0" w:color="auto"/>
        <w:bottom w:val="none" w:sz="0" w:space="0" w:color="auto"/>
        <w:right w:val="none" w:sz="0" w:space="0" w:color="auto"/>
      </w:divBdr>
    </w:div>
    <w:div w:id="596640397">
      <w:bodyDiv w:val="1"/>
      <w:marLeft w:val="0"/>
      <w:marRight w:val="0"/>
      <w:marTop w:val="0"/>
      <w:marBottom w:val="0"/>
      <w:divBdr>
        <w:top w:val="none" w:sz="0" w:space="0" w:color="auto"/>
        <w:left w:val="none" w:sz="0" w:space="0" w:color="auto"/>
        <w:bottom w:val="none" w:sz="0" w:space="0" w:color="auto"/>
        <w:right w:val="none" w:sz="0" w:space="0" w:color="auto"/>
      </w:divBdr>
    </w:div>
    <w:div w:id="600451358">
      <w:bodyDiv w:val="1"/>
      <w:marLeft w:val="0"/>
      <w:marRight w:val="0"/>
      <w:marTop w:val="0"/>
      <w:marBottom w:val="0"/>
      <w:divBdr>
        <w:top w:val="none" w:sz="0" w:space="0" w:color="auto"/>
        <w:left w:val="none" w:sz="0" w:space="0" w:color="auto"/>
        <w:bottom w:val="none" w:sz="0" w:space="0" w:color="auto"/>
        <w:right w:val="none" w:sz="0" w:space="0" w:color="auto"/>
      </w:divBdr>
    </w:div>
    <w:div w:id="600648635">
      <w:bodyDiv w:val="1"/>
      <w:marLeft w:val="0"/>
      <w:marRight w:val="0"/>
      <w:marTop w:val="0"/>
      <w:marBottom w:val="0"/>
      <w:divBdr>
        <w:top w:val="none" w:sz="0" w:space="0" w:color="auto"/>
        <w:left w:val="none" w:sz="0" w:space="0" w:color="auto"/>
        <w:bottom w:val="none" w:sz="0" w:space="0" w:color="auto"/>
        <w:right w:val="none" w:sz="0" w:space="0" w:color="auto"/>
      </w:divBdr>
    </w:div>
    <w:div w:id="602373384">
      <w:bodyDiv w:val="1"/>
      <w:marLeft w:val="0"/>
      <w:marRight w:val="0"/>
      <w:marTop w:val="0"/>
      <w:marBottom w:val="0"/>
      <w:divBdr>
        <w:top w:val="none" w:sz="0" w:space="0" w:color="auto"/>
        <w:left w:val="none" w:sz="0" w:space="0" w:color="auto"/>
        <w:bottom w:val="none" w:sz="0" w:space="0" w:color="auto"/>
        <w:right w:val="none" w:sz="0" w:space="0" w:color="auto"/>
      </w:divBdr>
    </w:div>
    <w:div w:id="603801829">
      <w:bodyDiv w:val="1"/>
      <w:marLeft w:val="0"/>
      <w:marRight w:val="0"/>
      <w:marTop w:val="0"/>
      <w:marBottom w:val="0"/>
      <w:divBdr>
        <w:top w:val="none" w:sz="0" w:space="0" w:color="auto"/>
        <w:left w:val="none" w:sz="0" w:space="0" w:color="auto"/>
        <w:bottom w:val="none" w:sz="0" w:space="0" w:color="auto"/>
        <w:right w:val="none" w:sz="0" w:space="0" w:color="auto"/>
      </w:divBdr>
    </w:div>
    <w:div w:id="606423683">
      <w:bodyDiv w:val="1"/>
      <w:marLeft w:val="0"/>
      <w:marRight w:val="0"/>
      <w:marTop w:val="0"/>
      <w:marBottom w:val="0"/>
      <w:divBdr>
        <w:top w:val="none" w:sz="0" w:space="0" w:color="auto"/>
        <w:left w:val="none" w:sz="0" w:space="0" w:color="auto"/>
        <w:bottom w:val="none" w:sz="0" w:space="0" w:color="auto"/>
        <w:right w:val="none" w:sz="0" w:space="0" w:color="auto"/>
      </w:divBdr>
    </w:div>
    <w:div w:id="608245825">
      <w:bodyDiv w:val="1"/>
      <w:marLeft w:val="0"/>
      <w:marRight w:val="0"/>
      <w:marTop w:val="0"/>
      <w:marBottom w:val="0"/>
      <w:divBdr>
        <w:top w:val="none" w:sz="0" w:space="0" w:color="auto"/>
        <w:left w:val="none" w:sz="0" w:space="0" w:color="auto"/>
        <w:bottom w:val="none" w:sz="0" w:space="0" w:color="auto"/>
        <w:right w:val="none" w:sz="0" w:space="0" w:color="auto"/>
      </w:divBdr>
    </w:div>
    <w:div w:id="610862951">
      <w:bodyDiv w:val="1"/>
      <w:marLeft w:val="0"/>
      <w:marRight w:val="0"/>
      <w:marTop w:val="0"/>
      <w:marBottom w:val="0"/>
      <w:divBdr>
        <w:top w:val="none" w:sz="0" w:space="0" w:color="auto"/>
        <w:left w:val="none" w:sz="0" w:space="0" w:color="auto"/>
        <w:bottom w:val="none" w:sz="0" w:space="0" w:color="auto"/>
        <w:right w:val="none" w:sz="0" w:space="0" w:color="auto"/>
      </w:divBdr>
    </w:div>
    <w:div w:id="612710429">
      <w:bodyDiv w:val="1"/>
      <w:marLeft w:val="0"/>
      <w:marRight w:val="0"/>
      <w:marTop w:val="0"/>
      <w:marBottom w:val="0"/>
      <w:divBdr>
        <w:top w:val="none" w:sz="0" w:space="0" w:color="auto"/>
        <w:left w:val="none" w:sz="0" w:space="0" w:color="auto"/>
        <w:bottom w:val="none" w:sz="0" w:space="0" w:color="auto"/>
        <w:right w:val="none" w:sz="0" w:space="0" w:color="auto"/>
      </w:divBdr>
    </w:div>
    <w:div w:id="612787041">
      <w:bodyDiv w:val="1"/>
      <w:marLeft w:val="0"/>
      <w:marRight w:val="0"/>
      <w:marTop w:val="0"/>
      <w:marBottom w:val="0"/>
      <w:divBdr>
        <w:top w:val="none" w:sz="0" w:space="0" w:color="auto"/>
        <w:left w:val="none" w:sz="0" w:space="0" w:color="auto"/>
        <w:bottom w:val="none" w:sz="0" w:space="0" w:color="auto"/>
        <w:right w:val="none" w:sz="0" w:space="0" w:color="auto"/>
      </w:divBdr>
    </w:div>
    <w:div w:id="615260557">
      <w:bodyDiv w:val="1"/>
      <w:marLeft w:val="0"/>
      <w:marRight w:val="0"/>
      <w:marTop w:val="0"/>
      <w:marBottom w:val="0"/>
      <w:divBdr>
        <w:top w:val="none" w:sz="0" w:space="0" w:color="auto"/>
        <w:left w:val="none" w:sz="0" w:space="0" w:color="auto"/>
        <w:bottom w:val="none" w:sz="0" w:space="0" w:color="auto"/>
        <w:right w:val="none" w:sz="0" w:space="0" w:color="auto"/>
      </w:divBdr>
    </w:div>
    <w:div w:id="615986698">
      <w:bodyDiv w:val="1"/>
      <w:marLeft w:val="0"/>
      <w:marRight w:val="0"/>
      <w:marTop w:val="0"/>
      <w:marBottom w:val="0"/>
      <w:divBdr>
        <w:top w:val="none" w:sz="0" w:space="0" w:color="auto"/>
        <w:left w:val="none" w:sz="0" w:space="0" w:color="auto"/>
        <w:bottom w:val="none" w:sz="0" w:space="0" w:color="auto"/>
        <w:right w:val="none" w:sz="0" w:space="0" w:color="auto"/>
      </w:divBdr>
    </w:div>
    <w:div w:id="619386107">
      <w:bodyDiv w:val="1"/>
      <w:marLeft w:val="0"/>
      <w:marRight w:val="0"/>
      <w:marTop w:val="0"/>
      <w:marBottom w:val="0"/>
      <w:divBdr>
        <w:top w:val="none" w:sz="0" w:space="0" w:color="auto"/>
        <w:left w:val="none" w:sz="0" w:space="0" w:color="auto"/>
        <w:bottom w:val="none" w:sz="0" w:space="0" w:color="auto"/>
        <w:right w:val="none" w:sz="0" w:space="0" w:color="auto"/>
      </w:divBdr>
    </w:div>
    <w:div w:id="619530810">
      <w:bodyDiv w:val="1"/>
      <w:marLeft w:val="0"/>
      <w:marRight w:val="0"/>
      <w:marTop w:val="0"/>
      <w:marBottom w:val="0"/>
      <w:divBdr>
        <w:top w:val="none" w:sz="0" w:space="0" w:color="auto"/>
        <w:left w:val="none" w:sz="0" w:space="0" w:color="auto"/>
        <w:bottom w:val="none" w:sz="0" w:space="0" w:color="auto"/>
        <w:right w:val="none" w:sz="0" w:space="0" w:color="auto"/>
      </w:divBdr>
    </w:div>
    <w:div w:id="621304831">
      <w:bodyDiv w:val="1"/>
      <w:marLeft w:val="0"/>
      <w:marRight w:val="0"/>
      <w:marTop w:val="0"/>
      <w:marBottom w:val="0"/>
      <w:divBdr>
        <w:top w:val="none" w:sz="0" w:space="0" w:color="auto"/>
        <w:left w:val="none" w:sz="0" w:space="0" w:color="auto"/>
        <w:bottom w:val="none" w:sz="0" w:space="0" w:color="auto"/>
        <w:right w:val="none" w:sz="0" w:space="0" w:color="auto"/>
      </w:divBdr>
    </w:div>
    <w:div w:id="622880682">
      <w:bodyDiv w:val="1"/>
      <w:marLeft w:val="0"/>
      <w:marRight w:val="0"/>
      <w:marTop w:val="0"/>
      <w:marBottom w:val="0"/>
      <w:divBdr>
        <w:top w:val="none" w:sz="0" w:space="0" w:color="auto"/>
        <w:left w:val="none" w:sz="0" w:space="0" w:color="auto"/>
        <w:bottom w:val="none" w:sz="0" w:space="0" w:color="auto"/>
        <w:right w:val="none" w:sz="0" w:space="0" w:color="auto"/>
      </w:divBdr>
    </w:div>
    <w:div w:id="626350495">
      <w:bodyDiv w:val="1"/>
      <w:marLeft w:val="0"/>
      <w:marRight w:val="0"/>
      <w:marTop w:val="0"/>
      <w:marBottom w:val="0"/>
      <w:divBdr>
        <w:top w:val="none" w:sz="0" w:space="0" w:color="auto"/>
        <w:left w:val="none" w:sz="0" w:space="0" w:color="auto"/>
        <w:bottom w:val="none" w:sz="0" w:space="0" w:color="auto"/>
        <w:right w:val="none" w:sz="0" w:space="0" w:color="auto"/>
      </w:divBdr>
    </w:div>
    <w:div w:id="627518597">
      <w:bodyDiv w:val="1"/>
      <w:marLeft w:val="0"/>
      <w:marRight w:val="0"/>
      <w:marTop w:val="0"/>
      <w:marBottom w:val="0"/>
      <w:divBdr>
        <w:top w:val="none" w:sz="0" w:space="0" w:color="auto"/>
        <w:left w:val="none" w:sz="0" w:space="0" w:color="auto"/>
        <w:bottom w:val="none" w:sz="0" w:space="0" w:color="auto"/>
        <w:right w:val="none" w:sz="0" w:space="0" w:color="auto"/>
      </w:divBdr>
    </w:div>
    <w:div w:id="642925002">
      <w:bodyDiv w:val="1"/>
      <w:marLeft w:val="0"/>
      <w:marRight w:val="0"/>
      <w:marTop w:val="0"/>
      <w:marBottom w:val="0"/>
      <w:divBdr>
        <w:top w:val="none" w:sz="0" w:space="0" w:color="auto"/>
        <w:left w:val="none" w:sz="0" w:space="0" w:color="auto"/>
        <w:bottom w:val="none" w:sz="0" w:space="0" w:color="auto"/>
        <w:right w:val="none" w:sz="0" w:space="0" w:color="auto"/>
      </w:divBdr>
    </w:div>
    <w:div w:id="642925525">
      <w:bodyDiv w:val="1"/>
      <w:marLeft w:val="0"/>
      <w:marRight w:val="0"/>
      <w:marTop w:val="0"/>
      <w:marBottom w:val="0"/>
      <w:divBdr>
        <w:top w:val="none" w:sz="0" w:space="0" w:color="auto"/>
        <w:left w:val="none" w:sz="0" w:space="0" w:color="auto"/>
        <w:bottom w:val="none" w:sz="0" w:space="0" w:color="auto"/>
        <w:right w:val="none" w:sz="0" w:space="0" w:color="auto"/>
      </w:divBdr>
    </w:div>
    <w:div w:id="645015822">
      <w:bodyDiv w:val="1"/>
      <w:marLeft w:val="0"/>
      <w:marRight w:val="0"/>
      <w:marTop w:val="0"/>
      <w:marBottom w:val="0"/>
      <w:divBdr>
        <w:top w:val="none" w:sz="0" w:space="0" w:color="auto"/>
        <w:left w:val="none" w:sz="0" w:space="0" w:color="auto"/>
        <w:bottom w:val="none" w:sz="0" w:space="0" w:color="auto"/>
        <w:right w:val="none" w:sz="0" w:space="0" w:color="auto"/>
      </w:divBdr>
    </w:div>
    <w:div w:id="648948310">
      <w:bodyDiv w:val="1"/>
      <w:marLeft w:val="0"/>
      <w:marRight w:val="0"/>
      <w:marTop w:val="0"/>
      <w:marBottom w:val="0"/>
      <w:divBdr>
        <w:top w:val="none" w:sz="0" w:space="0" w:color="auto"/>
        <w:left w:val="none" w:sz="0" w:space="0" w:color="auto"/>
        <w:bottom w:val="none" w:sz="0" w:space="0" w:color="auto"/>
        <w:right w:val="none" w:sz="0" w:space="0" w:color="auto"/>
      </w:divBdr>
    </w:div>
    <w:div w:id="650137531">
      <w:bodyDiv w:val="1"/>
      <w:marLeft w:val="0"/>
      <w:marRight w:val="0"/>
      <w:marTop w:val="0"/>
      <w:marBottom w:val="0"/>
      <w:divBdr>
        <w:top w:val="none" w:sz="0" w:space="0" w:color="auto"/>
        <w:left w:val="none" w:sz="0" w:space="0" w:color="auto"/>
        <w:bottom w:val="none" w:sz="0" w:space="0" w:color="auto"/>
        <w:right w:val="none" w:sz="0" w:space="0" w:color="auto"/>
      </w:divBdr>
    </w:div>
    <w:div w:id="651644988">
      <w:bodyDiv w:val="1"/>
      <w:marLeft w:val="0"/>
      <w:marRight w:val="0"/>
      <w:marTop w:val="0"/>
      <w:marBottom w:val="0"/>
      <w:divBdr>
        <w:top w:val="none" w:sz="0" w:space="0" w:color="auto"/>
        <w:left w:val="none" w:sz="0" w:space="0" w:color="auto"/>
        <w:bottom w:val="none" w:sz="0" w:space="0" w:color="auto"/>
        <w:right w:val="none" w:sz="0" w:space="0" w:color="auto"/>
      </w:divBdr>
    </w:div>
    <w:div w:id="653685706">
      <w:bodyDiv w:val="1"/>
      <w:marLeft w:val="0"/>
      <w:marRight w:val="0"/>
      <w:marTop w:val="0"/>
      <w:marBottom w:val="0"/>
      <w:divBdr>
        <w:top w:val="none" w:sz="0" w:space="0" w:color="auto"/>
        <w:left w:val="none" w:sz="0" w:space="0" w:color="auto"/>
        <w:bottom w:val="none" w:sz="0" w:space="0" w:color="auto"/>
        <w:right w:val="none" w:sz="0" w:space="0" w:color="auto"/>
      </w:divBdr>
    </w:div>
    <w:div w:id="654802173">
      <w:bodyDiv w:val="1"/>
      <w:marLeft w:val="0"/>
      <w:marRight w:val="0"/>
      <w:marTop w:val="0"/>
      <w:marBottom w:val="0"/>
      <w:divBdr>
        <w:top w:val="none" w:sz="0" w:space="0" w:color="auto"/>
        <w:left w:val="none" w:sz="0" w:space="0" w:color="auto"/>
        <w:bottom w:val="none" w:sz="0" w:space="0" w:color="auto"/>
        <w:right w:val="none" w:sz="0" w:space="0" w:color="auto"/>
      </w:divBdr>
    </w:div>
    <w:div w:id="655960988">
      <w:bodyDiv w:val="1"/>
      <w:marLeft w:val="0"/>
      <w:marRight w:val="0"/>
      <w:marTop w:val="0"/>
      <w:marBottom w:val="0"/>
      <w:divBdr>
        <w:top w:val="none" w:sz="0" w:space="0" w:color="auto"/>
        <w:left w:val="none" w:sz="0" w:space="0" w:color="auto"/>
        <w:bottom w:val="none" w:sz="0" w:space="0" w:color="auto"/>
        <w:right w:val="none" w:sz="0" w:space="0" w:color="auto"/>
      </w:divBdr>
    </w:div>
    <w:div w:id="659576432">
      <w:bodyDiv w:val="1"/>
      <w:marLeft w:val="0"/>
      <w:marRight w:val="0"/>
      <w:marTop w:val="0"/>
      <w:marBottom w:val="0"/>
      <w:divBdr>
        <w:top w:val="none" w:sz="0" w:space="0" w:color="auto"/>
        <w:left w:val="none" w:sz="0" w:space="0" w:color="auto"/>
        <w:bottom w:val="none" w:sz="0" w:space="0" w:color="auto"/>
        <w:right w:val="none" w:sz="0" w:space="0" w:color="auto"/>
      </w:divBdr>
    </w:div>
    <w:div w:id="659891172">
      <w:bodyDiv w:val="1"/>
      <w:marLeft w:val="0"/>
      <w:marRight w:val="0"/>
      <w:marTop w:val="0"/>
      <w:marBottom w:val="0"/>
      <w:divBdr>
        <w:top w:val="none" w:sz="0" w:space="0" w:color="auto"/>
        <w:left w:val="none" w:sz="0" w:space="0" w:color="auto"/>
        <w:bottom w:val="none" w:sz="0" w:space="0" w:color="auto"/>
        <w:right w:val="none" w:sz="0" w:space="0" w:color="auto"/>
      </w:divBdr>
    </w:div>
    <w:div w:id="660036779">
      <w:bodyDiv w:val="1"/>
      <w:marLeft w:val="0"/>
      <w:marRight w:val="0"/>
      <w:marTop w:val="0"/>
      <w:marBottom w:val="0"/>
      <w:divBdr>
        <w:top w:val="none" w:sz="0" w:space="0" w:color="auto"/>
        <w:left w:val="none" w:sz="0" w:space="0" w:color="auto"/>
        <w:bottom w:val="none" w:sz="0" w:space="0" w:color="auto"/>
        <w:right w:val="none" w:sz="0" w:space="0" w:color="auto"/>
      </w:divBdr>
    </w:div>
    <w:div w:id="660502803">
      <w:bodyDiv w:val="1"/>
      <w:marLeft w:val="0"/>
      <w:marRight w:val="0"/>
      <w:marTop w:val="0"/>
      <w:marBottom w:val="0"/>
      <w:divBdr>
        <w:top w:val="none" w:sz="0" w:space="0" w:color="auto"/>
        <w:left w:val="none" w:sz="0" w:space="0" w:color="auto"/>
        <w:bottom w:val="none" w:sz="0" w:space="0" w:color="auto"/>
        <w:right w:val="none" w:sz="0" w:space="0" w:color="auto"/>
      </w:divBdr>
    </w:div>
    <w:div w:id="661087879">
      <w:bodyDiv w:val="1"/>
      <w:marLeft w:val="0"/>
      <w:marRight w:val="0"/>
      <w:marTop w:val="0"/>
      <w:marBottom w:val="0"/>
      <w:divBdr>
        <w:top w:val="none" w:sz="0" w:space="0" w:color="auto"/>
        <w:left w:val="none" w:sz="0" w:space="0" w:color="auto"/>
        <w:bottom w:val="none" w:sz="0" w:space="0" w:color="auto"/>
        <w:right w:val="none" w:sz="0" w:space="0" w:color="auto"/>
      </w:divBdr>
    </w:div>
    <w:div w:id="663431973">
      <w:bodyDiv w:val="1"/>
      <w:marLeft w:val="0"/>
      <w:marRight w:val="0"/>
      <w:marTop w:val="0"/>
      <w:marBottom w:val="0"/>
      <w:divBdr>
        <w:top w:val="none" w:sz="0" w:space="0" w:color="auto"/>
        <w:left w:val="none" w:sz="0" w:space="0" w:color="auto"/>
        <w:bottom w:val="none" w:sz="0" w:space="0" w:color="auto"/>
        <w:right w:val="none" w:sz="0" w:space="0" w:color="auto"/>
      </w:divBdr>
    </w:div>
    <w:div w:id="666133020">
      <w:bodyDiv w:val="1"/>
      <w:marLeft w:val="0"/>
      <w:marRight w:val="0"/>
      <w:marTop w:val="0"/>
      <w:marBottom w:val="0"/>
      <w:divBdr>
        <w:top w:val="none" w:sz="0" w:space="0" w:color="auto"/>
        <w:left w:val="none" w:sz="0" w:space="0" w:color="auto"/>
        <w:bottom w:val="none" w:sz="0" w:space="0" w:color="auto"/>
        <w:right w:val="none" w:sz="0" w:space="0" w:color="auto"/>
      </w:divBdr>
    </w:div>
    <w:div w:id="666397364">
      <w:bodyDiv w:val="1"/>
      <w:marLeft w:val="0"/>
      <w:marRight w:val="0"/>
      <w:marTop w:val="0"/>
      <w:marBottom w:val="0"/>
      <w:divBdr>
        <w:top w:val="none" w:sz="0" w:space="0" w:color="auto"/>
        <w:left w:val="none" w:sz="0" w:space="0" w:color="auto"/>
        <w:bottom w:val="none" w:sz="0" w:space="0" w:color="auto"/>
        <w:right w:val="none" w:sz="0" w:space="0" w:color="auto"/>
      </w:divBdr>
    </w:div>
    <w:div w:id="670565658">
      <w:bodyDiv w:val="1"/>
      <w:marLeft w:val="0"/>
      <w:marRight w:val="0"/>
      <w:marTop w:val="0"/>
      <w:marBottom w:val="0"/>
      <w:divBdr>
        <w:top w:val="none" w:sz="0" w:space="0" w:color="auto"/>
        <w:left w:val="none" w:sz="0" w:space="0" w:color="auto"/>
        <w:bottom w:val="none" w:sz="0" w:space="0" w:color="auto"/>
        <w:right w:val="none" w:sz="0" w:space="0" w:color="auto"/>
      </w:divBdr>
    </w:div>
    <w:div w:id="670762684">
      <w:bodyDiv w:val="1"/>
      <w:marLeft w:val="0"/>
      <w:marRight w:val="0"/>
      <w:marTop w:val="0"/>
      <w:marBottom w:val="0"/>
      <w:divBdr>
        <w:top w:val="none" w:sz="0" w:space="0" w:color="auto"/>
        <w:left w:val="none" w:sz="0" w:space="0" w:color="auto"/>
        <w:bottom w:val="none" w:sz="0" w:space="0" w:color="auto"/>
        <w:right w:val="none" w:sz="0" w:space="0" w:color="auto"/>
      </w:divBdr>
    </w:div>
    <w:div w:id="678042421">
      <w:bodyDiv w:val="1"/>
      <w:marLeft w:val="0"/>
      <w:marRight w:val="0"/>
      <w:marTop w:val="0"/>
      <w:marBottom w:val="0"/>
      <w:divBdr>
        <w:top w:val="none" w:sz="0" w:space="0" w:color="auto"/>
        <w:left w:val="none" w:sz="0" w:space="0" w:color="auto"/>
        <w:bottom w:val="none" w:sz="0" w:space="0" w:color="auto"/>
        <w:right w:val="none" w:sz="0" w:space="0" w:color="auto"/>
      </w:divBdr>
    </w:div>
    <w:div w:id="678627396">
      <w:bodyDiv w:val="1"/>
      <w:marLeft w:val="0"/>
      <w:marRight w:val="0"/>
      <w:marTop w:val="0"/>
      <w:marBottom w:val="0"/>
      <w:divBdr>
        <w:top w:val="none" w:sz="0" w:space="0" w:color="auto"/>
        <w:left w:val="none" w:sz="0" w:space="0" w:color="auto"/>
        <w:bottom w:val="none" w:sz="0" w:space="0" w:color="auto"/>
        <w:right w:val="none" w:sz="0" w:space="0" w:color="auto"/>
      </w:divBdr>
    </w:div>
    <w:div w:id="679740502">
      <w:bodyDiv w:val="1"/>
      <w:marLeft w:val="0"/>
      <w:marRight w:val="0"/>
      <w:marTop w:val="0"/>
      <w:marBottom w:val="0"/>
      <w:divBdr>
        <w:top w:val="none" w:sz="0" w:space="0" w:color="auto"/>
        <w:left w:val="none" w:sz="0" w:space="0" w:color="auto"/>
        <w:bottom w:val="none" w:sz="0" w:space="0" w:color="auto"/>
        <w:right w:val="none" w:sz="0" w:space="0" w:color="auto"/>
      </w:divBdr>
    </w:div>
    <w:div w:id="680738083">
      <w:bodyDiv w:val="1"/>
      <w:marLeft w:val="0"/>
      <w:marRight w:val="0"/>
      <w:marTop w:val="0"/>
      <w:marBottom w:val="0"/>
      <w:divBdr>
        <w:top w:val="none" w:sz="0" w:space="0" w:color="auto"/>
        <w:left w:val="none" w:sz="0" w:space="0" w:color="auto"/>
        <w:bottom w:val="none" w:sz="0" w:space="0" w:color="auto"/>
        <w:right w:val="none" w:sz="0" w:space="0" w:color="auto"/>
      </w:divBdr>
    </w:div>
    <w:div w:id="680745587">
      <w:bodyDiv w:val="1"/>
      <w:marLeft w:val="0"/>
      <w:marRight w:val="0"/>
      <w:marTop w:val="0"/>
      <w:marBottom w:val="0"/>
      <w:divBdr>
        <w:top w:val="none" w:sz="0" w:space="0" w:color="auto"/>
        <w:left w:val="none" w:sz="0" w:space="0" w:color="auto"/>
        <w:bottom w:val="none" w:sz="0" w:space="0" w:color="auto"/>
        <w:right w:val="none" w:sz="0" w:space="0" w:color="auto"/>
      </w:divBdr>
    </w:div>
    <w:div w:id="680934783">
      <w:bodyDiv w:val="1"/>
      <w:marLeft w:val="0"/>
      <w:marRight w:val="0"/>
      <w:marTop w:val="0"/>
      <w:marBottom w:val="0"/>
      <w:divBdr>
        <w:top w:val="none" w:sz="0" w:space="0" w:color="auto"/>
        <w:left w:val="none" w:sz="0" w:space="0" w:color="auto"/>
        <w:bottom w:val="none" w:sz="0" w:space="0" w:color="auto"/>
        <w:right w:val="none" w:sz="0" w:space="0" w:color="auto"/>
      </w:divBdr>
    </w:div>
    <w:div w:id="681399331">
      <w:bodyDiv w:val="1"/>
      <w:marLeft w:val="0"/>
      <w:marRight w:val="0"/>
      <w:marTop w:val="0"/>
      <w:marBottom w:val="0"/>
      <w:divBdr>
        <w:top w:val="none" w:sz="0" w:space="0" w:color="auto"/>
        <w:left w:val="none" w:sz="0" w:space="0" w:color="auto"/>
        <w:bottom w:val="none" w:sz="0" w:space="0" w:color="auto"/>
        <w:right w:val="none" w:sz="0" w:space="0" w:color="auto"/>
      </w:divBdr>
    </w:div>
    <w:div w:id="684286053">
      <w:bodyDiv w:val="1"/>
      <w:marLeft w:val="0"/>
      <w:marRight w:val="0"/>
      <w:marTop w:val="0"/>
      <w:marBottom w:val="0"/>
      <w:divBdr>
        <w:top w:val="none" w:sz="0" w:space="0" w:color="auto"/>
        <w:left w:val="none" w:sz="0" w:space="0" w:color="auto"/>
        <w:bottom w:val="none" w:sz="0" w:space="0" w:color="auto"/>
        <w:right w:val="none" w:sz="0" w:space="0" w:color="auto"/>
      </w:divBdr>
    </w:div>
    <w:div w:id="688214569">
      <w:bodyDiv w:val="1"/>
      <w:marLeft w:val="0"/>
      <w:marRight w:val="0"/>
      <w:marTop w:val="0"/>
      <w:marBottom w:val="0"/>
      <w:divBdr>
        <w:top w:val="none" w:sz="0" w:space="0" w:color="auto"/>
        <w:left w:val="none" w:sz="0" w:space="0" w:color="auto"/>
        <w:bottom w:val="none" w:sz="0" w:space="0" w:color="auto"/>
        <w:right w:val="none" w:sz="0" w:space="0" w:color="auto"/>
      </w:divBdr>
    </w:div>
    <w:div w:id="688870363">
      <w:bodyDiv w:val="1"/>
      <w:marLeft w:val="0"/>
      <w:marRight w:val="0"/>
      <w:marTop w:val="0"/>
      <w:marBottom w:val="0"/>
      <w:divBdr>
        <w:top w:val="none" w:sz="0" w:space="0" w:color="auto"/>
        <w:left w:val="none" w:sz="0" w:space="0" w:color="auto"/>
        <w:bottom w:val="none" w:sz="0" w:space="0" w:color="auto"/>
        <w:right w:val="none" w:sz="0" w:space="0" w:color="auto"/>
      </w:divBdr>
    </w:div>
    <w:div w:id="692266730">
      <w:bodyDiv w:val="1"/>
      <w:marLeft w:val="0"/>
      <w:marRight w:val="0"/>
      <w:marTop w:val="0"/>
      <w:marBottom w:val="0"/>
      <w:divBdr>
        <w:top w:val="none" w:sz="0" w:space="0" w:color="auto"/>
        <w:left w:val="none" w:sz="0" w:space="0" w:color="auto"/>
        <w:bottom w:val="none" w:sz="0" w:space="0" w:color="auto"/>
        <w:right w:val="none" w:sz="0" w:space="0" w:color="auto"/>
      </w:divBdr>
    </w:div>
    <w:div w:id="695080919">
      <w:bodyDiv w:val="1"/>
      <w:marLeft w:val="0"/>
      <w:marRight w:val="0"/>
      <w:marTop w:val="0"/>
      <w:marBottom w:val="0"/>
      <w:divBdr>
        <w:top w:val="none" w:sz="0" w:space="0" w:color="auto"/>
        <w:left w:val="none" w:sz="0" w:space="0" w:color="auto"/>
        <w:bottom w:val="none" w:sz="0" w:space="0" w:color="auto"/>
        <w:right w:val="none" w:sz="0" w:space="0" w:color="auto"/>
      </w:divBdr>
    </w:div>
    <w:div w:id="697390096">
      <w:bodyDiv w:val="1"/>
      <w:marLeft w:val="0"/>
      <w:marRight w:val="0"/>
      <w:marTop w:val="0"/>
      <w:marBottom w:val="0"/>
      <w:divBdr>
        <w:top w:val="none" w:sz="0" w:space="0" w:color="auto"/>
        <w:left w:val="none" w:sz="0" w:space="0" w:color="auto"/>
        <w:bottom w:val="none" w:sz="0" w:space="0" w:color="auto"/>
        <w:right w:val="none" w:sz="0" w:space="0" w:color="auto"/>
      </w:divBdr>
    </w:div>
    <w:div w:id="698356774">
      <w:bodyDiv w:val="1"/>
      <w:marLeft w:val="0"/>
      <w:marRight w:val="0"/>
      <w:marTop w:val="0"/>
      <w:marBottom w:val="0"/>
      <w:divBdr>
        <w:top w:val="none" w:sz="0" w:space="0" w:color="auto"/>
        <w:left w:val="none" w:sz="0" w:space="0" w:color="auto"/>
        <w:bottom w:val="none" w:sz="0" w:space="0" w:color="auto"/>
        <w:right w:val="none" w:sz="0" w:space="0" w:color="auto"/>
      </w:divBdr>
    </w:div>
    <w:div w:id="699820892">
      <w:bodyDiv w:val="1"/>
      <w:marLeft w:val="0"/>
      <w:marRight w:val="0"/>
      <w:marTop w:val="0"/>
      <w:marBottom w:val="0"/>
      <w:divBdr>
        <w:top w:val="none" w:sz="0" w:space="0" w:color="auto"/>
        <w:left w:val="none" w:sz="0" w:space="0" w:color="auto"/>
        <w:bottom w:val="none" w:sz="0" w:space="0" w:color="auto"/>
        <w:right w:val="none" w:sz="0" w:space="0" w:color="auto"/>
      </w:divBdr>
    </w:div>
    <w:div w:id="712272433">
      <w:bodyDiv w:val="1"/>
      <w:marLeft w:val="0"/>
      <w:marRight w:val="0"/>
      <w:marTop w:val="0"/>
      <w:marBottom w:val="0"/>
      <w:divBdr>
        <w:top w:val="none" w:sz="0" w:space="0" w:color="auto"/>
        <w:left w:val="none" w:sz="0" w:space="0" w:color="auto"/>
        <w:bottom w:val="none" w:sz="0" w:space="0" w:color="auto"/>
        <w:right w:val="none" w:sz="0" w:space="0" w:color="auto"/>
      </w:divBdr>
    </w:div>
    <w:div w:id="717440861">
      <w:bodyDiv w:val="1"/>
      <w:marLeft w:val="0"/>
      <w:marRight w:val="0"/>
      <w:marTop w:val="0"/>
      <w:marBottom w:val="0"/>
      <w:divBdr>
        <w:top w:val="none" w:sz="0" w:space="0" w:color="auto"/>
        <w:left w:val="none" w:sz="0" w:space="0" w:color="auto"/>
        <w:bottom w:val="none" w:sz="0" w:space="0" w:color="auto"/>
        <w:right w:val="none" w:sz="0" w:space="0" w:color="auto"/>
      </w:divBdr>
    </w:div>
    <w:div w:id="718239362">
      <w:bodyDiv w:val="1"/>
      <w:marLeft w:val="0"/>
      <w:marRight w:val="0"/>
      <w:marTop w:val="0"/>
      <w:marBottom w:val="0"/>
      <w:divBdr>
        <w:top w:val="none" w:sz="0" w:space="0" w:color="auto"/>
        <w:left w:val="none" w:sz="0" w:space="0" w:color="auto"/>
        <w:bottom w:val="none" w:sz="0" w:space="0" w:color="auto"/>
        <w:right w:val="none" w:sz="0" w:space="0" w:color="auto"/>
      </w:divBdr>
    </w:div>
    <w:div w:id="718675708">
      <w:bodyDiv w:val="1"/>
      <w:marLeft w:val="0"/>
      <w:marRight w:val="0"/>
      <w:marTop w:val="0"/>
      <w:marBottom w:val="0"/>
      <w:divBdr>
        <w:top w:val="none" w:sz="0" w:space="0" w:color="auto"/>
        <w:left w:val="none" w:sz="0" w:space="0" w:color="auto"/>
        <w:bottom w:val="none" w:sz="0" w:space="0" w:color="auto"/>
        <w:right w:val="none" w:sz="0" w:space="0" w:color="auto"/>
      </w:divBdr>
    </w:div>
    <w:div w:id="721245842">
      <w:bodyDiv w:val="1"/>
      <w:marLeft w:val="0"/>
      <w:marRight w:val="0"/>
      <w:marTop w:val="0"/>
      <w:marBottom w:val="0"/>
      <w:divBdr>
        <w:top w:val="none" w:sz="0" w:space="0" w:color="auto"/>
        <w:left w:val="none" w:sz="0" w:space="0" w:color="auto"/>
        <w:bottom w:val="none" w:sz="0" w:space="0" w:color="auto"/>
        <w:right w:val="none" w:sz="0" w:space="0" w:color="auto"/>
      </w:divBdr>
    </w:div>
    <w:div w:id="726880386">
      <w:bodyDiv w:val="1"/>
      <w:marLeft w:val="0"/>
      <w:marRight w:val="0"/>
      <w:marTop w:val="0"/>
      <w:marBottom w:val="0"/>
      <w:divBdr>
        <w:top w:val="none" w:sz="0" w:space="0" w:color="auto"/>
        <w:left w:val="none" w:sz="0" w:space="0" w:color="auto"/>
        <w:bottom w:val="none" w:sz="0" w:space="0" w:color="auto"/>
        <w:right w:val="none" w:sz="0" w:space="0" w:color="auto"/>
      </w:divBdr>
    </w:div>
    <w:div w:id="727151115">
      <w:bodyDiv w:val="1"/>
      <w:marLeft w:val="0"/>
      <w:marRight w:val="0"/>
      <w:marTop w:val="0"/>
      <w:marBottom w:val="0"/>
      <w:divBdr>
        <w:top w:val="none" w:sz="0" w:space="0" w:color="auto"/>
        <w:left w:val="none" w:sz="0" w:space="0" w:color="auto"/>
        <w:bottom w:val="none" w:sz="0" w:space="0" w:color="auto"/>
        <w:right w:val="none" w:sz="0" w:space="0" w:color="auto"/>
      </w:divBdr>
    </w:div>
    <w:div w:id="731469462">
      <w:bodyDiv w:val="1"/>
      <w:marLeft w:val="0"/>
      <w:marRight w:val="0"/>
      <w:marTop w:val="0"/>
      <w:marBottom w:val="0"/>
      <w:divBdr>
        <w:top w:val="none" w:sz="0" w:space="0" w:color="auto"/>
        <w:left w:val="none" w:sz="0" w:space="0" w:color="auto"/>
        <w:bottom w:val="none" w:sz="0" w:space="0" w:color="auto"/>
        <w:right w:val="none" w:sz="0" w:space="0" w:color="auto"/>
      </w:divBdr>
    </w:div>
    <w:div w:id="734091126">
      <w:bodyDiv w:val="1"/>
      <w:marLeft w:val="0"/>
      <w:marRight w:val="0"/>
      <w:marTop w:val="0"/>
      <w:marBottom w:val="0"/>
      <w:divBdr>
        <w:top w:val="none" w:sz="0" w:space="0" w:color="auto"/>
        <w:left w:val="none" w:sz="0" w:space="0" w:color="auto"/>
        <w:bottom w:val="none" w:sz="0" w:space="0" w:color="auto"/>
        <w:right w:val="none" w:sz="0" w:space="0" w:color="auto"/>
      </w:divBdr>
    </w:div>
    <w:div w:id="735325035">
      <w:bodyDiv w:val="1"/>
      <w:marLeft w:val="0"/>
      <w:marRight w:val="0"/>
      <w:marTop w:val="0"/>
      <w:marBottom w:val="0"/>
      <w:divBdr>
        <w:top w:val="none" w:sz="0" w:space="0" w:color="auto"/>
        <w:left w:val="none" w:sz="0" w:space="0" w:color="auto"/>
        <w:bottom w:val="none" w:sz="0" w:space="0" w:color="auto"/>
        <w:right w:val="none" w:sz="0" w:space="0" w:color="auto"/>
      </w:divBdr>
    </w:div>
    <w:div w:id="738403489">
      <w:bodyDiv w:val="1"/>
      <w:marLeft w:val="0"/>
      <w:marRight w:val="0"/>
      <w:marTop w:val="0"/>
      <w:marBottom w:val="0"/>
      <w:divBdr>
        <w:top w:val="none" w:sz="0" w:space="0" w:color="auto"/>
        <w:left w:val="none" w:sz="0" w:space="0" w:color="auto"/>
        <w:bottom w:val="none" w:sz="0" w:space="0" w:color="auto"/>
        <w:right w:val="none" w:sz="0" w:space="0" w:color="auto"/>
      </w:divBdr>
    </w:div>
    <w:div w:id="738600218">
      <w:bodyDiv w:val="1"/>
      <w:marLeft w:val="0"/>
      <w:marRight w:val="0"/>
      <w:marTop w:val="0"/>
      <w:marBottom w:val="0"/>
      <w:divBdr>
        <w:top w:val="none" w:sz="0" w:space="0" w:color="auto"/>
        <w:left w:val="none" w:sz="0" w:space="0" w:color="auto"/>
        <w:bottom w:val="none" w:sz="0" w:space="0" w:color="auto"/>
        <w:right w:val="none" w:sz="0" w:space="0" w:color="auto"/>
      </w:divBdr>
    </w:div>
    <w:div w:id="739448568">
      <w:bodyDiv w:val="1"/>
      <w:marLeft w:val="0"/>
      <w:marRight w:val="0"/>
      <w:marTop w:val="0"/>
      <w:marBottom w:val="0"/>
      <w:divBdr>
        <w:top w:val="none" w:sz="0" w:space="0" w:color="auto"/>
        <w:left w:val="none" w:sz="0" w:space="0" w:color="auto"/>
        <w:bottom w:val="none" w:sz="0" w:space="0" w:color="auto"/>
        <w:right w:val="none" w:sz="0" w:space="0" w:color="auto"/>
      </w:divBdr>
    </w:div>
    <w:div w:id="740059354">
      <w:bodyDiv w:val="1"/>
      <w:marLeft w:val="0"/>
      <w:marRight w:val="0"/>
      <w:marTop w:val="0"/>
      <w:marBottom w:val="0"/>
      <w:divBdr>
        <w:top w:val="none" w:sz="0" w:space="0" w:color="auto"/>
        <w:left w:val="none" w:sz="0" w:space="0" w:color="auto"/>
        <w:bottom w:val="none" w:sz="0" w:space="0" w:color="auto"/>
        <w:right w:val="none" w:sz="0" w:space="0" w:color="auto"/>
      </w:divBdr>
    </w:div>
    <w:div w:id="743727148">
      <w:bodyDiv w:val="1"/>
      <w:marLeft w:val="0"/>
      <w:marRight w:val="0"/>
      <w:marTop w:val="0"/>
      <w:marBottom w:val="0"/>
      <w:divBdr>
        <w:top w:val="none" w:sz="0" w:space="0" w:color="auto"/>
        <w:left w:val="none" w:sz="0" w:space="0" w:color="auto"/>
        <w:bottom w:val="none" w:sz="0" w:space="0" w:color="auto"/>
        <w:right w:val="none" w:sz="0" w:space="0" w:color="auto"/>
      </w:divBdr>
    </w:div>
    <w:div w:id="744036527">
      <w:bodyDiv w:val="1"/>
      <w:marLeft w:val="0"/>
      <w:marRight w:val="0"/>
      <w:marTop w:val="0"/>
      <w:marBottom w:val="0"/>
      <w:divBdr>
        <w:top w:val="none" w:sz="0" w:space="0" w:color="auto"/>
        <w:left w:val="none" w:sz="0" w:space="0" w:color="auto"/>
        <w:bottom w:val="none" w:sz="0" w:space="0" w:color="auto"/>
        <w:right w:val="none" w:sz="0" w:space="0" w:color="auto"/>
      </w:divBdr>
    </w:div>
    <w:div w:id="744953292">
      <w:bodyDiv w:val="1"/>
      <w:marLeft w:val="0"/>
      <w:marRight w:val="0"/>
      <w:marTop w:val="0"/>
      <w:marBottom w:val="0"/>
      <w:divBdr>
        <w:top w:val="none" w:sz="0" w:space="0" w:color="auto"/>
        <w:left w:val="none" w:sz="0" w:space="0" w:color="auto"/>
        <w:bottom w:val="none" w:sz="0" w:space="0" w:color="auto"/>
        <w:right w:val="none" w:sz="0" w:space="0" w:color="auto"/>
      </w:divBdr>
    </w:div>
    <w:div w:id="745150513">
      <w:bodyDiv w:val="1"/>
      <w:marLeft w:val="0"/>
      <w:marRight w:val="0"/>
      <w:marTop w:val="0"/>
      <w:marBottom w:val="0"/>
      <w:divBdr>
        <w:top w:val="none" w:sz="0" w:space="0" w:color="auto"/>
        <w:left w:val="none" w:sz="0" w:space="0" w:color="auto"/>
        <w:bottom w:val="none" w:sz="0" w:space="0" w:color="auto"/>
        <w:right w:val="none" w:sz="0" w:space="0" w:color="auto"/>
      </w:divBdr>
    </w:div>
    <w:div w:id="747993801">
      <w:bodyDiv w:val="1"/>
      <w:marLeft w:val="0"/>
      <w:marRight w:val="0"/>
      <w:marTop w:val="0"/>
      <w:marBottom w:val="0"/>
      <w:divBdr>
        <w:top w:val="none" w:sz="0" w:space="0" w:color="auto"/>
        <w:left w:val="none" w:sz="0" w:space="0" w:color="auto"/>
        <w:bottom w:val="none" w:sz="0" w:space="0" w:color="auto"/>
        <w:right w:val="none" w:sz="0" w:space="0" w:color="auto"/>
      </w:divBdr>
    </w:div>
    <w:div w:id="749695700">
      <w:bodyDiv w:val="1"/>
      <w:marLeft w:val="0"/>
      <w:marRight w:val="0"/>
      <w:marTop w:val="0"/>
      <w:marBottom w:val="0"/>
      <w:divBdr>
        <w:top w:val="none" w:sz="0" w:space="0" w:color="auto"/>
        <w:left w:val="none" w:sz="0" w:space="0" w:color="auto"/>
        <w:bottom w:val="none" w:sz="0" w:space="0" w:color="auto"/>
        <w:right w:val="none" w:sz="0" w:space="0" w:color="auto"/>
      </w:divBdr>
    </w:div>
    <w:div w:id="752163040">
      <w:bodyDiv w:val="1"/>
      <w:marLeft w:val="0"/>
      <w:marRight w:val="0"/>
      <w:marTop w:val="0"/>
      <w:marBottom w:val="0"/>
      <w:divBdr>
        <w:top w:val="none" w:sz="0" w:space="0" w:color="auto"/>
        <w:left w:val="none" w:sz="0" w:space="0" w:color="auto"/>
        <w:bottom w:val="none" w:sz="0" w:space="0" w:color="auto"/>
        <w:right w:val="none" w:sz="0" w:space="0" w:color="auto"/>
      </w:divBdr>
    </w:div>
    <w:div w:id="752169082">
      <w:bodyDiv w:val="1"/>
      <w:marLeft w:val="0"/>
      <w:marRight w:val="0"/>
      <w:marTop w:val="0"/>
      <w:marBottom w:val="0"/>
      <w:divBdr>
        <w:top w:val="none" w:sz="0" w:space="0" w:color="auto"/>
        <w:left w:val="none" w:sz="0" w:space="0" w:color="auto"/>
        <w:bottom w:val="none" w:sz="0" w:space="0" w:color="auto"/>
        <w:right w:val="none" w:sz="0" w:space="0" w:color="auto"/>
      </w:divBdr>
    </w:div>
    <w:div w:id="755443991">
      <w:bodyDiv w:val="1"/>
      <w:marLeft w:val="0"/>
      <w:marRight w:val="0"/>
      <w:marTop w:val="0"/>
      <w:marBottom w:val="0"/>
      <w:divBdr>
        <w:top w:val="none" w:sz="0" w:space="0" w:color="auto"/>
        <w:left w:val="none" w:sz="0" w:space="0" w:color="auto"/>
        <w:bottom w:val="none" w:sz="0" w:space="0" w:color="auto"/>
        <w:right w:val="none" w:sz="0" w:space="0" w:color="auto"/>
      </w:divBdr>
    </w:div>
    <w:div w:id="757285063">
      <w:bodyDiv w:val="1"/>
      <w:marLeft w:val="0"/>
      <w:marRight w:val="0"/>
      <w:marTop w:val="0"/>
      <w:marBottom w:val="0"/>
      <w:divBdr>
        <w:top w:val="none" w:sz="0" w:space="0" w:color="auto"/>
        <w:left w:val="none" w:sz="0" w:space="0" w:color="auto"/>
        <w:bottom w:val="none" w:sz="0" w:space="0" w:color="auto"/>
        <w:right w:val="none" w:sz="0" w:space="0" w:color="auto"/>
      </w:divBdr>
    </w:div>
    <w:div w:id="758984831">
      <w:bodyDiv w:val="1"/>
      <w:marLeft w:val="0"/>
      <w:marRight w:val="0"/>
      <w:marTop w:val="0"/>
      <w:marBottom w:val="0"/>
      <w:divBdr>
        <w:top w:val="none" w:sz="0" w:space="0" w:color="auto"/>
        <w:left w:val="none" w:sz="0" w:space="0" w:color="auto"/>
        <w:bottom w:val="none" w:sz="0" w:space="0" w:color="auto"/>
        <w:right w:val="none" w:sz="0" w:space="0" w:color="auto"/>
      </w:divBdr>
    </w:div>
    <w:div w:id="761530008">
      <w:bodyDiv w:val="1"/>
      <w:marLeft w:val="0"/>
      <w:marRight w:val="0"/>
      <w:marTop w:val="0"/>
      <w:marBottom w:val="0"/>
      <w:divBdr>
        <w:top w:val="none" w:sz="0" w:space="0" w:color="auto"/>
        <w:left w:val="none" w:sz="0" w:space="0" w:color="auto"/>
        <w:bottom w:val="none" w:sz="0" w:space="0" w:color="auto"/>
        <w:right w:val="none" w:sz="0" w:space="0" w:color="auto"/>
      </w:divBdr>
    </w:div>
    <w:div w:id="762531062">
      <w:bodyDiv w:val="1"/>
      <w:marLeft w:val="0"/>
      <w:marRight w:val="0"/>
      <w:marTop w:val="0"/>
      <w:marBottom w:val="0"/>
      <w:divBdr>
        <w:top w:val="none" w:sz="0" w:space="0" w:color="auto"/>
        <w:left w:val="none" w:sz="0" w:space="0" w:color="auto"/>
        <w:bottom w:val="none" w:sz="0" w:space="0" w:color="auto"/>
        <w:right w:val="none" w:sz="0" w:space="0" w:color="auto"/>
      </w:divBdr>
    </w:div>
    <w:div w:id="763260818">
      <w:bodyDiv w:val="1"/>
      <w:marLeft w:val="0"/>
      <w:marRight w:val="0"/>
      <w:marTop w:val="0"/>
      <w:marBottom w:val="0"/>
      <w:divBdr>
        <w:top w:val="none" w:sz="0" w:space="0" w:color="auto"/>
        <w:left w:val="none" w:sz="0" w:space="0" w:color="auto"/>
        <w:bottom w:val="none" w:sz="0" w:space="0" w:color="auto"/>
        <w:right w:val="none" w:sz="0" w:space="0" w:color="auto"/>
      </w:divBdr>
    </w:div>
    <w:div w:id="766196494">
      <w:bodyDiv w:val="1"/>
      <w:marLeft w:val="0"/>
      <w:marRight w:val="0"/>
      <w:marTop w:val="0"/>
      <w:marBottom w:val="0"/>
      <w:divBdr>
        <w:top w:val="none" w:sz="0" w:space="0" w:color="auto"/>
        <w:left w:val="none" w:sz="0" w:space="0" w:color="auto"/>
        <w:bottom w:val="none" w:sz="0" w:space="0" w:color="auto"/>
        <w:right w:val="none" w:sz="0" w:space="0" w:color="auto"/>
      </w:divBdr>
    </w:div>
    <w:div w:id="770661155">
      <w:bodyDiv w:val="1"/>
      <w:marLeft w:val="0"/>
      <w:marRight w:val="0"/>
      <w:marTop w:val="0"/>
      <w:marBottom w:val="0"/>
      <w:divBdr>
        <w:top w:val="none" w:sz="0" w:space="0" w:color="auto"/>
        <w:left w:val="none" w:sz="0" w:space="0" w:color="auto"/>
        <w:bottom w:val="none" w:sz="0" w:space="0" w:color="auto"/>
        <w:right w:val="none" w:sz="0" w:space="0" w:color="auto"/>
      </w:divBdr>
    </w:div>
    <w:div w:id="772551116">
      <w:bodyDiv w:val="1"/>
      <w:marLeft w:val="0"/>
      <w:marRight w:val="0"/>
      <w:marTop w:val="0"/>
      <w:marBottom w:val="0"/>
      <w:divBdr>
        <w:top w:val="none" w:sz="0" w:space="0" w:color="auto"/>
        <w:left w:val="none" w:sz="0" w:space="0" w:color="auto"/>
        <w:bottom w:val="none" w:sz="0" w:space="0" w:color="auto"/>
        <w:right w:val="none" w:sz="0" w:space="0" w:color="auto"/>
      </w:divBdr>
    </w:div>
    <w:div w:id="773401520">
      <w:bodyDiv w:val="1"/>
      <w:marLeft w:val="0"/>
      <w:marRight w:val="0"/>
      <w:marTop w:val="0"/>
      <w:marBottom w:val="0"/>
      <w:divBdr>
        <w:top w:val="none" w:sz="0" w:space="0" w:color="auto"/>
        <w:left w:val="none" w:sz="0" w:space="0" w:color="auto"/>
        <w:bottom w:val="none" w:sz="0" w:space="0" w:color="auto"/>
        <w:right w:val="none" w:sz="0" w:space="0" w:color="auto"/>
      </w:divBdr>
    </w:div>
    <w:div w:id="775440557">
      <w:bodyDiv w:val="1"/>
      <w:marLeft w:val="0"/>
      <w:marRight w:val="0"/>
      <w:marTop w:val="0"/>
      <w:marBottom w:val="0"/>
      <w:divBdr>
        <w:top w:val="none" w:sz="0" w:space="0" w:color="auto"/>
        <w:left w:val="none" w:sz="0" w:space="0" w:color="auto"/>
        <w:bottom w:val="none" w:sz="0" w:space="0" w:color="auto"/>
        <w:right w:val="none" w:sz="0" w:space="0" w:color="auto"/>
      </w:divBdr>
    </w:div>
    <w:div w:id="775518548">
      <w:bodyDiv w:val="1"/>
      <w:marLeft w:val="0"/>
      <w:marRight w:val="0"/>
      <w:marTop w:val="0"/>
      <w:marBottom w:val="0"/>
      <w:divBdr>
        <w:top w:val="none" w:sz="0" w:space="0" w:color="auto"/>
        <w:left w:val="none" w:sz="0" w:space="0" w:color="auto"/>
        <w:bottom w:val="none" w:sz="0" w:space="0" w:color="auto"/>
        <w:right w:val="none" w:sz="0" w:space="0" w:color="auto"/>
      </w:divBdr>
    </w:div>
    <w:div w:id="778330928">
      <w:bodyDiv w:val="1"/>
      <w:marLeft w:val="0"/>
      <w:marRight w:val="0"/>
      <w:marTop w:val="0"/>
      <w:marBottom w:val="0"/>
      <w:divBdr>
        <w:top w:val="none" w:sz="0" w:space="0" w:color="auto"/>
        <w:left w:val="none" w:sz="0" w:space="0" w:color="auto"/>
        <w:bottom w:val="none" w:sz="0" w:space="0" w:color="auto"/>
        <w:right w:val="none" w:sz="0" w:space="0" w:color="auto"/>
      </w:divBdr>
    </w:div>
    <w:div w:id="780493057">
      <w:bodyDiv w:val="1"/>
      <w:marLeft w:val="0"/>
      <w:marRight w:val="0"/>
      <w:marTop w:val="0"/>
      <w:marBottom w:val="0"/>
      <w:divBdr>
        <w:top w:val="none" w:sz="0" w:space="0" w:color="auto"/>
        <w:left w:val="none" w:sz="0" w:space="0" w:color="auto"/>
        <w:bottom w:val="none" w:sz="0" w:space="0" w:color="auto"/>
        <w:right w:val="none" w:sz="0" w:space="0" w:color="auto"/>
      </w:divBdr>
    </w:div>
    <w:div w:id="786315332">
      <w:bodyDiv w:val="1"/>
      <w:marLeft w:val="0"/>
      <w:marRight w:val="0"/>
      <w:marTop w:val="0"/>
      <w:marBottom w:val="0"/>
      <w:divBdr>
        <w:top w:val="none" w:sz="0" w:space="0" w:color="auto"/>
        <w:left w:val="none" w:sz="0" w:space="0" w:color="auto"/>
        <w:bottom w:val="none" w:sz="0" w:space="0" w:color="auto"/>
        <w:right w:val="none" w:sz="0" w:space="0" w:color="auto"/>
      </w:divBdr>
    </w:div>
    <w:div w:id="790826409">
      <w:bodyDiv w:val="1"/>
      <w:marLeft w:val="0"/>
      <w:marRight w:val="0"/>
      <w:marTop w:val="0"/>
      <w:marBottom w:val="0"/>
      <w:divBdr>
        <w:top w:val="none" w:sz="0" w:space="0" w:color="auto"/>
        <w:left w:val="none" w:sz="0" w:space="0" w:color="auto"/>
        <w:bottom w:val="none" w:sz="0" w:space="0" w:color="auto"/>
        <w:right w:val="none" w:sz="0" w:space="0" w:color="auto"/>
      </w:divBdr>
    </w:div>
    <w:div w:id="798181855">
      <w:bodyDiv w:val="1"/>
      <w:marLeft w:val="0"/>
      <w:marRight w:val="0"/>
      <w:marTop w:val="0"/>
      <w:marBottom w:val="0"/>
      <w:divBdr>
        <w:top w:val="none" w:sz="0" w:space="0" w:color="auto"/>
        <w:left w:val="none" w:sz="0" w:space="0" w:color="auto"/>
        <w:bottom w:val="none" w:sz="0" w:space="0" w:color="auto"/>
        <w:right w:val="none" w:sz="0" w:space="0" w:color="auto"/>
      </w:divBdr>
    </w:div>
    <w:div w:id="798450342">
      <w:bodyDiv w:val="1"/>
      <w:marLeft w:val="0"/>
      <w:marRight w:val="0"/>
      <w:marTop w:val="0"/>
      <w:marBottom w:val="0"/>
      <w:divBdr>
        <w:top w:val="none" w:sz="0" w:space="0" w:color="auto"/>
        <w:left w:val="none" w:sz="0" w:space="0" w:color="auto"/>
        <w:bottom w:val="none" w:sz="0" w:space="0" w:color="auto"/>
        <w:right w:val="none" w:sz="0" w:space="0" w:color="auto"/>
      </w:divBdr>
    </w:div>
    <w:div w:id="805316644">
      <w:bodyDiv w:val="1"/>
      <w:marLeft w:val="0"/>
      <w:marRight w:val="0"/>
      <w:marTop w:val="0"/>
      <w:marBottom w:val="0"/>
      <w:divBdr>
        <w:top w:val="none" w:sz="0" w:space="0" w:color="auto"/>
        <w:left w:val="none" w:sz="0" w:space="0" w:color="auto"/>
        <w:bottom w:val="none" w:sz="0" w:space="0" w:color="auto"/>
        <w:right w:val="none" w:sz="0" w:space="0" w:color="auto"/>
      </w:divBdr>
    </w:div>
    <w:div w:id="808089683">
      <w:bodyDiv w:val="1"/>
      <w:marLeft w:val="0"/>
      <w:marRight w:val="0"/>
      <w:marTop w:val="0"/>
      <w:marBottom w:val="0"/>
      <w:divBdr>
        <w:top w:val="none" w:sz="0" w:space="0" w:color="auto"/>
        <w:left w:val="none" w:sz="0" w:space="0" w:color="auto"/>
        <w:bottom w:val="none" w:sz="0" w:space="0" w:color="auto"/>
        <w:right w:val="none" w:sz="0" w:space="0" w:color="auto"/>
      </w:divBdr>
    </w:div>
    <w:div w:id="808935622">
      <w:bodyDiv w:val="1"/>
      <w:marLeft w:val="0"/>
      <w:marRight w:val="0"/>
      <w:marTop w:val="0"/>
      <w:marBottom w:val="0"/>
      <w:divBdr>
        <w:top w:val="none" w:sz="0" w:space="0" w:color="auto"/>
        <w:left w:val="none" w:sz="0" w:space="0" w:color="auto"/>
        <w:bottom w:val="none" w:sz="0" w:space="0" w:color="auto"/>
        <w:right w:val="none" w:sz="0" w:space="0" w:color="auto"/>
      </w:divBdr>
    </w:div>
    <w:div w:id="815757306">
      <w:bodyDiv w:val="1"/>
      <w:marLeft w:val="0"/>
      <w:marRight w:val="0"/>
      <w:marTop w:val="0"/>
      <w:marBottom w:val="0"/>
      <w:divBdr>
        <w:top w:val="none" w:sz="0" w:space="0" w:color="auto"/>
        <w:left w:val="none" w:sz="0" w:space="0" w:color="auto"/>
        <w:bottom w:val="none" w:sz="0" w:space="0" w:color="auto"/>
        <w:right w:val="none" w:sz="0" w:space="0" w:color="auto"/>
      </w:divBdr>
    </w:div>
    <w:div w:id="817500766">
      <w:bodyDiv w:val="1"/>
      <w:marLeft w:val="0"/>
      <w:marRight w:val="0"/>
      <w:marTop w:val="0"/>
      <w:marBottom w:val="0"/>
      <w:divBdr>
        <w:top w:val="none" w:sz="0" w:space="0" w:color="auto"/>
        <w:left w:val="none" w:sz="0" w:space="0" w:color="auto"/>
        <w:bottom w:val="none" w:sz="0" w:space="0" w:color="auto"/>
        <w:right w:val="none" w:sz="0" w:space="0" w:color="auto"/>
      </w:divBdr>
    </w:div>
    <w:div w:id="820270685">
      <w:bodyDiv w:val="1"/>
      <w:marLeft w:val="0"/>
      <w:marRight w:val="0"/>
      <w:marTop w:val="0"/>
      <w:marBottom w:val="0"/>
      <w:divBdr>
        <w:top w:val="none" w:sz="0" w:space="0" w:color="auto"/>
        <w:left w:val="none" w:sz="0" w:space="0" w:color="auto"/>
        <w:bottom w:val="none" w:sz="0" w:space="0" w:color="auto"/>
        <w:right w:val="none" w:sz="0" w:space="0" w:color="auto"/>
      </w:divBdr>
    </w:div>
    <w:div w:id="820346494">
      <w:bodyDiv w:val="1"/>
      <w:marLeft w:val="0"/>
      <w:marRight w:val="0"/>
      <w:marTop w:val="0"/>
      <w:marBottom w:val="0"/>
      <w:divBdr>
        <w:top w:val="none" w:sz="0" w:space="0" w:color="auto"/>
        <w:left w:val="none" w:sz="0" w:space="0" w:color="auto"/>
        <w:bottom w:val="none" w:sz="0" w:space="0" w:color="auto"/>
        <w:right w:val="none" w:sz="0" w:space="0" w:color="auto"/>
      </w:divBdr>
    </w:div>
    <w:div w:id="822695639">
      <w:bodyDiv w:val="1"/>
      <w:marLeft w:val="0"/>
      <w:marRight w:val="0"/>
      <w:marTop w:val="0"/>
      <w:marBottom w:val="0"/>
      <w:divBdr>
        <w:top w:val="none" w:sz="0" w:space="0" w:color="auto"/>
        <w:left w:val="none" w:sz="0" w:space="0" w:color="auto"/>
        <w:bottom w:val="none" w:sz="0" w:space="0" w:color="auto"/>
        <w:right w:val="none" w:sz="0" w:space="0" w:color="auto"/>
      </w:divBdr>
    </w:div>
    <w:div w:id="828011925">
      <w:bodyDiv w:val="1"/>
      <w:marLeft w:val="0"/>
      <w:marRight w:val="0"/>
      <w:marTop w:val="0"/>
      <w:marBottom w:val="0"/>
      <w:divBdr>
        <w:top w:val="none" w:sz="0" w:space="0" w:color="auto"/>
        <w:left w:val="none" w:sz="0" w:space="0" w:color="auto"/>
        <w:bottom w:val="none" w:sz="0" w:space="0" w:color="auto"/>
        <w:right w:val="none" w:sz="0" w:space="0" w:color="auto"/>
      </w:divBdr>
    </w:div>
    <w:div w:id="828331437">
      <w:bodyDiv w:val="1"/>
      <w:marLeft w:val="0"/>
      <w:marRight w:val="0"/>
      <w:marTop w:val="0"/>
      <w:marBottom w:val="0"/>
      <w:divBdr>
        <w:top w:val="none" w:sz="0" w:space="0" w:color="auto"/>
        <w:left w:val="none" w:sz="0" w:space="0" w:color="auto"/>
        <w:bottom w:val="none" w:sz="0" w:space="0" w:color="auto"/>
        <w:right w:val="none" w:sz="0" w:space="0" w:color="auto"/>
      </w:divBdr>
    </w:div>
    <w:div w:id="830146867">
      <w:bodyDiv w:val="1"/>
      <w:marLeft w:val="0"/>
      <w:marRight w:val="0"/>
      <w:marTop w:val="0"/>
      <w:marBottom w:val="0"/>
      <w:divBdr>
        <w:top w:val="none" w:sz="0" w:space="0" w:color="auto"/>
        <w:left w:val="none" w:sz="0" w:space="0" w:color="auto"/>
        <w:bottom w:val="none" w:sz="0" w:space="0" w:color="auto"/>
        <w:right w:val="none" w:sz="0" w:space="0" w:color="auto"/>
      </w:divBdr>
    </w:div>
    <w:div w:id="833911654">
      <w:bodyDiv w:val="1"/>
      <w:marLeft w:val="0"/>
      <w:marRight w:val="0"/>
      <w:marTop w:val="0"/>
      <w:marBottom w:val="0"/>
      <w:divBdr>
        <w:top w:val="none" w:sz="0" w:space="0" w:color="auto"/>
        <w:left w:val="none" w:sz="0" w:space="0" w:color="auto"/>
        <w:bottom w:val="none" w:sz="0" w:space="0" w:color="auto"/>
        <w:right w:val="none" w:sz="0" w:space="0" w:color="auto"/>
      </w:divBdr>
    </w:div>
    <w:div w:id="833960228">
      <w:bodyDiv w:val="1"/>
      <w:marLeft w:val="0"/>
      <w:marRight w:val="0"/>
      <w:marTop w:val="0"/>
      <w:marBottom w:val="0"/>
      <w:divBdr>
        <w:top w:val="none" w:sz="0" w:space="0" w:color="auto"/>
        <w:left w:val="none" w:sz="0" w:space="0" w:color="auto"/>
        <w:bottom w:val="none" w:sz="0" w:space="0" w:color="auto"/>
        <w:right w:val="none" w:sz="0" w:space="0" w:color="auto"/>
      </w:divBdr>
    </w:div>
    <w:div w:id="836115716">
      <w:bodyDiv w:val="1"/>
      <w:marLeft w:val="0"/>
      <w:marRight w:val="0"/>
      <w:marTop w:val="0"/>
      <w:marBottom w:val="0"/>
      <w:divBdr>
        <w:top w:val="none" w:sz="0" w:space="0" w:color="auto"/>
        <w:left w:val="none" w:sz="0" w:space="0" w:color="auto"/>
        <w:bottom w:val="none" w:sz="0" w:space="0" w:color="auto"/>
        <w:right w:val="none" w:sz="0" w:space="0" w:color="auto"/>
      </w:divBdr>
    </w:div>
    <w:div w:id="838034422">
      <w:bodyDiv w:val="1"/>
      <w:marLeft w:val="0"/>
      <w:marRight w:val="0"/>
      <w:marTop w:val="0"/>
      <w:marBottom w:val="0"/>
      <w:divBdr>
        <w:top w:val="none" w:sz="0" w:space="0" w:color="auto"/>
        <w:left w:val="none" w:sz="0" w:space="0" w:color="auto"/>
        <w:bottom w:val="none" w:sz="0" w:space="0" w:color="auto"/>
        <w:right w:val="none" w:sz="0" w:space="0" w:color="auto"/>
      </w:divBdr>
    </w:div>
    <w:div w:id="839852778">
      <w:bodyDiv w:val="1"/>
      <w:marLeft w:val="0"/>
      <w:marRight w:val="0"/>
      <w:marTop w:val="0"/>
      <w:marBottom w:val="0"/>
      <w:divBdr>
        <w:top w:val="none" w:sz="0" w:space="0" w:color="auto"/>
        <w:left w:val="none" w:sz="0" w:space="0" w:color="auto"/>
        <w:bottom w:val="none" w:sz="0" w:space="0" w:color="auto"/>
        <w:right w:val="none" w:sz="0" w:space="0" w:color="auto"/>
      </w:divBdr>
    </w:div>
    <w:div w:id="843403037">
      <w:bodyDiv w:val="1"/>
      <w:marLeft w:val="0"/>
      <w:marRight w:val="0"/>
      <w:marTop w:val="0"/>
      <w:marBottom w:val="0"/>
      <w:divBdr>
        <w:top w:val="none" w:sz="0" w:space="0" w:color="auto"/>
        <w:left w:val="none" w:sz="0" w:space="0" w:color="auto"/>
        <w:bottom w:val="none" w:sz="0" w:space="0" w:color="auto"/>
        <w:right w:val="none" w:sz="0" w:space="0" w:color="auto"/>
      </w:divBdr>
    </w:div>
    <w:div w:id="843978509">
      <w:bodyDiv w:val="1"/>
      <w:marLeft w:val="0"/>
      <w:marRight w:val="0"/>
      <w:marTop w:val="0"/>
      <w:marBottom w:val="0"/>
      <w:divBdr>
        <w:top w:val="none" w:sz="0" w:space="0" w:color="auto"/>
        <w:left w:val="none" w:sz="0" w:space="0" w:color="auto"/>
        <w:bottom w:val="none" w:sz="0" w:space="0" w:color="auto"/>
        <w:right w:val="none" w:sz="0" w:space="0" w:color="auto"/>
      </w:divBdr>
    </w:div>
    <w:div w:id="845828533">
      <w:bodyDiv w:val="1"/>
      <w:marLeft w:val="0"/>
      <w:marRight w:val="0"/>
      <w:marTop w:val="0"/>
      <w:marBottom w:val="0"/>
      <w:divBdr>
        <w:top w:val="none" w:sz="0" w:space="0" w:color="auto"/>
        <w:left w:val="none" w:sz="0" w:space="0" w:color="auto"/>
        <w:bottom w:val="none" w:sz="0" w:space="0" w:color="auto"/>
        <w:right w:val="none" w:sz="0" w:space="0" w:color="auto"/>
      </w:divBdr>
    </w:div>
    <w:div w:id="849176228">
      <w:bodyDiv w:val="1"/>
      <w:marLeft w:val="0"/>
      <w:marRight w:val="0"/>
      <w:marTop w:val="0"/>
      <w:marBottom w:val="0"/>
      <w:divBdr>
        <w:top w:val="none" w:sz="0" w:space="0" w:color="auto"/>
        <w:left w:val="none" w:sz="0" w:space="0" w:color="auto"/>
        <w:bottom w:val="none" w:sz="0" w:space="0" w:color="auto"/>
        <w:right w:val="none" w:sz="0" w:space="0" w:color="auto"/>
      </w:divBdr>
    </w:div>
    <w:div w:id="853108818">
      <w:bodyDiv w:val="1"/>
      <w:marLeft w:val="0"/>
      <w:marRight w:val="0"/>
      <w:marTop w:val="0"/>
      <w:marBottom w:val="0"/>
      <w:divBdr>
        <w:top w:val="none" w:sz="0" w:space="0" w:color="auto"/>
        <w:left w:val="none" w:sz="0" w:space="0" w:color="auto"/>
        <w:bottom w:val="none" w:sz="0" w:space="0" w:color="auto"/>
        <w:right w:val="none" w:sz="0" w:space="0" w:color="auto"/>
      </w:divBdr>
    </w:div>
    <w:div w:id="855733688">
      <w:bodyDiv w:val="1"/>
      <w:marLeft w:val="0"/>
      <w:marRight w:val="0"/>
      <w:marTop w:val="0"/>
      <w:marBottom w:val="0"/>
      <w:divBdr>
        <w:top w:val="none" w:sz="0" w:space="0" w:color="auto"/>
        <w:left w:val="none" w:sz="0" w:space="0" w:color="auto"/>
        <w:bottom w:val="none" w:sz="0" w:space="0" w:color="auto"/>
        <w:right w:val="none" w:sz="0" w:space="0" w:color="auto"/>
      </w:divBdr>
    </w:div>
    <w:div w:id="859204538">
      <w:bodyDiv w:val="1"/>
      <w:marLeft w:val="0"/>
      <w:marRight w:val="0"/>
      <w:marTop w:val="0"/>
      <w:marBottom w:val="0"/>
      <w:divBdr>
        <w:top w:val="none" w:sz="0" w:space="0" w:color="auto"/>
        <w:left w:val="none" w:sz="0" w:space="0" w:color="auto"/>
        <w:bottom w:val="none" w:sz="0" w:space="0" w:color="auto"/>
        <w:right w:val="none" w:sz="0" w:space="0" w:color="auto"/>
      </w:divBdr>
    </w:div>
    <w:div w:id="860820586">
      <w:bodyDiv w:val="1"/>
      <w:marLeft w:val="0"/>
      <w:marRight w:val="0"/>
      <w:marTop w:val="0"/>
      <w:marBottom w:val="0"/>
      <w:divBdr>
        <w:top w:val="none" w:sz="0" w:space="0" w:color="auto"/>
        <w:left w:val="none" w:sz="0" w:space="0" w:color="auto"/>
        <w:bottom w:val="none" w:sz="0" w:space="0" w:color="auto"/>
        <w:right w:val="none" w:sz="0" w:space="0" w:color="auto"/>
      </w:divBdr>
    </w:div>
    <w:div w:id="860901682">
      <w:bodyDiv w:val="1"/>
      <w:marLeft w:val="0"/>
      <w:marRight w:val="0"/>
      <w:marTop w:val="0"/>
      <w:marBottom w:val="0"/>
      <w:divBdr>
        <w:top w:val="none" w:sz="0" w:space="0" w:color="auto"/>
        <w:left w:val="none" w:sz="0" w:space="0" w:color="auto"/>
        <w:bottom w:val="none" w:sz="0" w:space="0" w:color="auto"/>
        <w:right w:val="none" w:sz="0" w:space="0" w:color="auto"/>
      </w:divBdr>
    </w:div>
    <w:div w:id="862985562">
      <w:bodyDiv w:val="1"/>
      <w:marLeft w:val="0"/>
      <w:marRight w:val="0"/>
      <w:marTop w:val="0"/>
      <w:marBottom w:val="0"/>
      <w:divBdr>
        <w:top w:val="none" w:sz="0" w:space="0" w:color="auto"/>
        <w:left w:val="none" w:sz="0" w:space="0" w:color="auto"/>
        <w:bottom w:val="none" w:sz="0" w:space="0" w:color="auto"/>
        <w:right w:val="none" w:sz="0" w:space="0" w:color="auto"/>
      </w:divBdr>
    </w:div>
    <w:div w:id="864294849">
      <w:bodyDiv w:val="1"/>
      <w:marLeft w:val="0"/>
      <w:marRight w:val="0"/>
      <w:marTop w:val="0"/>
      <w:marBottom w:val="0"/>
      <w:divBdr>
        <w:top w:val="none" w:sz="0" w:space="0" w:color="auto"/>
        <w:left w:val="none" w:sz="0" w:space="0" w:color="auto"/>
        <w:bottom w:val="none" w:sz="0" w:space="0" w:color="auto"/>
        <w:right w:val="none" w:sz="0" w:space="0" w:color="auto"/>
      </w:divBdr>
    </w:div>
    <w:div w:id="866791617">
      <w:bodyDiv w:val="1"/>
      <w:marLeft w:val="0"/>
      <w:marRight w:val="0"/>
      <w:marTop w:val="0"/>
      <w:marBottom w:val="0"/>
      <w:divBdr>
        <w:top w:val="none" w:sz="0" w:space="0" w:color="auto"/>
        <w:left w:val="none" w:sz="0" w:space="0" w:color="auto"/>
        <w:bottom w:val="none" w:sz="0" w:space="0" w:color="auto"/>
        <w:right w:val="none" w:sz="0" w:space="0" w:color="auto"/>
      </w:divBdr>
    </w:div>
    <w:div w:id="869492295">
      <w:bodyDiv w:val="1"/>
      <w:marLeft w:val="0"/>
      <w:marRight w:val="0"/>
      <w:marTop w:val="0"/>
      <w:marBottom w:val="0"/>
      <w:divBdr>
        <w:top w:val="none" w:sz="0" w:space="0" w:color="auto"/>
        <w:left w:val="none" w:sz="0" w:space="0" w:color="auto"/>
        <w:bottom w:val="none" w:sz="0" w:space="0" w:color="auto"/>
        <w:right w:val="none" w:sz="0" w:space="0" w:color="auto"/>
      </w:divBdr>
    </w:div>
    <w:div w:id="869756381">
      <w:bodyDiv w:val="1"/>
      <w:marLeft w:val="0"/>
      <w:marRight w:val="0"/>
      <w:marTop w:val="0"/>
      <w:marBottom w:val="0"/>
      <w:divBdr>
        <w:top w:val="none" w:sz="0" w:space="0" w:color="auto"/>
        <w:left w:val="none" w:sz="0" w:space="0" w:color="auto"/>
        <w:bottom w:val="none" w:sz="0" w:space="0" w:color="auto"/>
        <w:right w:val="none" w:sz="0" w:space="0" w:color="auto"/>
      </w:divBdr>
    </w:div>
    <w:div w:id="873732564">
      <w:bodyDiv w:val="1"/>
      <w:marLeft w:val="0"/>
      <w:marRight w:val="0"/>
      <w:marTop w:val="0"/>
      <w:marBottom w:val="0"/>
      <w:divBdr>
        <w:top w:val="none" w:sz="0" w:space="0" w:color="auto"/>
        <w:left w:val="none" w:sz="0" w:space="0" w:color="auto"/>
        <w:bottom w:val="none" w:sz="0" w:space="0" w:color="auto"/>
        <w:right w:val="none" w:sz="0" w:space="0" w:color="auto"/>
      </w:divBdr>
    </w:div>
    <w:div w:id="876744575">
      <w:bodyDiv w:val="1"/>
      <w:marLeft w:val="0"/>
      <w:marRight w:val="0"/>
      <w:marTop w:val="0"/>
      <w:marBottom w:val="0"/>
      <w:divBdr>
        <w:top w:val="none" w:sz="0" w:space="0" w:color="auto"/>
        <w:left w:val="none" w:sz="0" w:space="0" w:color="auto"/>
        <w:bottom w:val="none" w:sz="0" w:space="0" w:color="auto"/>
        <w:right w:val="none" w:sz="0" w:space="0" w:color="auto"/>
      </w:divBdr>
    </w:div>
    <w:div w:id="878273860">
      <w:bodyDiv w:val="1"/>
      <w:marLeft w:val="0"/>
      <w:marRight w:val="0"/>
      <w:marTop w:val="0"/>
      <w:marBottom w:val="0"/>
      <w:divBdr>
        <w:top w:val="none" w:sz="0" w:space="0" w:color="auto"/>
        <w:left w:val="none" w:sz="0" w:space="0" w:color="auto"/>
        <w:bottom w:val="none" w:sz="0" w:space="0" w:color="auto"/>
        <w:right w:val="none" w:sz="0" w:space="0" w:color="auto"/>
      </w:divBdr>
    </w:div>
    <w:div w:id="879125734">
      <w:bodyDiv w:val="1"/>
      <w:marLeft w:val="0"/>
      <w:marRight w:val="0"/>
      <w:marTop w:val="0"/>
      <w:marBottom w:val="0"/>
      <w:divBdr>
        <w:top w:val="none" w:sz="0" w:space="0" w:color="auto"/>
        <w:left w:val="none" w:sz="0" w:space="0" w:color="auto"/>
        <w:bottom w:val="none" w:sz="0" w:space="0" w:color="auto"/>
        <w:right w:val="none" w:sz="0" w:space="0" w:color="auto"/>
      </w:divBdr>
    </w:div>
    <w:div w:id="879585870">
      <w:bodyDiv w:val="1"/>
      <w:marLeft w:val="0"/>
      <w:marRight w:val="0"/>
      <w:marTop w:val="0"/>
      <w:marBottom w:val="0"/>
      <w:divBdr>
        <w:top w:val="none" w:sz="0" w:space="0" w:color="auto"/>
        <w:left w:val="none" w:sz="0" w:space="0" w:color="auto"/>
        <w:bottom w:val="none" w:sz="0" w:space="0" w:color="auto"/>
        <w:right w:val="none" w:sz="0" w:space="0" w:color="auto"/>
      </w:divBdr>
    </w:div>
    <w:div w:id="880828617">
      <w:bodyDiv w:val="1"/>
      <w:marLeft w:val="0"/>
      <w:marRight w:val="0"/>
      <w:marTop w:val="0"/>
      <w:marBottom w:val="0"/>
      <w:divBdr>
        <w:top w:val="none" w:sz="0" w:space="0" w:color="auto"/>
        <w:left w:val="none" w:sz="0" w:space="0" w:color="auto"/>
        <w:bottom w:val="none" w:sz="0" w:space="0" w:color="auto"/>
        <w:right w:val="none" w:sz="0" w:space="0" w:color="auto"/>
      </w:divBdr>
    </w:div>
    <w:div w:id="888109698">
      <w:bodyDiv w:val="1"/>
      <w:marLeft w:val="0"/>
      <w:marRight w:val="0"/>
      <w:marTop w:val="0"/>
      <w:marBottom w:val="0"/>
      <w:divBdr>
        <w:top w:val="none" w:sz="0" w:space="0" w:color="auto"/>
        <w:left w:val="none" w:sz="0" w:space="0" w:color="auto"/>
        <w:bottom w:val="none" w:sz="0" w:space="0" w:color="auto"/>
        <w:right w:val="none" w:sz="0" w:space="0" w:color="auto"/>
      </w:divBdr>
    </w:div>
    <w:div w:id="888344711">
      <w:bodyDiv w:val="1"/>
      <w:marLeft w:val="0"/>
      <w:marRight w:val="0"/>
      <w:marTop w:val="0"/>
      <w:marBottom w:val="0"/>
      <w:divBdr>
        <w:top w:val="none" w:sz="0" w:space="0" w:color="auto"/>
        <w:left w:val="none" w:sz="0" w:space="0" w:color="auto"/>
        <w:bottom w:val="none" w:sz="0" w:space="0" w:color="auto"/>
        <w:right w:val="none" w:sz="0" w:space="0" w:color="auto"/>
      </w:divBdr>
    </w:div>
    <w:div w:id="893350973">
      <w:bodyDiv w:val="1"/>
      <w:marLeft w:val="0"/>
      <w:marRight w:val="0"/>
      <w:marTop w:val="0"/>
      <w:marBottom w:val="0"/>
      <w:divBdr>
        <w:top w:val="none" w:sz="0" w:space="0" w:color="auto"/>
        <w:left w:val="none" w:sz="0" w:space="0" w:color="auto"/>
        <w:bottom w:val="none" w:sz="0" w:space="0" w:color="auto"/>
        <w:right w:val="none" w:sz="0" w:space="0" w:color="auto"/>
      </w:divBdr>
    </w:div>
    <w:div w:id="894505669">
      <w:bodyDiv w:val="1"/>
      <w:marLeft w:val="0"/>
      <w:marRight w:val="0"/>
      <w:marTop w:val="0"/>
      <w:marBottom w:val="0"/>
      <w:divBdr>
        <w:top w:val="none" w:sz="0" w:space="0" w:color="auto"/>
        <w:left w:val="none" w:sz="0" w:space="0" w:color="auto"/>
        <w:bottom w:val="none" w:sz="0" w:space="0" w:color="auto"/>
        <w:right w:val="none" w:sz="0" w:space="0" w:color="auto"/>
      </w:divBdr>
    </w:div>
    <w:div w:id="895975362">
      <w:bodyDiv w:val="1"/>
      <w:marLeft w:val="0"/>
      <w:marRight w:val="0"/>
      <w:marTop w:val="0"/>
      <w:marBottom w:val="0"/>
      <w:divBdr>
        <w:top w:val="none" w:sz="0" w:space="0" w:color="auto"/>
        <w:left w:val="none" w:sz="0" w:space="0" w:color="auto"/>
        <w:bottom w:val="none" w:sz="0" w:space="0" w:color="auto"/>
        <w:right w:val="none" w:sz="0" w:space="0" w:color="auto"/>
      </w:divBdr>
    </w:div>
    <w:div w:id="908155545">
      <w:bodyDiv w:val="1"/>
      <w:marLeft w:val="0"/>
      <w:marRight w:val="0"/>
      <w:marTop w:val="0"/>
      <w:marBottom w:val="0"/>
      <w:divBdr>
        <w:top w:val="none" w:sz="0" w:space="0" w:color="auto"/>
        <w:left w:val="none" w:sz="0" w:space="0" w:color="auto"/>
        <w:bottom w:val="none" w:sz="0" w:space="0" w:color="auto"/>
        <w:right w:val="none" w:sz="0" w:space="0" w:color="auto"/>
      </w:divBdr>
    </w:div>
    <w:div w:id="909849533">
      <w:bodyDiv w:val="1"/>
      <w:marLeft w:val="0"/>
      <w:marRight w:val="0"/>
      <w:marTop w:val="0"/>
      <w:marBottom w:val="0"/>
      <w:divBdr>
        <w:top w:val="none" w:sz="0" w:space="0" w:color="auto"/>
        <w:left w:val="none" w:sz="0" w:space="0" w:color="auto"/>
        <w:bottom w:val="none" w:sz="0" w:space="0" w:color="auto"/>
        <w:right w:val="none" w:sz="0" w:space="0" w:color="auto"/>
      </w:divBdr>
    </w:div>
    <w:div w:id="912665510">
      <w:bodyDiv w:val="1"/>
      <w:marLeft w:val="0"/>
      <w:marRight w:val="0"/>
      <w:marTop w:val="0"/>
      <w:marBottom w:val="0"/>
      <w:divBdr>
        <w:top w:val="none" w:sz="0" w:space="0" w:color="auto"/>
        <w:left w:val="none" w:sz="0" w:space="0" w:color="auto"/>
        <w:bottom w:val="none" w:sz="0" w:space="0" w:color="auto"/>
        <w:right w:val="none" w:sz="0" w:space="0" w:color="auto"/>
      </w:divBdr>
    </w:div>
    <w:div w:id="918294166">
      <w:bodyDiv w:val="1"/>
      <w:marLeft w:val="0"/>
      <w:marRight w:val="0"/>
      <w:marTop w:val="0"/>
      <w:marBottom w:val="0"/>
      <w:divBdr>
        <w:top w:val="none" w:sz="0" w:space="0" w:color="auto"/>
        <w:left w:val="none" w:sz="0" w:space="0" w:color="auto"/>
        <w:bottom w:val="none" w:sz="0" w:space="0" w:color="auto"/>
        <w:right w:val="none" w:sz="0" w:space="0" w:color="auto"/>
      </w:divBdr>
    </w:div>
    <w:div w:id="918446419">
      <w:bodyDiv w:val="1"/>
      <w:marLeft w:val="0"/>
      <w:marRight w:val="0"/>
      <w:marTop w:val="0"/>
      <w:marBottom w:val="0"/>
      <w:divBdr>
        <w:top w:val="none" w:sz="0" w:space="0" w:color="auto"/>
        <w:left w:val="none" w:sz="0" w:space="0" w:color="auto"/>
        <w:bottom w:val="none" w:sz="0" w:space="0" w:color="auto"/>
        <w:right w:val="none" w:sz="0" w:space="0" w:color="auto"/>
      </w:divBdr>
    </w:div>
    <w:div w:id="919102830">
      <w:bodyDiv w:val="1"/>
      <w:marLeft w:val="0"/>
      <w:marRight w:val="0"/>
      <w:marTop w:val="0"/>
      <w:marBottom w:val="0"/>
      <w:divBdr>
        <w:top w:val="none" w:sz="0" w:space="0" w:color="auto"/>
        <w:left w:val="none" w:sz="0" w:space="0" w:color="auto"/>
        <w:bottom w:val="none" w:sz="0" w:space="0" w:color="auto"/>
        <w:right w:val="none" w:sz="0" w:space="0" w:color="auto"/>
      </w:divBdr>
    </w:div>
    <w:div w:id="921067959">
      <w:bodyDiv w:val="1"/>
      <w:marLeft w:val="0"/>
      <w:marRight w:val="0"/>
      <w:marTop w:val="0"/>
      <w:marBottom w:val="0"/>
      <w:divBdr>
        <w:top w:val="none" w:sz="0" w:space="0" w:color="auto"/>
        <w:left w:val="none" w:sz="0" w:space="0" w:color="auto"/>
        <w:bottom w:val="none" w:sz="0" w:space="0" w:color="auto"/>
        <w:right w:val="none" w:sz="0" w:space="0" w:color="auto"/>
      </w:divBdr>
    </w:div>
    <w:div w:id="923953635">
      <w:bodyDiv w:val="1"/>
      <w:marLeft w:val="0"/>
      <w:marRight w:val="0"/>
      <w:marTop w:val="0"/>
      <w:marBottom w:val="0"/>
      <w:divBdr>
        <w:top w:val="none" w:sz="0" w:space="0" w:color="auto"/>
        <w:left w:val="none" w:sz="0" w:space="0" w:color="auto"/>
        <w:bottom w:val="none" w:sz="0" w:space="0" w:color="auto"/>
        <w:right w:val="none" w:sz="0" w:space="0" w:color="auto"/>
      </w:divBdr>
    </w:div>
    <w:div w:id="925068230">
      <w:bodyDiv w:val="1"/>
      <w:marLeft w:val="0"/>
      <w:marRight w:val="0"/>
      <w:marTop w:val="0"/>
      <w:marBottom w:val="0"/>
      <w:divBdr>
        <w:top w:val="none" w:sz="0" w:space="0" w:color="auto"/>
        <w:left w:val="none" w:sz="0" w:space="0" w:color="auto"/>
        <w:bottom w:val="none" w:sz="0" w:space="0" w:color="auto"/>
        <w:right w:val="none" w:sz="0" w:space="0" w:color="auto"/>
      </w:divBdr>
    </w:div>
    <w:div w:id="927468536">
      <w:bodyDiv w:val="1"/>
      <w:marLeft w:val="0"/>
      <w:marRight w:val="0"/>
      <w:marTop w:val="0"/>
      <w:marBottom w:val="0"/>
      <w:divBdr>
        <w:top w:val="none" w:sz="0" w:space="0" w:color="auto"/>
        <w:left w:val="none" w:sz="0" w:space="0" w:color="auto"/>
        <w:bottom w:val="none" w:sz="0" w:space="0" w:color="auto"/>
        <w:right w:val="none" w:sz="0" w:space="0" w:color="auto"/>
      </w:divBdr>
    </w:div>
    <w:div w:id="928536483">
      <w:bodyDiv w:val="1"/>
      <w:marLeft w:val="0"/>
      <w:marRight w:val="0"/>
      <w:marTop w:val="0"/>
      <w:marBottom w:val="0"/>
      <w:divBdr>
        <w:top w:val="none" w:sz="0" w:space="0" w:color="auto"/>
        <w:left w:val="none" w:sz="0" w:space="0" w:color="auto"/>
        <w:bottom w:val="none" w:sz="0" w:space="0" w:color="auto"/>
        <w:right w:val="none" w:sz="0" w:space="0" w:color="auto"/>
      </w:divBdr>
    </w:div>
    <w:div w:id="930115609">
      <w:bodyDiv w:val="1"/>
      <w:marLeft w:val="0"/>
      <w:marRight w:val="0"/>
      <w:marTop w:val="0"/>
      <w:marBottom w:val="0"/>
      <w:divBdr>
        <w:top w:val="none" w:sz="0" w:space="0" w:color="auto"/>
        <w:left w:val="none" w:sz="0" w:space="0" w:color="auto"/>
        <w:bottom w:val="none" w:sz="0" w:space="0" w:color="auto"/>
        <w:right w:val="none" w:sz="0" w:space="0" w:color="auto"/>
      </w:divBdr>
    </w:div>
    <w:div w:id="933631032">
      <w:bodyDiv w:val="1"/>
      <w:marLeft w:val="0"/>
      <w:marRight w:val="0"/>
      <w:marTop w:val="0"/>
      <w:marBottom w:val="0"/>
      <w:divBdr>
        <w:top w:val="none" w:sz="0" w:space="0" w:color="auto"/>
        <w:left w:val="none" w:sz="0" w:space="0" w:color="auto"/>
        <w:bottom w:val="none" w:sz="0" w:space="0" w:color="auto"/>
        <w:right w:val="none" w:sz="0" w:space="0" w:color="auto"/>
      </w:divBdr>
    </w:div>
    <w:div w:id="935093422">
      <w:bodyDiv w:val="1"/>
      <w:marLeft w:val="0"/>
      <w:marRight w:val="0"/>
      <w:marTop w:val="0"/>
      <w:marBottom w:val="0"/>
      <w:divBdr>
        <w:top w:val="none" w:sz="0" w:space="0" w:color="auto"/>
        <w:left w:val="none" w:sz="0" w:space="0" w:color="auto"/>
        <w:bottom w:val="none" w:sz="0" w:space="0" w:color="auto"/>
        <w:right w:val="none" w:sz="0" w:space="0" w:color="auto"/>
      </w:divBdr>
    </w:div>
    <w:div w:id="938290708">
      <w:bodyDiv w:val="1"/>
      <w:marLeft w:val="0"/>
      <w:marRight w:val="0"/>
      <w:marTop w:val="0"/>
      <w:marBottom w:val="0"/>
      <w:divBdr>
        <w:top w:val="none" w:sz="0" w:space="0" w:color="auto"/>
        <w:left w:val="none" w:sz="0" w:space="0" w:color="auto"/>
        <w:bottom w:val="none" w:sz="0" w:space="0" w:color="auto"/>
        <w:right w:val="none" w:sz="0" w:space="0" w:color="auto"/>
      </w:divBdr>
    </w:div>
    <w:div w:id="939416027">
      <w:bodyDiv w:val="1"/>
      <w:marLeft w:val="0"/>
      <w:marRight w:val="0"/>
      <w:marTop w:val="0"/>
      <w:marBottom w:val="0"/>
      <w:divBdr>
        <w:top w:val="none" w:sz="0" w:space="0" w:color="auto"/>
        <w:left w:val="none" w:sz="0" w:space="0" w:color="auto"/>
        <w:bottom w:val="none" w:sz="0" w:space="0" w:color="auto"/>
        <w:right w:val="none" w:sz="0" w:space="0" w:color="auto"/>
      </w:divBdr>
    </w:div>
    <w:div w:id="939988375">
      <w:bodyDiv w:val="1"/>
      <w:marLeft w:val="0"/>
      <w:marRight w:val="0"/>
      <w:marTop w:val="0"/>
      <w:marBottom w:val="0"/>
      <w:divBdr>
        <w:top w:val="none" w:sz="0" w:space="0" w:color="auto"/>
        <w:left w:val="none" w:sz="0" w:space="0" w:color="auto"/>
        <w:bottom w:val="none" w:sz="0" w:space="0" w:color="auto"/>
        <w:right w:val="none" w:sz="0" w:space="0" w:color="auto"/>
      </w:divBdr>
    </w:div>
    <w:div w:id="940724330">
      <w:bodyDiv w:val="1"/>
      <w:marLeft w:val="0"/>
      <w:marRight w:val="0"/>
      <w:marTop w:val="0"/>
      <w:marBottom w:val="0"/>
      <w:divBdr>
        <w:top w:val="none" w:sz="0" w:space="0" w:color="auto"/>
        <w:left w:val="none" w:sz="0" w:space="0" w:color="auto"/>
        <w:bottom w:val="none" w:sz="0" w:space="0" w:color="auto"/>
        <w:right w:val="none" w:sz="0" w:space="0" w:color="auto"/>
      </w:divBdr>
    </w:div>
    <w:div w:id="942151225">
      <w:bodyDiv w:val="1"/>
      <w:marLeft w:val="0"/>
      <w:marRight w:val="0"/>
      <w:marTop w:val="0"/>
      <w:marBottom w:val="0"/>
      <w:divBdr>
        <w:top w:val="none" w:sz="0" w:space="0" w:color="auto"/>
        <w:left w:val="none" w:sz="0" w:space="0" w:color="auto"/>
        <w:bottom w:val="none" w:sz="0" w:space="0" w:color="auto"/>
        <w:right w:val="none" w:sz="0" w:space="0" w:color="auto"/>
      </w:divBdr>
    </w:div>
    <w:div w:id="942610215">
      <w:bodyDiv w:val="1"/>
      <w:marLeft w:val="0"/>
      <w:marRight w:val="0"/>
      <w:marTop w:val="0"/>
      <w:marBottom w:val="0"/>
      <w:divBdr>
        <w:top w:val="none" w:sz="0" w:space="0" w:color="auto"/>
        <w:left w:val="none" w:sz="0" w:space="0" w:color="auto"/>
        <w:bottom w:val="none" w:sz="0" w:space="0" w:color="auto"/>
        <w:right w:val="none" w:sz="0" w:space="0" w:color="auto"/>
      </w:divBdr>
    </w:div>
    <w:div w:id="945578112">
      <w:bodyDiv w:val="1"/>
      <w:marLeft w:val="0"/>
      <w:marRight w:val="0"/>
      <w:marTop w:val="0"/>
      <w:marBottom w:val="0"/>
      <w:divBdr>
        <w:top w:val="none" w:sz="0" w:space="0" w:color="auto"/>
        <w:left w:val="none" w:sz="0" w:space="0" w:color="auto"/>
        <w:bottom w:val="none" w:sz="0" w:space="0" w:color="auto"/>
        <w:right w:val="none" w:sz="0" w:space="0" w:color="auto"/>
      </w:divBdr>
    </w:div>
    <w:div w:id="949505419">
      <w:bodyDiv w:val="1"/>
      <w:marLeft w:val="0"/>
      <w:marRight w:val="0"/>
      <w:marTop w:val="0"/>
      <w:marBottom w:val="0"/>
      <w:divBdr>
        <w:top w:val="none" w:sz="0" w:space="0" w:color="auto"/>
        <w:left w:val="none" w:sz="0" w:space="0" w:color="auto"/>
        <w:bottom w:val="none" w:sz="0" w:space="0" w:color="auto"/>
        <w:right w:val="none" w:sz="0" w:space="0" w:color="auto"/>
      </w:divBdr>
    </w:div>
    <w:div w:id="952323550">
      <w:bodyDiv w:val="1"/>
      <w:marLeft w:val="0"/>
      <w:marRight w:val="0"/>
      <w:marTop w:val="0"/>
      <w:marBottom w:val="0"/>
      <w:divBdr>
        <w:top w:val="none" w:sz="0" w:space="0" w:color="auto"/>
        <w:left w:val="none" w:sz="0" w:space="0" w:color="auto"/>
        <w:bottom w:val="none" w:sz="0" w:space="0" w:color="auto"/>
        <w:right w:val="none" w:sz="0" w:space="0" w:color="auto"/>
      </w:divBdr>
    </w:div>
    <w:div w:id="957563949">
      <w:bodyDiv w:val="1"/>
      <w:marLeft w:val="0"/>
      <w:marRight w:val="0"/>
      <w:marTop w:val="0"/>
      <w:marBottom w:val="0"/>
      <w:divBdr>
        <w:top w:val="none" w:sz="0" w:space="0" w:color="auto"/>
        <w:left w:val="none" w:sz="0" w:space="0" w:color="auto"/>
        <w:bottom w:val="none" w:sz="0" w:space="0" w:color="auto"/>
        <w:right w:val="none" w:sz="0" w:space="0" w:color="auto"/>
      </w:divBdr>
    </w:div>
    <w:div w:id="967247485">
      <w:bodyDiv w:val="1"/>
      <w:marLeft w:val="0"/>
      <w:marRight w:val="0"/>
      <w:marTop w:val="0"/>
      <w:marBottom w:val="0"/>
      <w:divBdr>
        <w:top w:val="none" w:sz="0" w:space="0" w:color="auto"/>
        <w:left w:val="none" w:sz="0" w:space="0" w:color="auto"/>
        <w:bottom w:val="none" w:sz="0" w:space="0" w:color="auto"/>
        <w:right w:val="none" w:sz="0" w:space="0" w:color="auto"/>
      </w:divBdr>
    </w:div>
    <w:div w:id="970550766">
      <w:bodyDiv w:val="1"/>
      <w:marLeft w:val="0"/>
      <w:marRight w:val="0"/>
      <w:marTop w:val="0"/>
      <w:marBottom w:val="0"/>
      <w:divBdr>
        <w:top w:val="none" w:sz="0" w:space="0" w:color="auto"/>
        <w:left w:val="none" w:sz="0" w:space="0" w:color="auto"/>
        <w:bottom w:val="none" w:sz="0" w:space="0" w:color="auto"/>
        <w:right w:val="none" w:sz="0" w:space="0" w:color="auto"/>
      </w:divBdr>
    </w:div>
    <w:div w:id="971518450">
      <w:bodyDiv w:val="1"/>
      <w:marLeft w:val="0"/>
      <w:marRight w:val="0"/>
      <w:marTop w:val="0"/>
      <w:marBottom w:val="0"/>
      <w:divBdr>
        <w:top w:val="none" w:sz="0" w:space="0" w:color="auto"/>
        <w:left w:val="none" w:sz="0" w:space="0" w:color="auto"/>
        <w:bottom w:val="none" w:sz="0" w:space="0" w:color="auto"/>
        <w:right w:val="none" w:sz="0" w:space="0" w:color="auto"/>
      </w:divBdr>
    </w:div>
    <w:div w:id="972249256">
      <w:bodyDiv w:val="1"/>
      <w:marLeft w:val="0"/>
      <w:marRight w:val="0"/>
      <w:marTop w:val="0"/>
      <w:marBottom w:val="0"/>
      <w:divBdr>
        <w:top w:val="none" w:sz="0" w:space="0" w:color="auto"/>
        <w:left w:val="none" w:sz="0" w:space="0" w:color="auto"/>
        <w:bottom w:val="none" w:sz="0" w:space="0" w:color="auto"/>
        <w:right w:val="none" w:sz="0" w:space="0" w:color="auto"/>
      </w:divBdr>
    </w:div>
    <w:div w:id="973606245">
      <w:bodyDiv w:val="1"/>
      <w:marLeft w:val="0"/>
      <w:marRight w:val="0"/>
      <w:marTop w:val="0"/>
      <w:marBottom w:val="0"/>
      <w:divBdr>
        <w:top w:val="none" w:sz="0" w:space="0" w:color="auto"/>
        <w:left w:val="none" w:sz="0" w:space="0" w:color="auto"/>
        <w:bottom w:val="none" w:sz="0" w:space="0" w:color="auto"/>
        <w:right w:val="none" w:sz="0" w:space="0" w:color="auto"/>
      </w:divBdr>
    </w:div>
    <w:div w:id="974523471">
      <w:bodyDiv w:val="1"/>
      <w:marLeft w:val="0"/>
      <w:marRight w:val="0"/>
      <w:marTop w:val="0"/>
      <w:marBottom w:val="0"/>
      <w:divBdr>
        <w:top w:val="none" w:sz="0" w:space="0" w:color="auto"/>
        <w:left w:val="none" w:sz="0" w:space="0" w:color="auto"/>
        <w:bottom w:val="none" w:sz="0" w:space="0" w:color="auto"/>
        <w:right w:val="none" w:sz="0" w:space="0" w:color="auto"/>
      </w:divBdr>
    </w:div>
    <w:div w:id="981009813">
      <w:bodyDiv w:val="1"/>
      <w:marLeft w:val="0"/>
      <w:marRight w:val="0"/>
      <w:marTop w:val="0"/>
      <w:marBottom w:val="0"/>
      <w:divBdr>
        <w:top w:val="none" w:sz="0" w:space="0" w:color="auto"/>
        <w:left w:val="none" w:sz="0" w:space="0" w:color="auto"/>
        <w:bottom w:val="none" w:sz="0" w:space="0" w:color="auto"/>
        <w:right w:val="none" w:sz="0" w:space="0" w:color="auto"/>
      </w:divBdr>
    </w:div>
    <w:div w:id="982198519">
      <w:bodyDiv w:val="1"/>
      <w:marLeft w:val="0"/>
      <w:marRight w:val="0"/>
      <w:marTop w:val="0"/>
      <w:marBottom w:val="0"/>
      <w:divBdr>
        <w:top w:val="none" w:sz="0" w:space="0" w:color="auto"/>
        <w:left w:val="none" w:sz="0" w:space="0" w:color="auto"/>
        <w:bottom w:val="none" w:sz="0" w:space="0" w:color="auto"/>
        <w:right w:val="none" w:sz="0" w:space="0" w:color="auto"/>
      </w:divBdr>
    </w:div>
    <w:div w:id="982780979">
      <w:bodyDiv w:val="1"/>
      <w:marLeft w:val="0"/>
      <w:marRight w:val="0"/>
      <w:marTop w:val="0"/>
      <w:marBottom w:val="0"/>
      <w:divBdr>
        <w:top w:val="none" w:sz="0" w:space="0" w:color="auto"/>
        <w:left w:val="none" w:sz="0" w:space="0" w:color="auto"/>
        <w:bottom w:val="none" w:sz="0" w:space="0" w:color="auto"/>
        <w:right w:val="none" w:sz="0" w:space="0" w:color="auto"/>
      </w:divBdr>
    </w:div>
    <w:div w:id="987436750">
      <w:bodyDiv w:val="1"/>
      <w:marLeft w:val="0"/>
      <w:marRight w:val="0"/>
      <w:marTop w:val="0"/>
      <w:marBottom w:val="0"/>
      <w:divBdr>
        <w:top w:val="none" w:sz="0" w:space="0" w:color="auto"/>
        <w:left w:val="none" w:sz="0" w:space="0" w:color="auto"/>
        <w:bottom w:val="none" w:sz="0" w:space="0" w:color="auto"/>
        <w:right w:val="none" w:sz="0" w:space="0" w:color="auto"/>
      </w:divBdr>
    </w:div>
    <w:div w:id="988022705">
      <w:bodyDiv w:val="1"/>
      <w:marLeft w:val="0"/>
      <w:marRight w:val="0"/>
      <w:marTop w:val="0"/>
      <w:marBottom w:val="0"/>
      <w:divBdr>
        <w:top w:val="none" w:sz="0" w:space="0" w:color="auto"/>
        <w:left w:val="none" w:sz="0" w:space="0" w:color="auto"/>
        <w:bottom w:val="none" w:sz="0" w:space="0" w:color="auto"/>
        <w:right w:val="none" w:sz="0" w:space="0" w:color="auto"/>
      </w:divBdr>
    </w:div>
    <w:div w:id="991566401">
      <w:bodyDiv w:val="1"/>
      <w:marLeft w:val="0"/>
      <w:marRight w:val="0"/>
      <w:marTop w:val="0"/>
      <w:marBottom w:val="0"/>
      <w:divBdr>
        <w:top w:val="none" w:sz="0" w:space="0" w:color="auto"/>
        <w:left w:val="none" w:sz="0" w:space="0" w:color="auto"/>
        <w:bottom w:val="none" w:sz="0" w:space="0" w:color="auto"/>
        <w:right w:val="none" w:sz="0" w:space="0" w:color="auto"/>
      </w:divBdr>
    </w:div>
    <w:div w:id="992292751">
      <w:bodyDiv w:val="1"/>
      <w:marLeft w:val="0"/>
      <w:marRight w:val="0"/>
      <w:marTop w:val="0"/>
      <w:marBottom w:val="0"/>
      <w:divBdr>
        <w:top w:val="none" w:sz="0" w:space="0" w:color="auto"/>
        <w:left w:val="none" w:sz="0" w:space="0" w:color="auto"/>
        <w:bottom w:val="none" w:sz="0" w:space="0" w:color="auto"/>
        <w:right w:val="none" w:sz="0" w:space="0" w:color="auto"/>
      </w:divBdr>
    </w:div>
    <w:div w:id="1000623095">
      <w:bodyDiv w:val="1"/>
      <w:marLeft w:val="0"/>
      <w:marRight w:val="0"/>
      <w:marTop w:val="0"/>
      <w:marBottom w:val="0"/>
      <w:divBdr>
        <w:top w:val="none" w:sz="0" w:space="0" w:color="auto"/>
        <w:left w:val="none" w:sz="0" w:space="0" w:color="auto"/>
        <w:bottom w:val="none" w:sz="0" w:space="0" w:color="auto"/>
        <w:right w:val="none" w:sz="0" w:space="0" w:color="auto"/>
      </w:divBdr>
    </w:div>
    <w:div w:id="1001853170">
      <w:bodyDiv w:val="1"/>
      <w:marLeft w:val="0"/>
      <w:marRight w:val="0"/>
      <w:marTop w:val="0"/>
      <w:marBottom w:val="0"/>
      <w:divBdr>
        <w:top w:val="none" w:sz="0" w:space="0" w:color="auto"/>
        <w:left w:val="none" w:sz="0" w:space="0" w:color="auto"/>
        <w:bottom w:val="none" w:sz="0" w:space="0" w:color="auto"/>
        <w:right w:val="none" w:sz="0" w:space="0" w:color="auto"/>
      </w:divBdr>
    </w:div>
    <w:div w:id="1003315615">
      <w:bodyDiv w:val="1"/>
      <w:marLeft w:val="0"/>
      <w:marRight w:val="0"/>
      <w:marTop w:val="0"/>
      <w:marBottom w:val="0"/>
      <w:divBdr>
        <w:top w:val="none" w:sz="0" w:space="0" w:color="auto"/>
        <w:left w:val="none" w:sz="0" w:space="0" w:color="auto"/>
        <w:bottom w:val="none" w:sz="0" w:space="0" w:color="auto"/>
        <w:right w:val="none" w:sz="0" w:space="0" w:color="auto"/>
      </w:divBdr>
    </w:div>
    <w:div w:id="1008168794">
      <w:bodyDiv w:val="1"/>
      <w:marLeft w:val="0"/>
      <w:marRight w:val="0"/>
      <w:marTop w:val="0"/>
      <w:marBottom w:val="0"/>
      <w:divBdr>
        <w:top w:val="none" w:sz="0" w:space="0" w:color="auto"/>
        <w:left w:val="none" w:sz="0" w:space="0" w:color="auto"/>
        <w:bottom w:val="none" w:sz="0" w:space="0" w:color="auto"/>
        <w:right w:val="none" w:sz="0" w:space="0" w:color="auto"/>
      </w:divBdr>
    </w:div>
    <w:div w:id="1008561949">
      <w:bodyDiv w:val="1"/>
      <w:marLeft w:val="0"/>
      <w:marRight w:val="0"/>
      <w:marTop w:val="0"/>
      <w:marBottom w:val="0"/>
      <w:divBdr>
        <w:top w:val="none" w:sz="0" w:space="0" w:color="auto"/>
        <w:left w:val="none" w:sz="0" w:space="0" w:color="auto"/>
        <w:bottom w:val="none" w:sz="0" w:space="0" w:color="auto"/>
        <w:right w:val="none" w:sz="0" w:space="0" w:color="auto"/>
      </w:divBdr>
    </w:div>
    <w:div w:id="1010372503">
      <w:bodyDiv w:val="1"/>
      <w:marLeft w:val="0"/>
      <w:marRight w:val="0"/>
      <w:marTop w:val="0"/>
      <w:marBottom w:val="0"/>
      <w:divBdr>
        <w:top w:val="none" w:sz="0" w:space="0" w:color="auto"/>
        <w:left w:val="none" w:sz="0" w:space="0" w:color="auto"/>
        <w:bottom w:val="none" w:sz="0" w:space="0" w:color="auto"/>
        <w:right w:val="none" w:sz="0" w:space="0" w:color="auto"/>
      </w:divBdr>
    </w:div>
    <w:div w:id="1011294368">
      <w:bodyDiv w:val="1"/>
      <w:marLeft w:val="0"/>
      <w:marRight w:val="0"/>
      <w:marTop w:val="0"/>
      <w:marBottom w:val="0"/>
      <w:divBdr>
        <w:top w:val="none" w:sz="0" w:space="0" w:color="auto"/>
        <w:left w:val="none" w:sz="0" w:space="0" w:color="auto"/>
        <w:bottom w:val="none" w:sz="0" w:space="0" w:color="auto"/>
        <w:right w:val="none" w:sz="0" w:space="0" w:color="auto"/>
      </w:divBdr>
    </w:div>
    <w:div w:id="1014304368">
      <w:bodyDiv w:val="1"/>
      <w:marLeft w:val="0"/>
      <w:marRight w:val="0"/>
      <w:marTop w:val="0"/>
      <w:marBottom w:val="0"/>
      <w:divBdr>
        <w:top w:val="none" w:sz="0" w:space="0" w:color="auto"/>
        <w:left w:val="none" w:sz="0" w:space="0" w:color="auto"/>
        <w:bottom w:val="none" w:sz="0" w:space="0" w:color="auto"/>
        <w:right w:val="none" w:sz="0" w:space="0" w:color="auto"/>
      </w:divBdr>
    </w:div>
    <w:div w:id="1014767447">
      <w:bodyDiv w:val="1"/>
      <w:marLeft w:val="0"/>
      <w:marRight w:val="0"/>
      <w:marTop w:val="0"/>
      <w:marBottom w:val="0"/>
      <w:divBdr>
        <w:top w:val="none" w:sz="0" w:space="0" w:color="auto"/>
        <w:left w:val="none" w:sz="0" w:space="0" w:color="auto"/>
        <w:bottom w:val="none" w:sz="0" w:space="0" w:color="auto"/>
        <w:right w:val="none" w:sz="0" w:space="0" w:color="auto"/>
      </w:divBdr>
    </w:div>
    <w:div w:id="1019161518">
      <w:bodyDiv w:val="1"/>
      <w:marLeft w:val="0"/>
      <w:marRight w:val="0"/>
      <w:marTop w:val="0"/>
      <w:marBottom w:val="0"/>
      <w:divBdr>
        <w:top w:val="none" w:sz="0" w:space="0" w:color="auto"/>
        <w:left w:val="none" w:sz="0" w:space="0" w:color="auto"/>
        <w:bottom w:val="none" w:sz="0" w:space="0" w:color="auto"/>
        <w:right w:val="none" w:sz="0" w:space="0" w:color="auto"/>
      </w:divBdr>
    </w:div>
    <w:div w:id="1019622189">
      <w:bodyDiv w:val="1"/>
      <w:marLeft w:val="0"/>
      <w:marRight w:val="0"/>
      <w:marTop w:val="0"/>
      <w:marBottom w:val="0"/>
      <w:divBdr>
        <w:top w:val="none" w:sz="0" w:space="0" w:color="auto"/>
        <w:left w:val="none" w:sz="0" w:space="0" w:color="auto"/>
        <w:bottom w:val="none" w:sz="0" w:space="0" w:color="auto"/>
        <w:right w:val="none" w:sz="0" w:space="0" w:color="auto"/>
      </w:divBdr>
    </w:div>
    <w:div w:id="1036659158">
      <w:bodyDiv w:val="1"/>
      <w:marLeft w:val="0"/>
      <w:marRight w:val="0"/>
      <w:marTop w:val="0"/>
      <w:marBottom w:val="0"/>
      <w:divBdr>
        <w:top w:val="none" w:sz="0" w:space="0" w:color="auto"/>
        <w:left w:val="none" w:sz="0" w:space="0" w:color="auto"/>
        <w:bottom w:val="none" w:sz="0" w:space="0" w:color="auto"/>
        <w:right w:val="none" w:sz="0" w:space="0" w:color="auto"/>
      </w:divBdr>
    </w:div>
    <w:div w:id="1041320444">
      <w:bodyDiv w:val="1"/>
      <w:marLeft w:val="0"/>
      <w:marRight w:val="0"/>
      <w:marTop w:val="0"/>
      <w:marBottom w:val="0"/>
      <w:divBdr>
        <w:top w:val="none" w:sz="0" w:space="0" w:color="auto"/>
        <w:left w:val="none" w:sz="0" w:space="0" w:color="auto"/>
        <w:bottom w:val="none" w:sz="0" w:space="0" w:color="auto"/>
        <w:right w:val="none" w:sz="0" w:space="0" w:color="auto"/>
      </w:divBdr>
    </w:div>
    <w:div w:id="1047146763">
      <w:bodyDiv w:val="1"/>
      <w:marLeft w:val="0"/>
      <w:marRight w:val="0"/>
      <w:marTop w:val="0"/>
      <w:marBottom w:val="0"/>
      <w:divBdr>
        <w:top w:val="none" w:sz="0" w:space="0" w:color="auto"/>
        <w:left w:val="none" w:sz="0" w:space="0" w:color="auto"/>
        <w:bottom w:val="none" w:sz="0" w:space="0" w:color="auto"/>
        <w:right w:val="none" w:sz="0" w:space="0" w:color="auto"/>
      </w:divBdr>
    </w:div>
    <w:div w:id="1048452890">
      <w:bodyDiv w:val="1"/>
      <w:marLeft w:val="0"/>
      <w:marRight w:val="0"/>
      <w:marTop w:val="0"/>
      <w:marBottom w:val="0"/>
      <w:divBdr>
        <w:top w:val="none" w:sz="0" w:space="0" w:color="auto"/>
        <w:left w:val="none" w:sz="0" w:space="0" w:color="auto"/>
        <w:bottom w:val="none" w:sz="0" w:space="0" w:color="auto"/>
        <w:right w:val="none" w:sz="0" w:space="0" w:color="auto"/>
      </w:divBdr>
    </w:div>
    <w:div w:id="1053652119">
      <w:bodyDiv w:val="1"/>
      <w:marLeft w:val="0"/>
      <w:marRight w:val="0"/>
      <w:marTop w:val="0"/>
      <w:marBottom w:val="0"/>
      <w:divBdr>
        <w:top w:val="none" w:sz="0" w:space="0" w:color="auto"/>
        <w:left w:val="none" w:sz="0" w:space="0" w:color="auto"/>
        <w:bottom w:val="none" w:sz="0" w:space="0" w:color="auto"/>
        <w:right w:val="none" w:sz="0" w:space="0" w:color="auto"/>
      </w:divBdr>
    </w:div>
    <w:div w:id="1058474653">
      <w:bodyDiv w:val="1"/>
      <w:marLeft w:val="0"/>
      <w:marRight w:val="0"/>
      <w:marTop w:val="0"/>
      <w:marBottom w:val="0"/>
      <w:divBdr>
        <w:top w:val="none" w:sz="0" w:space="0" w:color="auto"/>
        <w:left w:val="none" w:sz="0" w:space="0" w:color="auto"/>
        <w:bottom w:val="none" w:sz="0" w:space="0" w:color="auto"/>
        <w:right w:val="none" w:sz="0" w:space="0" w:color="auto"/>
      </w:divBdr>
    </w:div>
    <w:div w:id="1062800341">
      <w:bodyDiv w:val="1"/>
      <w:marLeft w:val="0"/>
      <w:marRight w:val="0"/>
      <w:marTop w:val="0"/>
      <w:marBottom w:val="0"/>
      <w:divBdr>
        <w:top w:val="none" w:sz="0" w:space="0" w:color="auto"/>
        <w:left w:val="none" w:sz="0" w:space="0" w:color="auto"/>
        <w:bottom w:val="none" w:sz="0" w:space="0" w:color="auto"/>
        <w:right w:val="none" w:sz="0" w:space="0" w:color="auto"/>
      </w:divBdr>
    </w:div>
    <w:div w:id="1062942686">
      <w:bodyDiv w:val="1"/>
      <w:marLeft w:val="0"/>
      <w:marRight w:val="0"/>
      <w:marTop w:val="0"/>
      <w:marBottom w:val="0"/>
      <w:divBdr>
        <w:top w:val="none" w:sz="0" w:space="0" w:color="auto"/>
        <w:left w:val="none" w:sz="0" w:space="0" w:color="auto"/>
        <w:bottom w:val="none" w:sz="0" w:space="0" w:color="auto"/>
        <w:right w:val="none" w:sz="0" w:space="0" w:color="auto"/>
      </w:divBdr>
    </w:div>
    <w:div w:id="1063019152">
      <w:bodyDiv w:val="1"/>
      <w:marLeft w:val="0"/>
      <w:marRight w:val="0"/>
      <w:marTop w:val="0"/>
      <w:marBottom w:val="0"/>
      <w:divBdr>
        <w:top w:val="none" w:sz="0" w:space="0" w:color="auto"/>
        <w:left w:val="none" w:sz="0" w:space="0" w:color="auto"/>
        <w:bottom w:val="none" w:sz="0" w:space="0" w:color="auto"/>
        <w:right w:val="none" w:sz="0" w:space="0" w:color="auto"/>
      </w:divBdr>
    </w:div>
    <w:div w:id="1063141015">
      <w:bodyDiv w:val="1"/>
      <w:marLeft w:val="0"/>
      <w:marRight w:val="0"/>
      <w:marTop w:val="0"/>
      <w:marBottom w:val="0"/>
      <w:divBdr>
        <w:top w:val="none" w:sz="0" w:space="0" w:color="auto"/>
        <w:left w:val="none" w:sz="0" w:space="0" w:color="auto"/>
        <w:bottom w:val="none" w:sz="0" w:space="0" w:color="auto"/>
        <w:right w:val="none" w:sz="0" w:space="0" w:color="auto"/>
      </w:divBdr>
    </w:div>
    <w:div w:id="1069965887">
      <w:bodyDiv w:val="1"/>
      <w:marLeft w:val="0"/>
      <w:marRight w:val="0"/>
      <w:marTop w:val="0"/>
      <w:marBottom w:val="0"/>
      <w:divBdr>
        <w:top w:val="none" w:sz="0" w:space="0" w:color="auto"/>
        <w:left w:val="none" w:sz="0" w:space="0" w:color="auto"/>
        <w:bottom w:val="none" w:sz="0" w:space="0" w:color="auto"/>
        <w:right w:val="none" w:sz="0" w:space="0" w:color="auto"/>
      </w:divBdr>
    </w:div>
    <w:div w:id="1076631247">
      <w:bodyDiv w:val="1"/>
      <w:marLeft w:val="0"/>
      <w:marRight w:val="0"/>
      <w:marTop w:val="0"/>
      <w:marBottom w:val="0"/>
      <w:divBdr>
        <w:top w:val="none" w:sz="0" w:space="0" w:color="auto"/>
        <w:left w:val="none" w:sz="0" w:space="0" w:color="auto"/>
        <w:bottom w:val="none" w:sz="0" w:space="0" w:color="auto"/>
        <w:right w:val="none" w:sz="0" w:space="0" w:color="auto"/>
      </w:divBdr>
    </w:div>
    <w:div w:id="1077361983">
      <w:bodyDiv w:val="1"/>
      <w:marLeft w:val="0"/>
      <w:marRight w:val="0"/>
      <w:marTop w:val="0"/>
      <w:marBottom w:val="0"/>
      <w:divBdr>
        <w:top w:val="none" w:sz="0" w:space="0" w:color="auto"/>
        <w:left w:val="none" w:sz="0" w:space="0" w:color="auto"/>
        <w:bottom w:val="none" w:sz="0" w:space="0" w:color="auto"/>
        <w:right w:val="none" w:sz="0" w:space="0" w:color="auto"/>
      </w:divBdr>
    </w:div>
    <w:div w:id="1077363860">
      <w:bodyDiv w:val="1"/>
      <w:marLeft w:val="0"/>
      <w:marRight w:val="0"/>
      <w:marTop w:val="0"/>
      <w:marBottom w:val="0"/>
      <w:divBdr>
        <w:top w:val="none" w:sz="0" w:space="0" w:color="auto"/>
        <w:left w:val="none" w:sz="0" w:space="0" w:color="auto"/>
        <w:bottom w:val="none" w:sz="0" w:space="0" w:color="auto"/>
        <w:right w:val="none" w:sz="0" w:space="0" w:color="auto"/>
      </w:divBdr>
    </w:div>
    <w:div w:id="1084650408">
      <w:bodyDiv w:val="1"/>
      <w:marLeft w:val="0"/>
      <w:marRight w:val="0"/>
      <w:marTop w:val="0"/>
      <w:marBottom w:val="0"/>
      <w:divBdr>
        <w:top w:val="none" w:sz="0" w:space="0" w:color="auto"/>
        <w:left w:val="none" w:sz="0" w:space="0" w:color="auto"/>
        <w:bottom w:val="none" w:sz="0" w:space="0" w:color="auto"/>
        <w:right w:val="none" w:sz="0" w:space="0" w:color="auto"/>
      </w:divBdr>
    </w:div>
    <w:div w:id="1085343966">
      <w:bodyDiv w:val="1"/>
      <w:marLeft w:val="0"/>
      <w:marRight w:val="0"/>
      <w:marTop w:val="0"/>
      <w:marBottom w:val="0"/>
      <w:divBdr>
        <w:top w:val="none" w:sz="0" w:space="0" w:color="auto"/>
        <w:left w:val="none" w:sz="0" w:space="0" w:color="auto"/>
        <w:bottom w:val="none" w:sz="0" w:space="0" w:color="auto"/>
        <w:right w:val="none" w:sz="0" w:space="0" w:color="auto"/>
      </w:divBdr>
    </w:div>
    <w:div w:id="1086458949">
      <w:bodyDiv w:val="1"/>
      <w:marLeft w:val="0"/>
      <w:marRight w:val="0"/>
      <w:marTop w:val="0"/>
      <w:marBottom w:val="0"/>
      <w:divBdr>
        <w:top w:val="none" w:sz="0" w:space="0" w:color="auto"/>
        <w:left w:val="none" w:sz="0" w:space="0" w:color="auto"/>
        <w:bottom w:val="none" w:sz="0" w:space="0" w:color="auto"/>
        <w:right w:val="none" w:sz="0" w:space="0" w:color="auto"/>
      </w:divBdr>
    </w:div>
    <w:div w:id="1090590409">
      <w:bodyDiv w:val="1"/>
      <w:marLeft w:val="0"/>
      <w:marRight w:val="0"/>
      <w:marTop w:val="0"/>
      <w:marBottom w:val="0"/>
      <w:divBdr>
        <w:top w:val="none" w:sz="0" w:space="0" w:color="auto"/>
        <w:left w:val="none" w:sz="0" w:space="0" w:color="auto"/>
        <w:bottom w:val="none" w:sz="0" w:space="0" w:color="auto"/>
        <w:right w:val="none" w:sz="0" w:space="0" w:color="auto"/>
      </w:divBdr>
    </w:div>
    <w:div w:id="1092122088">
      <w:bodyDiv w:val="1"/>
      <w:marLeft w:val="0"/>
      <w:marRight w:val="0"/>
      <w:marTop w:val="0"/>
      <w:marBottom w:val="0"/>
      <w:divBdr>
        <w:top w:val="none" w:sz="0" w:space="0" w:color="auto"/>
        <w:left w:val="none" w:sz="0" w:space="0" w:color="auto"/>
        <w:bottom w:val="none" w:sz="0" w:space="0" w:color="auto"/>
        <w:right w:val="none" w:sz="0" w:space="0" w:color="auto"/>
      </w:divBdr>
    </w:div>
    <w:div w:id="1092165676">
      <w:bodyDiv w:val="1"/>
      <w:marLeft w:val="0"/>
      <w:marRight w:val="0"/>
      <w:marTop w:val="0"/>
      <w:marBottom w:val="0"/>
      <w:divBdr>
        <w:top w:val="none" w:sz="0" w:space="0" w:color="auto"/>
        <w:left w:val="none" w:sz="0" w:space="0" w:color="auto"/>
        <w:bottom w:val="none" w:sz="0" w:space="0" w:color="auto"/>
        <w:right w:val="none" w:sz="0" w:space="0" w:color="auto"/>
      </w:divBdr>
    </w:div>
    <w:div w:id="1092507769">
      <w:bodyDiv w:val="1"/>
      <w:marLeft w:val="0"/>
      <w:marRight w:val="0"/>
      <w:marTop w:val="0"/>
      <w:marBottom w:val="0"/>
      <w:divBdr>
        <w:top w:val="none" w:sz="0" w:space="0" w:color="auto"/>
        <w:left w:val="none" w:sz="0" w:space="0" w:color="auto"/>
        <w:bottom w:val="none" w:sz="0" w:space="0" w:color="auto"/>
        <w:right w:val="none" w:sz="0" w:space="0" w:color="auto"/>
      </w:divBdr>
    </w:div>
    <w:div w:id="1094278133">
      <w:bodyDiv w:val="1"/>
      <w:marLeft w:val="0"/>
      <w:marRight w:val="0"/>
      <w:marTop w:val="0"/>
      <w:marBottom w:val="0"/>
      <w:divBdr>
        <w:top w:val="none" w:sz="0" w:space="0" w:color="auto"/>
        <w:left w:val="none" w:sz="0" w:space="0" w:color="auto"/>
        <w:bottom w:val="none" w:sz="0" w:space="0" w:color="auto"/>
        <w:right w:val="none" w:sz="0" w:space="0" w:color="auto"/>
      </w:divBdr>
    </w:div>
    <w:div w:id="1096361290">
      <w:bodyDiv w:val="1"/>
      <w:marLeft w:val="0"/>
      <w:marRight w:val="0"/>
      <w:marTop w:val="0"/>
      <w:marBottom w:val="0"/>
      <w:divBdr>
        <w:top w:val="none" w:sz="0" w:space="0" w:color="auto"/>
        <w:left w:val="none" w:sz="0" w:space="0" w:color="auto"/>
        <w:bottom w:val="none" w:sz="0" w:space="0" w:color="auto"/>
        <w:right w:val="none" w:sz="0" w:space="0" w:color="auto"/>
      </w:divBdr>
    </w:div>
    <w:div w:id="1097022289">
      <w:bodyDiv w:val="1"/>
      <w:marLeft w:val="0"/>
      <w:marRight w:val="0"/>
      <w:marTop w:val="0"/>
      <w:marBottom w:val="0"/>
      <w:divBdr>
        <w:top w:val="none" w:sz="0" w:space="0" w:color="auto"/>
        <w:left w:val="none" w:sz="0" w:space="0" w:color="auto"/>
        <w:bottom w:val="none" w:sz="0" w:space="0" w:color="auto"/>
        <w:right w:val="none" w:sz="0" w:space="0" w:color="auto"/>
      </w:divBdr>
    </w:div>
    <w:div w:id="1099376105">
      <w:bodyDiv w:val="1"/>
      <w:marLeft w:val="0"/>
      <w:marRight w:val="0"/>
      <w:marTop w:val="0"/>
      <w:marBottom w:val="0"/>
      <w:divBdr>
        <w:top w:val="none" w:sz="0" w:space="0" w:color="auto"/>
        <w:left w:val="none" w:sz="0" w:space="0" w:color="auto"/>
        <w:bottom w:val="none" w:sz="0" w:space="0" w:color="auto"/>
        <w:right w:val="none" w:sz="0" w:space="0" w:color="auto"/>
      </w:divBdr>
    </w:div>
    <w:div w:id="1104613007">
      <w:bodyDiv w:val="1"/>
      <w:marLeft w:val="0"/>
      <w:marRight w:val="0"/>
      <w:marTop w:val="0"/>
      <w:marBottom w:val="0"/>
      <w:divBdr>
        <w:top w:val="none" w:sz="0" w:space="0" w:color="auto"/>
        <w:left w:val="none" w:sz="0" w:space="0" w:color="auto"/>
        <w:bottom w:val="none" w:sz="0" w:space="0" w:color="auto"/>
        <w:right w:val="none" w:sz="0" w:space="0" w:color="auto"/>
      </w:divBdr>
    </w:div>
    <w:div w:id="1107197645">
      <w:bodyDiv w:val="1"/>
      <w:marLeft w:val="0"/>
      <w:marRight w:val="0"/>
      <w:marTop w:val="0"/>
      <w:marBottom w:val="0"/>
      <w:divBdr>
        <w:top w:val="none" w:sz="0" w:space="0" w:color="auto"/>
        <w:left w:val="none" w:sz="0" w:space="0" w:color="auto"/>
        <w:bottom w:val="none" w:sz="0" w:space="0" w:color="auto"/>
        <w:right w:val="none" w:sz="0" w:space="0" w:color="auto"/>
      </w:divBdr>
    </w:div>
    <w:div w:id="1107850807">
      <w:bodyDiv w:val="1"/>
      <w:marLeft w:val="0"/>
      <w:marRight w:val="0"/>
      <w:marTop w:val="0"/>
      <w:marBottom w:val="0"/>
      <w:divBdr>
        <w:top w:val="none" w:sz="0" w:space="0" w:color="auto"/>
        <w:left w:val="none" w:sz="0" w:space="0" w:color="auto"/>
        <w:bottom w:val="none" w:sz="0" w:space="0" w:color="auto"/>
        <w:right w:val="none" w:sz="0" w:space="0" w:color="auto"/>
      </w:divBdr>
    </w:div>
    <w:div w:id="1111707937">
      <w:bodyDiv w:val="1"/>
      <w:marLeft w:val="0"/>
      <w:marRight w:val="0"/>
      <w:marTop w:val="0"/>
      <w:marBottom w:val="0"/>
      <w:divBdr>
        <w:top w:val="none" w:sz="0" w:space="0" w:color="auto"/>
        <w:left w:val="none" w:sz="0" w:space="0" w:color="auto"/>
        <w:bottom w:val="none" w:sz="0" w:space="0" w:color="auto"/>
        <w:right w:val="none" w:sz="0" w:space="0" w:color="auto"/>
      </w:divBdr>
    </w:div>
    <w:div w:id="1111824475">
      <w:bodyDiv w:val="1"/>
      <w:marLeft w:val="0"/>
      <w:marRight w:val="0"/>
      <w:marTop w:val="0"/>
      <w:marBottom w:val="0"/>
      <w:divBdr>
        <w:top w:val="none" w:sz="0" w:space="0" w:color="auto"/>
        <w:left w:val="none" w:sz="0" w:space="0" w:color="auto"/>
        <w:bottom w:val="none" w:sz="0" w:space="0" w:color="auto"/>
        <w:right w:val="none" w:sz="0" w:space="0" w:color="auto"/>
      </w:divBdr>
    </w:div>
    <w:div w:id="1123040800">
      <w:bodyDiv w:val="1"/>
      <w:marLeft w:val="0"/>
      <w:marRight w:val="0"/>
      <w:marTop w:val="0"/>
      <w:marBottom w:val="0"/>
      <w:divBdr>
        <w:top w:val="none" w:sz="0" w:space="0" w:color="auto"/>
        <w:left w:val="none" w:sz="0" w:space="0" w:color="auto"/>
        <w:bottom w:val="none" w:sz="0" w:space="0" w:color="auto"/>
        <w:right w:val="none" w:sz="0" w:space="0" w:color="auto"/>
      </w:divBdr>
    </w:div>
    <w:div w:id="1124076328">
      <w:bodyDiv w:val="1"/>
      <w:marLeft w:val="0"/>
      <w:marRight w:val="0"/>
      <w:marTop w:val="0"/>
      <w:marBottom w:val="0"/>
      <w:divBdr>
        <w:top w:val="none" w:sz="0" w:space="0" w:color="auto"/>
        <w:left w:val="none" w:sz="0" w:space="0" w:color="auto"/>
        <w:bottom w:val="none" w:sz="0" w:space="0" w:color="auto"/>
        <w:right w:val="none" w:sz="0" w:space="0" w:color="auto"/>
      </w:divBdr>
    </w:div>
    <w:div w:id="1124228011">
      <w:bodyDiv w:val="1"/>
      <w:marLeft w:val="0"/>
      <w:marRight w:val="0"/>
      <w:marTop w:val="0"/>
      <w:marBottom w:val="0"/>
      <w:divBdr>
        <w:top w:val="none" w:sz="0" w:space="0" w:color="auto"/>
        <w:left w:val="none" w:sz="0" w:space="0" w:color="auto"/>
        <w:bottom w:val="none" w:sz="0" w:space="0" w:color="auto"/>
        <w:right w:val="none" w:sz="0" w:space="0" w:color="auto"/>
      </w:divBdr>
    </w:div>
    <w:div w:id="1129057266">
      <w:bodyDiv w:val="1"/>
      <w:marLeft w:val="0"/>
      <w:marRight w:val="0"/>
      <w:marTop w:val="0"/>
      <w:marBottom w:val="0"/>
      <w:divBdr>
        <w:top w:val="none" w:sz="0" w:space="0" w:color="auto"/>
        <w:left w:val="none" w:sz="0" w:space="0" w:color="auto"/>
        <w:bottom w:val="none" w:sz="0" w:space="0" w:color="auto"/>
        <w:right w:val="none" w:sz="0" w:space="0" w:color="auto"/>
      </w:divBdr>
    </w:div>
    <w:div w:id="1130855015">
      <w:bodyDiv w:val="1"/>
      <w:marLeft w:val="0"/>
      <w:marRight w:val="0"/>
      <w:marTop w:val="0"/>
      <w:marBottom w:val="0"/>
      <w:divBdr>
        <w:top w:val="none" w:sz="0" w:space="0" w:color="auto"/>
        <w:left w:val="none" w:sz="0" w:space="0" w:color="auto"/>
        <w:bottom w:val="none" w:sz="0" w:space="0" w:color="auto"/>
        <w:right w:val="none" w:sz="0" w:space="0" w:color="auto"/>
      </w:divBdr>
    </w:div>
    <w:div w:id="1131703293">
      <w:bodyDiv w:val="1"/>
      <w:marLeft w:val="0"/>
      <w:marRight w:val="0"/>
      <w:marTop w:val="0"/>
      <w:marBottom w:val="0"/>
      <w:divBdr>
        <w:top w:val="none" w:sz="0" w:space="0" w:color="auto"/>
        <w:left w:val="none" w:sz="0" w:space="0" w:color="auto"/>
        <w:bottom w:val="none" w:sz="0" w:space="0" w:color="auto"/>
        <w:right w:val="none" w:sz="0" w:space="0" w:color="auto"/>
      </w:divBdr>
    </w:div>
    <w:div w:id="1132676138">
      <w:bodyDiv w:val="1"/>
      <w:marLeft w:val="0"/>
      <w:marRight w:val="0"/>
      <w:marTop w:val="0"/>
      <w:marBottom w:val="0"/>
      <w:divBdr>
        <w:top w:val="none" w:sz="0" w:space="0" w:color="auto"/>
        <w:left w:val="none" w:sz="0" w:space="0" w:color="auto"/>
        <w:bottom w:val="none" w:sz="0" w:space="0" w:color="auto"/>
        <w:right w:val="none" w:sz="0" w:space="0" w:color="auto"/>
      </w:divBdr>
    </w:div>
    <w:div w:id="1133207673">
      <w:bodyDiv w:val="1"/>
      <w:marLeft w:val="0"/>
      <w:marRight w:val="0"/>
      <w:marTop w:val="0"/>
      <w:marBottom w:val="0"/>
      <w:divBdr>
        <w:top w:val="none" w:sz="0" w:space="0" w:color="auto"/>
        <w:left w:val="none" w:sz="0" w:space="0" w:color="auto"/>
        <w:bottom w:val="none" w:sz="0" w:space="0" w:color="auto"/>
        <w:right w:val="none" w:sz="0" w:space="0" w:color="auto"/>
      </w:divBdr>
    </w:div>
    <w:div w:id="1134449262">
      <w:bodyDiv w:val="1"/>
      <w:marLeft w:val="0"/>
      <w:marRight w:val="0"/>
      <w:marTop w:val="0"/>
      <w:marBottom w:val="0"/>
      <w:divBdr>
        <w:top w:val="none" w:sz="0" w:space="0" w:color="auto"/>
        <w:left w:val="none" w:sz="0" w:space="0" w:color="auto"/>
        <w:bottom w:val="none" w:sz="0" w:space="0" w:color="auto"/>
        <w:right w:val="none" w:sz="0" w:space="0" w:color="auto"/>
      </w:divBdr>
    </w:div>
    <w:div w:id="1136333791">
      <w:bodyDiv w:val="1"/>
      <w:marLeft w:val="0"/>
      <w:marRight w:val="0"/>
      <w:marTop w:val="0"/>
      <w:marBottom w:val="0"/>
      <w:divBdr>
        <w:top w:val="none" w:sz="0" w:space="0" w:color="auto"/>
        <w:left w:val="none" w:sz="0" w:space="0" w:color="auto"/>
        <w:bottom w:val="none" w:sz="0" w:space="0" w:color="auto"/>
        <w:right w:val="none" w:sz="0" w:space="0" w:color="auto"/>
      </w:divBdr>
    </w:div>
    <w:div w:id="1141002461">
      <w:bodyDiv w:val="1"/>
      <w:marLeft w:val="0"/>
      <w:marRight w:val="0"/>
      <w:marTop w:val="0"/>
      <w:marBottom w:val="0"/>
      <w:divBdr>
        <w:top w:val="none" w:sz="0" w:space="0" w:color="auto"/>
        <w:left w:val="none" w:sz="0" w:space="0" w:color="auto"/>
        <w:bottom w:val="none" w:sz="0" w:space="0" w:color="auto"/>
        <w:right w:val="none" w:sz="0" w:space="0" w:color="auto"/>
      </w:divBdr>
    </w:div>
    <w:div w:id="1141920839">
      <w:bodyDiv w:val="1"/>
      <w:marLeft w:val="0"/>
      <w:marRight w:val="0"/>
      <w:marTop w:val="0"/>
      <w:marBottom w:val="0"/>
      <w:divBdr>
        <w:top w:val="none" w:sz="0" w:space="0" w:color="auto"/>
        <w:left w:val="none" w:sz="0" w:space="0" w:color="auto"/>
        <w:bottom w:val="none" w:sz="0" w:space="0" w:color="auto"/>
        <w:right w:val="none" w:sz="0" w:space="0" w:color="auto"/>
      </w:divBdr>
    </w:div>
    <w:div w:id="1143497948">
      <w:bodyDiv w:val="1"/>
      <w:marLeft w:val="0"/>
      <w:marRight w:val="0"/>
      <w:marTop w:val="0"/>
      <w:marBottom w:val="0"/>
      <w:divBdr>
        <w:top w:val="none" w:sz="0" w:space="0" w:color="auto"/>
        <w:left w:val="none" w:sz="0" w:space="0" w:color="auto"/>
        <w:bottom w:val="none" w:sz="0" w:space="0" w:color="auto"/>
        <w:right w:val="none" w:sz="0" w:space="0" w:color="auto"/>
      </w:divBdr>
    </w:div>
    <w:div w:id="1147941462">
      <w:bodyDiv w:val="1"/>
      <w:marLeft w:val="0"/>
      <w:marRight w:val="0"/>
      <w:marTop w:val="0"/>
      <w:marBottom w:val="0"/>
      <w:divBdr>
        <w:top w:val="none" w:sz="0" w:space="0" w:color="auto"/>
        <w:left w:val="none" w:sz="0" w:space="0" w:color="auto"/>
        <w:bottom w:val="none" w:sz="0" w:space="0" w:color="auto"/>
        <w:right w:val="none" w:sz="0" w:space="0" w:color="auto"/>
      </w:divBdr>
    </w:div>
    <w:div w:id="1155796872">
      <w:bodyDiv w:val="1"/>
      <w:marLeft w:val="0"/>
      <w:marRight w:val="0"/>
      <w:marTop w:val="0"/>
      <w:marBottom w:val="0"/>
      <w:divBdr>
        <w:top w:val="none" w:sz="0" w:space="0" w:color="auto"/>
        <w:left w:val="none" w:sz="0" w:space="0" w:color="auto"/>
        <w:bottom w:val="none" w:sz="0" w:space="0" w:color="auto"/>
        <w:right w:val="none" w:sz="0" w:space="0" w:color="auto"/>
      </w:divBdr>
    </w:div>
    <w:div w:id="1156536731">
      <w:bodyDiv w:val="1"/>
      <w:marLeft w:val="0"/>
      <w:marRight w:val="0"/>
      <w:marTop w:val="0"/>
      <w:marBottom w:val="0"/>
      <w:divBdr>
        <w:top w:val="none" w:sz="0" w:space="0" w:color="auto"/>
        <w:left w:val="none" w:sz="0" w:space="0" w:color="auto"/>
        <w:bottom w:val="none" w:sz="0" w:space="0" w:color="auto"/>
        <w:right w:val="none" w:sz="0" w:space="0" w:color="auto"/>
      </w:divBdr>
    </w:div>
    <w:div w:id="1156650239">
      <w:bodyDiv w:val="1"/>
      <w:marLeft w:val="0"/>
      <w:marRight w:val="0"/>
      <w:marTop w:val="0"/>
      <w:marBottom w:val="0"/>
      <w:divBdr>
        <w:top w:val="none" w:sz="0" w:space="0" w:color="auto"/>
        <w:left w:val="none" w:sz="0" w:space="0" w:color="auto"/>
        <w:bottom w:val="none" w:sz="0" w:space="0" w:color="auto"/>
        <w:right w:val="none" w:sz="0" w:space="0" w:color="auto"/>
      </w:divBdr>
    </w:div>
    <w:div w:id="1159425247">
      <w:bodyDiv w:val="1"/>
      <w:marLeft w:val="0"/>
      <w:marRight w:val="0"/>
      <w:marTop w:val="0"/>
      <w:marBottom w:val="0"/>
      <w:divBdr>
        <w:top w:val="none" w:sz="0" w:space="0" w:color="auto"/>
        <w:left w:val="none" w:sz="0" w:space="0" w:color="auto"/>
        <w:bottom w:val="none" w:sz="0" w:space="0" w:color="auto"/>
        <w:right w:val="none" w:sz="0" w:space="0" w:color="auto"/>
      </w:divBdr>
    </w:div>
    <w:div w:id="1162500503">
      <w:bodyDiv w:val="1"/>
      <w:marLeft w:val="0"/>
      <w:marRight w:val="0"/>
      <w:marTop w:val="0"/>
      <w:marBottom w:val="0"/>
      <w:divBdr>
        <w:top w:val="none" w:sz="0" w:space="0" w:color="auto"/>
        <w:left w:val="none" w:sz="0" w:space="0" w:color="auto"/>
        <w:bottom w:val="none" w:sz="0" w:space="0" w:color="auto"/>
        <w:right w:val="none" w:sz="0" w:space="0" w:color="auto"/>
      </w:divBdr>
    </w:div>
    <w:div w:id="1165705779">
      <w:bodyDiv w:val="1"/>
      <w:marLeft w:val="0"/>
      <w:marRight w:val="0"/>
      <w:marTop w:val="0"/>
      <w:marBottom w:val="0"/>
      <w:divBdr>
        <w:top w:val="none" w:sz="0" w:space="0" w:color="auto"/>
        <w:left w:val="none" w:sz="0" w:space="0" w:color="auto"/>
        <w:bottom w:val="none" w:sz="0" w:space="0" w:color="auto"/>
        <w:right w:val="none" w:sz="0" w:space="0" w:color="auto"/>
      </w:divBdr>
    </w:div>
    <w:div w:id="1167399411">
      <w:bodyDiv w:val="1"/>
      <w:marLeft w:val="0"/>
      <w:marRight w:val="0"/>
      <w:marTop w:val="0"/>
      <w:marBottom w:val="0"/>
      <w:divBdr>
        <w:top w:val="none" w:sz="0" w:space="0" w:color="auto"/>
        <w:left w:val="none" w:sz="0" w:space="0" w:color="auto"/>
        <w:bottom w:val="none" w:sz="0" w:space="0" w:color="auto"/>
        <w:right w:val="none" w:sz="0" w:space="0" w:color="auto"/>
      </w:divBdr>
    </w:div>
    <w:div w:id="1168715503">
      <w:bodyDiv w:val="1"/>
      <w:marLeft w:val="0"/>
      <w:marRight w:val="0"/>
      <w:marTop w:val="0"/>
      <w:marBottom w:val="0"/>
      <w:divBdr>
        <w:top w:val="none" w:sz="0" w:space="0" w:color="auto"/>
        <w:left w:val="none" w:sz="0" w:space="0" w:color="auto"/>
        <w:bottom w:val="none" w:sz="0" w:space="0" w:color="auto"/>
        <w:right w:val="none" w:sz="0" w:space="0" w:color="auto"/>
      </w:divBdr>
    </w:div>
    <w:div w:id="1169632843">
      <w:bodyDiv w:val="1"/>
      <w:marLeft w:val="0"/>
      <w:marRight w:val="0"/>
      <w:marTop w:val="0"/>
      <w:marBottom w:val="0"/>
      <w:divBdr>
        <w:top w:val="none" w:sz="0" w:space="0" w:color="auto"/>
        <w:left w:val="none" w:sz="0" w:space="0" w:color="auto"/>
        <w:bottom w:val="none" w:sz="0" w:space="0" w:color="auto"/>
        <w:right w:val="none" w:sz="0" w:space="0" w:color="auto"/>
      </w:divBdr>
    </w:div>
    <w:div w:id="1171259635">
      <w:bodyDiv w:val="1"/>
      <w:marLeft w:val="0"/>
      <w:marRight w:val="0"/>
      <w:marTop w:val="0"/>
      <w:marBottom w:val="0"/>
      <w:divBdr>
        <w:top w:val="none" w:sz="0" w:space="0" w:color="auto"/>
        <w:left w:val="none" w:sz="0" w:space="0" w:color="auto"/>
        <w:bottom w:val="none" w:sz="0" w:space="0" w:color="auto"/>
        <w:right w:val="none" w:sz="0" w:space="0" w:color="auto"/>
      </w:divBdr>
    </w:div>
    <w:div w:id="1171523313">
      <w:bodyDiv w:val="1"/>
      <w:marLeft w:val="0"/>
      <w:marRight w:val="0"/>
      <w:marTop w:val="0"/>
      <w:marBottom w:val="0"/>
      <w:divBdr>
        <w:top w:val="none" w:sz="0" w:space="0" w:color="auto"/>
        <w:left w:val="none" w:sz="0" w:space="0" w:color="auto"/>
        <w:bottom w:val="none" w:sz="0" w:space="0" w:color="auto"/>
        <w:right w:val="none" w:sz="0" w:space="0" w:color="auto"/>
      </w:divBdr>
    </w:div>
    <w:div w:id="1174610143">
      <w:bodyDiv w:val="1"/>
      <w:marLeft w:val="0"/>
      <w:marRight w:val="0"/>
      <w:marTop w:val="0"/>
      <w:marBottom w:val="0"/>
      <w:divBdr>
        <w:top w:val="none" w:sz="0" w:space="0" w:color="auto"/>
        <w:left w:val="none" w:sz="0" w:space="0" w:color="auto"/>
        <w:bottom w:val="none" w:sz="0" w:space="0" w:color="auto"/>
        <w:right w:val="none" w:sz="0" w:space="0" w:color="auto"/>
      </w:divBdr>
    </w:div>
    <w:div w:id="1177034707">
      <w:bodyDiv w:val="1"/>
      <w:marLeft w:val="0"/>
      <w:marRight w:val="0"/>
      <w:marTop w:val="0"/>
      <w:marBottom w:val="0"/>
      <w:divBdr>
        <w:top w:val="none" w:sz="0" w:space="0" w:color="auto"/>
        <w:left w:val="none" w:sz="0" w:space="0" w:color="auto"/>
        <w:bottom w:val="none" w:sz="0" w:space="0" w:color="auto"/>
        <w:right w:val="none" w:sz="0" w:space="0" w:color="auto"/>
      </w:divBdr>
    </w:div>
    <w:div w:id="1180042482">
      <w:bodyDiv w:val="1"/>
      <w:marLeft w:val="0"/>
      <w:marRight w:val="0"/>
      <w:marTop w:val="0"/>
      <w:marBottom w:val="0"/>
      <w:divBdr>
        <w:top w:val="none" w:sz="0" w:space="0" w:color="auto"/>
        <w:left w:val="none" w:sz="0" w:space="0" w:color="auto"/>
        <w:bottom w:val="none" w:sz="0" w:space="0" w:color="auto"/>
        <w:right w:val="none" w:sz="0" w:space="0" w:color="auto"/>
      </w:divBdr>
    </w:div>
    <w:div w:id="1181817966">
      <w:bodyDiv w:val="1"/>
      <w:marLeft w:val="0"/>
      <w:marRight w:val="0"/>
      <w:marTop w:val="0"/>
      <w:marBottom w:val="0"/>
      <w:divBdr>
        <w:top w:val="none" w:sz="0" w:space="0" w:color="auto"/>
        <w:left w:val="none" w:sz="0" w:space="0" w:color="auto"/>
        <w:bottom w:val="none" w:sz="0" w:space="0" w:color="auto"/>
        <w:right w:val="none" w:sz="0" w:space="0" w:color="auto"/>
      </w:divBdr>
    </w:div>
    <w:div w:id="1184857287">
      <w:bodyDiv w:val="1"/>
      <w:marLeft w:val="0"/>
      <w:marRight w:val="0"/>
      <w:marTop w:val="0"/>
      <w:marBottom w:val="0"/>
      <w:divBdr>
        <w:top w:val="none" w:sz="0" w:space="0" w:color="auto"/>
        <w:left w:val="none" w:sz="0" w:space="0" w:color="auto"/>
        <w:bottom w:val="none" w:sz="0" w:space="0" w:color="auto"/>
        <w:right w:val="none" w:sz="0" w:space="0" w:color="auto"/>
      </w:divBdr>
    </w:div>
    <w:div w:id="1188518264">
      <w:bodyDiv w:val="1"/>
      <w:marLeft w:val="0"/>
      <w:marRight w:val="0"/>
      <w:marTop w:val="0"/>
      <w:marBottom w:val="0"/>
      <w:divBdr>
        <w:top w:val="none" w:sz="0" w:space="0" w:color="auto"/>
        <w:left w:val="none" w:sz="0" w:space="0" w:color="auto"/>
        <w:bottom w:val="none" w:sz="0" w:space="0" w:color="auto"/>
        <w:right w:val="none" w:sz="0" w:space="0" w:color="auto"/>
      </w:divBdr>
    </w:div>
    <w:div w:id="1197691769">
      <w:bodyDiv w:val="1"/>
      <w:marLeft w:val="0"/>
      <w:marRight w:val="0"/>
      <w:marTop w:val="0"/>
      <w:marBottom w:val="0"/>
      <w:divBdr>
        <w:top w:val="none" w:sz="0" w:space="0" w:color="auto"/>
        <w:left w:val="none" w:sz="0" w:space="0" w:color="auto"/>
        <w:bottom w:val="none" w:sz="0" w:space="0" w:color="auto"/>
        <w:right w:val="none" w:sz="0" w:space="0" w:color="auto"/>
      </w:divBdr>
    </w:div>
    <w:div w:id="1197737044">
      <w:bodyDiv w:val="1"/>
      <w:marLeft w:val="0"/>
      <w:marRight w:val="0"/>
      <w:marTop w:val="0"/>
      <w:marBottom w:val="0"/>
      <w:divBdr>
        <w:top w:val="none" w:sz="0" w:space="0" w:color="auto"/>
        <w:left w:val="none" w:sz="0" w:space="0" w:color="auto"/>
        <w:bottom w:val="none" w:sz="0" w:space="0" w:color="auto"/>
        <w:right w:val="none" w:sz="0" w:space="0" w:color="auto"/>
      </w:divBdr>
    </w:div>
    <w:div w:id="1201282090">
      <w:bodyDiv w:val="1"/>
      <w:marLeft w:val="0"/>
      <w:marRight w:val="0"/>
      <w:marTop w:val="0"/>
      <w:marBottom w:val="0"/>
      <w:divBdr>
        <w:top w:val="none" w:sz="0" w:space="0" w:color="auto"/>
        <w:left w:val="none" w:sz="0" w:space="0" w:color="auto"/>
        <w:bottom w:val="none" w:sz="0" w:space="0" w:color="auto"/>
        <w:right w:val="none" w:sz="0" w:space="0" w:color="auto"/>
      </w:divBdr>
    </w:div>
    <w:div w:id="1201820757">
      <w:bodyDiv w:val="1"/>
      <w:marLeft w:val="0"/>
      <w:marRight w:val="0"/>
      <w:marTop w:val="0"/>
      <w:marBottom w:val="0"/>
      <w:divBdr>
        <w:top w:val="none" w:sz="0" w:space="0" w:color="auto"/>
        <w:left w:val="none" w:sz="0" w:space="0" w:color="auto"/>
        <w:bottom w:val="none" w:sz="0" w:space="0" w:color="auto"/>
        <w:right w:val="none" w:sz="0" w:space="0" w:color="auto"/>
      </w:divBdr>
    </w:div>
    <w:div w:id="1202330301">
      <w:bodyDiv w:val="1"/>
      <w:marLeft w:val="0"/>
      <w:marRight w:val="0"/>
      <w:marTop w:val="0"/>
      <w:marBottom w:val="0"/>
      <w:divBdr>
        <w:top w:val="none" w:sz="0" w:space="0" w:color="auto"/>
        <w:left w:val="none" w:sz="0" w:space="0" w:color="auto"/>
        <w:bottom w:val="none" w:sz="0" w:space="0" w:color="auto"/>
        <w:right w:val="none" w:sz="0" w:space="0" w:color="auto"/>
      </w:divBdr>
    </w:div>
    <w:div w:id="1210410990">
      <w:bodyDiv w:val="1"/>
      <w:marLeft w:val="0"/>
      <w:marRight w:val="0"/>
      <w:marTop w:val="0"/>
      <w:marBottom w:val="0"/>
      <w:divBdr>
        <w:top w:val="none" w:sz="0" w:space="0" w:color="auto"/>
        <w:left w:val="none" w:sz="0" w:space="0" w:color="auto"/>
        <w:bottom w:val="none" w:sz="0" w:space="0" w:color="auto"/>
        <w:right w:val="none" w:sz="0" w:space="0" w:color="auto"/>
      </w:divBdr>
    </w:div>
    <w:div w:id="1210533487">
      <w:bodyDiv w:val="1"/>
      <w:marLeft w:val="0"/>
      <w:marRight w:val="0"/>
      <w:marTop w:val="0"/>
      <w:marBottom w:val="0"/>
      <w:divBdr>
        <w:top w:val="none" w:sz="0" w:space="0" w:color="auto"/>
        <w:left w:val="none" w:sz="0" w:space="0" w:color="auto"/>
        <w:bottom w:val="none" w:sz="0" w:space="0" w:color="auto"/>
        <w:right w:val="none" w:sz="0" w:space="0" w:color="auto"/>
      </w:divBdr>
    </w:div>
    <w:div w:id="1212957277">
      <w:bodyDiv w:val="1"/>
      <w:marLeft w:val="0"/>
      <w:marRight w:val="0"/>
      <w:marTop w:val="0"/>
      <w:marBottom w:val="0"/>
      <w:divBdr>
        <w:top w:val="none" w:sz="0" w:space="0" w:color="auto"/>
        <w:left w:val="none" w:sz="0" w:space="0" w:color="auto"/>
        <w:bottom w:val="none" w:sz="0" w:space="0" w:color="auto"/>
        <w:right w:val="none" w:sz="0" w:space="0" w:color="auto"/>
      </w:divBdr>
    </w:div>
    <w:div w:id="1214121881">
      <w:bodyDiv w:val="1"/>
      <w:marLeft w:val="0"/>
      <w:marRight w:val="0"/>
      <w:marTop w:val="0"/>
      <w:marBottom w:val="0"/>
      <w:divBdr>
        <w:top w:val="none" w:sz="0" w:space="0" w:color="auto"/>
        <w:left w:val="none" w:sz="0" w:space="0" w:color="auto"/>
        <w:bottom w:val="none" w:sz="0" w:space="0" w:color="auto"/>
        <w:right w:val="none" w:sz="0" w:space="0" w:color="auto"/>
      </w:divBdr>
    </w:div>
    <w:div w:id="1214539458">
      <w:bodyDiv w:val="1"/>
      <w:marLeft w:val="0"/>
      <w:marRight w:val="0"/>
      <w:marTop w:val="0"/>
      <w:marBottom w:val="0"/>
      <w:divBdr>
        <w:top w:val="none" w:sz="0" w:space="0" w:color="auto"/>
        <w:left w:val="none" w:sz="0" w:space="0" w:color="auto"/>
        <w:bottom w:val="none" w:sz="0" w:space="0" w:color="auto"/>
        <w:right w:val="none" w:sz="0" w:space="0" w:color="auto"/>
      </w:divBdr>
    </w:div>
    <w:div w:id="1215460475">
      <w:bodyDiv w:val="1"/>
      <w:marLeft w:val="0"/>
      <w:marRight w:val="0"/>
      <w:marTop w:val="0"/>
      <w:marBottom w:val="0"/>
      <w:divBdr>
        <w:top w:val="none" w:sz="0" w:space="0" w:color="auto"/>
        <w:left w:val="none" w:sz="0" w:space="0" w:color="auto"/>
        <w:bottom w:val="none" w:sz="0" w:space="0" w:color="auto"/>
        <w:right w:val="none" w:sz="0" w:space="0" w:color="auto"/>
      </w:divBdr>
    </w:div>
    <w:div w:id="1216770322">
      <w:bodyDiv w:val="1"/>
      <w:marLeft w:val="0"/>
      <w:marRight w:val="0"/>
      <w:marTop w:val="0"/>
      <w:marBottom w:val="0"/>
      <w:divBdr>
        <w:top w:val="none" w:sz="0" w:space="0" w:color="auto"/>
        <w:left w:val="none" w:sz="0" w:space="0" w:color="auto"/>
        <w:bottom w:val="none" w:sz="0" w:space="0" w:color="auto"/>
        <w:right w:val="none" w:sz="0" w:space="0" w:color="auto"/>
      </w:divBdr>
    </w:div>
    <w:div w:id="1216773462">
      <w:bodyDiv w:val="1"/>
      <w:marLeft w:val="0"/>
      <w:marRight w:val="0"/>
      <w:marTop w:val="0"/>
      <w:marBottom w:val="0"/>
      <w:divBdr>
        <w:top w:val="none" w:sz="0" w:space="0" w:color="auto"/>
        <w:left w:val="none" w:sz="0" w:space="0" w:color="auto"/>
        <w:bottom w:val="none" w:sz="0" w:space="0" w:color="auto"/>
        <w:right w:val="none" w:sz="0" w:space="0" w:color="auto"/>
      </w:divBdr>
    </w:div>
    <w:div w:id="1217086931">
      <w:bodyDiv w:val="1"/>
      <w:marLeft w:val="0"/>
      <w:marRight w:val="0"/>
      <w:marTop w:val="0"/>
      <w:marBottom w:val="0"/>
      <w:divBdr>
        <w:top w:val="none" w:sz="0" w:space="0" w:color="auto"/>
        <w:left w:val="none" w:sz="0" w:space="0" w:color="auto"/>
        <w:bottom w:val="none" w:sz="0" w:space="0" w:color="auto"/>
        <w:right w:val="none" w:sz="0" w:space="0" w:color="auto"/>
      </w:divBdr>
    </w:div>
    <w:div w:id="1219130929">
      <w:bodyDiv w:val="1"/>
      <w:marLeft w:val="0"/>
      <w:marRight w:val="0"/>
      <w:marTop w:val="0"/>
      <w:marBottom w:val="0"/>
      <w:divBdr>
        <w:top w:val="none" w:sz="0" w:space="0" w:color="auto"/>
        <w:left w:val="none" w:sz="0" w:space="0" w:color="auto"/>
        <w:bottom w:val="none" w:sz="0" w:space="0" w:color="auto"/>
        <w:right w:val="none" w:sz="0" w:space="0" w:color="auto"/>
      </w:divBdr>
    </w:div>
    <w:div w:id="1220436575">
      <w:bodyDiv w:val="1"/>
      <w:marLeft w:val="0"/>
      <w:marRight w:val="0"/>
      <w:marTop w:val="0"/>
      <w:marBottom w:val="0"/>
      <w:divBdr>
        <w:top w:val="none" w:sz="0" w:space="0" w:color="auto"/>
        <w:left w:val="none" w:sz="0" w:space="0" w:color="auto"/>
        <w:bottom w:val="none" w:sz="0" w:space="0" w:color="auto"/>
        <w:right w:val="none" w:sz="0" w:space="0" w:color="auto"/>
      </w:divBdr>
    </w:div>
    <w:div w:id="1222868646">
      <w:bodyDiv w:val="1"/>
      <w:marLeft w:val="0"/>
      <w:marRight w:val="0"/>
      <w:marTop w:val="0"/>
      <w:marBottom w:val="0"/>
      <w:divBdr>
        <w:top w:val="none" w:sz="0" w:space="0" w:color="auto"/>
        <w:left w:val="none" w:sz="0" w:space="0" w:color="auto"/>
        <w:bottom w:val="none" w:sz="0" w:space="0" w:color="auto"/>
        <w:right w:val="none" w:sz="0" w:space="0" w:color="auto"/>
      </w:divBdr>
    </w:div>
    <w:div w:id="1229344801">
      <w:bodyDiv w:val="1"/>
      <w:marLeft w:val="0"/>
      <w:marRight w:val="0"/>
      <w:marTop w:val="0"/>
      <w:marBottom w:val="0"/>
      <w:divBdr>
        <w:top w:val="none" w:sz="0" w:space="0" w:color="auto"/>
        <w:left w:val="none" w:sz="0" w:space="0" w:color="auto"/>
        <w:bottom w:val="none" w:sz="0" w:space="0" w:color="auto"/>
        <w:right w:val="none" w:sz="0" w:space="0" w:color="auto"/>
      </w:divBdr>
    </w:div>
    <w:div w:id="1231042121">
      <w:bodyDiv w:val="1"/>
      <w:marLeft w:val="0"/>
      <w:marRight w:val="0"/>
      <w:marTop w:val="0"/>
      <w:marBottom w:val="0"/>
      <w:divBdr>
        <w:top w:val="none" w:sz="0" w:space="0" w:color="auto"/>
        <w:left w:val="none" w:sz="0" w:space="0" w:color="auto"/>
        <w:bottom w:val="none" w:sz="0" w:space="0" w:color="auto"/>
        <w:right w:val="none" w:sz="0" w:space="0" w:color="auto"/>
      </w:divBdr>
    </w:div>
    <w:div w:id="1235312897">
      <w:bodyDiv w:val="1"/>
      <w:marLeft w:val="0"/>
      <w:marRight w:val="0"/>
      <w:marTop w:val="0"/>
      <w:marBottom w:val="0"/>
      <w:divBdr>
        <w:top w:val="none" w:sz="0" w:space="0" w:color="auto"/>
        <w:left w:val="none" w:sz="0" w:space="0" w:color="auto"/>
        <w:bottom w:val="none" w:sz="0" w:space="0" w:color="auto"/>
        <w:right w:val="none" w:sz="0" w:space="0" w:color="auto"/>
      </w:divBdr>
    </w:div>
    <w:div w:id="1236010971">
      <w:bodyDiv w:val="1"/>
      <w:marLeft w:val="0"/>
      <w:marRight w:val="0"/>
      <w:marTop w:val="0"/>
      <w:marBottom w:val="0"/>
      <w:divBdr>
        <w:top w:val="none" w:sz="0" w:space="0" w:color="auto"/>
        <w:left w:val="none" w:sz="0" w:space="0" w:color="auto"/>
        <w:bottom w:val="none" w:sz="0" w:space="0" w:color="auto"/>
        <w:right w:val="none" w:sz="0" w:space="0" w:color="auto"/>
      </w:divBdr>
    </w:div>
    <w:div w:id="1239436927">
      <w:bodyDiv w:val="1"/>
      <w:marLeft w:val="0"/>
      <w:marRight w:val="0"/>
      <w:marTop w:val="0"/>
      <w:marBottom w:val="0"/>
      <w:divBdr>
        <w:top w:val="none" w:sz="0" w:space="0" w:color="auto"/>
        <w:left w:val="none" w:sz="0" w:space="0" w:color="auto"/>
        <w:bottom w:val="none" w:sz="0" w:space="0" w:color="auto"/>
        <w:right w:val="none" w:sz="0" w:space="0" w:color="auto"/>
      </w:divBdr>
    </w:div>
    <w:div w:id="1241211919">
      <w:bodyDiv w:val="1"/>
      <w:marLeft w:val="0"/>
      <w:marRight w:val="0"/>
      <w:marTop w:val="0"/>
      <w:marBottom w:val="0"/>
      <w:divBdr>
        <w:top w:val="none" w:sz="0" w:space="0" w:color="auto"/>
        <w:left w:val="none" w:sz="0" w:space="0" w:color="auto"/>
        <w:bottom w:val="none" w:sz="0" w:space="0" w:color="auto"/>
        <w:right w:val="none" w:sz="0" w:space="0" w:color="auto"/>
      </w:divBdr>
    </w:div>
    <w:div w:id="1243181095">
      <w:bodyDiv w:val="1"/>
      <w:marLeft w:val="0"/>
      <w:marRight w:val="0"/>
      <w:marTop w:val="0"/>
      <w:marBottom w:val="0"/>
      <w:divBdr>
        <w:top w:val="none" w:sz="0" w:space="0" w:color="auto"/>
        <w:left w:val="none" w:sz="0" w:space="0" w:color="auto"/>
        <w:bottom w:val="none" w:sz="0" w:space="0" w:color="auto"/>
        <w:right w:val="none" w:sz="0" w:space="0" w:color="auto"/>
      </w:divBdr>
    </w:div>
    <w:div w:id="1246454751">
      <w:bodyDiv w:val="1"/>
      <w:marLeft w:val="0"/>
      <w:marRight w:val="0"/>
      <w:marTop w:val="0"/>
      <w:marBottom w:val="0"/>
      <w:divBdr>
        <w:top w:val="none" w:sz="0" w:space="0" w:color="auto"/>
        <w:left w:val="none" w:sz="0" w:space="0" w:color="auto"/>
        <w:bottom w:val="none" w:sz="0" w:space="0" w:color="auto"/>
        <w:right w:val="none" w:sz="0" w:space="0" w:color="auto"/>
      </w:divBdr>
    </w:div>
    <w:div w:id="1246841256">
      <w:bodyDiv w:val="1"/>
      <w:marLeft w:val="0"/>
      <w:marRight w:val="0"/>
      <w:marTop w:val="0"/>
      <w:marBottom w:val="0"/>
      <w:divBdr>
        <w:top w:val="none" w:sz="0" w:space="0" w:color="auto"/>
        <w:left w:val="none" w:sz="0" w:space="0" w:color="auto"/>
        <w:bottom w:val="none" w:sz="0" w:space="0" w:color="auto"/>
        <w:right w:val="none" w:sz="0" w:space="0" w:color="auto"/>
      </w:divBdr>
    </w:div>
    <w:div w:id="1247609852">
      <w:bodyDiv w:val="1"/>
      <w:marLeft w:val="0"/>
      <w:marRight w:val="0"/>
      <w:marTop w:val="0"/>
      <w:marBottom w:val="0"/>
      <w:divBdr>
        <w:top w:val="none" w:sz="0" w:space="0" w:color="auto"/>
        <w:left w:val="none" w:sz="0" w:space="0" w:color="auto"/>
        <w:bottom w:val="none" w:sz="0" w:space="0" w:color="auto"/>
        <w:right w:val="none" w:sz="0" w:space="0" w:color="auto"/>
      </w:divBdr>
    </w:div>
    <w:div w:id="1247693626">
      <w:bodyDiv w:val="1"/>
      <w:marLeft w:val="0"/>
      <w:marRight w:val="0"/>
      <w:marTop w:val="0"/>
      <w:marBottom w:val="0"/>
      <w:divBdr>
        <w:top w:val="none" w:sz="0" w:space="0" w:color="auto"/>
        <w:left w:val="none" w:sz="0" w:space="0" w:color="auto"/>
        <w:bottom w:val="none" w:sz="0" w:space="0" w:color="auto"/>
        <w:right w:val="none" w:sz="0" w:space="0" w:color="auto"/>
      </w:divBdr>
    </w:div>
    <w:div w:id="1251230877">
      <w:bodyDiv w:val="1"/>
      <w:marLeft w:val="0"/>
      <w:marRight w:val="0"/>
      <w:marTop w:val="0"/>
      <w:marBottom w:val="0"/>
      <w:divBdr>
        <w:top w:val="none" w:sz="0" w:space="0" w:color="auto"/>
        <w:left w:val="none" w:sz="0" w:space="0" w:color="auto"/>
        <w:bottom w:val="none" w:sz="0" w:space="0" w:color="auto"/>
        <w:right w:val="none" w:sz="0" w:space="0" w:color="auto"/>
      </w:divBdr>
    </w:div>
    <w:div w:id="1261375245">
      <w:bodyDiv w:val="1"/>
      <w:marLeft w:val="0"/>
      <w:marRight w:val="0"/>
      <w:marTop w:val="0"/>
      <w:marBottom w:val="0"/>
      <w:divBdr>
        <w:top w:val="none" w:sz="0" w:space="0" w:color="auto"/>
        <w:left w:val="none" w:sz="0" w:space="0" w:color="auto"/>
        <w:bottom w:val="none" w:sz="0" w:space="0" w:color="auto"/>
        <w:right w:val="none" w:sz="0" w:space="0" w:color="auto"/>
      </w:divBdr>
    </w:div>
    <w:div w:id="1264923333">
      <w:bodyDiv w:val="1"/>
      <w:marLeft w:val="0"/>
      <w:marRight w:val="0"/>
      <w:marTop w:val="0"/>
      <w:marBottom w:val="0"/>
      <w:divBdr>
        <w:top w:val="none" w:sz="0" w:space="0" w:color="auto"/>
        <w:left w:val="none" w:sz="0" w:space="0" w:color="auto"/>
        <w:bottom w:val="none" w:sz="0" w:space="0" w:color="auto"/>
        <w:right w:val="none" w:sz="0" w:space="0" w:color="auto"/>
      </w:divBdr>
    </w:div>
    <w:div w:id="1266499508">
      <w:bodyDiv w:val="1"/>
      <w:marLeft w:val="0"/>
      <w:marRight w:val="0"/>
      <w:marTop w:val="0"/>
      <w:marBottom w:val="0"/>
      <w:divBdr>
        <w:top w:val="none" w:sz="0" w:space="0" w:color="auto"/>
        <w:left w:val="none" w:sz="0" w:space="0" w:color="auto"/>
        <w:bottom w:val="none" w:sz="0" w:space="0" w:color="auto"/>
        <w:right w:val="none" w:sz="0" w:space="0" w:color="auto"/>
      </w:divBdr>
    </w:div>
    <w:div w:id="1266617682">
      <w:bodyDiv w:val="1"/>
      <w:marLeft w:val="0"/>
      <w:marRight w:val="0"/>
      <w:marTop w:val="0"/>
      <w:marBottom w:val="0"/>
      <w:divBdr>
        <w:top w:val="none" w:sz="0" w:space="0" w:color="auto"/>
        <w:left w:val="none" w:sz="0" w:space="0" w:color="auto"/>
        <w:bottom w:val="none" w:sz="0" w:space="0" w:color="auto"/>
        <w:right w:val="none" w:sz="0" w:space="0" w:color="auto"/>
      </w:divBdr>
    </w:div>
    <w:div w:id="1267227276">
      <w:bodyDiv w:val="1"/>
      <w:marLeft w:val="0"/>
      <w:marRight w:val="0"/>
      <w:marTop w:val="0"/>
      <w:marBottom w:val="0"/>
      <w:divBdr>
        <w:top w:val="none" w:sz="0" w:space="0" w:color="auto"/>
        <w:left w:val="none" w:sz="0" w:space="0" w:color="auto"/>
        <w:bottom w:val="none" w:sz="0" w:space="0" w:color="auto"/>
        <w:right w:val="none" w:sz="0" w:space="0" w:color="auto"/>
      </w:divBdr>
    </w:div>
    <w:div w:id="1267691624">
      <w:bodyDiv w:val="1"/>
      <w:marLeft w:val="0"/>
      <w:marRight w:val="0"/>
      <w:marTop w:val="0"/>
      <w:marBottom w:val="0"/>
      <w:divBdr>
        <w:top w:val="none" w:sz="0" w:space="0" w:color="auto"/>
        <w:left w:val="none" w:sz="0" w:space="0" w:color="auto"/>
        <w:bottom w:val="none" w:sz="0" w:space="0" w:color="auto"/>
        <w:right w:val="none" w:sz="0" w:space="0" w:color="auto"/>
      </w:divBdr>
    </w:div>
    <w:div w:id="1268271151">
      <w:bodyDiv w:val="1"/>
      <w:marLeft w:val="0"/>
      <w:marRight w:val="0"/>
      <w:marTop w:val="0"/>
      <w:marBottom w:val="0"/>
      <w:divBdr>
        <w:top w:val="none" w:sz="0" w:space="0" w:color="auto"/>
        <w:left w:val="none" w:sz="0" w:space="0" w:color="auto"/>
        <w:bottom w:val="none" w:sz="0" w:space="0" w:color="auto"/>
        <w:right w:val="none" w:sz="0" w:space="0" w:color="auto"/>
      </w:divBdr>
    </w:div>
    <w:div w:id="1268779466">
      <w:bodyDiv w:val="1"/>
      <w:marLeft w:val="0"/>
      <w:marRight w:val="0"/>
      <w:marTop w:val="0"/>
      <w:marBottom w:val="0"/>
      <w:divBdr>
        <w:top w:val="none" w:sz="0" w:space="0" w:color="auto"/>
        <w:left w:val="none" w:sz="0" w:space="0" w:color="auto"/>
        <w:bottom w:val="none" w:sz="0" w:space="0" w:color="auto"/>
        <w:right w:val="none" w:sz="0" w:space="0" w:color="auto"/>
      </w:divBdr>
    </w:div>
    <w:div w:id="1269583043">
      <w:bodyDiv w:val="1"/>
      <w:marLeft w:val="0"/>
      <w:marRight w:val="0"/>
      <w:marTop w:val="0"/>
      <w:marBottom w:val="0"/>
      <w:divBdr>
        <w:top w:val="none" w:sz="0" w:space="0" w:color="auto"/>
        <w:left w:val="none" w:sz="0" w:space="0" w:color="auto"/>
        <w:bottom w:val="none" w:sz="0" w:space="0" w:color="auto"/>
        <w:right w:val="none" w:sz="0" w:space="0" w:color="auto"/>
      </w:divBdr>
    </w:div>
    <w:div w:id="1270621912">
      <w:bodyDiv w:val="1"/>
      <w:marLeft w:val="0"/>
      <w:marRight w:val="0"/>
      <w:marTop w:val="0"/>
      <w:marBottom w:val="0"/>
      <w:divBdr>
        <w:top w:val="none" w:sz="0" w:space="0" w:color="auto"/>
        <w:left w:val="none" w:sz="0" w:space="0" w:color="auto"/>
        <w:bottom w:val="none" w:sz="0" w:space="0" w:color="auto"/>
        <w:right w:val="none" w:sz="0" w:space="0" w:color="auto"/>
      </w:divBdr>
    </w:div>
    <w:div w:id="1272588326">
      <w:bodyDiv w:val="1"/>
      <w:marLeft w:val="0"/>
      <w:marRight w:val="0"/>
      <w:marTop w:val="0"/>
      <w:marBottom w:val="0"/>
      <w:divBdr>
        <w:top w:val="none" w:sz="0" w:space="0" w:color="auto"/>
        <w:left w:val="none" w:sz="0" w:space="0" w:color="auto"/>
        <w:bottom w:val="none" w:sz="0" w:space="0" w:color="auto"/>
        <w:right w:val="none" w:sz="0" w:space="0" w:color="auto"/>
      </w:divBdr>
    </w:div>
    <w:div w:id="1275210897">
      <w:bodyDiv w:val="1"/>
      <w:marLeft w:val="0"/>
      <w:marRight w:val="0"/>
      <w:marTop w:val="0"/>
      <w:marBottom w:val="0"/>
      <w:divBdr>
        <w:top w:val="none" w:sz="0" w:space="0" w:color="auto"/>
        <w:left w:val="none" w:sz="0" w:space="0" w:color="auto"/>
        <w:bottom w:val="none" w:sz="0" w:space="0" w:color="auto"/>
        <w:right w:val="none" w:sz="0" w:space="0" w:color="auto"/>
      </w:divBdr>
    </w:div>
    <w:div w:id="1281961453">
      <w:bodyDiv w:val="1"/>
      <w:marLeft w:val="0"/>
      <w:marRight w:val="0"/>
      <w:marTop w:val="0"/>
      <w:marBottom w:val="0"/>
      <w:divBdr>
        <w:top w:val="none" w:sz="0" w:space="0" w:color="auto"/>
        <w:left w:val="none" w:sz="0" w:space="0" w:color="auto"/>
        <w:bottom w:val="none" w:sz="0" w:space="0" w:color="auto"/>
        <w:right w:val="none" w:sz="0" w:space="0" w:color="auto"/>
      </w:divBdr>
    </w:div>
    <w:div w:id="1285186754">
      <w:bodyDiv w:val="1"/>
      <w:marLeft w:val="0"/>
      <w:marRight w:val="0"/>
      <w:marTop w:val="0"/>
      <w:marBottom w:val="0"/>
      <w:divBdr>
        <w:top w:val="none" w:sz="0" w:space="0" w:color="auto"/>
        <w:left w:val="none" w:sz="0" w:space="0" w:color="auto"/>
        <w:bottom w:val="none" w:sz="0" w:space="0" w:color="auto"/>
        <w:right w:val="none" w:sz="0" w:space="0" w:color="auto"/>
      </w:divBdr>
    </w:div>
    <w:div w:id="1289505260">
      <w:bodyDiv w:val="1"/>
      <w:marLeft w:val="0"/>
      <w:marRight w:val="0"/>
      <w:marTop w:val="0"/>
      <w:marBottom w:val="0"/>
      <w:divBdr>
        <w:top w:val="none" w:sz="0" w:space="0" w:color="auto"/>
        <w:left w:val="none" w:sz="0" w:space="0" w:color="auto"/>
        <w:bottom w:val="none" w:sz="0" w:space="0" w:color="auto"/>
        <w:right w:val="none" w:sz="0" w:space="0" w:color="auto"/>
      </w:divBdr>
    </w:div>
    <w:div w:id="1290480329">
      <w:bodyDiv w:val="1"/>
      <w:marLeft w:val="0"/>
      <w:marRight w:val="0"/>
      <w:marTop w:val="0"/>
      <w:marBottom w:val="0"/>
      <w:divBdr>
        <w:top w:val="none" w:sz="0" w:space="0" w:color="auto"/>
        <w:left w:val="none" w:sz="0" w:space="0" w:color="auto"/>
        <w:bottom w:val="none" w:sz="0" w:space="0" w:color="auto"/>
        <w:right w:val="none" w:sz="0" w:space="0" w:color="auto"/>
      </w:divBdr>
    </w:div>
    <w:div w:id="1292593276">
      <w:bodyDiv w:val="1"/>
      <w:marLeft w:val="0"/>
      <w:marRight w:val="0"/>
      <w:marTop w:val="0"/>
      <w:marBottom w:val="0"/>
      <w:divBdr>
        <w:top w:val="none" w:sz="0" w:space="0" w:color="auto"/>
        <w:left w:val="none" w:sz="0" w:space="0" w:color="auto"/>
        <w:bottom w:val="none" w:sz="0" w:space="0" w:color="auto"/>
        <w:right w:val="none" w:sz="0" w:space="0" w:color="auto"/>
      </w:divBdr>
    </w:div>
    <w:div w:id="1293169293">
      <w:bodyDiv w:val="1"/>
      <w:marLeft w:val="0"/>
      <w:marRight w:val="0"/>
      <w:marTop w:val="0"/>
      <w:marBottom w:val="0"/>
      <w:divBdr>
        <w:top w:val="none" w:sz="0" w:space="0" w:color="auto"/>
        <w:left w:val="none" w:sz="0" w:space="0" w:color="auto"/>
        <w:bottom w:val="none" w:sz="0" w:space="0" w:color="auto"/>
        <w:right w:val="none" w:sz="0" w:space="0" w:color="auto"/>
      </w:divBdr>
    </w:div>
    <w:div w:id="1293252023">
      <w:bodyDiv w:val="1"/>
      <w:marLeft w:val="0"/>
      <w:marRight w:val="0"/>
      <w:marTop w:val="0"/>
      <w:marBottom w:val="0"/>
      <w:divBdr>
        <w:top w:val="none" w:sz="0" w:space="0" w:color="auto"/>
        <w:left w:val="none" w:sz="0" w:space="0" w:color="auto"/>
        <w:bottom w:val="none" w:sz="0" w:space="0" w:color="auto"/>
        <w:right w:val="none" w:sz="0" w:space="0" w:color="auto"/>
      </w:divBdr>
    </w:div>
    <w:div w:id="1296176664">
      <w:bodyDiv w:val="1"/>
      <w:marLeft w:val="0"/>
      <w:marRight w:val="0"/>
      <w:marTop w:val="0"/>
      <w:marBottom w:val="0"/>
      <w:divBdr>
        <w:top w:val="none" w:sz="0" w:space="0" w:color="auto"/>
        <w:left w:val="none" w:sz="0" w:space="0" w:color="auto"/>
        <w:bottom w:val="none" w:sz="0" w:space="0" w:color="auto"/>
        <w:right w:val="none" w:sz="0" w:space="0" w:color="auto"/>
      </w:divBdr>
    </w:div>
    <w:div w:id="1296448128">
      <w:bodyDiv w:val="1"/>
      <w:marLeft w:val="0"/>
      <w:marRight w:val="0"/>
      <w:marTop w:val="0"/>
      <w:marBottom w:val="0"/>
      <w:divBdr>
        <w:top w:val="none" w:sz="0" w:space="0" w:color="auto"/>
        <w:left w:val="none" w:sz="0" w:space="0" w:color="auto"/>
        <w:bottom w:val="none" w:sz="0" w:space="0" w:color="auto"/>
        <w:right w:val="none" w:sz="0" w:space="0" w:color="auto"/>
      </w:divBdr>
    </w:div>
    <w:div w:id="1302540574">
      <w:bodyDiv w:val="1"/>
      <w:marLeft w:val="0"/>
      <w:marRight w:val="0"/>
      <w:marTop w:val="0"/>
      <w:marBottom w:val="0"/>
      <w:divBdr>
        <w:top w:val="none" w:sz="0" w:space="0" w:color="auto"/>
        <w:left w:val="none" w:sz="0" w:space="0" w:color="auto"/>
        <w:bottom w:val="none" w:sz="0" w:space="0" w:color="auto"/>
        <w:right w:val="none" w:sz="0" w:space="0" w:color="auto"/>
      </w:divBdr>
    </w:div>
    <w:div w:id="1303852484">
      <w:bodyDiv w:val="1"/>
      <w:marLeft w:val="0"/>
      <w:marRight w:val="0"/>
      <w:marTop w:val="0"/>
      <w:marBottom w:val="0"/>
      <w:divBdr>
        <w:top w:val="none" w:sz="0" w:space="0" w:color="auto"/>
        <w:left w:val="none" w:sz="0" w:space="0" w:color="auto"/>
        <w:bottom w:val="none" w:sz="0" w:space="0" w:color="auto"/>
        <w:right w:val="none" w:sz="0" w:space="0" w:color="auto"/>
      </w:divBdr>
    </w:div>
    <w:div w:id="1307322858">
      <w:bodyDiv w:val="1"/>
      <w:marLeft w:val="0"/>
      <w:marRight w:val="0"/>
      <w:marTop w:val="0"/>
      <w:marBottom w:val="0"/>
      <w:divBdr>
        <w:top w:val="none" w:sz="0" w:space="0" w:color="auto"/>
        <w:left w:val="none" w:sz="0" w:space="0" w:color="auto"/>
        <w:bottom w:val="none" w:sz="0" w:space="0" w:color="auto"/>
        <w:right w:val="none" w:sz="0" w:space="0" w:color="auto"/>
      </w:divBdr>
    </w:div>
    <w:div w:id="1309626782">
      <w:bodyDiv w:val="1"/>
      <w:marLeft w:val="0"/>
      <w:marRight w:val="0"/>
      <w:marTop w:val="0"/>
      <w:marBottom w:val="0"/>
      <w:divBdr>
        <w:top w:val="none" w:sz="0" w:space="0" w:color="auto"/>
        <w:left w:val="none" w:sz="0" w:space="0" w:color="auto"/>
        <w:bottom w:val="none" w:sz="0" w:space="0" w:color="auto"/>
        <w:right w:val="none" w:sz="0" w:space="0" w:color="auto"/>
      </w:divBdr>
    </w:div>
    <w:div w:id="1320038178">
      <w:bodyDiv w:val="1"/>
      <w:marLeft w:val="0"/>
      <w:marRight w:val="0"/>
      <w:marTop w:val="0"/>
      <w:marBottom w:val="0"/>
      <w:divBdr>
        <w:top w:val="none" w:sz="0" w:space="0" w:color="auto"/>
        <w:left w:val="none" w:sz="0" w:space="0" w:color="auto"/>
        <w:bottom w:val="none" w:sz="0" w:space="0" w:color="auto"/>
        <w:right w:val="none" w:sz="0" w:space="0" w:color="auto"/>
      </w:divBdr>
    </w:div>
    <w:div w:id="1321543078">
      <w:bodyDiv w:val="1"/>
      <w:marLeft w:val="0"/>
      <w:marRight w:val="0"/>
      <w:marTop w:val="0"/>
      <w:marBottom w:val="0"/>
      <w:divBdr>
        <w:top w:val="none" w:sz="0" w:space="0" w:color="auto"/>
        <w:left w:val="none" w:sz="0" w:space="0" w:color="auto"/>
        <w:bottom w:val="none" w:sz="0" w:space="0" w:color="auto"/>
        <w:right w:val="none" w:sz="0" w:space="0" w:color="auto"/>
      </w:divBdr>
    </w:div>
    <w:div w:id="1325088000">
      <w:bodyDiv w:val="1"/>
      <w:marLeft w:val="0"/>
      <w:marRight w:val="0"/>
      <w:marTop w:val="0"/>
      <w:marBottom w:val="0"/>
      <w:divBdr>
        <w:top w:val="none" w:sz="0" w:space="0" w:color="auto"/>
        <w:left w:val="none" w:sz="0" w:space="0" w:color="auto"/>
        <w:bottom w:val="none" w:sz="0" w:space="0" w:color="auto"/>
        <w:right w:val="none" w:sz="0" w:space="0" w:color="auto"/>
      </w:divBdr>
    </w:div>
    <w:div w:id="1325620264">
      <w:bodyDiv w:val="1"/>
      <w:marLeft w:val="0"/>
      <w:marRight w:val="0"/>
      <w:marTop w:val="0"/>
      <w:marBottom w:val="0"/>
      <w:divBdr>
        <w:top w:val="none" w:sz="0" w:space="0" w:color="auto"/>
        <w:left w:val="none" w:sz="0" w:space="0" w:color="auto"/>
        <w:bottom w:val="none" w:sz="0" w:space="0" w:color="auto"/>
        <w:right w:val="none" w:sz="0" w:space="0" w:color="auto"/>
      </w:divBdr>
    </w:div>
    <w:div w:id="1326280313">
      <w:bodyDiv w:val="1"/>
      <w:marLeft w:val="0"/>
      <w:marRight w:val="0"/>
      <w:marTop w:val="0"/>
      <w:marBottom w:val="0"/>
      <w:divBdr>
        <w:top w:val="none" w:sz="0" w:space="0" w:color="auto"/>
        <w:left w:val="none" w:sz="0" w:space="0" w:color="auto"/>
        <w:bottom w:val="none" w:sz="0" w:space="0" w:color="auto"/>
        <w:right w:val="none" w:sz="0" w:space="0" w:color="auto"/>
      </w:divBdr>
    </w:div>
    <w:div w:id="1330257150">
      <w:bodyDiv w:val="1"/>
      <w:marLeft w:val="0"/>
      <w:marRight w:val="0"/>
      <w:marTop w:val="0"/>
      <w:marBottom w:val="0"/>
      <w:divBdr>
        <w:top w:val="none" w:sz="0" w:space="0" w:color="auto"/>
        <w:left w:val="none" w:sz="0" w:space="0" w:color="auto"/>
        <w:bottom w:val="none" w:sz="0" w:space="0" w:color="auto"/>
        <w:right w:val="none" w:sz="0" w:space="0" w:color="auto"/>
      </w:divBdr>
    </w:div>
    <w:div w:id="1331714863">
      <w:bodyDiv w:val="1"/>
      <w:marLeft w:val="0"/>
      <w:marRight w:val="0"/>
      <w:marTop w:val="0"/>
      <w:marBottom w:val="0"/>
      <w:divBdr>
        <w:top w:val="none" w:sz="0" w:space="0" w:color="auto"/>
        <w:left w:val="none" w:sz="0" w:space="0" w:color="auto"/>
        <w:bottom w:val="none" w:sz="0" w:space="0" w:color="auto"/>
        <w:right w:val="none" w:sz="0" w:space="0" w:color="auto"/>
      </w:divBdr>
    </w:div>
    <w:div w:id="1343970567">
      <w:bodyDiv w:val="1"/>
      <w:marLeft w:val="0"/>
      <w:marRight w:val="0"/>
      <w:marTop w:val="0"/>
      <w:marBottom w:val="0"/>
      <w:divBdr>
        <w:top w:val="none" w:sz="0" w:space="0" w:color="auto"/>
        <w:left w:val="none" w:sz="0" w:space="0" w:color="auto"/>
        <w:bottom w:val="none" w:sz="0" w:space="0" w:color="auto"/>
        <w:right w:val="none" w:sz="0" w:space="0" w:color="auto"/>
      </w:divBdr>
    </w:div>
    <w:div w:id="1348751113">
      <w:bodyDiv w:val="1"/>
      <w:marLeft w:val="0"/>
      <w:marRight w:val="0"/>
      <w:marTop w:val="0"/>
      <w:marBottom w:val="0"/>
      <w:divBdr>
        <w:top w:val="none" w:sz="0" w:space="0" w:color="auto"/>
        <w:left w:val="none" w:sz="0" w:space="0" w:color="auto"/>
        <w:bottom w:val="none" w:sz="0" w:space="0" w:color="auto"/>
        <w:right w:val="none" w:sz="0" w:space="0" w:color="auto"/>
      </w:divBdr>
    </w:div>
    <w:div w:id="1350177394">
      <w:bodyDiv w:val="1"/>
      <w:marLeft w:val="0"/>
      <w:marRight w:val="0"/>
      <w:marTop w:val="0"/>
      <w:marBottom w:val="0"/>
      <w:divBdr>
        <w:top w:val="none" w:sz="0" w:space="0" w:color="auto"/>
        <w:left w:val="none" w:sz="0" w:space="0" w:color="auto"/>
        <w:bottom w:val="none" w:sz="0" w:space="0" w:color="auto"/>
        <w:right w:val="none" w:sz="0" w:space="0" w:color="auto"/>
      </w:divBdr>
    </w:div>
    <w:div w:id="1352100890">
      <w:bodyDiv w:val="1"/>
      <w:marLeft w:val="0"/>
      <w:marRight w:val="0"/>
      <w:marTop w:val="0"/>
      <w:marBottom w:val="0"/>
      <w:divBdr>
        <w:top w:val="none" w:sz="0" w:space="0" w:color="auto"/>
        <w:left w:val="none" w:sz="0" w:space="0" w:color="auto"/>
        <w:bottom w:val="none" w:sz="0" w:space="0" w:color="auto"/>
        <w:right w:val="none" w:sz="0" w:space="0" w:color="auto"/>
      </w:divBdr>
    </w:div>
    <w:div w:id="1352802464">
      <w:bodyDiv w:val="1"/>
      <w:marLeft w:val="0"/>
      <w:marRight w:val="0"/>
      <w:marTop w:val="0"/>
      <w:marBottom w:val="0"/>
      <w:divBdr>
        <w:top w:val="none" w:sz="0" w:space="0" w:color="auto"/>
        <w:left w:val="none" w:sz="0" w:space="0" w:color="auto"/>
        <w:bottom w:val="none" w:sz="0" w:space="0" w:color="auto"/>
        <w:right w:val="none" w:sz="0" w:space="0" w:color="auto"/>
      </w:divBdr>
    </w:div>
    <w:div w:id="1354183596">
      <w:bodyDiv w:val="1"/>
      <w:marLeft w:val="0"/>
      <w:marRight w:val="0"/>
      <w:marTop w:val="0"/>
      <w:marBottom w:val="0"/>
      <w:divBdr>
        <w:top w:val="none" w:sz="0" w:space="0" w:color="auto"/>
        <w:left w:val="none" w:sz="0" w:space="0" w:color="auto"/>
        <w:bottom w:val="none" w:sz="0" w:space="0" w:color="auto"/>
        <w:right w:val="none" w:sz="0" w:space="0" w:color="auto"/>
      </w:divBdr>
    </w:div>
    <w:div w:id="1358434060">
      <w:bodyDiv w:val="1"/>
      <w:marLeft w:val="0"/>
      <w:marRight w:val="0"/>
      <w:marTop w:val="0"/>
      <w:marBottom w:val="0"/>
      <w:divBdr>
        <w:top w:val="none" w:sz="0" w:space="0" w:color="auto"/>
        <w:left w:val="none" w:sz="0" w:space="0" w:color="auto"/>
        <w:bottom w:val="none" w:sz="0" w:space="0" w:color="auto"/>
        <w:right w:val="none" w:sz="0" w:space="0" w:color="auto"/>
      </w:divBdr>
    </w:div>
    <w:div w:id="1362702301">
      <w:bodyDiv w:val="1"/>
      <w:marLeft w:val="0"/>
      <w:marRight w:val="0"/>
      <w:marTop w:val="0"/>
      <w:marBottom w:val="0"/>
      <w:divBdr>
        <w:top w:val="none" w:sz="0" w:space="0" w:color="auto"/>
        <w:left w:val="none" w:sz="0" w:space="0" w:color="auto"/>
        <w:bottom w:val="none" w:sz="0" w:space="0" w:color="auto"/>
        <w:right w:val="none" w:sz="0" w:space="0" w:color="auto"/>
      </w:divBdr>
    </w:div>
    <w:div w:id="1366905848">
      <w:bodyDiv w:val="1"/>
      <w:marLeft w:val="0"/>
      <w:marRight w:val="0"/>
      <w:marTop w:val="0"/>
      <w:marBottom w:val="0"/>
      <w:divBdr>
        <w:top w:val="none" w:sz="0" w:space="0" w:color="auto"/>
        <w:left w:val="none" w:sz="0" w:space="0" w:color="auto"/>
        <w:bottom w:val="none" w:sz="0" w:space="0" w:color="auto"/>
        <w:right w:val="none" w:sz="0" w:space="0" w:color="auto"/>
      </w:divBdr>
    </w:div>
    <w:div w:id="1367095750">
      <w:bodyDiv w:val="1"/>
      <w:marLeft w:val="0"/>
      <w:marRight w:val="0"/>
      <w:marTop w:val="0"/>
      <w:marBottom w:val="0"/>
      <w:divBdr>
        <w:top w:val="none" w:sz="0" w:space="0" w:color="auto"/>
        <w:left w:val="none" w:sz="0" w:space="0" w:color="auto"/>
        <w:bottom w:val="none" w:sz="0" w:space="0" w:color="auto"/>
        <w:right w:val="none" w:sz="0" w:space="0" w:color="auto"/>
      </w:divBdr>
    </w:div>
    <w:div w:id="1371686666">
      <w:bodyDiv w:val="1"/>
      <w:marLeft w:val="0"/>
      <w:marRight w:val="0"/>
      <w:marTop w:val="0"/>
      <w:marBottom w:val="0"/>
      <w:divBdr>
        <w:top w:val="none" w:sz="0" w:space="0" w:color="auto"/>
        <w:left w:val="none" w:sz="0" w:space="0" w:color="auto"/>
        <w:bottom w:val="none" w:sz="0" w:space="0" w:color="auto"/>
        <w:right w:val="none" w:sz="0" w:space="0" w:color="auto"/>
      </w:divBdr>
    </w:div>
    <w:div w:id="1379235929">
      <w:bodyDiv w:val="1"/>
      <w:marLeft w:val="0"/>
      <w:marRight w:val="0"/>
      <w:marTop w:val="0"/>
      <w:marBottom w:val="0"/>
      <w:divBdr>
        <w:top w:val="none" w:sz="0" w:space="0" w:color="auto"/>
        <w:left w:val="none" w:sz="0" w:space="0" w:color="auto"/>
        <w:bottom w:val="none" w:sz="0" w:space="0" w:color="auto"/>
        <w:right w:val="none" w:sz="0" w:space="0" w:color="auto"/>
      </w:divBdr>
    </w:div>
    <w:div w:id="1380208404">
      <w:bodyDiv w:val="1"/>
      <w:marLeft w:val="0"/>
      <w:marRight w:val="0"/>
      <w:marTop w:val="0"/>
      <w:marBottom w:val="0"/>
      <w:divBdr>
        <w:top w:val="none" w:sz="0" w:space="0" w:color="auto"/>
        <w:left w:val="none" w:sz="0" w:space="0" w:color="auto"/>
        <w:bottom w:val="none" w:sz="0" w:space="0" w:color="auto"/>
        <w:right w:val="none" w:sz="0" w:space="0" w:color="auto"/>
      </w:divBdr>
    </w:div>
    <w:div w:id="1380321497">
      <w:bodyDiv w:val="1"/>
      <w:marLeft w:val="0"/>
      <w:marRight w:val="0"/>
      <w:marTop w:val="0"/>
      <w:marBottom w:val="0"/>
      <w:divBdr>
        <w:top w:val="none" w:sz="0" w:space="0" w:color="auto"/>
        <w:left w:val="none" w:sz="0" w:space="0" w:color="auto"/>
        <w:bottom w:val="none" w:sz="0" w:space="0" w:color="auto"/>
        <w:right w:val="none" w:sz="0" w:space="0" w:color="auto"/>
      </w:divBdr>
    </w:div>
    <w:div w:id="1380545260">
      <w:bodyDiv w:val="1"/>
      <w:marLeft w:val="0"/>
      <w:marRight w:val="0"/>
      <w:marTop w:val="0"/>
      <w:marBottom w:val="0"/>
      <w:divBdr>
        <w:top w:val="none" w:sz="0" w:space="0" w:color="auto"/>
        <w:left w:val="none" w:sz="0" w:space="0" w:color="auto"/>
        <w:bottom w:val="none" w:sz="0" w:space="0" w:color="auto"/>
        <w:right w:val="none" w:sz="0" w:space="0" w:color="auto"/>
      </w:divBdr>
    </w:div>
    <w:div w:id="1381707437">
      <w:bodyDiv w:val="1"/>
      <w:marLeft w:val="0"/>
      <w:marRight w:val="0"/>
      <w:marTop w:val="0"/>
      <w:marBottom w:val="0"/>
      <w:divBdr>
        <w:top w:val="none" w:sz="0" w:space="0" w:color="auto"/>
        <w:left w:val="none" w:sz="0" w:space="0" w:color="auto"/>
        <w:bottom w:val="none" w:sz="0" w:space="0" w:color="auto"/>
        <w:right w:val="none" w:sz="0" w:space="0" w:color="auto"/>
      </w:divBdr>
    </w:div>
    <w:div w:id="1383485091">
      <w:bodyDiv w:val="1"/>
      <w:marLeft w:val="0"/>
      <w:marRight w:val="0"/>
      <w:marTop w:val="0"/>
      <w:marBottom w:val="0"/>
      <w:divBdr>
        <w:top w:val="none" w:sz="0" w:space="0" w:color="auto"/>
        <w:left w:val="none" w:sz="0" w:space="0" w:color="auto"/>
        <w:bottom w:val="none" w:sz="0" w:space="0" w:color="auto"/>
        <w:right w:val="none" w:sz="0" w:space="0" w:color="auto"/>
      </w:divBdr>
    </w:div>
    <w:div w:id="1384212888">
      <w:bodyDiv w:val="1"/>
      <w:marLeft w:val="0"/>
      <w:marRight w:val="0"/>
      <w:marTop w:val="0"/>
      <w:marBottom w:val="0"/>
      <w:divBdr>
        <w:top w:val="none" w:sz="0" w:space="0" w:color="auto"/>
        <w:left w:val="none" w:sz="0" w:space="0" w:color="auto"/>
        <w:bottom w:val="none" w:sz="0" w:space="0" w:color="auto"/>
        <w:right w:val="none" w:sz="0" w:space="0" w:color="auto"/>
      </w:divBdr>
    </w:div>
    <w:div w:id="1388842554">
      <w:bodyDiv w:val="1"/>
      <w:marLeft w:val="0"/>
      <w:marRight w:val="0"/>
      <w:marTop w:val="0"/>
      <w:marBottom w:val="0"/>
      <w:divBdr>
        <w:top w:val="none" w:sz="0" w:space="0" w:color="auto"/>
        <w:left w:val="none" w:sz="0" w:space="0" w:color="auto"/>
        <w:bottom w:val="none" w:sz="0" w:space="0" w:color="auto"/>
        <w:right w:val="none" w:sz="0" w:space="0" w:color="auto"/>
      </w:divBdr>
    </w:div>
    <w:div w:id="1403528446">
      <w:bodyDiv w:val="1"/>
      <w:marLeft w:val="0"/>
      <w:marRight w:val="0"/>
      <w:marTop w:val="0"/>
      <w:marBottom w:val="0"/>
      <w:divBdr>
        <w:top w:val="none" w:sz="0" w:space="0" w:color="auto"/>
        <w:left w:val="none" w:sz="0" w:space="0" w:color="auto"/>
        <w:bottom w:val="none" w:sz="0" w:space="0" w:color="auto"/>
        <w:right w:val="none" w:sz="0" w:space="0" w:color="auto"/>
      </w:divBdr>
    </w:div>
    <w:div w:id="1404717017">
      <w:bodyDiv w:val="1"/>
      <w:marLeft w:val="0"/>
      <w:marRight w:val="0"/>
      <w:marTop w:val="0"/>
      <w:marBottom w:val="0"/>
      <w:divBdr>
        <w:top w:val="none" w:sz="0" w:space="0" w:color="auto"/>
        <w:left w:val="none" w:sz="0" w:space="0" w:color="auto"/>
        <w:bottom w:val="none" w:sz="0" w:space="0" w:color="auto"/>
        <w:right w:val="none" w:sz="0" w:space="0" w:color="auto"/>
      </w:divBdr>
    </w:div>
    <w:div w:id="1405638269">
      <w:bodyDiv w:val="1"/>
      <w:marLeft w:val="0"/>
      <w:marRight w:val="0"/>
      <w:marTop w:val="0"/>
      <w:marBottom w:val="0"/>
      <w:divBdr>
        <w:top w:val="none" w:sz="0" w:space="0" w:color="auto"/>
        <w:left w:val="none" w:sz="0" w:space="0" w:color="auto"/>
        <w:bottom w:val="none" w:sz="0" w:space="0" w:color="auto"/>
        <w:right w:val="none" w:sz="0" w:space="0" w:color="auto"/>
      </w:divBdr>
    </w:div>
    <w:div w:id="1411318480">
      <w:bodyDiv w:val="1"/>
      <w:marLeft w:val="0"/>
      <w:marRight w:val="0"/>
      <w:marTop w:val="0"/>
      <w:marBottom w:val="0"/>
      <w:divBdr>
        <w:top w:val="none" w:sz="0" w:space="0" w:color="auto"/>
        <w:left w:val="none" w:sz="0" w:space="0" w:color="auto"/>
        <w:bottom w:val="none" w:sz="0" w:space="0" w:color="auto"/>
        <w:right w:val="none" w:sz="0" w:space="0" w:color="auto"/>
      </w:divBdr>
    </w:div>
    <w:div w:id="1412852601">
      <w:bodyDiv w:val="1"/>
      <w:marLeft w:val="0"/>
      <w:marRight w:val="0"/>
      <w:marTop w:val="0"/>
      <w:marBottom w:val="0"/>
      <w:divBdr>
        <w:top w:val="none" w:sz="0" w:space="0" w:color="auto"/>
        <w:left w:val="none" w:sz="0" w:space="0" w:color="auto"/>
        <w:bottom w:val="none" w:sz="0" w:space="0" w:color="auto"/>
        <w:right w:val="none" w:sz="0" w:space="0" w:color="auto"/>
      </w:divBdr>
    </w:div>
    <w:div w:id="1417243046">
      <w:bodyDiv w:val="1"/>
      <w:marLeft w:val="0"/>
      <w:marRight w:val="0"/>
      <w:marTop w:val="0"/>
      <w:marBottom w:val="0"/>
      <w:divBdr>
        <w:top w:val="none" w:sz="0" w:space="0" w:color="auto"/>
        <w:left w:val="none" w:sz="0" w:space="0" w:color="auto"/>
        <w:bottom w:val="none" w:sz="0" w:space="0" w:color="auto"/>
        <w:right w:val="none" w:sz="0" w:space="0" w:color="auto"/>
      </w:divBdr>
    </w:div>
    <w:div w:id="1421175579">
      <w:bodyDiv w:val="1"/>
      <w:marLeft w:val="0"/>
      <w:marRight w:val="0"/>
      <w:marTop w:val="0"/>
      <w:marBottom w:val="0"/>
      <w:divBdr>
        <w:top w:val="none" w:sz="0" w:space="0" w:color="auto"/>
        <w:left w:val="none" w:sz="0" w:space="0" w:color="auto"/>
        <w:bottom w:val="none" w:sz="0" w:space="0" w:color="auto"/>
        <w:right w:val="none" w:sz="0" w:space="0" w:color="auto"/>
      </w:divBdr>
    </w:div>
    <w:div w:id="1422750430">
      <w:bodyDiv w:val="1"/>
      <w:marLeft w:val="0"/>
      <w:marRight w:val="0"/>
      <w:marTop w:val="0"/>
      <w:marBottom w:val="0"/>
      <w:divBdr>
        <w:top w:val="none" w:sz="0" w:space="0" w:color="auto"/>
        <w:left w:val="none" w:sz="0" w:space="0" w:color="auto"/>
        <w:bottom w:val="none" w:sz="0" w:space="0" w:color="auto"/>
        <w:right w:val="none" w:sz="0" w:space="0" w:color="auto"/>
      </w:divBdr>
    </w:div>
    <w:div w:id="1423795315">
      <w:bodyDiv w:val="1"/>
      <w:marLeft w:val="0"/>
      <w:marRight w:val="0"/>
      <w:marTop w:val="0"/>
      <w:marBottom w:val="0"/>
      <w:divBdr>
        <w:top w:val="none" w:sz="0" w:space="0" w:color="auto"/>
        <w:left w:val="none" w:sz="0" w:space="0" w:color="auto"/>
        <w:bottom w:val="none" w:sz="0" w:space="0" w:color="auto"/>
        <w:right w:val="none" w:sz="0" w:space="0" w:color="auto"/>
      </w:divBdr>
    </w:div>
    <w:div w:id="1424032879">
      <w:bodyDiv w:val="1"/>
      <w:marLeft w:val="0"/>
      <w:marRight w:val="0"/>
      <w:marTop w:val="0"/>
      <w:marBottom w:val="0"/>
      <w:divBdr>
        <w:top w:val="none" w:sz="0" w:space="0" w:color="auto"/>
        <w:left w:val="none" w:sz="0" w:space="0" w:color="auto"/>
        <w:bottom w:val="none" w:sz="0" w:space="0" w:color="auto"/>
        <w:right w:val="none" w:sz="0" w:space="0" w:color="auto"/>
      </w:divBdr>
    </w:div>
    <w:div w:id="1424836469">
      <w:bodyDiv w:val="1"/>
      <w:marLeft w:val="0"/>
      <w:marRight w:val="0"/>
      <w:marTop w:val="0"/>
      <w:marBottom w:val="0"/>
      <w:divBdr>
        <w:top w:val="none" w:sz="0" w:space="0" w:color="auto"/>
        <w:left w:val="none" w:sz="0" w:space="0" w:color="auto"/>
        <w:bottom w:val="none" w:sz="0" w:space="0" w:color="auto"/>
        <w:right w:val="none" w:sz="0" w:space="0" w:color="auto"/>
      </w:divBdr>
    </w:div>
    <w:div w:id="1429471432">
      <w:bodyDiv w:val="1"/>
      <w:marLeft w:val="0"/>
      <w:marRight w:val="0"/>
      <w:marTop w:val="0"/>
      <w:marBottom w:val="0"/>
      <w:divBdr>
        <w:top w:val="none" w:sz="0" w:space="0" w:color="auto"/>
        <w:left w:val="none" w:sz="0" w:space="0" w:color="auto"/>
        <w:bottom w:val="none" w:sz="0" w:space="0" w:color="auto"/>
        <w:right w:val="none" w:sz="0" w:space="0" w:color="auto"/>
      </w:divBdr>
    </w:div>
    <w:div w:id="1431124954">
      <w:bodyDiv w:val="1"/>
      <w:marLeft w:val="0"/>
      <w:marRight w:val="0"/>
      <w:marTop w:val="0"/>
      <w:marBottom w:val="0"/>
      <w:divBdr>
        <w:top w:val="none" w:sz="0" w:space="0" w:color="auto"/>
        <w:left w:val="none" w:sz="0" w:space="0" w:color="auto"/>
        <w:bottom w:val="none" w:sz="0" w:space="0" w:color="auto"/>
        <w:right w:val="none" w:sz="0" w:space="0" w:color="auto"/>
      </w:divBdr>
    </w:div>
    <w:div w:id="1436706170">
      <w:bodyDiv w:val="1"/>
      <w:marLeft w:val="0"/>
      <w:marRight w:val="0"/>
      <w:marTop w:val="0"/>
      <w:marBottom w:val="0"/>
      <w:divBdr>
        <w:top w:val="none" w:sz="0" w:space="0" w:color="auto"/>
        <w:left w:val="none" w:sz="0" w:space="0" w:color="auto"/>
        <w:bottom w:val="none" w:sz="0" w:space="0" w:color="auto"/>
        <w:right w:val="none" w:sz="0" w:space="0" w:color="auto"/>
      </w:divBdr>
    </w:div>
    <w:div w:id="1439251671">
      <w:bodyDiv w:val="1"/>
      <w:marLeft w:val="0"/>
      <w:marRight w:val="0"/>
      <w:marTop w:val="0"/>
      <w:marBottom w:val="0"/>
      <w:divBdr>
        <w:top w:val="none" w:sz="0" w:space="0" w:color="auto"/>
        <w:left w:val="none" w:sz="0" w:space="0" w:color="auto"/>
        <w:bottom w:val="none" w:sz="0" w:space="0" w:color="auto"/>
        <w:right w:val="none" w:sz="0" w:space="0" w:color="auto"/>
      </w:divBdr>
    </w:div>
    <w:div w:id="1439717728">
      <w:bodyDiv w:val="1"/>
      <w:marLeft w:val="0"/>
      <w:marRight w:val="0"/>
      <w:marTop w:val="0"/>
      <w:marBottom w:val="0"/>
      <w:divBdr>
        <w:top w:val="none" w:sz="0" w:space="0" w:color="auto"/>
        <w:left w:val="none" w:sz="0" w:space="0" w:color="auto"/>
        <w:bottom w:val="none" w:sz="0" w:space="0" w:color="auto"/>
        <w:right w:val="none" w:sz="0" w:space="0" w:color="auto"/>
      </w:divBdr>
    </w:div>
    <w:div w:id="1448161590">
      <w:bodyDiv w:val="1"/>
      <w:marLeft w:val="0"/>
      <w:marRight w:val="0"/>
      <w:marTop w:val="0"/>
      <w:marBottom w:val="0"/>
      <w:divBdr>
        <w:top w:val="none" w:sz="0" w:space="0" w:color="auto"/>
        <w:left w:val="none" w:sz="0" w:space="0" w:color="auto"/>
        <w:bottom w:val="none" w:sz="0" w:space="0" w:color="auto"/>
        <w:right w:val="none" w:sz="0" w:space="0" w:color="auto"/>
      </w:divBdr>
    </w:div>
    <w:div w:id="1448503904">
      <w:bodyDiv w:val="1"/>
      <w:marLeft w:val="0"/>
      <w:marRight w:val="0"/>
      <w:marTop w:val="0"/>
      <w:marBottom w:val="0"/>
      <w:divBdr>
        <w:top w:val="none" w:sz="0" w:space="0" w:color="auto"/>
        <w:left w:val="none" w:sz="0" w:space="0" w:color="auto"/>
        <w:bottom w:val="none" w:sz="0" w:space="0" w:color="auto"/>
        <w:right w:val="none" w:sz="0" w:space="0" w:color="auto"/>
      </w:divBdr>
    </w:div>
    <w:div w:id="1453207913">
      <w:bodyDiv w:val="1"/>
      <w:marLeft w:val="0"/>
      <w:marRight w:val="0"/>
      <w:marTop w:val="0"/>
      <w:marBottom w:val="0"/>
      <w:divBdr>
        <w:top w:val="none" w:sz="0" w:space="0" w:color="auto"/>
        <w:left w:val="none" w:sz="0" w:space="0" w:color="auto"/>
        <w:bottom w:val="none" w:sz="0" w:space="0" w:color="auto"/>
        <w:right w:val="none" w:sz="0" w:space="0" w:color="auto"/>
      </w:divBdr>
    </w:div>
    <w:div w:id="1453941072">
      <w:bodyDiv w:val="1"/>
      <w:marLeft w:val="0"/>
      <w:marRight w:val="0"/>
      <w:marTop w:val="0"/>
      <w:marBottom w:val="0"/>
      <w:divBdr>
        <w:top w:val="none" w:sz="0" w:space="0" w:color="auto"/>
        <w:left w:val="none" w:sz="0" w:space="0" w:color="auto"/>
        <w:bottom w:val="none" w:sz="0" w:space="0" w:color="auto"/>
        <w:right w:val="none" w:sz="0" w:space="0" w:color="auto"/>
      </w:divBdr>
    </w:div>
    <w:div w:id="1455175483">
      <w:bodyDiv w:val="1"/>
      <w:marLeft w:val="0"/>
      <w:marRight w:val="0"/>
      <w:marTop w:val="0"/>
      <w:marBottom w:val="0"/>
      <w:divBdr>
        <w:top w:val="none" w:sz="0" w:space="0" w:color="auto"/>
        <w:left w:val="none" w:sz="0" w:space="0" w:color="auto"/>
        <w:bottom w:val="none" w:sz="0" w:space="0" w:color="auto"/>
        <w:right w:val="none" w:sz="0" w:space="0" w:color="auto"/>
      </w:divBdr>
    </w:div>
    <w:div w:id="1463380653">
      <w:bodyDiv w:val="1"/>
      <w:marLeft w:val="0"/>
      <w:marRight w:val="0"/>
      <w:marTop w:val="0"/>
      <w:marBottom w:val="0"/>
      <w:divBdr>
        <w:top w:val="none" w:sz="0" w:space="0" w:color="auto"/>
        <w:left w:val="none" w:sz="0" w:space="0" w:color="auto"/>
        <w:bottom w:val="none" w:sz="0" w:space="0" w:color="auto"/>
        <w:right w:val="none" w:sz="0" w:space="0" w:color="auto"/>
      </w:divBdr>
    </w:div>
    <w:div w:id="1467701945">
      <w:bodyDiv w:val="1"/>
      <w:marLeft w:val="0"/>
      <w:marRight w:val="0"/>
      <w:marTop w:val="0"/>
      <w:marBottom w:val="0"/>
      <w:divBdr>
        <w:top w:val="none" w:sz="0" w:space="0" w:color="auto"/>
        <w:left w:val="none" w:sz="0" w:space="0" w:color="auto"/>
        <w:bottom w:val="none" w:sz="0" w:space="0" w:color="auto"/>
        <w:right w:val="none" w:sz="0" w:space="0" w:color="auto"/>
      </w:divBdr>
    </w:div>
    <w:div w:id="1469741687">
      <w:bodyDiv w:val="1"/>
      <w:marLeft w:val="0"/>
      <w:marRight w:val="0"/>
      <w:marTop w:val="0"/>
      <w:marBottom w:val="0"/>
      <w:divBdr>
        <w:top w:val="none" w:sz="0" w:space="0" w:color="auto"/>
        <w:left w:val="none" w:sz="0" w:space="0" w:color="auto"/>
        <w:bottom w:val="none" w:sz="0" w:space="0" w:color="auto"/>
        <w:right w:val="none" w:sz="0" w:space="0" w:color="auto"/>
      </w:divBdr>
    </w:div>
    <w:div w:id="1473716490">
      <w:bodyDiv w:val="1"/>
      <w:marLeft w:val="0"/>
      <w:marRight w:val="0"/>
      <w:marTop w:val="0"/>
      <w:marBottom w:val="0"/>
      <w:divBdr>
        <w:top w:val="none" w:sz="0" w:space="0" w:color="auto"/>
        <w:left w:val="none" w:sz="0" w:space="0" w:color="auto"/>
        <w:bottom w:val="none" w:sz="0" w:space="0" w:color="auto"/>
        <w:right w:val="none" w:sz="0" w:space="0" w:color="auto"/>
      </w:divBdr>
    </w:div>
    <w:div w:id="1477919698">
      <w:bodyDiv w:val="1"/>
      <w:marLeft w:val="0"/>
      <w:marRight w:val="0"/>
      <w:marTop w:val="0"/>
      <w:marBottom w:val="0"/>
      <w:divBdr>
        <w:top w:val="none" w:sz="0" w:space="0" w:color="auto"/>
        <w:left w:val="none" w:sz="0" w:space="0" w:color="auto"/>
        <w:bottom w:val="none" w:sz="0" w:space="0" w:color="auto"/>
        <w:right w:val="none" w:sz="0" w:space="0" w:color="auto"/>
      </w:divBdr>
    </w:div>
    <w:div w:id="1478916090">
      <w:bodyDiv w:val="1"/>
      <w:marLeft w:val="0"/>
      <w:marRight w:val="0"/>
      <w:marTop w:val="0"/>
      <w:marBottom w:val="0"/>
      <w:divBdr>
        <w:top w:val="none" w:sz="0" w:space="0" w:color="auto"/>
        <w:left w:val="none" w:sz="0" w:space="0" w:color="auto"/>
        <w:bottom w:val="none" w:sz="0" w:space="0" w:color="auto"/>
        <w:right w:val="none" w:sz="0" w:space="0" w:color="auto"/>
      </w:divBdr>
    </w:div>
    <w:div w:id="1479153851">
      <w:bodyDiv w:val="1"/>
      <w:marLeft w:val="0"/>
      <w:marRight w:val="0"/>
      <w:marTop w:val="0"/>
      <w:marBottom w:val="0"/>
      <w:divBdr>
        <w:top w:val="none" w:sz="0" w:space="0" w:color="auto"/>
        <w:left w:val="none" w:sz="0" w:space="0" w:color="auto"/>
        <w:bottom w:val="none" w:sz="0" w:space="0" w:color="auto"/>
        <w:right w:val="none" w:sz="0" w:space="0" w:color="auto"/>
      </w:divBdr>
    </w:div>
    <w:div w:id="1481116893">
      <w:bodyDiv w:val="1"/>
      <w:marLeft w:val="0"/>
      <w:marRight w:val="0"/>
      <w:marTop w:val="0"/>
      <w:marBottom w:val="0"/>
      <w:divBdr>
        <w:top w:val="none" w:sz="0" w:space="0" w:color="auto"/>
        <w:left w:val="none" w:sz="0" w:space="0" w:color="auto"/>
        <w:bottom w:val="none" w:sz="0" w:space="0" w:color="auto"/>
        <w:right w:val="none" w:sz="0" w:space="0" w:color="auto"/>
      </w:divBdr>
    </w:div>
    <w:div w:id="1481456781">
      <w:bodyDiv w:val="1"/>
      <w:marLeft w:val="0"/>
      <w:marRight w:val="0"/>
      <w:marTop w:val="0"/>
      <w:marBottom w:val="0"/>
      <w:divBdr>
        <w:top w:val="none" w:sz="0" w:space="0" w:color="auto"/>
        <w:left w:val="none" w:sz="0" w:space="0" w:color="auto"/>
        <w:bottom w:val="none" w:sz="0" w:space="0" w:color="auto"/>
        <w:right w:val="none" w:sz="0" w:space="0" w:color="auto"/>
      </w:divBdr>
    </w:div>
    <w:div w:id="1485052392">
      <w:bodyDiv w:val="1"/>
      <w:marLeft w:val="0"/>
      <w:marRight w:val="0"/>
      <w:marTop w:val="0"/>
      <w:marBottom w:val="0"/>
      <w:divBdr>
        <w:top w:val="none" w:sz="0" w:space="0" w:color="auto"/>
        <w:left w:val="none" w:sz="0" w:space="0" w:color="auto"/>
        <w:bottom w:val="none" w:sz="0" w:space="0" w:color="auto"/>
        <w:right w:val="none" w:sz="0" w:space="0" w:color="auto"/>
      </w:divBdr>
    </w:div>
    <w:div w:id="1487472067">
      <w:bodyDiv w:val="1"/>
      <w:marLeft w:val="0"/>
      <w:marRight w:val="0"/>
      <w:marTop w:val="0"/>
      <w:marBottom w:val="0"/>
      <w:divBdr>
        <w:top w:val="none" w:sz="0" w:space="0" w:color="auto"/>
        <w:left w:val="none" w:sz="0" w:space="0" w:color="auto"/>
        <w:bottom w:val="none" w:sz="0" w:space="0" w:color="auto"/>
        <w:right w:val="none" w:sz="0" w:space="0" w:color="auto"/>
      </w:divBdr>
    </w:div>
    <w:div w:id="1488329198">
      <w:bodyDiv w:val="1"/>
      <w:marLeft w:val="0"/>
      <w:marRight w:val="0"/>
      <w:marTop w:val="0"/>
      <w:marBottom w:val="0"/>
      <w:divBdr>
        <w:top w:val="none" w:sz="0" w:space="0" w:color="auto"/>
        <w:left w:val="none" w:sz="0" w:space="0" w:color="auto"/>
        <w:bottom w:val="none" w:sz="0" w:space="0" w:color="auto"/>
        <w:right w:val="none" w:sz="0" w:space="0" w:color="auto"/>
      </w:divBdr>
    </w:div>
    <w:div w:id="1489906465">
      <w:bodyDiv w:val="1"/>
      <w:marLeft w:val="0"/>
      <w:marRight w:val="0"/>
      <w:marTop w:val="0"/>
      <w:marBottom w:val="0"/>
      <w:divBdr>
        <w:top w:val="none" w:sz="0" w:space="0" w:color="auto"/>
        <w:left w:val="none" w:sz="0" w:space="0" w:color="auto"/>
        <w:bottom w:val="none" w:sz="0" w:space="0" w:color="auto"/>
        <w:right w:val="none" w:sz="0" w:space="0" w:color="auto"/>
      </w:divBdr>
    </w:div>
    <w:div w:id="1496720966">
      <w:bodyDiv w:val="1"/>
      <w:marLeft w:val="0"/>
      <w:marRight w:val="0"/>
      <w:marTop w:val="0"/>
      <w:marBottom w:val="0"/>
      <w:divBdr>
        <w:top w:val="none" w:sz="0" w:space="0" w:color="auto"/>
        <w:left w:val="none" w:sz="0" w:space="0" w:color="auto"/>
        <w:bottom w:val="none" w:sz="0" w:space="0" w:color="auto"/>
        <w:right w:val="none" w:sz="0" w:space="0" w:color="auto"/>
      </w:divBdr>
    </w:div>
    <w:div w:id="1497647316">
      <w:bodyDiv w:val="1"/>
      <w:marLeft w:val="0"/>
      <w:marRight w:val="0"/>
      <w:marTop w:val="0"/>
      <w:marBottom w:val="0"/>
      <w:divBdr>
        <w:top w:val="none" w:sz="0" w:space="0" w:color="auto"/>
        <w:left w:val="none" w:sz="0" w:space="0" w:color="auto"/>
        <w:bottom w:val="none" w:sz="0" w:space="0" w:color="auto"/>
        <w:right w:val="none" w:sz="0" w:space="0" w:color="auto"/>
      </w:divBdr>
    </w:div>
    <w:div w:id="1498619875">
      <w:bodyDiv w:val="1"/>
      <w:marLeft w:val="0"/>
      <w:marRight w:val="0"/>
      <w:marTop w:val="0"/>
      <w:marBottom w:val="0"/>
      <w:divBdr>
        <w:top w:val="none" w:sz="0" w:space="0" w:color="auto"/>
        <w:left w:val="none" w:sz="0" w:space="0" w:color="auto"/>
        <w:bottom w:val="none" w:sz="0" w:space="0" w:color="auto"/>
        <w:right w:val="none" w:sz="0" w:space="0" w:color="auto"/>
      </w:divBdr>
    </w:div>
    <w:div w:id="1498809924">
      <w:bodyDiv w:val="1"/>
      <w:marLeft w:val="0"/>
      <w:marRight w:val="0"/>
      <w:marTop w:val="0"/>
      <w:marBottom w:val="0"/>
      <w:divBdr>
        <w:top w:val="none" w:sz="0" w:space="0" w:color="auto"/>
        <w:left w:val="none" w:sz="0" w:space="0" w:color="auto"/>
        <w:bottom w:val="none" w:sz="0" w:space="0" w:color="auto"/>
        <w:right w:val="none" w:sz="0" w:space="0" w:color="auto"/>
      </w:divBdr>
    </w:div>
    <w:div w:id="1501385272">
      <w:bodyDiv w:val="1"/>
      <w:marLeft w:val="0"/>
      <w:marRight w:val="0"/>
      <w:marTop w:val="0"/>
      <w:marBottom w:val="0"/>
      <w:divBdr>
        <w:top w:val="none" w:sz="0" w:space="0" w:color="auto"/>
        <w:left w:val="none" w:sz="0" w:space="0" w:color="auto"/>
        <w:bottom w:val="none" w:sz="0" w:space="0" w:color="auto"/>
        <w:right w:val="none" w:sz="0" w:space="0" w:color="auto"/>
      </w:divBdr>
    </w:div>
    <w:div w:id="1501651311">
      <w:bodyDiv w:val="1"/>
      <w:marLeft w:val="0"/>
      <w:marRight w:val="0"/>
      <w:marTop w:val="0"/>
      <w:marBottom w:val="0"/>
      <w:divBdr>
        <w:top w:val="none" w:sz="0" w:space="0" w:color="auto"/>
        <w:left w:val="none" w:sz="0" w:space="0" w:color="auto"/>
        <w:bottom w:val="none" w:sz="0" w:space="0" w:color="auto"/>
        <w:right w:val="none" w:sz="0" w:space="0" w:color="auto"/>
      </w:divBdr>
    </w:div>
    <w:div w:id="1504129014">
      <w:bodyDiv w:val="1"/>
      <w:marLeft w:val="0"/>
      <w:marRight w:val="0"/>
      <w:marTop w:val="0"/>
      <w:marBottom w:val="0"/>
      <w:divBdr>
        <w:top w:val="none" w:sz="0" w:space="0" w:color="auto"/>
        <w:left w:val="none" w:sz="0" w:space="0" w:color="auto"/>
        <w:bottom w:val="none" w:sz="0" w:space="0" w:color="auto"/>
        <w:right w:val="none" w:sz="0" w:space="0" w:color="auto"/>
      </w:divBdr>
    </w:div>
    <w:div w:id="1511261181">
      <w:bodyDiv w:val="1"/>
      <w:marLeft w:val="0"/>
      <w:marRight w:val="0"/>
      <w:marTop w:val="0"/>
      <w:marBottom w:val="0"/>
      <w:divBdr>
        <w:top w:val="none" w:sz="0" w:space="0" w:color="auto"/>
        <w:left w:val="none" w:sz="0" w:space="0" w:color="auto"/>
        <w:bottom w:val="none" w:sz="0" w:space="0" w:color="auto"/>
        <w:right w:val="none" w:sz="0" w:space="0" w:color="auto"/>
      </w:divBdr>
    </w:div>
    <w:div w:id="1512141721">
      <w:bodyDiv w:val="1"/>
      <w:marLeft w:val="0"/>
      <w:marRight w:val="0"/>
      <w:marTop w:val="0"/>
      <w:marBottom w:val="0"/>
      <w:divBdr>
        <w:top w:val="none" w:sz="0" w:space="0" w:color="auto"/>
        <w:left w:val="none" w:sz="0" w:space="0" w:color="auto"/>
        <w:bottom w:val="none" w:sz="0" w:space="0" w:color="auto"/>
        <w:right w:val="none" w:sz="0" w:space="0" w:color="auto"/>
      </w:divBdr>
    </w:div>
    <w:div w:id="1513571773">
      <w:bodyDiv w:val="1"/>
      <w:marLeft w:val="0"/>
      <w:marRight w:val="0"/>
      <w:marTop w:val="0"/>
      <w:marBottom w:val="0"/>
      <w:divBdr>
        <w:top w:val="none" w:sz="0" w:space="0" w:color="auto"/>
        <w:left w:val="none" w:sz="0" w:space="0" w:color="auto"/>
        <w:bottom w:val="none" w:sz="0" w:space="0" w:color="auto"/>
        <w:right w:val="none" w:sz="0" w:space="0" w:color="auto"/>
      </w:divBdr>
    </w:div>
    <w:div w:id="1513640017">
      <w:bodyDiv w:val="1"/>
      <w:marLeft w:val="0"/>
      <w:marRight w:val="0"/>
      <w:marTop w:val="0"/>
      <w:marBottom w:val="0"/>
      <w:divBdr>
        <w:top w:val="none" w:sz="0" w:space="0" w:color="auto"/>
        <w:left w:val="none" w:sz="0" w:space="0" w:color="auto"/>
        <w:bottom w:val="none" w:sz="0" w:space="0" w:color="auto"/>
        <w:right w:val="none" w:sz="0" w:space="0" w:color="auto"/>
      </w:divBdr>
    </w:div>
    <w:div w:id="1515652128">
      <w:bodyDiv w:val="1"/>
      <w:marLeft w:val="0"/>
      <w:marRight w:val="0"/>
      <w:marTop w:val="0"/>
      <w:marBottom w:val="0"/>
      <w:divBdr>
        <w:top w:val="none" w:sz="0" w:space="0" w:color="auto"/>
        <w:left w:val="none" w:sz="0" w:space="0" w:color="auto"/>
        <w:bottom w:val="none" w:sz="0" w:space="0" w:color="auto"/>
        <w:right w:val="none" w:sz="0" w:space="0" w:color="auto"/>
      </w:divBdr>
    </w:div>
    <w:div w:id="1517886480">
      <w:bodyDiv w:val="1"/>
      <w:marLeft w:val="0"/>
      <w:marRight w:val="0"/>
      <w:marTop w:val="0"/>
      <w:marBottom w:val="0"/>
      <w:divBdr>
        <w:top w:val="none" w:sz="0" w:space="0" w:color="auto"/>
        <w:left w:val="none" w:sz="0" w:space="0" w:color="auto"/>
        <w:bottom w:val="none" w:sz="0" w:space="0" w:color="auto"/>
        <w:right w:val="none" w:sz="0" w:space="0" w:color="auto"/>
      </w:divBdr>
    </w:div>
    <w:div w:id="1518076812">
      <w:bodyDiv w:val="1"/>
      <w:marLeft w:val="0"/>
      <w:marRight w:val="0"/>
      <w:marTop w:val="0"/>
      <w:marBottom w:val="0"/>
      <w:divBdr>
        <w:top w:val="none" w:sz="0" w:space="0" w:color="auto"/>
        <w:left w:val="none" w:sz="0" w:space="0" w:color="auto"/>
        <w:bottom w:val="none" w:sz="0" w:space="0" w:color="auto"/>
        <w:right w:val="none" w:sz="0" w:space="0" w:color="auto"/>
      </w:divBdr>
    </w:div>
    <w:div w:id="1520314841">
      <w:bodyDiv w:val="1"/>
      <w:marLeft w:val="0"/>
      <w:marRight w:val="0"/>
      <w:marTop w:val="0"/>
      <w:marBottom w:val="0"/>
      <w:divBdr>
        <w:top w:val="none" w:sz="0" w:space="0" w:color="auto"/>
        <w:left w:val="none" w:sz="0" w:space="0" w:color="auto"/>
        <w:bottom w:val="none" w:sz="0" w:space="0" w:color="auto"/>
        <w:right w:val="none" w:sz="0" w:space="0" w:color="auto"/>
      </w:divBdr>
    </w:div>
    <w:div w:id="1522468975">
      <w:bodyDiv w:val="1"/>
      <w:marLeft w:val="0"/>
      <w:marRight w:val="0"/>
      <w:marTop w:val="0"/>
      <w:marBottom w:val="0"/>
      <w:divBdr>
        <w:top w:val="none" w:sz="0" w:space="0" w:color="auto"/>
        <w:left w:val="none" w:sz="0" w:space="0" w:color="auto"/>
        <w:bottom w:val="none" w:sz="0" w:space="0" w:color="auto"/>
        <w:right w:val="none" w:sz="0" w:space="0" w:color="auto"/>
      </w:divBdr>
    </w:div>
    <w:div w:id="1523086447">
      <w:bodyDiv w:val="1"/>
      <w:marLeft w:val="0"/>
      <w:marRight w:val="0"/>
      <w:marTop w:val="0"/>
      <w:marBottom w:val="0"/>
      <w:divBdr>
        <w:top w:val="none" w:sz="0" w:space="0" w:color="auto"/>
        <w:left w:val="none" w:sz="0" w:space="0" w:color="auto"/>
        <w:bottom w:val="none" w:sz="0" w:space="0" w:color="auto"/>
        <w:right w:val="none" w:sz="0" w:space="0" w:color="auto"/>
      </w:divBdr>
    </w:div>
    <w:div w:id="1523201031">
      <w:bodyDiv w:val="1"/>
      <w:marLeft w:val="0"/>
      <w:marRight w:val="0"/>
      <w:marTop w:val="0"/>
      <w:marBottom w:val="0"/>
      <w:divBdr>
        <w:top w:val="none" w:sz="0" w:space="0" w:color="auto"/>
        <w:left w:val="none" w:sz="0" w:space="0" w:color="auto"/>
        <w:bottom w:val="none" w:sz="0" w:space="0" w:color="auto"/>
        <w:right w:val="none" w:sz="0" w:space="0" w:color="auto"/>
      </w:divBdr>
    </w:div>
    <w:div w:id="1525902350">
      <w:bodyDiv w:val="1"/>
      <w:marLeft w:val="0"/>
      <w:marRight w:val="0"/>
      <w:marTop w:val="0"/>
      <w:marBottom w:val="0"/>
      <w:divBdr>
        <w:top w:val="none" w:sz="0" w:space="0" w:color="auto"/>
        <w:left w:val="none" w:sz="0" w:space="0" w:color="auto"/>
        <w:bottom w:val="none" w:sz="0" w:space="0" w:color="auto"/>
        <w:right w:val="none" w:sz="0" w:space="0" w:color="auto"/>
      </w:divBdr>
    </w:div>
    <w:div w:id="1526745332">
      <w:bodyDiv w:val="1"/>
      <w:marLeft w:val="0"/>
      <w:marRight w:val="0"/>
      <w:marTop w:val="0"/>
      <w:marBottom w:val="0"/>
      <w:divBdr>
        <w:top w:val="none" w:sz="0" w:space="0" w:color="auto"/>
        <w:left w:val="none" w:sz="0" w:space="0" w:color="auto"/>
        <w:bottom w:val="none" w:sz="0" w:space="0" w:color="auto"/>
        <w:right w:val="none" w:sz="0" w:space="0" w:color="auto"/>
      </w:divBdr>
    </w:div>
    <w:div w:id="1528638786">
      <w:bodyDiv w:val="1"/>
      <w:marLeft w:val="0"/>
      <w:marRight w:val="0"/>
      <w:marTop w:val="0"/>
      <w:marBottom w:val="0"/>
      <w:divBdr>
        <w:top w:val="none" w:sz="0" w:space="0" w:color="auto"/>
        <w:left w:val="none" w:sz="0" w:space="0" w:color="auto"/>
        <w:bottom w:val="none" w:sz="0" w:space="0" w:color="auto"/>
        <w:right w:val="none" w:sz="0" w:space="0" w:color="auto"/>
      </w:divBdr>
    </w:div>
    <w:div w:id="1533377156">
      <w:bodyDiv w:val="1"/>
      <w:marLeft w:val="0"/>
      <w:marRight w:val="0"/>
      <w:marTop w:val="0"/>
      <w:marBottom w:val="0"/>
      <w:divBdr>
        <w:top w:val="none" w:sz="0" w:space="0" w:color="auto"/>
        <w:left w:val="none" w:sz="0" w:space="0" w:color="auto"/>
        <w:bottom w:val="none" w:sz="0" w:space="0" w:color="auto"/>
        <w:right w:val="none" w:sz="0" w:space="0" w:color="auto"/>
      </w:divBdr>
    </w:div>
    <w:div w:id="1541625452">
      <w:bodyDiv w:val="1"/>
      <w:marLeft w:val="0"/>
      <w:marRight w:val="0"/>
      <w:marTop w:val="0"/>
      <w:marBottom w:val="0"/>
      <w:divBdr>
        <w:top w:val="none" w:sz="0" w:space="0" w:color="auto"/>
        <w:left w:val="none" w:sz="0" w:space="0" w:color="auto"/>
        <w:bottom w:val="none" w:sz="0" w:space="0" w:color="auto"/>
        <w:right w:val="none" w:sz="0" w:space="0" w:color="auto"/>
      </w:divBdr>
    </w:div>
    <w:div w:id="1544712539">
      <w:bodyDiv w:val="1"/>
      <w:marLeft w:val="0"/>
      <w:marRight w:val="0"/>
      <w:marTop w:val="0"/>
      <w:marBottom w:val="0"/>
      <w:divBdr>
        <w:top w:val="none" w:sz="0" w:space="0" w:color="auto"/>
        <w:left w:val="none" w:sz="0" w:space="0" w:color="auto"/>
        <w:bottom w:val="none" w:sz="0" w:space="0" w:color="auto"/>
        <w:right w:val="none" w:sz="0" w:space="0" w:color="auto"/>
      </w:divBdr>
    </w:div>
    <w:div w:id="1550074014">
      <w:bodyDiv w:val="1"/>
      <w:marLeft w:val="0"/>
      <w:marRight w:val="0"/>
      <w:marTop w:val="0"/>
      <w:marBottom w:val="0"/>
      <w:divBdr>
        <w:top w:val="none" w:sz="0" w:space="0" w:color="auto"/>
        <w:left w:val="none" w:sz="0" w:space="0" w:color="auto"/>
        <w:bottom w:val="none" w:sz="0" w:space="0" w:color="auto"/>
        <w:right w:val="none" w:sz="0" w:space="0" w:color="auto"/>
      </w:divBdr>
    </w:div>
    <w:div w:id="1553956746">
      <w:bodyDiv w:val="1"/>
      <w:marLeft w:val="0"/>
      <w:marRight w:val="0"/>
      <w:marTop w:val="0"/>
      <w:marBottom w:val="0"/>
      <w:divBdr>
        <w:top w:val="none" w:sz="0" w:space="0" w:color="auto"/>
        <w:left w:val="none" w:sz="0" w:space="0" w:color="auto"/>
        <w:bottom w:val="none" w:sz="0" w:space="0" w:color="auto"/>
        <w:right w:val="none" w:sz="0" w:space="0" w:color="auto"/>
      </w:divBdr>
    </w:div>
    <w:div w:id="1555461364">
      <w:bodyDiv w:val="1"/>
      <w:marLeft w:val="0"/>
      <w:marRight w:val="0"/>
      <w:marTop w:val="0"/>
      <w:marBottom w:val="0"/>
      <w:divBdr>
        <w:top w:val="none" w:sz="0" w:space="0" w:color="auto"/>
        <w:left w:val="none" w:sz="0" w:space="0" w:color="auto"/>
        <w:bottom w:val="none" w:sz="0" w:space="0" w:color="auto"/>
        <w:right w:val="none" w:sz="0" w:space="0" w:color="auto"/>
      </w:divBdr>
    </w:div>
    <w:div w:id="1556742212">
      <w:bodyDiv w:val="1"/>
      <w:marLeft w:val="0"/>
      <w:marRight w:val="0"/>
      <w:marTop w:val="0"/>
      <w:marBottom w:val="0"/>
      <w:divBdr>
        <w:top w:val="none" w:sz="0" w:space="0" w:color="auto"/>
        <w:left w:val="none" w:sz="0" w:space="0" w:color="auto"/>
        <w:bottom w:val="none" w:sz="0" w:space="0" w:color="auto"/>
        <w:right w:val="none" w:sz="0" w:space="0" w:color="auto"/>
      </w:divBdr>
    </w:div>
    <w:div w:id="1557275954">
      <w:bodyDiv w:val="1"/>
      <w:marLeft w:val="0"/>
      <w:marRight w:val="0"/>
      <w:marTop w:val="0"/>
      <w:marBottom w:val="0"/>
      <w:divBdr>
        <w:top w:val="none" w:sz="0" w:space="0" w:color="auto"/>
        <w:left w:val="none" w:sz="0" w:space="0" w:color="auto"/>
        <w:bottom w:val="none" w:sz="0" w:space="0" w:color="auto"/>
        <w:right w:val="none" w:sz="0" w:space="0" w:color="auto"/>
      </w:divBdr>
    </w:div>
    <w:div w:id="1560019587">
      <w:bodyDiv w:val="1"/>
      <w:marLeft w:val="0"/>
      <w:marRight w:val="0"/>
      <w:marTop w:val="0"/>
      <w:marBottom w:val="0"/>
      <w:divBdr>
        <w:top w:val="none" w:sz="0" w:space="0" w:color="auto"/>
        <w:left w:val="none" w:sz="0" w:space="0" w:color="auto"/>
        <w:bottom w:val="none" w:sz="0" w:space="0" w:color="auto"/>
        <w:right w:val="none" w:sz="0" w:space="0" w:color="auto"/>
      </w:divBdr>
    </w:div>
    <w:div w:id="1561135010">
      <w:bodyDiv w:val="1"/>
      <w:marLeft w:val="0"/>
      <w:marRight w:val="0"/>
      <w:marTop w:val="0"/>
      <w:marBottom w:val="0"/>
      <w:divBdr>
        <w:top w:val="none" w:sz="0" w:space="0" w:color="auto"/>
        <w:left w:val="none" w:sz="0" w:space="0" w:color="auto"/>
        <w:bottom w:val="none" w:sz="0" w:space="0" w:color="auto"/>
        <w:right w:val="none" w:sz="0" w:space="0" w:color="auto"/>
      </w:divBdr>
    </w:div>
    <w:div w:id="1565680752">
      <w:bodyDiv w:val="1"/>
      <w:marLeft w:val="0"/>
      <w:marRight w:val="0"/>
      <w:marTop w:val="0"/>
      <w:marBottom w:val="0"/>
      <w:divBdr>
        <w:top w:val="none" w:sz="0" w:space="0" w:color="auto"/>
        <w:left w:val="none" w:sz="0" w:space="0" w:color="auto"/>
        <w:bottom w:val="none" w:sz="0" w:space="0" w:color="auto"/>
        <w:right w:val="none" w:sz="0" w:space="0" w:color="auto"/>
      </w:divBdr>
    </w:div>
    <w:div w:id="1569538085">
      <w:bodyDiv w:val="1"/>
      <w:marLeft w:val="0"/>
      <w:marRight w:val="0"/>
      <w:marTop w:val="0"/>
      <w:marBottom w:val="0"/>
      <w:divBdr>
        <w:top w:val="none" w:sz="0" w:space="0" w:color="auto"/>
        <w:left w:val="none" w:sz="0" w:space="0" w:color="auto"/>
        <w:bottom w:val="none" w:sz="0" w:space="0" w:color="auto"/>
        <w:right w:val="none" w:sz="0" w:space="0" w:color="auto"/>
      </w:divBdr>
    </w:div>
    <w:div w:id="1573931871">
      <w:bodyDiv w:val="1"/>
      <w:marLeft w:val="0"/>
      <w:marRight w:val="0"/>
      <w:marTop w:val="0"/>
      <w:marBottom w:val="0"/>
      <w:divBdr>
        <w:top w:val="none" w:sz="0" w:space="0" w:color="auto"/>
        <w:left w:val="none" w:sz="0" w:space="0" w:color="auto"/>
        <w:bottom w:val="none" w:sz="0" w:space="0" w:color="auto"/>
        <w:right w:val="none" w:sz="0" w:space="0" w:color="auto"/>
      </w:divBdr>
    </w:div>
    <w:div w:id="1574003194">
      <w:bodyDiv w:val="1"/>
      <w:marLeft w:val="0"/>
      <w:marRight w:val="0"/>
      <w:marTop w:val="0"/>
      <w:marBottom w:val="0"/>
      <w:divBdr>
        <w:top w:val="none" w:sz="0" w:space="0" w:color="auto"/>
        <w:left w:val="none" w:sz="0" w:space="0" w:color="auto"/>
        <w:bottom w:val="none" w:sz="0" w:space="0" w:color="auto"/>
        <w:right w:val="none" w:sz="0" w:space="0" w:color="auto"/>
      </w:divBdr>
    </w:div>
    <w:div w:id="1576864289">
      <w:bodyDiv w:val="1"/>
      <w:marLeft w:val="0"/>
      <w:marRight w:val="0"/>
      <w:marTop w:val="0"/>
      <w:marBottom w:val="0"/>
      <w:divBdr>
        <w:top w:val="none" w:sz="0" w:space="0" w:color="auto"/>
        <w:left w:val="none" w:sz="0" w:space="0" w:color="auto"/>
        <w:bottom w:val="none" w:sz="0" w:space="0" w:color="auto"/>
        <w:right w:val="none" w:sz="0" w:space="0" w:color="auto"/>
      </w:divBdr>
    </w:div>
    <w:div w:id="1581132333">
      <w:bodyDiv w:val="1"/>
      <w:marLeft w:val="0"/>
      <w:marRight w:val="0"/>
      <w:marTop w:val="0"/>
      <w:marBottom w:val="0"/>
      <w:divBdr>
        <w:top w:val="none" w:sz="0" w:space="0" w:color="auto"/>
        <w:left w:val="none" w:sz="0" w:space="0" w:color="auto"/>
        <w:bottom w:val="none" w:sz="0" w:space="0" w:color="auto"/>
        <w:right w:val="none" w:sz="0" w:space="0" w:color="auto"/>
      </w:divBdr>
    </w:div>
    <w:div w:id="1584607519">
      <w:bodyDiv w:val="1"/>
      <w:marLeft w:val="0"/>
      <w:marRight w:val="0"/>
      <w:marTop w:val="0"/>
      <w:marBottom w:val="0"/>
      <w:divBdr>
        <w:top w:val="none" w:sz="0" w:space="0" w:color="auto"/>
        <w:left w:val="none" w:sz="0" w:space="0" w:color="auto"/>
        <w:bottom w:val="none" w:sz="0" w:space="0" w:color="auto"/>
        <w:right w:val="none" w:sz="0" w:space="0" w:color="auto"/>
      </w:divBdr>
    </w:div>
    <w:div w:id="1585610051">
      <w:bodyDiv w:val="1"/>
      <w:marLeft w:val="0"/>
      <w:marRight w:val="0"/>
      <w:marTop w:val="0"/>
      <w:marBottom w:val="0"/>
      <w:divBdr>
        <w:top w:val="none" w:sz="0" w:space="0" w:color="auto"/>
        <w:left w:val="none" w:sz="0" w:space="0" w:color="auto"/>
        <w:bottom w:val="none" w:sz="0" w:space="0" w:color="auto"/>
        <w:right w:val="none" w:sz="0" w:space="0" w:color="auto"/>
      </w:divBdr>
    </w:div>
    <w:div w:id="1587032709">
      <w:bodyDiv w:val="1"/>
      <w:marLeft w:val="0"/>
      <w:marRight w:val="0"/>
      <w:marTop w:val="0"/>
      <w:marBottom w:val="0"/>
      <w:divBdr>
        <w:top w:val="none" w:sz="0" w:space="0" w:color="auto"/>
        <w:left w:val="none" w:sz="0" w:space="0" w:color="auto"/>
        <w:bottom w:val="none" w:sz="0" w:space="0" w:color="auto"/>
        <w:right w:val="none" w:sz="0" w:space="0" w:color="auto"/>
      </w:divBdr>
    </w:div>
    <w:div w:id="1593664058">
      <w:bodyDiv w:val="1"/>
      <w:marLeft w:val="0"/>
      <w:marRight w:val="0"/>
      <w:marTop w:val="0"/>
      <w:marBottom w:val="0"/>
      <w:divBdr>
        <w:top w:val="none" w:sz="0" w:space="0" w:color="auto"/>
        <w:left w:val="none" w:sz="0" w:space="0" w:color="auto"/>
        <w:bottom w:val="none" w:sz="0" w:space="0" w:color="auto"/>
        <w:right w:val="none" w:sz="0" w:space="0" w:color="auto"/>
      </w:divBdr>
    </w:div>
    <w:div w:id="1595506070">
      <w:bodyDiv w:val="1"/>
      <w:marLeft w:val="0"/>
      <w:marRight w:val="0"/>
      <w:marTop w:val="0"/>
      <w:marBottom w:val="0"/>
      <w:divBdr>
        <w:top w:val="none" w:sz="0" w:space="0" w:color="auto"/>
        <w:left w:val="none" w:sz="0" w:space="0" w:color="auto"/>
        <w:bottom w:val="none" w:sz="0" w:space="0" w:color="auto"/>
        <w:right w:val="none" w:sz="0" w:space="0" w:color="auto"/>
      </w:divBdr>
    </w:div>
    <w:div w:id="1595629040">
      <w:bodyDiv w:val="1"/>
      <w:marLeft w:val="0"/>
      <w:marRight w:val="0"/>
      <w:marTop w:val="0"/>
      <w:marBottom w:val="0"/>
      <w:divBdr>
        <w:top w:val="none" w:sz="0" w:space="0" w:color="auto"/>
        <w:left w:val="none" w:sz="0" w:space="0" w:color="auto"/>
        <w:bottom w:val="none" w:sz="0" w:space="0" w:color="auto"/>
        <w:right w:val="none" w:sz="0" w:space="0" w:color="auto"/>
      </w:divBdr>
    </w:div>
    <w:div w:id="1596477706">
      <w:bodyDiv w:val="1"/>
      <w:marLeft w:val="0"/>
      <w:marRight w:val="0"/>
      <w:marTop w:val="0"/>
      <w:marBottom w:val="0"/>
      <w:divBdr>
        <w:top w:val="none" w:sz="0" w:space="0" w:color="auto"/>
        <w:left w:val="none" w:sz="0" w:space="0" w:color="auto"/>
        <w:bottom w:val="none" w:sz="0" w:space="0" w:color="auto"/>
        <w:right w:val="none" w:sz="0" w:space="0" w:color="auto"/>
      </w:divBdr>
    </w:div>
    <w:div w:id="1596674335">
      <w:bodyDiv w:val="1"/>
      <w:marLeft w:val="0"/>
      <w:marRight w:val="0"/>
      <w:marTop w:val="0"/>
      <w:marBottom w:val="0"/>
      <w:divBdr>
        <w:top w:val="none" w:sz="0" w:space="0" w:color="auto"/>
        <w:left w:val="none" w:sz="0" w:space="0" w:color="auto"/>
        <w:bottom w:val="none" w:sz="0" w:space="0" w:color="auto"/>
        <w:right w:val="none" w:sz="0" w:space="0" w:color="auto"/>
      </w:divBdr>
    </w:div>
    <w:div w:id="1599942005">
      <w:bodyDiv w:val="1"/>
      <w:marLeft w:val="0"/>
      <w:marRight w:val="0"/>
      <w:marTop w:val="0"/>
      <w:marBottom w:val="0"/>
      <w:divBdr>
        <w:top w:val="none" w:sz="0" w:space="0" w:color="auto"/>
        <w:left w:val="none" w:sz="0" w:space="0" w:color="auto"/>
        <w:bottom w:val="none" w:sz="0" w:space="0" w:color="auto"/>
        <w:right w:val="none" w:sz="0" w:space="0" w:color="auto"/>
      </w:divBdr>
    </w:div>
    <w:div w:id="1603033008">
      <w:bodyDiv w:val="1"/>
      <w:marLeft w:val="0"/>
      <w:marRight w:val="0"/>
      <w:marTop w:val="0"/>
      <w:marBottom w:val="0"/>
      <w:divBdr>
        <w:top w:val="none" w:sz="0" w:space="0" w:color="auto"/>
        <w:left w:val="none" w:sz="0" w:space="0" w:color="auto"/>
        <w:bottom w:val="none" w:sz="0" w:space="0" w:color="auto"/>
        <w:right w:val="none" w:sz="0" w:space="0" w:color="auto"/>
      </w:divBdr>
    </w:div>
    <w:div w:id="1603756193">
      <w:bodyDiv w:val="1"/>
      <w:marLeft w:val="0"/>
      <w:marRight w:val="0"/>
      <w:marTop w:val="0"/>
      <w:marBottom w:val="0"/>
      <w:divBdr>
        <w:top w:val="none" w:sz="0" w:space="0" w:color="auto"/>
        <w:left w:val="none" w:sz="0" w:space="0" w:color="auto"/>
        <w:bottom w:val="none" w:sz="0" w:space="0" w:color="auto"/>
        <w:right w:val="none" w:sz="0" w:space="0" w:color="auto"/>
      </w:divBdr>
    </w:div>
    <w:div w:id="1605651612">
      <w:bodyDiv w:val="1"/>
      <w:marLeft w:val="0"/>
      <w:marRight w:val="0"/>
      <w:marTop w:val="0"/>
      <w:marBottom w:val="0"/>
      <w:divBdr>
        <w:top w:val="none" w:sz="0" w:space="0" w:color="auto"/>
        <w:left w:val="none" w:sz="0" w:space="0" w:color="auto"/>
        <w:bottom w:val="none" w:sz="0" w:space="0" w:color="auto"/>
        <w:right w:val="none" w:sz="0" w:space="0" w:color="auto"/>
      </w:divBdr>
    </w:div>
    <w:div w:id="1606114648">
      <w:bodyDiv w:val="1"/>
      <w:marLeft w:val="0"/>
      <w:marRight w:val="0"/>
      <w:marTop w:val="0"/>
      <w:marBottom w:val="0"/>
      <w:divBdr>
        <w:top w:val="none" w:sz="0" w:space="0" w:color="auto"/>
        <w:left w:val="none" w:sz="0" w:space="0" w:color="auto"/>
        <w:bottom w:val="none" w:sz="0" w:space="0" w:color="auto"/>
        <w:right w:val="none" w:sz="0" w:space="0" w:color="auto"/>
      </w:divBdr>
    </w:div>
    <w:div w:id="1606304073">
      <w:bodyDiv w:val="1"/>
      <w:marLeft w:val="0"/>
      <w:marRight w:val="0"/>
      <w:marTop w:val="0"/>
      <w:marBottom w:val="0"/>
      <w:divBdr>
        <w:top w:val="none" w:sz="0" w:space="0" w:color="auto"/>
        <w:left w:val="none" w:sz="0" w:space="0" w:color="auto"/>
        <w:bottom w:val="none" w:sz="0" w:space="0" w:color="auto"/>
        <w:right w:val="none" w:sz="0" w:space="0" w:color="auto"/>
      </w:divBdr>
    </w:div>
    <w:div w:id="1607997894">
      <w:bodyDiv w:val="1"/>
      <w:marLeft w:val="0"/>
      <w:marRight w:val="0"/>
      <w:marTop w:val="0"/>
      <w:marBottom w:val="0"/>
      <w:divBdr>
        <w:top w:val="none" w:sz="0" w:space="0" w:color="auto"/>
        <w:left w:val="none" w:sz="0" w:space="0" w:color="auto"/>
        <w:bottom w:val="none" w:sz="0" w:space="0" w:color="auto"/>
        <w:right w:val="none" w:sz="0" w:space="0" w:color="auto"/>
      </w:divBdr>
    </w:div>
    <w:div w:id="1614482884">
      <w:bodyDiv w:val="1"/>
      <w:marLeft w:val="0"/>
      <w:marRight w:val="0"/>
      <w:marTop w:val="0"/>
      <w:marBottom w:val="0"/>
      <w:divBdr>
        <w:top w:val="none" w:sz="0" w:space="0" w:color="auto"/>
        <w:left w:val="none" w:sz="0" w:space="0" w:color="auto"/>
        <w:bottom w:val="none" w:sz="0" w:space="0" w:color="auto"/>
        <w:right w:val="none" w:sz="0" w:space="0" w:color="auto"/>
      </w:divBdr>
    </w:div>
    <w:div w:id="1615866254">
      <w:bodyDiv w:val="1"/>
      <w:marLeft w:val="0"/>
      <w:marRight w:val="0"/>
      <w:marTop w:val="0"/>
      <w:marBottom w:val="0"/>
      <w:divBdr>
        <w:top w:val="none" w:sz="0" w:space="0" w:color="auto"/>
        <w:left w:val="none" w:sz="0" w:space="0" w:color="auto"/>
        <w:bottom w:val="none" w:sz="0" w:space="0" w:color="auto"/>
        <w:right w:val="none" w:sz="0" w:space="0" w:color="auto"/>
      </w:divBdr>
    </w:div>
    <w:div w:id="1618100089">
      <w:bodyDiv w:val="1"/>
      <w:marLeft w:val="0"/>
      <w:marRight w:val="0"/>
      <w:marTop w:val="0"/>
      <w:marBottom w:val="0"/>
      <w:divBdr>
        <w:top w:val="none" w:sz="0" w:space="0" w:color="auto"/>
        <w:left w:val="none" w:sz="0" w:space="0" w:color="auto"/>
        <w:bottom w:val="none" w:sz="0" w:space="0" w:color="auto"/>
        <w:right w:val="none" w:sz="0" w:space="0" w:color="auto"/>
      </w:divBdr>
    </w:div>
    <w:div w:id="1618561229">
      <w:bodyDiv w:val="1"/>
      <w:marLeft w:val="0"/>
      <w:marRight w:val="0"/>
      <w:marTop w:val="0"/>
      <w:marBottom w:val="0"/>
      <w:divBdr>
        <w:top w:val="none" w:sz="0" w:space="0" w:color="auto"/>
        <w:left w:val="none" w:sz="0" w:space="0" w:color="auto"/>
        <w:bottom w:val="none" w:sz="0" w:space="0" w:color="auto"/>
        <w:right w:val="none" w:sz="0" w:space="0" w:color="auto"/>
      </w:divBdr>
    </w:div>
    <w:div w:id="1619292870">
      <w:bodyDiv w:val="1"/>
      <w:marLeft w:val="0"/>
      <w:marRight w:val="0"/>
      <w:marTop w:val="0"/>
      <w:marBottom w:val="0"/>
      <w:divBdr>
        <w:top w:val="none" w:sz="0" w:space="0" w:color="auto"/>
        <w:left w:val="none" w:sz="0" w:space="0" w:color="auto"/>
        <w:bottom w:val="none" w:sz="0" w:space="0" w:color="auto"/>
        <w:right w:val="none" w:sz="0" w:space="0" w:color="auto"/>
      </w:divBdr>
    </w:div>
    <w:div w:id="1619604766">
      <w:bodyDiv w:val="1"/>
      <w:marLeft w:val="0"/>
      <w:marRight w:val="0"/>
      <w:marTop w:val="0"/>
      <w:marBottom w:val="0"/>
      <w:divBdr>
        <w:top w:val="none" w:sz="0" w:space="0" w:color="auto"/>
        <w:left w:val="none" w:sz="0" w:space="0" w:color="auto"/>
        <w:bottom w:val="none" w:sz="0" w:space="0" w:color="auto"/>
        <w:right w:val="none" w:sz="0" w:space="0" w:color="auto"/>
      </w:divBdr>
    </w:div>
    <w:div w:id="1620061358">
      <w:bodyDiv w:val="1"/>
      <w:marLeft w:val="0"/>
      <w:marRight w:val="0"/>
      <w:marTop w:val="0"/>
      <w:marBottom w:val="0"/>
      <w:divBdr>
        <w:top w:val="none" w:sz="0" w:space="0" w:color="auto"/>
        <w:left w:val="none" w:sz="0" w:space="0" w:color="auto"/>
        <w:bottom w:val="none" w:sz="0" w:space="0" w:color="auto"/>
        <w:right w:val="none" w:sz="0" w:space="0" w:color="auto"/>
      </w:divBdr>
    </w:div>
    <w:div w:id="1621372539">
      <w:bodyDiv w:val="1"/>
      <w:marLeft w:val="0"/>
      <w:marRight w:val="0"/>
      <w:marTop w:val="0"/>
      <w:marBottom w:val="0"/>
      <w:divBdr>
        <w:top w:val="none" w:sz="0" w:space="0" w:color="auto"/>
        <w:left w:val="none" w:sz="0" w:space="0" w:color="auto"/>
        <w:bottom w:val="none" w:sz="0" w:space="0" w:color="auto"/>
        <w:right w:val="none" w:sz="0" w:space="0" w:color="auto"/>
      </w:divBdr>
    </w:div>
    <w:div w:id="1623882880">
      <w:bodyDiv w:val="1"/>
      <w:marLeft w:val="0"/>
      <w:marRight w:val="0"/>
      <w:marTop w:val="0"/>
      <w:marBottom w:val="0"/>
      <w:divBdr>
        <w:top w:val="none" w:sz="0" w:space="0" w:color="auto"/>
        <w:left w:val="none" w:sz="0" w:space="0" w:color="auto"/>
        <w:bottom w:val="none" w:sz="0" w:space="0" w:color="auto"/>
        <w:right w:val="none" w:sz="0" w:space="0" w:color="auto"/>
      </w:divBdr>
    </w:div>
    <w:div w:id="1626303066">
      <w:bodyDiv w:val="1"/>
      <w:marLeft w:val="0"/>
      <w:marRight w:val="0"/>
      <w:marTop w:val="0"/>
      <w:marBottom w:val="0"/>
      <w:divBdr>
        <w:top w:val="none" w:sz="0" w:space="0" w:color="auto"/>
        <w:left w:val="none" w:sz="0" w:space="0" w:color="auto"/>
        <w:bottom w:val="none" w:sz="0" w:space="0" w:color="auto"/>
        <w:right w:val="none" w:sz="0" w:space="0" w:color="auto"/>
      </w:divBdr>
    </w:div>
    <w:div w:id="1628926547">
      <w:bodyDiv w:val="1"/>
      <w:marLeft w:val="0"/>
      <w:marRight w:val="0"/>
      <w:marTop w:val="0"/>
      <w:marBottom w:val="0"/>
      <w:divBdr>
        <w:top w:val="none" w:sz="0" w:space="0" w:color="auto"/>
        <w:left w:val="none" w:sz="0" w:space="0" w:color="auto"/>
        <w:bottom w:val="none" w:sz="0" w:space="0" w:color="auto"/>
        <w:right w:val="none" w:sz="0" w:space="0" w:color="auto"/>
      </w:divBdr>
    </w:div>
    <w:div w:id="1633636131">
      <w:bodyDiv w:val="1"/>
      <w:marLeft w:val="0"/>
      <w:marRight w:val="0"/>
      <w:marTop w:val="0"/>
      <w:marBottom w:val="0"/>
      <w:divBdr>
        <w:top w:val="none" w:sz="0" w:space="0" w:color="auto"/>
        <w:left w:val="none" w:sz="0" w:space="0" w:color="auto"/>
        <w:bottom w:val="none" w:sz="0" w:space="0" w:color="auto"/>
        <w:right w:val="none" w:sz="0" w:space="0" w:color="auto"/>
      </w:divBdr>
    </w:div>
    <w:div w:id="1639991093">
      <w:bodyDiv w:val="1"/>
      <w:marLeft w:val="0"/>
      <w:marRight w:val="0"/>
      <w:marTop w:val="0"/>
      <w:marBottom w:val="0"/>
      <w:divBdr>
        <w:top w:val="none" w:sz="0" w:space="0" w:color="auto"/>
        <w:left w:val="none" w:sz="0" w:space="0" w:color="auto"/>
        <w:bottom w:val="none" w:sz="0" w:space="0" w:color="auto"/>
        <w:right w:val="none" w:sz="0" w:space="0" w:color="auto"/>
      </w:divBdr>
    </w:div>
    <w:div w:id="1650090924">
      <w:bodyDiv w:val="1"/>
      <w:marLeft w:val="0"/>
      <w:marRight w:val="0"/>
      <w:marTop w:val="0"/>
      <w:marBottom w:val="0"/>
      <w:divBdr>
        <w:top w:val="none" w:sz="0" w:space="0" w:color="auto"/>
        <w:left w:val="none" w:sz="0" w:space="0" w:color="auto"/>
        <w:bottom w:val="none" w:sz="0" w:space="0" w:color="auto"/>
        <w:right w:val="none" w:sz="0" w:space="0" w:color="auto"/>
      </w:divBdr>
    </w:div>
    <w:div w:id="1655260009">
      <w:bodyDiv w:val="1"/>
      <w:marLeft w:val="0"/>
      <w:marRight w:val="0"/>
      <w:marTop w:val="0"/>
      <w:marBottom w:val="0"/>
      <w:divBdr>
        <w:top w:val="none" w:sz="0" w:space="0" w:color="auto"/>
        <w:left w:val="none" w:sz="0" w:space="0" w:color="auto"/>
        <w:bottom w:val="none" w:sz="0" w:space="0" w:color="auto"/>
        <w:right w:val="none" w:sz="0" w:space="0" w:color="auto"/>
      </w:divBdr>
    </w:div>
    <w:div w:id="1655572060">
      <w:bodyDiv w:val="1"/>
      <w:marLeft w:val="0"/>
      <w:marRight w:val="0"/>
      <w:marTop w:val="0"/>
      <w:marBottom w:val="0"/>
      <w:divBdr>
        <w:top w:val="none" w:sz="0" w:space="0" w:color="auto"/>
        <w:left w:val="none" w:sz="0" w:space="0" w:color="auto"/>
        <w:bottom w:val="none" w:sz="0" w:space="0" w:color="auto"/>
        <w:right w:val="none" w:sz="0" w:space="0" w:color="auto"/>
      </w:divBdr>
    </w:div>
    <w:div w:id="1655989217">
      <w:bodyDiv w:val="1"/>
      <w:marLeft w:val="0"/>
      <w:marRight w:val="0"/>
      <w:marTop w:val="0"/>
      <w:marBottom w:val="0"/>
      <w:divBdr>
        <w:top w:val="none" w:sz="0" w:space="0" w:color="auto"/>
        <w:left w:val="none" w:sz="0" w:space="0" w:color="auto"/>
        <w:bottom w:val="none" w:sz="0" w:space="0" w:color="auto"/>
        <w:right w:val="none" w:sz="0" w:space="0" w:color="auto"/>
      </w:divBdr>
    </w:div>
    <w:div w:id="1656564621">
      <w:bodyDiv w:val="1"/>
      <w:marLeft w:val="0"/>
      <w:marRight w:val="0"/>
      <w:marTop w:val="0"/>
      <w:marBottom w:val="0"/>
      <w:divBdr>
        <w:top w:val="none" w:sz="0" w:space="0" w:color="auto"/>
        <w:left w:val="none" w:sz="0" w:space="0" w:color="auto"/>
        <w:bottom w:val="none" w:sz="0" w:space="0" w:color="auto"/>
        <w:right w:val="none" w:sz="0" w:space="0" w:color="auto"/>
      </w:divBdr>
    </w:div>
    <w:div w:id="1658260787">
      <w:bodyDiv w:val="1"/>
      <w:marLeft w:val="0"/>
      <w:marRight w:val="0"/>
      <w:marTop w:val="0"/>
      <w:marBottom w:val="0"/>
      <w:divBdr>
        <w:top w:val="none" w:sz="0" w:space="0" w:color="auto"/>
        <w:left w:val="none" w:sz="0" w:space="0" w:color="auto"/>
        <w:bottom w:val="none" w:sz="0" w:space="0" w:color="auto"/>
        <w:right w:val="none" w:sz="0" w:space="0" w:color="auto"/>
      </w:divBdr>
    </w:div>
    <w:div w:id="1662541327">
      <w:bodyDiv w:val="1"/>
      <w:marLeft w:val="0"/>
      <w:marRight w:val="0"/>
      <w:marTop w:val="0"/>
      <w:marBottom w:val="0"/>
      <w:divBdr>
        <w:top w:val="none" w:sz="0" w:space="0" w:color="auto"/>
        <w:left w:val="none" w:sz="0" w:space="0" w:color="auto"/>
        <w:bottom w:val="none" w:sz="0" w:space="0" w:color="auto"/>
        <w:right w:val="none" w:sz="0" w:space="0" w:color="auto"/>
      </w:divBdr>
    </w:div>
    <w:div w:id="1663577954">
      <w:bodyDiv w:val="1"/>
      <w:marLeft w:val="0"/>
      <w:marRight w:val="0"/>
      <w:marTop w:val="0"/>
      <w:marBottom w:val="0"/>
      <w:divBdr>
        <w:top w:val="none" w:sz="0" w:space="0" w:color="auto"/>
        <w:left w:val="none" w:sz="0" w:space="0" w:color="auto"/>
        <w:bottom w:val="none" w:sz="0" w:space="0" w:color="auto"/>
        <w:right w:val="none" w:sz="0" w:space="0" w:color="auto"/>
      </w:divBdr>
    </w:div>
    <w:div w:id="1663584856">
      <w:bodyDiv w:val="1"/>
      <w:marLeft w:val="0"/>
      <w:marRight w:val="0"/>
      <w:marTop w:val="0"/>
      <w:marBottom w:val="0"/>
      <w:divBdr>
        <w:top w:val="none" w:sz="0" w:space="0" w:color="auto"/>
        <w:left w:val="none" w:sz="0" w:space="0" w:color="auto"/>
        <w:bottom w:val="none" w:sz="0" w:space="0" w:color="auto"/>
        <w:right w:val="none" w:sz="0" w:space="0" w:color="auto"/>
      </w:divBdr>
    </w:div>
    <w:div w:id="1666274712">
      <w:bodyDiv w:val="1"/>
      <w:marLeft w:val="0"/>
      <w:marRight w:val="0"/>
      <w:marTop w:val="0"/>
      <w:marBottom w:val="0"/>
      <w:divBdr>
        <w:top w:val="none" w:sz="0" w:space="0" w:color="auto"/>
        <w:left w:val="none" w:sz="0" w:space="0" w:color="auto"/>
        <w:bottom w:val="none" w:sz="0" w:space="0" w:color="auto"/>
        <w:right w:val="none" w:sz="0" w:space="0" w:color="auto"/>
      </w:divBdr>
    </w:div>
    <w:div w:id="1667393208">
      <w:bodyDiv w:val="1"/>
      <w:marLeft w:val="0"/>
      <w:marRight w:val="0"/>
      <w:marTop w:val="0"/>
      <w:marBottom w:val="0"/>
      <w:divBdr>
        <w:top w:val="none" w:sz="0" w:space="0" w:color="auto"/>
        <w:left w:val="none" w:sz="0" w:space="0" w:color="auto"/>
        <w:bottom w:val="none" w:sz="0" w:space="0" w:color="auto"/>
        <w:right w:val="none" w:sz="0" w:space="0" w:color="auto"/>
      </w:divBdr>
    </w:div>
    <w:div w:id="1667975528">
      <w:bodyDiv w:val="1"/>
      <w:marLeft w:val="0"/>
      <w:marRight w:val="0"/>
      <w:marTop w:val="0"/>
      <w:marBottom w:val="0"/>
      <w:divBdr>
        <w:top w:val="none" w:sz="0" w:space="0" w:color="auto"/>
        <w:left w:val="none" w:sz="0" w:space="0" w:color="auto"/>
        <w:bottom w:val="none" w:sz="0" w:space="0" w:color="auto"/>
        <w:right w:val="none" w:sz="0" w:space="0" w:color="auto"/>
      </w:divBdr>
    </w:div>
    <w:div w:id="1669095201">
      <w:bodyDiv w:val="1"/>
      <w:marLeft w:val="0"/>
      <w:marRight w:val="0"/>
      <w:marTop w:val="0"/>
      <w:marBottom w:val="0"/>
      <w:divBdr>
        <w:top w:val="none" w:sz="0" w:space="0" w:color="auto"/>
        <w:left w:val="none" w:sz="0" w:space="0" w:color="auto"/>
        <w:bottom w:val="none" w:sz="0" w:space="0" w:color="auto"/>
        <w:right w:val="none" w:sz="0" w:space="0" w:color="auto"/>
      </w:divBdr>
    </w:div>
    <w:div w:id="1670326176">
      <w:bodyDiv w:val="1"/>
      <w:marLeft w:val="0"/>
      <w:marRight w:val="0"/>
      <w:marTop w:val="0"/>
      <w:marBottom w:val="0"/>
      <w:divBdr>
        <w:top w:val="none" w:sz="0" w:space="0" w:color="auto"/>
        <w:left w:val="none" w:sz="0" w:space="0" w:color="auto"/>
        <w:bottom w:val="none" w:sz="0" w:space="0" w:color="auto"/>
        <w:right w:val="none" w:sz="0" w:space="0" w:color="auto"/>
      </w:divBdr>
    </w:div>
    <w:div w:id="1670906151">
      <w:bodyDiv w:val="1"/>
      <w:marLeft w:val="0"/>
      <w:marRight w:val="0"/>
      <w:marTop w:val="0"/>
      <w:marBottom w:val="0"/>
      <w:divBdr>
        <w:top w:val="none" w:sz="0" w:space="0" w:color="auto"/>
        <w:left w:val="none" w:sz="0" w:space="0" w:color="auto"/>
        <w:bottom w:val="none" w:sz="0" w:space="0" w:color="auto"/>
        <w:right w:val="none" w:sz="0" w:space="0" w:color="auto"/>
      </w:divBdr>
    </w:div>
    <w:div w:id="1671177193">
      <w:bodyDiv w:val="1"/>
      <w:marLeft w:val="0"/>
      <w:marRight w:val="0"/>
      <w:marTop w:val="0"/>
      <w:marBottom w:val="0"/>
      <w:divBdr>
        <w:top w:val="none" w:sz="0" w:space="0" w:color="auto"/>
        <w:left w:val="none" w:sz="0" w:space="0" w:color="auto"/>
        <w:bottom w:val="none" w:sz="0" w:space="0" w:color="auto"/>
        <w:right w:val="none" w:sz="0" w:space="0" w:color="auto"/>
      </w:divBdr>
    </w:div>
    <w:div w:id="1671833760">
      <w:bodyDiv w:val="1"/>
      <w:marLeft w:val="0"/>
      <w:marRight w:val="0"/>
      <w:marTop w:val="0"/>
      <w:marBottom w:val="0"/>
      <w:divBdr>
        <w:top w:val="none" w:sz="0" w:space="0" w:color="auto"/>
        <w:left w:val="none" w:sz="0" w:space="0" w:color="auto"/>
        <w:bottom w:val="none" w:sz="0" w:space="0" w:color="auto"/>
        <w:right w:val="none" w:sz="0" w:space="0" w:color="auto"/>
      </w:divBdr>
    </w:div>
    <w:div w:id="1673213973">
      <w:bodyDiv w:val="1"/>
      <w:marLeft w:val="0"/>
      <w:marRight w:val="0"/>
      <w:marTop w:val="0"/>
      <w:marBottom w:val="0"/>
      <w:divBdr>
        <w:top w:val="none" w:sz="0" w:space="0" w:color="auto"/>
        <w:left w:val="none" w:sz="0" w:space="0" w:color="auto"/>
        <w:bottom w:val="none" w:sz="0" w:space="0" w:color="auto"/>
        <w:right w:val="none" w:sz="0" w:space="0" w:color="auto"/>
      </w:divBdr>
    </w:div>
    <w:div w:id="1673484051">
      <w:bodyDiv w:val="1"/>
      <w:marLeft w:val="0"/>
      <w:marRight w:val="0"/>
      <w:marTop w:val="0"/>
      <w:marBottom w:val="0"/>
      <w:divBdr>
        <w:top w:val="none" w:sz="0" w:space="0" w:color="auto"/>
        <w:left w:val="none" w:sz="0" w:space="0" w:color="auto"/>
        <w:bottom w:val="none" w:sz="0" w:space="0" w:color="auto"/>
        <w:right w:val="none" w:sz="0" w:space="0" w:color="auto"/>
      </w:divBdr>
    </w:div>
    <w:div w:id="1677996635">
      <w:bodyDiv w:val="1"/>
      <w:marLeft w:val="0"/>
      <w:marRight w:val="0"/>
      <w:marTop w:val="0"/>
      <w:marBottom w:val="0"/>
      <w:divBdr>
        <w:top w:val="none" w:sz="0" w:space="0" w:color="auto"/>
        <w:left w:val="none" w:sz="0" w:space="0" w:color="auto"/>
        <w:bottom w:val="none" w:sz="0" w:space="0" w:color="auto"/>
        <w:right w:val="none" w:sz="0" w:space="0" w:color="auto"/>
      </w:divBdr>
    </w:div>
    <w:div w:id="1679230428">
      <w:bodyDiv w:val="1"/>
      <w:marLeft w:val="0"/>
      <w:marRight w:val="0"/>
      <w:marTop w:val="0"/>
      <w:marBottom w:val="0"/>
      <w:divBdr>
        <w:top w:val="none" w:sz="0" w:space="0" w:color="auto"/>
        <w:left w:val="none" w:sz="0" w:space="0" w:color="auto"/>
        <w:bottom w:val="none" w:sz="0" w:space="0" w:color="auto"/>
        <w:right w:val="none" w:sz="0" w:space="0" w:color="auto"/>
      </w:divBdr>
    </w:div>
    <w:div w:id="1686010161">
      <w:bodyDiv w:val="1"/>
      <w:marLeft w:val="0"/>
      <w:marRight w:val="0"/>
      <w:marTop w:val="0"/>
      <w:marBottom w:val="0"/>
      <w:divBdr>
        <w:top w:val="none" w:sz="0" w:space="0" w:color="auto"/>
        <w:left w:val="none" w:sz="0" w:space="0" w:color="auto"/>
        <w:bottom w:val="none" w:sz="0" w:space="0" w:color="auto"/>
        <w:right w:val="none" w:sz="0" w:space="0" w:color="auto"/>
      </w:divBdr>
    </w:div>
    <w:div w:id="1690568014">
      <w:bodyDiv w:val="1"/>
      <w:marLeft w:val="0"/>
      <w:marRight w:val="0"/>
      <w:marTop w:val="0"/>
      <w:marBottom w:val="0"/>
      <w:divBdr>
        <w:top w:val="none" w:sz="0" w:space="0" w:color="auto"/>
        <w:left w:val="none" w:sz="0" w:space="0" w:color="auto"/>
        <w:bottom w:val="none" w:sz="0" w:space="0" w:color="auto"/>
        <w:right w:val="none" w:sz="0" w:space="0" w:color="auto"/>
      </w:divBdr>
    </w:div>
    <w:div w:id="1692871844">
      <w:bodyDiv w:val="1"/>
      <w:marLeft w:val="0"/>
      <w:marRight w:val="0"/>
      <w:marTop w:val="0"/>
      <w:marBottom w:val="0"/>
      <w:divBdr>
        <w:top w:val="none" w:sz="0" w:space="0" w:color="auto"/>
        <w:left w:val="none" w:sz="0" w:space="0" w:color="auto"/>
        <w:bottom w:val="none" w:sz="0" w:space="0" w:color="auto"/>
        <w:right w:val="none" w:sz="0" w:space="0" w:color="auto"/>
      </w:divBdr>
    </w:div>
    <w:div w:id="1694188316">
      <w:bodyDiv w:val="1"/>
      <w:marLeft w:val="0"/>
      <w:marRight w:val="0"/>
      <w:marTop w:val="0"/>
      <w:marBottom w:val="0"/>
      <w:divBdr>
        <w:top w:val="none" w:sz="0" w:space="0" w:color="auto"/>
        <w:left w:val="none" w:sz="0" w:space="0" w:color="auto"/>
        <w:bottom w:val="none" w:sz="0" w:space="0" w:color="auto"/>
        <w:right w:val="none" w:sz="0" w:space="0" w:color="auto"/>
      </w:divBdr>
    </w:div>
    <w:div w:id="1695111466">
      <w:bodyDiv w:val="1"/>
      <w:marLeft w:val="0"/>
      <w:marRight w:val="0"/>
      <w:marTop w:val="0"/>
      <w:marBottom w:val="0"/>
      <w:divBdr>
        <w:top w:val="none" w:sz="0" w:space="0" w:color="auto"/>
        <w:left w:val="none" w:sz="0" w:space="0" w:color="auto"/>
        <w:bottom w:val="none" w:sz="0" w:space="0" w:color="auto"/>
        <w:right w:val="none" w:sz="0" w:space="0" w:color="auto"/>
      </w:divBdr>
    </w:div>
    <w:div w:id="1698502411">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700086116">
      <w:bodyDiv w:val="1"/>
      <w:marLeft w:val="0"/>
      <w:marRight w:val="0"/>
      <w:marTop w:val="0"/>
      <w:marBottom w:val="0"/>
      <w:divBdr>
        <w:top w:val="none" w:sz="0" w:space="0" w:color="auto"/>
        <w:left w:val="none" w:sz="0" w:space="0" w:color="auto"/>
        <w:bottom w:val="none" w:sz="0" w:space="0" w:color="auto"/>
        <w:right w:val="none" w:sz="0" w:space="0" w:color="auto"/>
      </w:divBdr>
    </w:div>
    <w:div w:id="1700743116">
      <w:bodyDiv w:val="1"/>
      <w:marLeft w:val="0"/>
      <w:marRight w:val="0"/>
      <w:marTop w:val="0"/>
      <w:marBottom w:val="0"/>
      <w:divBdr>
        <w:top w:val="none" w:sz="0" w:space="0" w:color="auto"/>
        <w:left w:val="none" w:sz="0" w:space="0" w:color="auto"/>
        <w:bottom w:val="none" w:sz="0" w:space="0" w:color="auto"/>
        <w:right w:val="none" w:sz="0" w:space="0" w:color="auto"/>
      </w:divBdr>
    </w:div>
    <w:div w:id="1702126046">
      <w:bodyDiv w:val="1"/>
      <w:marLeft w:val="0"/>
      <w:marRight w:val="0"/>
      <w:marTop w:val="0"/>
      <w:marBottom w:val="0"/>
      <w:divBdr>
        <w:top w:val="none" w:sz="0" w:space="0" w:color="auto"/>
        <w:left w:val="none" w:sz="0" w:space="0" w:color="auto"/>
        <w:bottom w:val="none" w:sz="0" w:space="0" w:color="auto"/>
        <w:right w:val="none" w:sz="0" w:space="0" w:color="auto"/>
      </w:divBdr>
    </w:div>
    <w:div w:id="1706638365">
      <w:bodyDiv w:val="1"/>
      <w:marLeft w:val="0"/>
      <w:marRight w:val="0"/>
      <w:marTop w:val="0"/>
      <w:marBottom w:val="0"/>
      <w:divBdr>
        <w:top w:val="none" w:sz="0" w:space="0" w:color="auto"/>
        <w:left w:val="none" w:sz="0" w:space="0" w:color="auto"/>
        <w:bottom w:val="none" w:sz="0" w:space="0" w:color="auto"/>
        <w:right w:val="none" w:sz="0" w:space="0" w:color="auto"/>
      </w:divBdr>
    </w:div>
    <w:div w:id="1708680699">
      <w:bodyDiv w:val="1"/>
      <w:marLeft w:val="0"/>
      <w:marRight w:val="0"/>
      <w:marTop w:val="0"/>
      <w:marBottom w:val="0"/>
      <w:divBdr>
        <w:top w:val="none" w:sz="0" w:space="0" w:color="auto"/>
        <w:left w:val="none" w:sz="0" w:space="0" w:color="auto"/>
        <w:bottom w:val="none" w:sz="0" w:space="0" w:color="auto"/>
        <w:right w:val="none" w:sz="0" w:space="0" w:color="auto"/>
      </w:divBdr>
    </w:div>
    <w:div w:id="1713193396">
      <w:bodyDiv w:val="1"/>
      <w:marLeft w:val="0"/>
      <w:marRight w:val="0"/>
      <w:marTop w:val="0"/>
      <w:marBottom w:val="0"/>
      <w:divBdr>
        <w:top w:val="none" w:sz="0" w:space="0" w:color="auto"/>
        <w:left w:val="none" w:sz="0" w:space="0" w:color="auto"/>
        <w:bottom w:val="none" w:sz="0" w:space="0" w:color="auto"/>
        <w:right w:val="none" w:sz="0" w:space="0" w:color="auto"/>
      </w:divBdr>
    </w:div>
    <w:div w:id="1714309944">
      <w:bodyDiv w:val="1"/>
      <w:marLeft w:val="0"/>
      <w:marRight w:val="0"/>
      <w:marTop w:val="0"/>
      <w:marBottom w:val="0"/>
      <w:divBdr>
        <w:top w:val="none" w:sz="0" w:space="0" w:color="auto"/>
        <w:left w:val="none" w:sz="0" w:space="0" w:color="auto"/>
        <w:bottom w:val="none" w:sz="0" w:space="0" w:color="auto"/>
        <w:right w:val="none" w:sz="0" w:space="0" w:color="auto"/>
      </w:divBdr>
    </w:div>
    <w:div w:id="1725449804">
      <w:bodyDiv w:val="1"/>
      <w:marLeft w:val="0"/>
      <w:marRight w:val="0"/>
      <w:marTop w:val="0"/>
      <w:marBottom w:val="0"/>
      <w:divBdr>
        <w:top w:val="none" w:sz="0" w:space="0" w:color="auto"/>
        <w:left w:val="none" w:sz="0" w:space="0" w:color="auto"/>
        <w:bottom w:val="none" w:sz="0" w:space="0" w:color="auto"/>
        <w:right w:val="none" w:sz="0" w:space="0" w:color="auto"/>
      </w:divBdr>
    </w:div>
    <w:div w:id="1726219477">
      <w:bodyDiv w:val="1"/>
      <w:marLeft w:val="0"/>
      <w:marRight w:val="0"/>
      <w:marTop w:val="0"/>
      <w:marBottom w:val="0"/>
      <w:divBdr>
        <w:top w:val="none" w:sz="0" w:space="0" w:color="auto"/>
        <w:left w:val="none" w:sz="0" w:space="0" w:color="auto"/>
        <w:bottom w:val="none" w:sz="0" w:space="0" w:color="auto"/>
        <w:right w:val="none" w:sz="0" w:space="0" w:color="auto"/>
      </w:divBdr>
    </w:div>
    <w:div w:id="1728647310">
      <w:bodyDiv w:val="1"/>
      <w:marLeft w:val="0"/>
      <w:marRight w:val="0"/>
      <w:marTop w:val="0"/>
      <w:marBottom w:val="0"/>
      <w:divBdr>
        <w:top w:val="none" w:sz="0" w:space="0" w:color="auto"/>
        <w:left w:val="none" w:sz="0" w:space="0" w:color="auto"/>
        <w:bottom w:val="none" w:sz="0" w:space="0" w:color="auto"/>
        <w:right w:val="none" w:sz="0" w:space="0" w:color="auto"/>
      </w:divBdr>
    </w:div>
    <w:div w:id="1729110761">
      <w:bodyDiv w:val="1"/>
      <w:marLeft w:val="0"/>
      <w:marRight w:val="0"/>
      <w:marTop w:val="0"/>
      <w:marBottom w:val="0"/>
      <w:divBdr>
        <w:top w:val="none" w:sz="0" w:space="0" w:color="auto"/>
        <w:left w:val="none" w:sz="0" w:space="0" w:color="auto"/>
        <w:bottom w:val="none" w:sz="0" w:space="0" w:color="auto"/>
        <w:right w:val="none" w:sz="0" w:space="0" w:color="auto"/>
      </w:divBdr>
    </w:div>
    <w:div w:id="1734158926">
      <w:bodyDiv w:val="1"/>
      <w:marLeft w:val="0"/>
      <w:marRight w:val="0"/>
      <w:marTop w:val="0"/>
      <w:marBottom w:val="0"/>
      <w:divBdr>
        <w:top w:val="none" w:sz="0" w:space="0" w:color="auto"/>
        <w:left w:val="none" w:sz="0" w:space="0" w:color="auto"/>
        <w:bottom w:val="none" w:sz="0" w:space="0" w:color="auto"/>
        <w:right w:val="none" w:sz="0" w:space="0" w:color="auto"/>
      </w:divBdr>
    </w:div>
    <w:div w:id="1735659861">
      <w:bodyDiv w:val="1"/>
      <w:marLeft w:val="0"/>
      <w:marRight w:val="0"/>
      <w:marTop w:val="0"/>
      <w:marBottom w:val="0"/>
      <w:divBdr>
        <w:top w:val="none" w:sz="0" w:space="0" w:color="auto"/>
        <w:left w:val="none" w:sz="0" w:space="0" w:color="auto"/>
        <w:bottom w:val="none" w:sz="0" w:space="0" w:color="auto"/>
        <w:right w:val="none" w:sz="0" w:space="0" w:color="auto"/>
      </w:divBdr>
    </w:div>
    <w:div w:id="1740515305">
      <w:bodyDiv w:val="1"/>
      <w:marLeft w:val="0"/>
      <w:marRight w:val="0"/>
      <w:marTop w:val="0"/>
      <w:marBottom w:val="0"/>
      <w:divBdr>
        <w:top w:val="none" w:sz="0" w:space="0" w:color="auto"/>
        <w:left w:val="none" w:sz="0" w:space="0" w:color="auto"/>
        <w:bottom w:val="none" w:sz="0" w:space="0" w:color="auto"/>
        <w:right w:val="none" w:sz="0" w:space="0" w:color="auto"/>
      </w:divBdr>
    </w:div>
    <w:div w:id="1743403496">
      <w:bodyDiv w:val="1"/>
      <w:marLeft w:val="0"/>
      <w:marRight w:val="0"/>
      <w:marTop w:val="0"/>
      <w:marBottom w:val="0"/>
      <w:divBdr>
        <w:top w:val="none" w:sz="0" w:space="0" w:color="auto"/>
        <w:left w:val="none" w:sz="0" w:space="0" w:color="auto"/>
        <w:bottom w:val="none" w:sz="0" w:space="0" w:color="auto"/>
        <w:right w:val="none" w:sz="0" w:space="0" w:color="auto"/>
      </w:divBdr>
    </w:div>
    <w:div w:id="1749615754">
      <w:bodyDiv w:val="1"/>
      <w:marLeft w:val="0"/>
      <w:marRight w:val="0"/>
      <w:marTop w:val="0"/>
      <w:marBottom w:val="0"/>
      <w:divBdr>
        <w:top w:val="none" w:sz="0" w:space="0" w:color="auto"/>
        <w:left w:val="none" w:sz="0" w:space="0" w:color="auto"/>
        <w:bottom w:val="none" w:sz="0" w:space="0" w:color="auto"/>
        <w:right w:val="none" w:sz="0" w:space="0" w:color="auto"/>
      </w:divBdr>
    </w:div>
    <w:div w:id="1750493385">
      <w:bodyDiv w:val="1"/>
      <w:marLeft w:val="0"/>
      <w:marRight w:val="0"/>
      <w:marTop w:val="0"/>
      <w:marBottom w:val="0"/>
      <w:divBdr>
        <w:top w:val="none" w:sz="0" w:space="0" w:color="auto"/>
        <w:left w:val="none" w:sz="0" w:space="0" w:color="auto"/>
        <w:bottom w:val="none" w:sz="0" w:space="0" w:color="auto"/>
        <w:right w:val="none" w:sz="0" w:space="0" w:color="auto"/>
      </w:divBdr>
    </w:div>
    <w:div w:id="1754087558">
      <w:bodyDiv w:val="1"/>
      <w:marLeft w:val="0"/>
      <w:marRight w:val="0"/>
      <w:marTop w:val="0"/>
      <w:marBottom w:val="0"/>
      <w:divBdr>
        <w:top w:val="none" w:sz="0" w:space="0" w:color="auto"/>
        <w:left w:val="none" w:sz="0" w:space="0" w:color="auto"/>
        <w:bottom w:val="none" w:sz="0" w:space="0" w:color="auto"/>
        <w:right w:val="none" w:sz="0" w:space="0" w:color="auto"/>
      </w:divBdr>
    </w:div>
    <w:div w:id="1755392585">
      <w:bodyDiv w:val="1"/>
      <w:marLeft w:val="0"/>
      <w:marRight w:val="0"/>
      <w:marTop w:val="0"/>
      <w:marBottom w:val="0"/>
      <w:divBdr>
        <w:top w:val="none" w:sz="0" w:space="0" w:color="auto"/>
        <w:left w:val="none" w:sz="0" w:space="0" w:color="auto"/>
        <w:bottom w:val="none" w:sz="0" w:space="0" w:color="auto"/>
        <w:right w:val="none" w:sz="0" w:space="0" w:color="auto"/>
      </w:divBdr>
    </w:div>
    <w:div w:id="1755861200">
      <w:bodyDiv w:val="1"/>
      <w:marLeft w:val="0"/>
      <w:marRight w:val="0"/>
      <w:marTop w:val="0"/>
      <w:marBottom w:val="0"/>
      <w:divBdr>
        <w:top w:val="none" w:sz="0" w:space="0" w:color="auto"/>
        <w:left w:val="none" w:sz="0" w:space="0" w:color="auto"/>
        <w:bottom w:val="none" w:sz="0" w:space="0" w:color="auto"/>
        <w:right w:val="none" w:sz="0" w:space="0" w:color="auto"/>
      </w:divBdr>
    </w:div>
    <w:div w:id="1759056784">
      <w:bodyDiv w:val="1"/>
      <w:marLeft w:val="0"/>
      <w:marRight w:val="0"/>
      <w:marTop w:val="0"/>
      <w:marBottom w:val="0"/>
      <w:divBdr>
        <w:top w:val="none" w:sz="0" w:space="0" w:color="auto"/>
        <w:left w:val="none" w:sz="0" w:space="0" w:color="auto"/>
        <w:bottom w:val="none" w:sz="0" w:space="0" w:color="auto"/>
        <w:right w:val="none" w:sz="0" w:space="0" w:color="auto"/>
      </w:divBdr>
    </w:div>
    <w:div w:id="1768503671">
      <w:bodyDiv w:val="1"/>
      <w:marLeft w:val="0"/>
      <w:marRight w:val="0"/>
      <w:marTop w:val="0"/>
      <w:marBottom w:val="0"/>
      <w:divBdr>
        <w:top w:val="none" w:sz="0" w:space="0" w:color="auto"/>
        <w:left w:val="none" w:sz="0" w:space="0" w:color="auto"/>
        <w:bottom w:val="none" w:sz="0" w:space="0" w:color="auto"/>
        <w:right w:val="none" w:sz="0" w:space="0" w:color="auto"/>
      </w:divBdr>
    </w:div>
    <w:div w:id="1768574048">
      <w:bodyDiv w:val="1"/>
      <w:marLeft w:val="0"/>
      <w:marRight w:val="0"/>
      <w:marTop w:val="0"/>
      <w:marBottom w:val="0"/>
      <w:divBdr>
        <w:top w:val="none" w:sz="0" w:space="0" w:color="auto"/>
        <w:left w:val="none" w:sz="0" w:space="0" w:color="auto"/>
        <w:bottom w:val="none" w:sz="0" w:space="0" w:color="auto"/>
        <w:right w:val="none" w:sz="0" w:space="0" w:color="auto"/>
      </w:divBdr>
    </w:div>
    <w:div w:id="1772579899">
      <w:bodyDiv w:val="1"/>
      <w:marLeft w:val="0"/>
      <w:marRight w:val="0"/>
      <w:marTop w:val="0"/>
      <w:marBottom w:val="0"/>
      <w:divBdr>
        <w:top w:val="none" w:sz="0" w:space="0" w:color="auto"/>
        <w:left w:val="none" w:sz="0" w:space="0" w:color="auto"/>
        <w:bottom w:val="none" w:sz="0" w:space="0" w:color="auto"/>
        <w:right w:val="none" w:sz="0" w:space="0" w:color="auto"/>
      </w:divBdr>
    </w:div>
    <w:div w:id="1774860434">
      <w:bodyDiv w:val="1"/>
      <w:marLeft w:val="0"/>
      <w:marRight w:val="0"/>
      <w:marTop w:val="0"/>
      <w:marBottom w:val="0"/>
      <w:divBdr>
        <w:top w:val="none" w:sz="0" w:space="0" w:color="auto"/>
        <w:left w:val="none" w:sz="0" w:space="0" w:color="auto"/>
        <w:bottom w:val="none" w:sz="0" w:space="0" w:color="auto"/>
        <w:right w:val="none" w:sz="0" w:space="0" w:color="auto"/>
      </w:divBdr>
    </w:div>
    <w:div w:id="1775323573">
      <w:bodyDiv w:val="1"/>
      <w:marLeft w:val="0"/>
      <w:marRight w:val="0"/>
      <w:marTop w:val="0"/>
      <w:marBottom w:val="0"/>
      <w:divBdr>
        <w:top w:val="none" w:sz="0" w:space="0" w:color="auto"/>
        <w:left w:val="none" w:sz="0" w:space="0" w:color="auto"/>
        <w:bottom w:val="none" w:sz="0" w:space="0" w:color="auto"/>
        <w:right w:val="none" w:sz="0" w:space="0" w:color="auto"/>
      </w:divBdr>
    </w:div>
    <w:div w:id="1777292900">
      <w:bodyDiv w:val="1"/>
      <w:marLeft w:val="0"/>
      <w:marRight w:val="0"/>
      <w:marTop w:val="0"/>
      <w:marBottom w:val="0"/>
      <w:divBdr>
        <w:top w:val="none" w:sz="0" w:space="0" w:color="auto"/>
        <w:left w:val="none" w:sz="0" w:space="0" w:color="auto"/>
        <w:bottom w:val="none" w:sz="0" w:space="0" w:color="auto"/>
        <w:right w:val="none" w:sz="0" w:space="0" w:color="auto"/>
      </w:divBdr>
    </w:div>
    <w:div w:id="1792165527">
      <w:bodyDiv w:val="1"/>
      <w:marLeft w:val="0"/>
      <w:marRight w:val="0"/>
      <w:marTop w:val="0"/>
      <w:marBottom w:val="0"/>
      <w:divBdr>
        <w:top w:val="none" w:sz="0" w:space="0" w:color="auto"/>
        <w:left w:val="none" w:sz="0" w:space="0" w:color="auto"/>
        <w:bottom w:val="none" w:sz="0" w:space="0" w:color="auto"/>
        <w:right w:val="none" w:sz="0" w:space="0" w:color="auto"/>
      </w:divBdr>
    </w:div>
    <w:div w:id="1793480759">
      <w:bodyDiv w:val="1"/>
      <w:marLeft w:val="0"/>
      <w:marRight w:val="0"/>
      <w:marTop w:val="0"/>
      <w:marBottom w:val="0"/>
      <w:divBdr>
        <w:top w:val="none" w:sz="0" w:space="0" w:color="auto"/>
        <w:left w:val="none" w:sz="0" w:space="0" w:color="auto"/>
        <w:bottom w:val="none" w:sz="0" w:space="0" w:color="auto"/>
        <w:right w:val="none" w:sz="0" w:space="0" w:color="auto"/>
      </w:divBdr>
    </w:div>
    <w:div w:id="1793556314">
      <w:bodyDiv w:val="1"/>
      <w:marLeft w:val="0"/>
      <w:marRight w:val="0"/>
      <w:marTop w:val="0"/>
      <w:marBottom w:val="0"/>
      <w:divBdr>
        <w:top w:val="none" w:sz="0" w:space="0" w:color="auto"/>
        <w:left w:val="none" w:sz="0" w:space="0" w:color="auto"/>
        <w:bottom w:val="none" w:sz="0" w:space="0" w:color="auto"/>
        <w:right w:val="none" w:sz="0" w:space="0" w:color="auto"/>
      </w:divBdr>
    </w:div>
    <w:div w:id="1794861967">
      <w:bodyDiv w:val="1"/>
      <w:marLeft w:val="0"/>
      <w:marRight w:val="0"/>
      <w:marTop w:val="0"/>
      <w:marBottom w:val="0"/>
      <w:divBdr>
        <w:top w:val="none" w:sz="0" w:space="0" w:color="auto"/>
        <w:left w:val="none" w:sz="0" w:space="0" w:color="auto"/>
        <w:bottom w:val="none" w:sz="0" w:space="0" w:color="auto"/>
        <w:right w:val="none" w:sz="0" w:space="0" w:color="auto"/>
      </w:divBdr>
    </w:div>
    <w:div w:id="1796866447">
      <w:bodyDiv w:val="1"/>
      <w:marLeft w:val="0"/>
      <w:marRight w:val="0"/>
      <w:marTop w:val="0"/>
      <w:marBottom w:val="0"/>
      <w:divBdr>
        <w:top w:val="none" w:sz="0" w:space="0" w:color="auto"/>
        <w:left w:val="none" w:sz="0" w:space="0" w:color="auto"/>
        <w:bottom w:val="none" w:sz="0" w:space="0" w:color="auto"/>
        <w:right w:val="none" w:sz="0" w:space="0" w:color="auto"/>
      </w:divBdr>
    </w:div>
    <w:div w:id="1796942211">
      <w:bodyDiv w:val="1"/>
      <w:marLeft w:val="0"/>
      <w:marRight w:val="0"/>
      <w:marTop w:val="0"/>
      <w:marBottom w:val="0"/>
      <w:divBdr>
        <w:top w:val="none" w:sz="0" w:space="0" w:color="auto"/>
        <w:left w:val="none" w:sz="0" w:space="0" w:color="auto"/>
        <w:bottom w:val="none" w:sz="0" w:space="0" w:color="auto"/>
        <w:right w:val="none" w:sz="0" w:space="0" w:color="auto"/>
      </w:divBdr>
    </w:div>
    <w:div w:id="1800109420">
      <w:bodyDiv w:val="1"/>
      <w:marLeft w:val="0"/>
      <w:marRight w:val="0"/>
      <w:marTop w:val="0"/>
      <w:marBottom w:val="0"/>
      <w:divBdr>
        <w:top w:val="none" w:sz="0" w:space="0" w:color="auto"/>
        <w:left w:val="none" w:sz="0" w:space="0" w:color="auto"/>
        <w:bottom w:val="none" w:sz="0" w:space="0" w:color="auto"/>
        <w:right w:val="none" w:sz="0" w:space="0" w:color="auto"/>
      </w:divBdr>
    </w:div>
    <w:div w:id="1805388770">
      <w:bodyDiv w:val="1"/>
      <w:marLeft w:val="0"/>
      <w:marRight w:val="0"/>
      <w:marTop w:val="0"/>
      <w:marBottom w:val="0"/>
      <w:divBdr>
        <w:top w:val="none" w:sz="0" w:space="0" w:color="auto"/>
        <w:left w:val="none" w:sz="0" w:space="0" w:color="auto"/>
        <w:bottom w:val="none" w:sz="0" w:space="0" w:color="auto"/>
        <w:right w:val="none" w:sz="0" w:space="0" w:color="auto"/>
      </w:divBdr>
    </w:div>
    <w:div w:id="1806046104">
      <w:bodyDiv w:val="1"/>
      <w:marLeft w:val="0"/>
      <w:marRight w:val="0"/>
      <w:marTop w:val="0"/>
      <w:marBottom w:val="0"/>
      <w:divBdr>
        <w:top w:val="none" w:sz="0" w:space="0" w:color="auto"/>
        <w:left w:val="none" w:sz="0" w:space="0" w:color="auto"/>
        <w:bottom w:val="none" w:sz="0" w:space="0" w:color="auto"/>
        <w:right w:val="none" w:sz="0" w:space="0" w:color="auto"/>
      </w:divBdr>
    </w:div>
    <w:div w:id="1809661692">
      <w:bodyDiv w:val="1"/>
      <w:marLeft w:val="0"/>
      <w:marRight w:val="0"/>
      <w:marTop w:val="0"/>
      <w:marBottom w:val="0"/>
      <w:divBdr>
        <w:top w:val="none" w:sz="0" w:space="0" w:color="auto"/>
        <w:left w:val="none" w:sz="0" w:space="0" w:color="auto"/>
        <w:bottom w:val="none" w:sz="0" w:space="0" w:color="auto"/>
        <w:right w:val="none" w:sz="0" w:space="0" w:color="auto"/>
      </w:divBdr>
    </w:div>
    <w:div w:id="1814567309">
      <w:bodyDiv w:val="1"/>
      <w:marLeft w:val="0"/>
      <w:marRight w:val="0"/>
      <w:marTop w:val="0"/>
      <w:marBottom w:val="0"/>
      <w:divBdr>
        <w:top w:val="none" w:sz="0" w:space="0" w:color="auto"/>
        <w:left w:val="none" w:sz="0" w:space="0" w:color="auto"/>
        <w:bottom w:val="none" w:sz="0" w:space="0" w:color="auto"/>
        <w:right w:val="none" w:sz="0" w:space="0" w:color="auto"/>
      </w:divBdr>
    </w:div>
    <w:div w:id="1815180279">
      <w:bodyDiv w:val="1"/>
      <w:marLeft w:val="0"/>
      <w:marRight w:val="0"/>
      <w:marTop w:val="0"/>
      <w:marBottom w:val="0"/>
      <w:divBdr>
        <w:top w:val="none" w:sz="0" w:space="0" w:color="auto"/>
        <w:left w:val="none" w:sz="0" w:space="0" w:color="auto"/>
        <w:bottom w:val="none" w:sz="0" w:space="0" w:color="auto"/>
        <w:right w:val="none" w:sz="0" w:space="0" w:color="auto"/>
      </w:divBdr>
    </w:div>
    <w:div w:id="1816098633">
      <w:bodyDiv w:val="1"/>
      <w:marLeft w:val="0"/>
      <w:marRight w:val="0"/>
      <w:marTop w:val="0"/>
      <w:marBottom w:val="0"/>
      <w:divBdr>
        <w:top w:val="none" w:sz="0" w:space="0" w:color="auto"/>
        <w:left w:val="none" w:sz="0" w:space="0" w:color="auto"/>
        <w:bottom w:val="none" w:sz="0" w:space="0" w:color="auto"/>
        <w:right w:val="none" w:sz="0" w:space="0" w:color="auto"/>
      </w:divBdr>
    </w:div>
    <w:div w:id="1816407638">
      <w:bodyDiv w:val="1"/>
      <w:marLeft w:val="0"/>
      <w:marRight w:val="0"/>
      <w:marTop w:val="0"/>
      <w:marBottom w:val="0"/>
      <w:divBdr>
        <w:top w:val="none" w:sz="0" w:space="0" w:color="auto"/>
        <w:left w:val="none" w:sz="0" w:space="0" w:color="auto"/>
        <w:bottom w:val="none" w:sz="0" w:space="0" w:color="auto"/>
        <w:right w:val="none" w:sz="0" w:space="0" w:color="auto"/>
      </w:divBdr>
    </w:div>
    <w:div w:id="1819111576">
      <w:bodyDiv w:val="1"/>
      <w:marLeft w:val="0"/>
      <w:marRight w:val="0"/>
      <w:marTop w:val="0"/>
      <w:marBottom w:val="0"/>
      <w:divBdr>
        <w:top w:val="none" w:sz="0" w:space="0" w:color="auto"/>
        <w:left w:val="none" w:sz="0" w:space="0" w:color="auto"/>
        <w:bottom w:val="none" w:sz="0" w:space="0" w:color="auto"/>
        <w:right w:val="none" w:sz="0" w:space="0" w:color="auto"/>
      </w:divBdr>
    </w:div>
    <w:div w:id="1820609180">
      <w:bodyDiv w:val="1"/>
      <w:marLeft w:val="0"/>
      <w:marRight w:val="0"/>
      <w:marTop w:val="0"/>
      <w:marBottom w:val="0"/>
      <w:divBdr>
        <w:top w:val="none" w:sz="0" w:space="0" w:color="auto"/>
        <w:left w:val="none" w:sz="0" w:space="0" w:color="auto"/>
        <w:bottom w:val="none" w:sz="0" w:space="0" w:color="auto"/>
        <w:right w:val="none" w:sz="0" w:space="0" w:color="auto"/>
      </w:divBdr>
    </w:div>
    <w:div w:id="1828083189">
      <w:bodyDiv w:val="1"/>
      <w:marLeft w:val="0"/>
      <w:marRight w:val="0"/>
      <w:marTop w:val="0"/>
      <w:marBottom w:val="0"/>
      <w:divBdr>
        <w:top w:val="none" w:sz="0" w:space="0" w:color="auto"/>
        <w:left w:val="none" w:sz="0" w:space="0" w:color="auto"/>
        <w:bottom w:val="none" w:sz="0" w:space="0" w:color="auto"/>
        <w:right w:val="none" w:sz="0" w:space="0" w:color="auto"/>
      </w:divBdr>
    </w:div>
    <w:div w:id="1830944836">
      <w:bodyDiv w:val="1"/>
      <w:marLeft w:val="0"/>
      <w:marRight w:val="0"/>
      <w:marTop w:val="0"/>
      <w:marBottom w:val="0"/>
      <w:divBdr>
        <w:top w:val="none" w:sz="0" w:space="0" w:color="auto"/>
        <w:left w:val="none" w:sz="0" w:space="0" w:color="auto"/>
        <w:bottom w:val="none" w:sz="0" w:space="0" w:color="auto"/>
        <w:right w:val="none" w:sz="0" w:space="0" w:color="auto"/>
      </w:divBdr>
    </w:div>
    <w:div w:id="1831821467">
      <w:bodyDiv w:val="1"/>
      <w:marLeft w:val="0"/>
      <w:marRight w:val="0"/>
      <w:marTop w:val="0"/>
      <w:marBottom w:val="0"/>
      <w:divBdr>
        <w:top w:val="none" w:sz="0" w:space="0" w:color="auto"/>
        <w:left w:val="none" w:sz="0" w:space="0" w:color="auto"/>
        <w:bottom w:val="none" w:sz="0" w:space="0" w:color="auto"/>
        <w:right w:val="none" w:sz="0" w:space="0" w:color="auto"/>
      </w:divBdr>
    </w:div>
    <w:div w:id="1838962147">
      <w:bodyDiv w:val="1"/>
      <w:marLeft w:val="0"/>
      <w:marRight w:val="0"/>
      <w:marTop w:val="0"/>
      <w:marBottom w:val="0"/>
      <w:divBdr>
        <w:top w:val="none" w:sz="0" w:space="0" w:color="auto"/>
        <w:left w:val="none" w:sz="0" w:space="0" w:color="auto"/>
        <w:bottom w:val="none" w:sz="0" w:space="0" w:color="auto"/>
        <w:right w:val="none" w:sz="0" w:space="0" w:color="auto"/>
      </w:divBdr>
    </w:div>
    <w:div w:id="1839804725">
      <w:bodyDiv w:val="1"/>
      <w:marLeft w:val="0"/>
      <w:marRight w:val="0"/>
      <w:marTop w:val="0"/>
      <w:marBottom w:val="0"/>
      <w:divBdr>
        <w:top w:val="none" w:sz="0" w:space="0" w:color="auto"/>
        <w:left w:val="none" w:sz="0" w:space="0" w:color="auto"/>
        <w:bottom w:val="none" w:sz="0" w:space="0" w:color="auto"/>
        <w:right w:val="none" w:sz="0" w:space="0" w:color="auto"/>
      </w:divBdr>
    </w:div>
    <w:div w:id="1845898859">
      <w:bodyDiv w:val="1"/>
      <w:marLeft w:val="0"/>
      <w:marRight w:val="0"/>
      <w:marTop w:val="0"/>
      <w:marBottom w:val="0"/>
      <w:divBdr>
        <w:top w:val="none" w:sz="0" w:space="0" w:color="auto"/>
        <w:left w:val="none" w:sz="0" w:space="0" w:color="auto"/>
        <w:bottom w:val="none" w:sz="0" w:space="0" w:color="auto"/>
        <w:right w:val="none" w:sz="0" w:space="0" w:color="auto"/>
      </w:divBdr>
    </w:div>
    <w:div w:id="1852647397">
      <w:bodyDiv w:val="1"/>
      <w:marLeft w:val="0"/>
      <w:marRight w:val="0"/>
      <w:marTop w:val="0"/>
      <w:marBottom w:val="0"/>
      <w:divBdr>
        <w:top w:val="none" w:sz="0" w:space="0" w:color="auto"/>
        <w:left w:val="none" w:sz="0" w:space="0" w:color="auto"/>
        <w:bottom w:val="none" w:sz="0" w:space="0" w:color="auto"/>
        <w:right w:val="none" w:sz="0" w:space="0" w:color="auto"/>
      </w:divBdr>
    </w:div>
    <w:div w:id="1852795160">
      <w:bodyDiv w:val="1"/>
      <w:marLeft w:val="0"/>
      <w:marRight w:val="0"/>
      <w:marTop w:val="0"/>
      <w:marBottom w:val="0"/>
      <w:divBdr>
        <w:top w:val="none" w:sz="0" w:space="0" w:color="auto"/>
        <w:left w:val="none" w:sz="0" w:space="0" w:color="auto"/>
        <w:bottom w:val="none" w:sz="0" w:space="0" w:color="auto"/>
        <w:right w:val="none" w:sz="0" w:space="0" w:color="auto"/>
      </w:divBdr>
    </w:div>
    <w:div w:id="1853493906">
      <w:bodyDiv w:val="1"/>
      <w:marLeft w:val="0"/>
      <w:marRight w:val="0"/>
      <w:marTop w:val="0"/>
      <w:marBottom w:val="0"/>
      <w:divBdr>
        <w:top w:val="none" w:sz="0" w:space="0" w:color="auto"/>
        <w:left w:val="none" w:sz="0" w:space="0" w:color="auto"/>
        <w:bottom w:val="none" w:sz="0" w:space="0" w:color="auto"/>
        <w:right w:val="none" w:sz="0" w:space="0" w:color="auto"/>
      </w:divBdr>
    </w:div>
    <w:div w:id="1855461251">
      <w:bodyDiv w:val="1"/>
      <w:marLeft w:val="0"/>
      <w:marRight w:val="0"/>
      <w:marTop w:val="0"/>
      <w:marBottom w:val="0"/>
      <w:divBdr>
        <w:top w:val="none" w:sz="0" w:space="0" w:color="auto"/>
        <w:left w:val="none" w:sz="0" w:space="0" w:color="auto"/>
        <w:bottom w:val="none" w:sz="0" w:space="0" w:color="auto"/>
        <w:right w:val="none" w:sz="0" w:space="0" w:color="auto"/>
      </w:divBdr>
    </w:div>
    <w:div w:id="1858810875">
      <w:bodyDiv w:val="1"/>
      <w:marLeft w:val="0"/>
      <w:marRight w:val="0"/>
      <w:marTop w:val="0"/>
      <w:marBottom w:val="0"/>
      <w:divBdr>
        <w:top w:val="none" w:sz="0" w:space="0" w:color="auto"/>
        <w:left w:val="none" w:sz="0" w:space="0" w:color="auto"/>
        <w:bottom w:val="none" w:sz="0" w:space="0" w:color="auto"/>
        <w:right w:val="none" w:sz="0" w:space="0" w:color="auto"/>
      </w:divBdr>
    </w:div>
    <w:div w:id="1858960077">
      <w:bodyDiv w:val="1"/>
      <w:marLeft w:val="0"/>
      <w:marRight w:val="0"/>
      <w:marTop w:val="0"/>
      <w:marBottom w:val="0"/>
      <w:divBdr>
        <w:top w:val="none" w:sz="0" w:space="0" w:color="auto"/>
        <w:left w:val="none" w:sz="0" w:space="0" w:color="auto"/>
        <w:bottom w:val="none" w:sz="0" w:space="0" w:color="auto"/>
        <w:right w:val="none" w:sz="0" w:space="0" w:color="auto"/>
      </w:divBdr>
    </w:div>
    <w:div w:id="1859545300">
      <w:bodyDiv w:val="1"/>
      <w:marLeft w:val="0"/>
      <w:marRight w:val="0"/>
      <w:marTop w:val="0"/>
      <w:marBottom w:val="0"/>
      <w:divBdr>
        <w:top w:val="none" w:sz="0" w:space="0" w:color="auto"/>
        <w:left w:val="none" w:sz="0" w:space="0" w:color="auto"/>
        <w:bottom w:val="none" w:sz="0" w:space="0" w:color="auto"/>
        <w:right w:val="none" w:sz="0" w:space="0" w:color="auto"/>
      </w:divBdr>
    </w:div>
    <w:div w:id="1859730768">
      <w:bodyDiv w:val="1"/>
      <w:marLeft w:val="0"/>
      <w:marRight w:val="0"/>
      <w:marTop w:val="0"/>
      <w:marBottom w:val="0"/>
      <w:divBdr>
        <w:top w:val="none" w:sz="0" w:space="0" w:color="auto"/>
        <w:left w:val="none" w:sz="0" w:space="0" w:color="auto"/>
        <w:bottom w:val="none" w:sz="0" w:space="0" w:color="auto"/>
        <w:right w:val="none" w:sz="0" w:space="0" w:color="auto"/>
      </w:divBdr>
    </w:div>
    <w:div w:id="1860125436">
      <w:bodyDiv w:val="1"/>
      <w:marLeft w:val="0"/>
      <w:marRight w:val="0"/>
      <w:marTop w:val="0"/>
      <w:marBottom w:val="0"/>
      <w:divBdr>
        <w:top w:val="none" w:sz="0" w:space="0" w:color="auto"/>
        <w:left w:val="none" w:sz="0" w:space="0" w:color="auto"/>
        <w:bottom w:val="none" w:sz="0" w:space="0" w:color="auto"/>
        <w:right w:val="none" w:sz="0" w:space="0" w:color="auto"/>
      </w:divBdr>
    </w:div>
    <w:div w:id="1861123646">
      <w:bodyDiv w:val="1"/>
      <w:marLeft w:val="0"/>
      <w:marRight w:val="0"/>
      <w:marTop w:val="0"/>
      <w:marBottom w:val="0"/>
      <w:divBdr>
        <w:top w:val="none" w:sz="0" w:space="0" w:color="auto"/>
        <w:left w:val="none" w:sz="0" w:space="0" w:color="auto"/>
        <w:bottom w:val="none" w:sz="0" w:space="0" w:color="auto"/>
        <w:right w:val="none" w:sz="0" w:space="0" w:color="auto"/>
      </w:divBdr>
    </w:div>
    <w:div w:id="1866943450">
      <w:bodyDiv w:val="1"/>
      <w:marLeft w:val="0"/>
      <w:marRight w:val="0"/>
      <w:marTop w:val="0"/>
      <w:marBottom w:val="0"/>
      <w:divBdr>
        <w:top w:val="none" w:sz="0" w:space="0" w:color="auto"/>
        <w:left w:val="none" w:sz="0" w:space="0" w:color="auto"/>
        <w:bottom w:val="none" w:sz="0" w:space="0" w:color="auto"/>
        <w:right w:val="none" w:sz="0" w:space="0" w:color="auto"/>
      </w:divBdr>
    </w:div>
    <w:div w:id="1867450015">
      <w:bodyDiv w:val="1"/>
      <w:marLeft w:val="0"/>
      <w:marRight w:val="0"/>
      <w:marTop w:val="0"/>
      <w:marBottom w:val="0"/>
      <w:divBdr>
        <w:top w:val="none" w:sz="0" w:space="0" w:color="auto"/>
        <w:left w:val="none" w:sz="0" w:space="0" w:color="auto"/>
        <w:bottom w:val="none" w:sz="0" w:space="0" w:color="auto"/>
        <w:right w:val="none" w:sz="0" w:space="0" w:color="auto"/>
      </w:divBdr>
    </w:div>
    <w:div w:id="1869373489">
      <w:bodyDiv w:val="1"/>
      <w:marLeft w:val="0"/>
      <w:marRight w:val="0"/>
      <w:marTop w:val="0"/>
      <w:marBottom w:val="0"/>
      <w:divBdr>
        <w:top w:val="none" w:sz="0" w:space="0" w:color="auto"/>
        <w:left w:val="none" w:sz="0" w:space="0" w:color="auto"/>
        <w:bottom w:val="none" w:sz="0" w:space="0" w:color="auto"/>
        <w:right w:val="none" w:sz="0" w:space="0" w:color="auto"/>
      </w:divBdr>
    </w:div>
    <w:div w:id="1871528911">
      <w:bodyDiv w:val="1"/>
      <w:marLeft w:val="0"/>
      <w:marRight w:val="0"/>
      <w:marTop w:val="0"/>
      <w:marBottom w:val="0"/>
      <w:divBdr>
        <w:top w:val="none" w:sz="0" w:space="0" w:color="auto"/>
        <w:left w:val="none" w:sz="0" w:space="0" w:color="auto"/>
        <w:bottom w:val="none" w:sz="0" w:space="0" w:color="auto"/>
        <w:right w:val="none" w:sz="0" w:space="0" w:color="auto"/>
      </w:divBdr>
    </w:div>
    <w:div w:id="1874538882">
      <w:bodyDiv w:val="1"/>
      <w:marLeft w:val="0"/>
      <w:marRight w:val="0"/>
      <w:marTop w:val="0"/>
      <w:marBottom w:val="0"/>
      <w:divBdr>
        <w:top w:val="none" w:sz="0" w:space="0" w:color="auto"/>
        <w:left w:val="none" w:sz="0" w:space="0" w:color="auto"/>
        <w:bottom w:val="none" w:sz="0" w:space="0" w:color="auto"/>
        <w:right w:val="none" w:sz="0" w:space="0" w:color="auto"/>
      </w:divBdr>
    </w:div>
    <w:div w:id="1877233800">
      <w:bodyDiv w:val="1"/>
      <w:marLeft w:val="0"/>
      <w:marRight w:val="0"/>
      <w:marTop w:val="0"/>
      <w:marBottom w:val="0"/>
      <w:divBdr>
        <w:top w:val="none" w:sz="0" w:space="0" w:color="auto"/>
        <w:left w:val="none" w:sz="0" w:space="0" w:color="auto"/>
        <w:bottom w:val="none" w:sz="0" w:space="0" w:color="auto"/>
        <w:right w:val="none" w:sz="0" w:space="0" w:color="auto"/>
      </w:divBdr>
    </w:div>
    <w:div w:id="1878858454">
      <w:bodyDiv w:val="1"/>
      <w:marLeft w:val="0"/>
      <w:marRight w:val="0"/>
      <w:marTop w:val="0"/>
      <w:marBottom w:val="0"/>
      <w:divBdr>
        <w:top w:val="none" w:sz="0" w:space="0" w:color="auto"/>
        <w:left w:val="none" w:sz="0" w:space="0" w:color="auto"/>
        <w:bottom w:val="none" w:sz="0" w:space="0" w:color="auto"/>
        <w:right w:val="none" w:sz="0" w:space="0" w:color="auto"/>
      </w:divBdr>
    </w:div>
    <w:div w:id="1880507195">
      <w:bodyDiv w:val="1"/>
      <w:marLeft w:val="0"/>
      <w:marRight w:val="0"/>
      <w:marTop w:val="0"/>
      <w:marBottom w:val="0"/>
      <w:divBdr>
        <w:top w:val="none" w:sz="0" w:space="0" w:color="auto"/>
        <w:left w:val="none" w:sz="0" w:space="0" w:color="auto"/>
        <w:bottom w:val="none" w:sz="0" w:space="0" w:color="auto"/>
        <w:right w:val="none" w:sz="0" w:space="0" w:color="auto"/>
      </w:divBdr>
    </w:div>
    <w:div w:id="1880897037">
      <w:bodyDiv w:val="1"/>
      <w:marLeft w:val="0"/>
      <w:marRight w:val="0"/>
      <w:marTop w:val="0"/>
      <w:marBottom w:val="0"/>
      <w:divBdr>
        <w:top w:val="none" w:sz="0" w:space="0" w:color="auto"/>
        <w:left w:val="none" w:sz="0" w:space="0" w:color="auto"/>
        <w:bottom w:val="none" w:sz="0" w:space="0" w:color="auto"/>
        <w:right w:val="none" w:sz="0" w:space="0" w:color="auto"/>
      </w:divBdr>
    </w:div>
    <w:div w:id="1889295736">
      <w:bodyDiv w:val="1"/>
      <w:marLeft w:val="0"/>
      <w:marRight w:val="0"/>
      <w:marTop w:val="0"/>
      <w:marBottom w:val="0"/>
      <w:divBdr>
        <w:top w:val="none" w:sz="0" w:space="0" w:color="auto"/>
        <w:left w:val="none" w:sz="0" w:space="0" w:color="auto"/>
        <w:bottom w:val="none" w:sz="0" w:space="0" w:color="auto"/>
        <w:right w:val="none" w:sz="0" w:space="0" w:color="auto"/>
      </w:divBdr>
    </w:div>
    <w:div w:id="1889606795">
      <w:bodyDiv w:val="1"/>
      <w:marLeft w:val="0"/>
      <w:marRight w:val="0"/>
      <w:marTop w:val="0"/>
      <w:marBottom w:val="0"/>
      <w:divBdr>
        <w:top w:val="none" w:sz="0" w:space="0" w:color="auto"/>
        <w:left w:val="none" w:sz="0" w:space="0" w:color="auto"/>
        <w:bottom w:val="none" w:sz="0" w:space="0" w:color="auto"/>
        <w:right w:val="none" w:sz="0" w:space="0" w:color="auto"/>
      </w:divBdr>
    </w:div>
    <w:div w:id="1890065323">
      <w:bodyDiv w:val="1"/>
      <w:marLeft w:val="0"/>
      <w:marRight w:val="0"/>
      <w:marTop w:val="0"/>
      <w:marBottom w:val="0"/>
      <w:divBdr>
        <w:top w:val="none" w:sz="0" w:space="0" w:color="auto"/>
        <w:left w:val="none" w:sz="0" w:space="0" w:color="auto"/>
        <w:bottom w:val="none" w:sz="0" w:space="0" w:color="auto"/>
        <w:right w:val="none" w:sz="0" w:space="0" w:color="auto"/>
      </w:divBdr>
    </w:div>
    <w:div w:id="1890454492">
      <w:bodyDiv w:val="1"/>
      <w:marLeft w:val="0"/>
      <w:marRight w:val="0"/>
      <w:marTop w:val="0"/>
      <w:marBottom w:val="0"/>
      <w:divBdr>
        <w:top w:val="none" w:sz="0" w:space="0" w:color="auto"/>
        <w:left w:val="none" w:sz="0" w:space="0" w:color="auto"/>
        <w:bottom w:val="none" w:sz="0" w:space="0" w:color="auto"/>
        <w:right w:val="none" w:sz="0" w:space="0" w:color="auto"/>
      </w:divBdr>
    </w:div>
    <w:div w:id="1893805891">
      <w:bodyDiv w:val="1"/>
      <w:marLeft w:val="0"/>
      <w:marRight w:val="0"/>
      <w:marTop w:val="0"/>
      <w:marBottom w:val="0"/>
      <w:divBdr>
        <w:top w:val="none" w:sz="0" w:space="0" w:color="auto"/>
        <w:left w:val="none" w:sz="0" w:space="0" w:color="auto"/>
        <w:bottom w:val="none" w:sz="0" w:space="0" w:color="auto"/>
        <w:right w:val="none" w:sz="0" w:space="0" w:color="auto"/>
      </w:divBdr>
    </w:div>
    <w:div w:id="1894463247">
      <w:bodyDiv w:val="1"/>
      <w:marLeft w:val="0"/>
      <w:marRight w:val="0"/>
      <w:marTop w:val="0"/>
      <w:marBottom w:val="0"/>
      <w:divBdr>
        <w:top w:val="none" w:sz="0" w:space="0" w:color="auto"/>
        <w:left w:val="none" w:sz="0" w:space="0" w:color="auto"/>
        <w:bottom w:val="none" w:sz="0" w:space="0" w:color="auto"/>
        <w:right w:val="none" w:sz="0" w:space="0" w:color="auto"/>
      </w:divBdr>
    </w:div>
    <w:div w:id="1897232655">
      <w:bodyDiv w:val="1"/>
      <w:marLeft w:val="0"/>
      <w:marRight w:val="0"/>
      <w:marTop w:val="0"/>
      <w:marBottom w:val="0"/>
      <w:divBdr>
        <w:top w:val="none" w:sz="0" w:space="0" w:color="auto"/>
        <w:left w:val="none" w:sz="0" w:space="0" w:color="auto"/>
        <w:bottom w:val="none" w:sz="0" w:space="0" w:color="auto"/>
        <w:right w:val="none" w:sz="0" w:space="0" w:color="auto"/>
      </w:divBdr>
    </w:div>
    <w:div w:id="1903906542">
      <w:bodyDiv w:val="1"/>
      <w:marLeft w:val="0"/>
      <w:marRight w:val="0"/>
      <w:marTop w:val="0"/>
      <w:marBottom w:val="0"/>
      <w:divBdr>
        <w:top w:val="none" w:sz="0" w:space="0" w:color="auto"/>
        <w:left w:val="none" w:sz="0" w:space="0" w:color="auto"/>
        <w:bottom w:val="none" w:sz="0" w:space="0" w:color="auto"/>
        <w:right w:val="none" w:sz="0" w:space="0" w:color="auto"/>
      </w:divBdr>
    </w:div>
    <w:div w:id="1904486831">
      <w:bodyDiv w:val="1"/>
      <w:marLeft w:val="0"/>
      <w:marRight w:val="0"/>
      <w:marTop w:val="0"/>
      <w:marBottom w:val="0"/>
      <w:divBdr>
        <w:top w:val="none" w:sz="0" w:space="0" w:color="auto"/>
        <w:left w:val="none" w:sz="0" w:space="0" w:color="auto"/>
        <w:bottom w:val="none" w:sz="0" w:space="0" w:color="auto"/>
        <w:right w:val="none" w:sz="0" w:space="0" w:color="auto"/>
      </w:divBdr>
    </w:div>
    <w:div w:id="1908345013">
      <w:bodyDiv w:val="1"/>
      <w:marLeft w:val="0"/>
      <w:marRight w:val="0"/>
      <w:marTop w:val="0"/>
      <w:marBottom w:val="0"/>
      <w:divBdr>
        <w:top w:val="none" w:sz="0" w:space="0" w:color="auto"/>
        <w:left w:val="none" w:sz="0" w:space="0" w:color="auto"/>
        <w:bottom w:val="none" w:sz="0" w:space="0" w:color="auto"/>
        <w:right w:val="none" w:sz="0" w:space="0" w:color="auto"/>
      </w:divBdr>
    </w:div>
    <w:div w:id="1908690067">
      <w:bodyDiv w:val="1"/>
      <w:marLeft w:val="0"/>
      <w:marRight w:val="0"/>
      <w:marTop w:val="0"/>
      <w:marBottom w:val="0"/>
      <w:divBdr>
        <w:top w:val="none" w:sz="0" w:space="0" w:color="auto"/>
        <w:left w:val="none" w:sz="0" w:space="0" w:color="auto"/>
        <w:bottom w:val="none" w:sz="0" w:space="0" w:color="auto"/>
        <w:right w:val="none" w:sz="0" w:space="0" w:color="auto"/>
      </w:divBdr>
    </w:div>
    <w:div w:id="1909727498">
      <w:bodyDiv w:val="1"/>
      <w:marLeft w:val="0"/>
      <w:marRight w:val="0"/>
      <w:marTop w:val="0"/>
      <w:marBottom w:val="0"/>
      <w:divBdr>
        <w:top w:val="none" w:sz="0" w:space="0" w:color="auto"/>
        <w:left w:val="none" w:sz="0" w:space="0" w:color="auto"/>
        <w:bottom w:val="none" w:sz="0" w:space="0" w:color="auto"/>
        <w:right w:val="none" w:sz="0" w:space="0" w:color="auto"/>
      </w:divBdr>
    </w:div>
    <w:div w:id="1911038009">
      <w:bodyDiv w:val="1"/>
      <w:marLeft w:val="0"/>
      <w:marRight w:val="0"/>
      <w:marTop w:val="0"/>
      <w:marBottom w:val="0"/>
      <w:divBdr>
        <w:top w:val="none" w:sz="0" w:space="0" w:color="auto"/>
        <w:left w:val="none" w:sz="0" w:space="0" w:color="auto"/>
        <w:bottom w:val="none" w:sz="0" w:space="0" w:color="auto"/>
        <w:right w:val="none" w:sz="0" w:space="0" w:color="auto"/>
      </w:divBdr>
    </w:div>
    <w:div w:id="1916282440">
      <w:bodyDiv w:val="1"/>
      <w:marLeft w:val="0"/>
      <w:marRight w:val="0"/>
      <w:marTop w:val="0"/>
      <w:marBottom w:val="0"/>
      <w:divBdr>
        <w:top w:val="none" w:sz="0" w:space="0" w:color="auto"/>
        <w:left w:val="none" w:sz="0" w:space="0" w:color="auto"/>
        <w:bottom w:val="none" w:sz="0" w:space="0" w:color="auto"/>
        <w:right w:val="none" w:sz="0" w:space="0" w:color="auto"/>
      </w:divBdr>
    </w:div>
    <w:div w:id="1916360395">
      <w:bodyDiv w:val="1"/>
      <w:marLeft w:val="0"/>
      <w:marRight w:val="0"/>
      <w:marTop w:val="0"/>
      <w:marBottom w:val="0"/>
      <w:divBdr>
        <w:top w:val="none" w:sz="0" w:space="0" w:color="auto"/>
        <w:left w:val="none" w:sz="0" w:space="0" w:color="auto"/>
        <w:bottom w:val="none" w:sz="0" w:space="0" w:color="auto"/>
        <w:right w:val="none" w:sz="0" w:space="0" w:color="auto"/>
      </w:divBdr>
    </w:div>
    <w:div w:id="1917784119">
      <w:bodyDiv w:val="1"/>
      <w:marLeft w:val="0"/>
      <w:marRight w:val="0"/>
      <w:marTop w:val="0"/>
      <w:marBottom w:val="0"/>
      <w:divBdr>
        <w:top w:val="none" w:sz="0" w:space="0" w:color="auto"/>
        <w:left w:val="none" w:sz="0" w:space="0" w:color="auto"/>
        <w:bottom w:val="none" w:sz="0" w:space="0" w:color="auto"/>
        <w:right w:val="none" w:sz="0" w:space="0" w:color="auto"/>
      </w:divBdr>
    </w:div>
    <w:div w:id="1918860551">
      <w:bodyDiv w:val="1"/>
      <w:marLeft w:val="0"/>
      <w:marRight w:val="0"/>
      <w:marTop w:val="0"/>
      <w:marBottom w:val="0"/>
      <w:divBdr>
        <w:top w:val="none" w:sz="0" w:space="0" w:color="auto"/>
        <w:left w:val="none" w:sz="0" w:space="0" w:color="auto"/>
        <w:bottom w:val="none" w:sz="0" w:space="0" w:color="auto"/>
        <w:right w:val="none" w:sz="0" w:space="0" w:color="auto"/>
      </w:divBdr>
    </w:div>
    <w:div w:id="1919169250">
      <w:bodyDiv w:val="1"/>
      <w:marLeft w:val="0"/>
      <w:marRight w:val="0"/>
      <w:marTop w:val="0"/>
      <w:marBottom w:val="0"/>
      <w:divBdr>
        <w:top w:val="none" w:sz="0" w:space="0" w:color="auto"/>
        <w:left w:val="none" w:sz="0" w:space="0" w:color="auto"/>
        <w:bottom w:val="none" w:sz="0" w:space="0" w:color="auto"/>
        <w:right w:val="none" w:sz="0" w:space="0" w:color="auto"/>
      </w:divBdr>
    </w:div>
    <w:div w:id="1919250052">
      <w:bodyDiv w:val="1"/>
      <w:marLeft w:val="0"/>
      <w:marRight w:val="0"/>
      <w:marTop w:val="0"/>
      <w:marBottom w:val="0"/>
      <w:divBdr>
        <w:top w:val="none" w:sz="0" w:space="0" w:color="auto"/>
        <w:left w:val="none" w:sz="0" w:space="0" w:color="auto"/>
        <w:bottom w:val="none" w:sz="0" w:space="0" w:color="auto"/>
        <w:right w:val="none" w:sz="0" w:space="0" w:color="auto"/>
      </w:divBdr>
    </w:div>
    <w:div w:id="1920750998">
      <w:bodyDiv w:val="1"/>
      <w:marLeft w:val="0"/>
      <w:marRight w:val="0"/>
      <w:marTop w:val="0"/>
      <w:marBottom w:val="0"/>
      <w:divBdr>
        <w:top w:val="none" w:sz="0" w:space="0" w:color="auto"/>
        <w:left w:val="none" w:sz="0" w:space="0" w:color="auto"/>
        <w:bottom w:val="none" w:sz="0" w:space="0" w:color="auto"/>
        <w:right w:val="none" w:sz="0" w:space="0" w:color="auto"/>
      </w:divBdr>
    </w:div>
    <w:div w:id="1921712798">
      <w:bodyDiv w:val="1"/>
      <w:marLeft w:val="0"/>
      <w:marRight w:val="0"/>
      <w:marTop w:val="0"/>
      <w:marBottom w:val="0"/>
      <w:divBdr>
        <w:top w:val="none" w:sz="0" w:space="0" w:color="auto"/>
        <w:left w:val="none" w:sz="0" w:space="0" w:color="auto"/>
        <w:bottom w:val="none" w:sz="0" w:space="0" w:color="auto"/>
        <w:right w:val="none" w:sz="0" w:space="0" w:color="auto"/>
      </w:divBdr>
    </w:div>
    <w:div w:id="1922446217">
      <w:bodyDiv w:val="1"/>
      <w:marLeft w:val="0"/>
      <w:marRight w:val="0"/>
      <w:marTop w:val="0"/>
      <w:marBottom w:val="0"/>
      <w:divBdr>
        <w:top w:val="none" w:sz="0" w:space="0" w:color="auto"/>
        <w:left w:val="none" w:sz="0" w:space="0" w:color="auto"/>
        <w:bottom w:val="none" w:sz="0" w:space="0" w:color="auto"/>
        <w:right w:val="none" w:sz="0" w:space="0" w:color="auto"/>
      </w:divBdr>
    </w:div>
    <w:div w:id="1925456942">
      <w:bodyDiv w:val="1"/>
      <w:marLeft w:val="0"/>
      <w:marRight w:val="0"/>
      <w:marTop w:val="0"/>
      <w:marBottom w:val="0"/>
      <w:divBdr>
        <w:top w:val="none" w:sz="0" w:space="0" w:color="auto"/>
        <w:left w:val="none" w:sz="0" w:space="0" w:color="auto"/>
        <w:bottom w:val="none" w:sz="0" w:space="0" w:color="auto"/>
        <w:right w:val="none" w:sz="0" w:space="0" w:color="auto"/>
      </w:divBdr>
    </w:div>
    <w:div w:id="1927684985">
      <w:bodyDiv w:val="1"/>
      <w:marLeft w:val="0"/>
      <w:marRight w:val="0"/>
      <w:marTop w:val="0"/>
      <w:marBottom w:val="0"/>
      <w:divBdr>
        <w:top w:val="none" w:sz="0" w:space="0" w:color="auto"/>
        <w:left w:val="none" w:sz="0" w:space="0" w:color="auto"/>
        <w:bottom w:val="none" w:sz="0" w:space="0" w:color="auto"/>
        <w:right w:val="none" w:sz="0" w:space="0" w:color="auto"/>
      </w:divBdr>
    </w:div>
    <w:div w:id="1938055222">
      <w:bodyDiv w:val="1"/>
      <w:marLeft w:val="0"/>
      <w:marRight w:val="0"/>
      <w:marTop w:val="0"/>
      <w:marBottom w:val="0"/>
      <w:divBdr>
        <w:top w:val="none" w:sz="0" w:space="0" w:color="auto"/>
        <w:left w:val="none" w:sz="0" w:space="0" w:color="auto"/>
        <w:bottom w:val="none" w:sz="0" w:space="0" w:color="auto"/>
        <w:right w:val="none" w:sz="0" w:space="0" w:color="auto"/>
      </w:divBdr>
    </w:div>
    <w:div w:id="1939869260">
      <w:bodyDiv w:val="1"/>
      <w:marLeft w:val="0"/>
      <w:marRight w:val="0"/>
      <w:marTop w:val="0"/>
      <w:marBottom w:val="0"/>
      <w:divBdr>
        <w:top w:val="none" w:sz="0" w:space="0" w:color="auto"/>
        <w:left w:val="none" w:sz="0" w:space="0" w:color="auto"/>
        <w:bottom w:val="none" w:sz="0" w:space="0" w:color="auto"/>
        <w:right w:val="none" w:sz="0" w:space="0" w:color="auto"/>
      </w:divBdr>
    </w:div>
    <w:div w:id="1942181179">
      <w:bodyDiv w:val="1"/>
      <w:marLeft w:val="0"/>
      <w:marRight w:val="0"/>
      <w:marTop w:val="0"/>
      <w:marBottom w:val="0"/>
      <w:divBdr>
        <w:top w:val="none" w:sz="0" w:space="0" w:color="auto"/>
        <w:left w:val="none" w:sz="0" w:space="0" w:color="auto"/>
        <w:bottom w:val="none" w:sz="0" w:space="0" w:color="auto"/>
        <w:right w:val="none" w:sz="0" w:space="0" w:color="auto"/>
      </w:divBdr>
    </w:div>
    <w:div w:id="1950353017">
      <w:bodyDiv w:val="1"/>
      <w:marLeft w:val="0"/>
      <w:marRight w:val="0"/>
      <w:marTop w:val="0"/>
      <w:marBottom w:val="0"/>
      <w:divBdr>
        <w:top w:val="none" w:sz="0" w:space="0" w:color="auto"/>
        <w:left w:val="none" w:sz="0" w:space="0" w:color="auto"/>
        <w:bottom w:val="none" w:sz="0" w:space="0" w:color="auto"/>
        <w:right w:val="none" w:sz="0" w:space="0" w:color="auto"/>
      </w:divBdr>
    </w:div>
    <w:div w:id="1950890106">
      <w:bodyDiv w:val="1"/>
      <w:marLeft w:val="0"/>
      <w:marRight w:val="0"/>
      <w:marTop w:val="0"/>
      <w:marBottom w:val="0"/>
      <w:divBdr>
        <w:top w:val="none" w:sz="0" w:space="0" w:color="auto"/>
        <w:left w:val="none" w:sz="0" w:space="0" w:color="auto"/>
        <w:bottom w:val="none" w:sz="0" w:space="0" w:color="auto"/>
        <w:right w:val="none" w:sz="0" w:space="0" w:color="auto"/>
      </w:divBdr>
    </w:div>
    <w:div w:id="1951936648">
      <w:bodyDiv w:val="1"/>
      <w:marLeft w:val="0"/>
      <w:marRight w:val="0"/>
      <w:marTop w:val="0"/>
      <w:marBottom w:val="0"/>
      <w:divBdr>
        <w:top w:val="none" w:sz="0" w:space="0" w:color="auto"/>
        <w:left w:val="none" w:sz="0" w:space="0" w:color="auto"/>
        <w:bottom w:val="none" w:sz="0" w:space="0" w:color="auto"/>
        <w:right w:val="none" w:sz="0" w:space="0" w:color="auto"/>
      </w:divBdr>
    </w:div>
    <w:div w:id="1956982761">
      <w:bodyDiv w:val="1"/>
      <w:marLeft w:val="0"/>
      <w:marRight w:val="0"/>
      <w:marTop w:val="0"/>
      <w:marBottom w:val="0"/>
      <w:divBdr>
        <w:top w:val="none" w:sz="0" w:space="0" w:color="auto"/>
        <w:left w:val="none" w:sz="0" w:space="0" w:color="auto"/>
        <w:bottom w:val="none" w:sz="0" w:space="0" w:color="auto"/>
        <w:right w:val="none" w:sz="0" w:space="0" w:color="auto"/>
      </w:divBdr>
    </w:div>
    <w:div w:id="1957176298">
      <w:bodyDiv w:val="1"/>
      <w:marLeft w:val="0"/>
      <w:marRight w:val="0"/>
      <w:marTop w:val="0"/>
      <w:marBottom w:val="0"/>
      <w:divBdr>
        <w:top w:val="none" w:sz="0" w:space="0" w:color="auto"/>
        <w:left w:val="none" w:sz="0" w:space="0" w:color="auto"/>
        <w:bottom w:val="none" w:sz="0" w:space="0" w:color="auto"/>
        <w:right w:val="none" w:sz="0" w:space="0" w:color="auto"/>
      </w:divBdr>
    </w:div>
    <w:div w:id="1957635487">
      <w:bodyDiv w:val="1"/>
      <w:marLeft w:val="0"/>
      <w:marRight w:val="0"/>
      <w:marTop w:val="0"/>
      <w:marBottom w:val="0"/>
      <w:divBdr>
        <w:top w:val="none" w:sz="0" w:space="0" w:color="auto"/>
        <w:left w:val="none" w:sz="0" w:space="0" w:color="auto"/>
        <w:bottom w:val="none" w:sz="0" w:space="0" w:color="auto"/>
        <w:right w:val="none" w:sz="0" w:space="0" w:color="auto"/>
      </w:divBdr>
    </w:div>
    <w:div w:id="1958104282">
      <w:bodyDiv w:val="1"/>
      <w:marLeft w:val="0"/>
      <w:marRight w:val="0"/>
      <w:marTop w:val="0"/>
      <w:marBottom w:val="0"/>
      <w:divBdr>
        <w:top w:val="none" w:sz="0" w:space="0" w:color="auto"/>
        <w:left w:val="none" w:sz="0" w:space="0" w:color="auto"/>
        <w:bottom w:val="none" w:sz="0" w:space="0" w:color="auto"/>
        <w:right w:val="none" w:sz="0" w:space="0" w:color="auto"/>
      </w:divBdr>
    </w:div>
    <w:div w:id="1959412357">
      <w:bodyDiv w:val="1"/>
      <w:marLeft w:val="0"/>
      <w:marRight w:val="0"/>
      <w:marTop w:val="0"/>
      <w:marBottom w:val="0"/>
      <w:divBdr>
        <w:top w:val="none" w:sz="0" w:space="0" w:color="auto"/>
        <w:left w:val="none" w:sz="0" w:space="0" w:color="auto"/>
        <w:bottom w:val="none" w:sz="0" w:space="0" w:color="auto"/>
        <w:right w:val="none" w:sz="0" w:space="0" w:color="auto"/>
      </w:divBdr>
    </w:div>
    <w:div w:id="1960795088">
      <w:bodyDiv w:val="1"/>
      <w:marLeft w:val="0"/>
      <w:marRight w:val="0"/>
      <w:marTop w:val="0"/>
      <w:marBottom w:val="0"/>
      <w:divBdr>
        <w:top w:val="none" w:sz="0" w:space="0" w:color="auto"/>
        <w:left w:val="none" w:sz="0" w:space="0" w:color="auto"/>
        <w:bottom w:val="none" w:sz="0" w:space="0" w:color="auto"/>
        <w:right w:val="none" w:sz="0" w:space="0" w:color="auto"/>
      </w:divBdr>
    </w:div>
    <w:div w:id="1962495136">
      <w:bodyDiv w:val="1"/>
      <w:marLeft w:val="0"/>
      <w:marRight w:val="0"/>
      <w:marTop w:val="0"/>
      <w:marBottom w:val="0"/>
      <w:divBdr>
        <w:top w:val="none" w:sz="0" w:space="0" w:color="auto"/>
        <w:left w:val="none" w:sz="0" w:space="0" w:color="auto"/>
        <w:bottom w:val="none" w:sz="0" w:space="0" w:color="auto"/>
        <w:right w:val="none" w:sz="0" w:space="0" w:color="auto"/>
      </w:divBdr>
    </w:div>
    <w:div w:id="1975287513">
      <w:bodyDiv w:val="1"/>
      <w:marLeft w:val="0"/>
      <w:marRight w:val="0"/>
      <w:marTop w:val="0"/>
      <w:marBottom w:val="0"/>
      <w:divBdr>
        <w:top w:val="none" w:sz="0" w:space="0" w:color="auto"/>
        <w:left w:val="none" w:sz="0" w:space="0" w:color="auto"/>
        <w:bottom w:val="none" w:sz="0" w:space="0" w:color="auto"/>
        <w:right w:val="none" w:sz="0" w:space="0" w:color="auto"/>
      </w:divBdr>
    </w:div>
    <w:div w:id="1980726797">
      <w:bodyDiv w:val="1"/>
      <w:marLeft w:val="0"/>
      <w:marRight w:val="0"/>
      <w:marTop w:val="0"/>
      <w:marBottom w:val="0"/>
      <w:divBdr>
        <w:top w:val="none" w:sz="0" w:space="0" w:color="auto"/>
        <w:left w:val="none" w:sz="0" w:space="0" w:color="auto"/>
        <w:bottom w:val="none" w:sz="0" w:space="0" w:color="auto"/>
        <w:right w:val="none" w:sz="0" w:space="0" w:color="auto"/>
      </w:divBdr>
    </w:div>
    <w:div w:id="1983271679">
      <w:bodyDiv w:val="1"/>
      <w:marLeft w:val="0"/>
      <w:marRight w:val="0"/>
      <w:marTop w:val="0"/>
      <w:marBottom w:val="0"/>
      <w:divBdr>
        <w:top w:val="none" w:sz="0" w:space="0" w:color="auto"/>
        <w:left w:val="none" w:sz="0" w:space="0" w:color="auto"/>
        <w:bottom w:val="none" w:sz="0" w:space="0" w:color="auto"/>
        <w:right w:val="none" w:sz="0" w:space="0" w:color="auto"/>
      </w:divBdr>
    </w:div>
    <w:div w:id="1985502879">
      <w:bodyDiv w:val="1"/>
      <w:marLeft w:val="0"/>
      <w:marRight w:val="0"/>
      <w:marTop w:val="0"/>
      <w:marBottom w:val="0"/>
      <w:divBdr>
        <w:top w:val="none" w:sz="0" w:space="0" w:color="auto"/>
        <w:left w:val="none" w:sz="0" w:space="0" w:color="auto"/>
        <w:bottom w:val="none" w:sz="0" w:space="0" w:color="auto"/>
        <w:right w:val="none" w:sz="0" w:space="0" w:color="auto"/>
      </w:divBdr>
    </w:div>
    <w:div w:id="1988046084">
      <w:bodyDiv w:val="1"/>
      <w:marLeft w:val="0"/>
      <w:marRight w:val="0"/>
      <w:marTop w:val="0"/>
      <w:marBottom w:val="0"/>
      <w:divBdr>
        <w:top w:val="none" w:sz="0" w:space="0" w:color="auto"/>
        <w:left w:val="none" w:sz="0" w:space="0" w:color="auto"/>
        <w:bottom w:val="none" w:sz="0" w:space="0" w:color="auto"/>
        <w:right w:val="none" w:sz="0" w:space="0" w:color="auto"/>
      </w:divBdr>
    </w:div>
    <w:div w:id="1988049444">
      <w:bodyDiv w:val="1"/>
      <w:marLeft w:val="0"/>
      <w:marRight w:val="0"/>
      <w:marTop w:val="0"/>
      <w:marBottom w:val="0"/>
      <w:divBdr>
        <w:top w:val="none" w:sz="0" w:space="0" w:color="auto"/>
        <w:left w:val="none" w:sz="0" w:space="0" w:color="auto"/>
        <w:bottom w:val="none" w:sz="0" w:space="0" w:color="auto"/>
        <w:right w:val="none" w:sz="0" w:space="0" w:color="auto"/>
      </w:divBdr>
    </w:div>
    <w:div w:id="1991254342">
      <w:bodyDiv w:val="1"/>
      <w:marLeft w:val="0"/>
      <w:marRight w:val="0"/>
      <w:marTop w:val="0"/>
      <w:marBottom w:val="0"/>
      <w:divBdr>
        <w:top w:val="none" w:sz="0" w:space="0" w:color="auto"/>
        <w:left w:val="none" w:sz="0" w:space="0" w:color="auto"/>
        <w:bottom w:val="none" w:sz="0" w:space="0" w:color="auto"/>
        <w:right w:val="none" w:sz="0" w:space="0" w:color="auto"/>
      </w:divBdr>
    </w:div>
    <w:div w:id="1993556133">
      <w:bodyDiv w:val="1"/>
      <w:marLeft w:val="0"/>
      <w:marRight w:val="0"/>
      <w:marTop w:val="0"/>
      <w:marBottom w:val="0"/>
      <w:divBdr>
        <w:top w:val="none" w:sz="0" w:space="0" w:color="auto"/>
        <w:left w:val="none" w:sz="0" w:space="0" w:color="auto"/>
        <w:bottom w:val="none" w:sz="0" w:space="0" w:color="auto"/>
        <w:right w:val="none" w:sz="0" w:space="0" w:color="auto"/>
      </w:divBdr>
    </w:div>
    <w:div w:id="1994867637">
      <w:bodyDiv w:val="1"/>
      <w:marLeft w:val="0"/>
      <w:marRight w:val="0"/>
      <w:marTop w:val="0"/>
      <w:marBottom w:val="0"/>
      <w:divBdr>
        <w:top w:val="none" w:sz="0" w:space="0" w:color="auto"/>
        <w:left w:val="none" w:sz="0" w:space="0" w:color="auto"/>
        <w:bottom w:val="none" w:sz="0" w:space="0" w:color="auto"/>
        <w:right w:val="none" w:sz="0" w:space="0" w:color="auto"/>
      </w:divBdr>
    </w:div>
    <w:div w:id="1996228239">
      <w:bodyDiv w:val="1"/>
      <w:marLeft w:val="0"/>
      <w:marRight w:val="0"/>
      <w:marTop w:val="0"/>
      <w:marBottom w:val="0"/>
      <w:divBdr>
        <w:top w:val="none" w:sz="0" w:space="0" w:color="auto"/>
        <w:left w:val="none" w:sz="0" w:space="0" w:color="auto"/>
        <w:bottom w:val="none" w:sz="0" w:space="0" w:color="auto"/>
        <w:right w:val="none" w:sz="0" w:space="0" w:color="auto"/>
      </w:divBdr>
    </w:div>
    <w:div w:id="1997219763">
      <w:bodyDiv w:val="1"/>
      <w:marLeft w:val="0"/>
      <w:marRight w:val="0"/>
      <w:marTop w:val="0"/>
      <w:marBottom w:val="0"/>
      <w:divBdr>
        <w:top w:val="none" w:sz="0" w:space="0" w:color="auto"/>
        <w:left w:val="none" w:sz="0" w:space="0" w:color="auto"/>
        <w:bottom w:val="none" w:sz="0" w:space="0" w:color="auto"/>
        <w:right w:val="none" w:sz="0" w:space="0" w:color="auto"/>
      </w:divBdr>
    </w:div>
    <w:div w:id="1998655895">
      <w:bodyDiv w:val="1"/>
      <w:marLeft w:val="0"/>
      <w:marRight w:val="0"/>
      <w:marTop w:val="0"/>
      <w:marBottom w:val="0"/>
      <w:divBdr>
        <w:top w:val="none" w:sz="0" w:space="0" w:color="auto"/>
        <w:left w:val="none" w:sz="0" w:space="0" w:color="auto"/>
        <w:bottom w:val="none" w:sz="0" w:space="0" w:color="auto"/>
        <w:right w:val="none" w:sz="0" w:space="0" w:color="auto"/>
      </w:divBdr>
    </w:div>
    <w:div w:id="1999531832">
      <w:bodyDiv w:val="1"/>
      <w:marLeft w:val="0"/>
      <w:marRight w:val="0"/>
      <w:marTop w:val="0"/>
      <w:marBottom w:val="0"/>
      <w:divBdr>
        <w:top w:val="none" w:sz="0" w:space="0" w:color="auto"/>
        <w:left w:val="none" w:sz="0" w:space="0" w:color="auto"/>
        <w:bottom w:val="none" w:sz="0" w:space="0" w:color="auto"/>
        <w:right w:val="none" w:sz="0" w:space="0" w:color="auto"/>
      </w:divBdr>
    </w:div>
    <w:div w:id="2000498199">
      <w:bodyDiv w:val="1"/>
      <w:marLeft w:val="0"/>
      <w:marRight w:val="0"/>
      <w:marTop w:val="0"/>
      <w:marBottom w:val="0"/>
      <w:divBdr>
        <w:top w:val="none" w:sz="0" w:space="0" w:color="auto"/>
        <w:left w:val="none" w:sz="0" w:space="0" w:color="auto"/>
        <w:bottom w:val="none" w:sz="0" w:space="0" w:color="auto"/>
        <w:right w:val="none" w:sz="0" w:space="0" w:color="auto"/>
      </w:divBdr>
    </w:div>
    <w:div w:id="2003970869">
      <w:bodyDiv w:val="1"/>
      <w:marLeft w:val="0"/>
      <w:marRight w:val="0"/>
      <w:marTop w:val="0"/>
      <w:marBottom w:val="0"/>
      <w:divBdr>
        <w:top w:val="none" w:sz="0" w:space="0" w:color="auto"/>
        <w:left w:val="none" w:sz="0" w:space="0" w:color="auto"/>
        <w:bottom w:val="none" w:sz="0" w:space="0" w:color="auto"/>
        <w:right w:val="none" w:sz="0" w:space="0" w:color="auto"/>
      </w:divBdr>
    </w:div>
    <w:div w:id="2005231852">
      <w:bodyDiv w:val="1"/>
      <w:marLeft w:val="0"/>
      <w:marRight w:val="0"/>
      <w:marTop w:val="0"/>
      <w:marBottom w:val="0"/>
      <w:divBdr>
        <w:top w:val="none" w:sz="0" w:space="0" w:color="auto"/>
        <w:left w:val="none" w:sz="0" w:space="0" w:color="auto"/>
        <w:bottom w:val="none" w:sz="0" w:space="0" w:color="auto"/>
        <w:right w:val="none" w:sz="0" w:space="0" w:color="auto"/>
      </w:divBdr>
    </w:div>
    <w:div w:id="2007393875">
      <w:bodyDiv w:val="1"/>
      <w:marLeft w:val="0"/>
      <w:marRight w:val="0"/>
      <w:marTop w:val="0"/>
      <w:marBottom w:val="0"/>
      <w:divBdr>
        <w:top w:val="none" w:sz="0" w:space="0" w:color="auto"/>
        <w:left w:val="none" w:sz="0" w:space="0" w:color="auto"/>
        <w:bottom w:val="none" w:sz="0" w:space="0" w:color="auto"/>
        <w:right w:val="none" w:sz="0" w:space="0" w:color="auto"/>
      </w:divBdr>
    </w:div>
    <w:div w:id="2007394608">
      <w:bodyDiv w:val="1"/>
      <w:marLeft w:val="0"/>
      <w:marRight w:val="0"/>
      <w:marTop w:val="0"/>
      <w:marBottom w:val="0"/>
      <w:divBdr>
        <w:top w:val="none" w:sz="0" w:space="0" w:color="auto"/>
        <w:left w:val="none" w:sz="0" w:space="0" w:color="auto"/>
        <w:bottom w:val="none" w:sz="0" w:space="0" w:color="auto"/>
        <w:right w:val="none" w:sz="0" w:space="0" w:color="auto"/>
      </w:divBdr>
    </w:div>
    <w:div w:id="2008514457">
      <w:bodyDiv w:val="1"/>
      <w:marLeft w:val="0"/>
      <w:marRight w:val="0"/>
      <w:marTop w:val="0"/>
      <w:marBottom w:val="0"/>
      <w:divBdr>
        <w:top w:val="none" w:sz="0" w:space="0" w:color="auto"/>
        <w:left w:val="none" w:sz="0" w:space="0" w:color="auto"/>
        <w:bottom w:val="none" w:sz="0" w:space="0" w:color="auto"/>
        <w:right w:val="none" w:sz="0" w:space="0" w:color="auto"/>
      </w:divBdr>
    </w:div>
    <w:div w:id="2013144191">
      <w:bodyDiv w:val="1"/>
      <w:marLeft w:val="0"/>
      <w:marRight w:val="0"/>
      <w:marTop w:val="0"/>
      <w:marBottom w:val="0"/>
      <w:divBdr>
        <w:top w:val="none" w:sz="0" w:space="0" w:color="auto"/>
        <w:left w:val="none" w:sz="0" w:space="0" w:color="auto"/>
        <w:bottom w:val="none" w:sz="0" w:space="0" w:color="auto"/>
        <w:right w:val="none" w:sz="0" w:space="0" w:color="auto"/>
      </w:divBdr>
    </w:div>
    <w:div w:id="2013559465">
      <w:bodyDiv w:val="1"/>
      <w:marLeft w:val="0"/>
      <w:marRight w:val="0"/>
      <w:marTop w:val="0"/>
      <w:marBottom w:val="0"/>
      <w:divBdr>
        <w:top w:val="none" w:sz="0" w:space="0" w:color="auto"/>
        <w:left w:val="none" w:sz="0" w:space="0" w:color="auto"/>
        <w:bottom w:val="none" w:sz="0" w:space="0" w:color="auto"/>
        <w:right w:val="none" w:sz="0" w:space="0" w:color="auto"/>
      </w:divBdr>
    </w:div>
    <w:div w:id="2016609186">
      <w:bodyDiv w:val="1"/>
      <w:marLeft w:val="0"/>
      <w:marRight w:val="0"/>
      <w:marTop w:val="0"/>
      <w:marBottom w:val="0"/>
      <w:divBdr>
        <w:top w:val="none" w:sz="0" w:space="0" w:color="auto"/>
        <w:left w:val="none" w:sz="0" w:space="0" w:color="auto"/>
        <w:bottom w:val="none" w:sz="0" w:space="0" w:color="auto"/>
        <w:right w:val="none" w:sz="0" w:space="0" w:color="auto"/>
      </w:divBdr>
    </w:div>
    <w:div w:id="2017227236">
      <w:bodyDiv w:val="1"/>
      <w:marLeft w:val="0"/>
      <w:marRight w:val="0"/>
      <w:marTop w:val="0"/>
      <w:marBottom w:val="0"/>
      <w:divBdr>
        <w:top w:val="none" w:sz="0" w:space="0" w:color="auto"/>
        <w:left w:val="none" w:sz="0" w:space="0" w:color="auto"/>
        <w:bottom w:val="none" w:sz="0" w:space="0" w:color="auto"/>
        <w:right w:val="none" w:sz="0" w:space="0" w:color="auto"/>
      </w:divBdr>
    </w:div>
    <w:div w:id="2019190027">
      <w:bodyDiv w:val="1"/>
      <w:marLeft w:val="0"/>
      <w:marRight w:val="0"/>
      <w:marTop w:val="0"/>
      <w:marBottom w:val="0"/>
      <w:divBdr>
        <w:top w:val="none" w:sz="0" w:space="0" w:color="auto"/>
        <w:left w:val="none" w:sz="0" w:space="0" w:color="auto"/>
        <w:bottom w:val="none" w:sz="0" w:space="0" w:color="auto"/>
        <w:right w:val="none" w:sz="0" w:space="0" w:color="auto"/>
      </w:divBdr>
    </w:div>
    <w:div w:id="2019237688">
      <w:bodyDiv w:val="1"/>
      <w:marLeft w:val="0"/>
      <w:marRight w:val="0"/>
      <w:marTop w:val="0"/>
      <w:marBottom w:val="0"/>
      <w:divBdr>
        <w:top w:val="none" w:sz="0" w:space="0" w:color="auto"/>
        <w:left w:val="none" w:sz="0" w:space="0" w:color="auto"/>
        <w:bottom w:val="none" w:sz="0" w:space="0" w:color="auto"/>
        <w:right w:val="none" w:sz="0" w:space="0" w:color="auto"/>
      </w:divBdr>
    </w:div>
    <w:div w:id="2019892102">
      <w:bodyDiv w:val="1"/>
      <w:marLeft w:val="0"/>
      <w:marRight w:val="0"/>
      <w:marTop w:val="0"/>
      <w:marBottom w:val="0"/>
      <w:divBdr>
        <w:top w:val="none" w:sz="0" w:space="0" w:color="auto"/>
        <w:left w:val="none" w:sz="0" w:space="0" w:color="auto"/>
        <w:bottom w:val="none" w:sz="0" w:space="0" w:color="auto"/>
        <w:right w:val="none" w:sz="0" w:space="0" w:color="auto"/>
      </w:divBdr>
    </w:div>
    <w:div w:id="2020497083">
      <w:bodyDiv w:val="1"/>
      <w:marLeft w:val="0"/>
      <w:marRight w:val="0"/>
      <w:marTop w:val="0"/>
      <w:marBottom w:val="0"/>
      <w:divBdr>
        <w:top w:val="none" w:sz="0" w:space="0" w:color="auto"/>
        <w:left w:val="none" w:sz="0" w:space="0" w:color="auto"/>
        <w:bottom w:val="none" w:sz="0" w:space="0" w:color="auto"/>
        <w:right w:val="none" w:sz="0" w:space="0" w:color="auto"/>
      </w:divBdr>
    </w:div>
    <w:div w:id="2024739695">
      <w:bodyDiv w:val="1"/>
      <w:marLeft w:val="0"/>
      <w:marRight w:val="0"/>
      <w:marTop w:val="0"/>
      <w:marBottom w:val="0"/>
      <w:divBdr>
        <w:top w:val="none" w:sz="0" w:space="0" w:color="auto"/>
        <w:left w:val="none" w:sz="0" w:space="0" w:color="auto"/>
        <w:bottom w:val="none" w:sz="0" w:space="0" w:color="auto"/>
        <w:right w:val="none" w:sz="0" w:space="0" w:color="auto"/>
      </w:divBdr>
    </w:div>
    <w:div w:id="2024746352">
      <w:bodyDiv w:val="1"/>
      <w:marLeft w:val="0"/>
      <w:marRight w:val="0"/>
      <w:marTop w:val="0"/>
      <w:marBottom w:val="0"/>
      <w:divBdr>
        <w:top w:val="none" w:sz="0" w:space="0" w:color="auto"/>
        <w:left w:val="none" w:sz="0" w:space="0" w:color="auto"/>
        <w:bottom w:val="none" w:sz="0" w:space="0" w:color="auto"/>
        <w:right w:val="none" w:sz="0" w:space="0" w:color="auto"/>
      </w:divBdr>
    </w:div>
    <w:div w:id="2032144768">
      <w:bodyDiv w:val="1"/>
      <w:marLeft w:val="0"/>
      <w:marRight w:val="0"/>
      <w:marTop w:val="0"/>
      <w:marBottom w:val="0"/>
      <w:divBdr>
        <w:top w:val="none" w:sz="0" w:space="0" w:color="auto"/>
        <w:left w:val="none" w:sz="0" w:space="0" w:color="auto"/>
        <w:bottom w:val="none" w:sz="0" w:space="0" w:color="auto"/>
        <w:right w:val="none" w:sz="0" w:space="0" w:color="auto"/>
      </w:divBdr>
    </w:div>
    <w:div w:id="2032218536">
      <w:bodyDiv w:val="1"/>
      <w:marLeft w:val="0"/>
      <w:marRight w:val="0"/>
      <w:marTop w:val="0"/>
      <w:marBottom w:val="0"/>
      <w:divBdr>
        <w:top w:val="none" w:sz="0" w:space="0" w:color="auto"/>
        <w:left w:val="none" w:sz="0" w:space="0" w:color="auto"/>
        <w:bottom w:val="none" w:sz="0" w:space="0" w:color="auto"/>
        <w:right w:val="none" w:sz="0" w:space="0" w:color="auto"/>
      </w:divBdr>
    </w:div>
    <w:div w:id="2034307547">
      <w:bodyDiv w:val="1"/>
      <w:marLeft w:val="0"/>
      <w:marRight w:val="0"/>
      <w:marTop w:val="0"/>
      <w:marBottom w:val="0"/>
      <w:divBdr>
        <w:top w:val="none" w:sz="0" w:space="0" w:color="auto"/>
        <w:left w:val="none" w:sz="0" w:space="0" w:color="auto"/>
        <w:bottom w:val="none" w:sz="0" w:space="0" w:color="auto"/>
        <w:right w:val="none" w:sz="0" w:space="0" w:color="auto"/>
      </w:divBdr>
    </w:div>
    <w:div w:id="2039810535">
      <w:bodyDiv w:val="1"/>
      <w:marLeft w:val="0"/>
      <w:marRight w:val="0"/>
      <w:marTop w:val="0"/>
      <w:marBottom w:val="0"/>
      <w:divBdr>
        <w:top w:val="none" w:sz="0" w:space="0" w:color="auto"/>
        <w:left w:val="none" w:sz="0" w:space="0" w:color="auto"/>
        <w:bottom w:val="none" w:sz="0" w:space="0" w:color="auto"/>
        <w:right w:val="none" w:sz="0" w:space="0" w:color="auto"/>
      </w:divBdr>
    </w:div>
    <w:div w:id="2041205330">
      <w:bodyDiv w:val="1"/>
      <w:marLeft w:val="0"/>
      <w:marRight w:val="0"/>
      <w:marTop w:val="0"/>
      <w:marBottom w:val="0"/>
      <w:divBdr>
        <w:top w:val="none" w:sz="0" w:space="0" w:color="auto"/>
        <w:left w:val="none" w:sz="0" w:space="0" w:color="auto"/>
        <w:bottom w:val="none" w:sz="0" w:space="0" w:color="auto"/>
        <w:right w:val="none" w:sz="0" w:space="0" w:color="auto"/>
      </w:divBdr>
    </w:div>
    <w:div w:id="2043508598">
      <w:bodyDiv w:val="1"/>
      <w:marLeft w:val="0"/>
      <w:marRight w:val="0"/>
      <w:marTop w:val="0"/>
      <w:marBottom w:val="0"/>
      <w:divBdr>
        <w:top w:val="none" w:sz="0" w:space="0" w:color="auto"/>
        <w:left w:val="none" w:sz="0" w:space="0" w:color="auto"/>
        <w:bottom w:val="none" w:sz="0" w:space="0" w:color="auto"/>
        <w:right w:val="none" w:sz="0" w:space="0" w:color="auto"/>
      </w:divBdr>
    </w:div>
    <w:div w:id="2045861463">
      <w:bodyDiv w:val="1"/>
      <w:marLeft w:val="0"/>
      <w:marRight w:val="0"/>
      <w:marTop w:val="0"/>
      <w:marBottom w:val="0"/>
      <w:divBdr>
        <w:top w:val="none" w:sz="0" w:space="0" w:color="auto"/>
        <w:left w:val="none" w:sz="0" w:space="0" w:color="auto"/>
        <w:bottom w:val="none" w:sz="0" w:space="0" w:color="auto"/>
        <w:right w:val="none" w:sz="0" w:space="0" w:color="auto"/>
      </w:divBdr>
    </w:div>
    <w:div w:id="2049909942">
      <w:bodyDiv w:val="1"/>
      <w:marLeft w:val="0"/>
      <w:marRight w:val="0"/>
      <w:marTop w:val="0"/>
      <w:marBottom w:val="0"/>
      <w:divBdr>
        <w:top w:val="none" w:sz="0" w:space="0" w:color="auto"/>
        <w:left w:val="none" w:sz="0" w:space="0" w:color="auto"/>
        <w:bottom w:val="none" w:sz="0" w:space="0" w:color="auto"/>
        <w:right w:val="none" w:sz="0" w:space="0" w:color="auto"/>
      </w:divBdr>
    </w:div>
    <w:div w:id="2054114552">
      <w:bodyDiv w:val="1"/>
      <w:marLeft w:val="0"/>
      <w:marRight w:val="0"/>
      <w:marTop w:val="0"/>
      <w:marBottom w:val="0"/>
      <w:divBdr>
        <w:top w:val="none" w:sz="0" w:space="0" w:color="auto"/>
        <w:left w:val="none" w:sz="0" w:space="0" w:color="auto"/>
        <w:bottom w:val="none" w:sz="0" w:space="0" w:color="auto"/>
        <w:right w:val="none" w:sz="0" w:space="0" w:color="auto"/>
      </w:divBdr>
    </w:div>
    <w:div w:id="2057464496">
      <w:bodyDiv w:val="1"/>
      <w:marLeft w:val="0"/>
      <w:marRight w:val="0"/>
      <w:marTop w:val="0"/>
      <w:marBottom w:val="0"/>
      <w:divBdr>
        <w:top w:val="none" w:sz="0" w:space="0" w:color="auto"/>
        <w:left w:val="none" w:sz="0" w:space="0" w:color="auto"/>
        <w:bottom w:val="none" w:sz="0" w:space="0" w:color="auto"/>
        <w:right w:val="none" w:sz="0" w:space="0" w:color="auto"/>
      </w:divBdr>
    </w:div>
    <w:div w:id="2057972390">
      <w:bodyDiv w:val="1"/>
      <w:marLeft w:val="0"/>
      <w:marRight w:val="0"/>
      <w:marTop w:val="0"/>
      <w:marBottom w:val="0"/>
      <w:divBdr>
        <w:top w:val="none" w:sz="0" w:space="0" w:color="auto"/>
        <w:left w:val="none" w:sz="0" w:space="0" w:color="auto"/>
        <w:bottom w:val="none" w:sz="0" w:space="0" w:color="auto"/>
        <w:right w:val="none" w:sz="0" w:space="0" w:color="auto"/>
      </w:divBdr>
    </w:div>
    <w:div w:id="2059427039">
      <w:bodyDiv w:val="1"/>
      <w:marLeft w:val="0"/>
      <w:marRight w:val="0"/>
      <w:marTop w:val="0"/>
      <w:marBottom w:val="0"/>
      <w:divBdr>
        <w:top w:val="none" w:sz="0" w:space="0" w:color="auto"/>
        <w:left w:val="none" w:sz="0" w:space="0" w:color="auto"/>
        <w:bottom w:val="none" w:sz="0" w:space="0" w:color="auto"/>
        <w:right w:val="none" w:sz="0" w:space="0" w:color="auto"/>
      </w:divBdr>
    </w:div>
    <w:div w:id="2064988894">
      <w:bodyDiv w:val="1"/>
      <w:marLeft w:val="0"/>
      <w:marRight w:val="0"/>
      <w:marTop w:val="0"/>
      <w:marBottom w:val="0"/>
      <w:divBdr>
        <w:top w:val="none" w:sz="0" w:space="0" w:color="auto"/>
        <w:left w:val="none" w:sz="0" w:space="0" w:color="auto"/>
        <w:bottom w:val="none" w:sz="0" w:space="0" w:color="auto"/>
        <w:right w:val="none" w:sz="0" w:space="0" w:color="auto"/>
      </w:divBdr>
    </w:div>
    <w:div w:id="2065328717">
      <w:bodyDiv w:val="1"/>
      <w:marLeft w:val="0"/>
      <w:marRight w:val="0"/>
      <w:marTop w:val="0"/>
      <w:marBottom w:val="0"/>
      <w:divBdr>
        <w:top w:val="none" w:sz="0" w:space="0" w:color="auto"/>
        <w:left w:val="none" w:sz="0" w:space="0" w:color="auto"/>
        <w:bottom w:val="none" w:sz="0" w:space="0" w:color="auto"/>
        <w:right w:val="none" w:sz="0" w:space="0" w:color="auto"/>
      </w:divBdr>
    </w:div>
    <w:div w:id="2066178787">
      <w:bodyDiv w:val="1"/>
      <w:marLeft w:val="0"/>
      <w:marRight w:val="0"/>
      <w:marTop w:val="0"/>
      <w:marBottom w:val="0"/>
      <w:divBdr>
        <w:top w:val="none" w:sz="0" w:space="0" w:color="auto"/>
        <w:left w:val="none" w:sz="0" w:space="0" w:color="auto"/>
        <w:bottom w:val="none" w:sz="0" w:space="0" w:color="auto"/>
        <w:right w:val="none" w:sz="0" w:space="0" w:color="auto"/>
      </w:divBdr>
    </w:div>
    <w:div w:id="2066827250">
      <w:bodyDiv w:val="1"/>
      <w:marLeft w:val="0"/>
      <w:marRight w:val="0"/>
      <w:marTop w:val="0"/>
      <w:marBottom w:val="0"/>
      <w:divBdr>
        <w:top w:val="none" w:sz="0" w:space="0" w:color="auto"/>
        <w:left w:val="none" w:sz="0" w:space="0" w:color="auto"/>
        <w:bottom w:val="none" w:sz="0" w:space="0" w:color="auto"/>
        <w:right w:val="none" w:sz="0" w:space="0" w:color="auto"/>
      </w:divBdr>
    </w:div>
    <w:div w:id="2068258617">
      <w:bodyDiv w:val="1"/>
      <w:marLeft w:val="0"/>
      <w:marRight w:val="0"/>
      <w:marTop w:val="0"/>
      <w:marBottom w:val="0"/>
      <w:divBdr>
        <w:top w:val="none" w:sz="0" w:space="0" w:color="auto"/>
        <w:left w:val="none" w:sz="0" w:space="0" w:color="auto"/>
        <w:bottom w:val="none" w:sz="0" w:space="0" w:color="auto"/>
        <w:right w:val="none" w:sz="0" w:space="0" w:color="auto"/>
      </w:divBdr>
    </w:div>
    <w:div w:id="2069184371">
      <w:bodyDiv w:val="1"/>
      <w:marLeft w:val="0"/>
      <w:marRight w:val="0"/>
      <w:marTop w:val="0"/>
      <w:marBottom w:val="0"/>
      <w:divBdr>
        <w:top w:val="none" w:sz="0" w:space="0" w:color="auto"/>
        <w:left w:val="none" w:sz="0" w:space="0" w:color="auto"/>
        <w:bottom w:val="none" w:sz="0" w:space="0" w:color="auto"/>
        <w:right w:val="none" w:sz="0" w:space="0" w:color="auto"/>
      </w:divBdr>
    </w:div>
    <w:div w:id="2070880917">
      <w:bodyDiv w:val="1"/>
      <w:marLeft w:val="0"/>
      <w:marRight w:val="0"/>
      <w:marTop w:val="0"/>
      <w:marBottom w:val="0"/>
      <w:divBdr>
        <w:top w:val="none" w:sz="0" w:space="0" w:color="auto"/>
        <w:left w:val="none" w:sz="0" w:space="0" w:color="auto"/>
        <w:bottom w:val="none" w:sz="0" w:space="0" w:color="auto"/>
        <w:right w:val="none" w:sz="0" w:space="0" w:color="auto"/>
      </w:divBdr>
    </w:div>
    <w:div w:id="2073767764">
      <w:bodyDiv w:val="1"/>
      <w:marLeft w:val="0"/>
      <w:marRight w:val="0"/>
      <w:marTop w:val="0"/>
      <w:marBottom w:val="0"/>
      <w:divBdr>
        <w:top w:val="none" w:sz="0" w:space="0" w:color="auto"/>
        <w:left w:val="none" w:sz="0" w:space="0" w:color="auto"/>
        <w:bottom w:val="none" w:sz="0" w:space="0" w:color="auto"/>
        <w:right w:val="none" w:sz="0" w:space="0" w:color="auto"/>
      </w:divBdr>
    </w:div>
    <w:div w:id="2075355082">
      <w:bodyDiv w:val="1"/>
      <w:marLeft w:val="0"/>
      <w:marRight w:val="0"/>
      <w:marTop w:val="0"/>
      <w:marBottom w:val="0"/>
      <w:divBdr>
        <w:top w:val="none" w:sz="0" w:space="0" w:color="auto"/>
        <w:left w:val="none" w:sz="0" w:space="0" w:color="auto"/>
        <w:bottom w:val="none" w:sz="0" w:space="0" w:color="auto"/>
        <w:right w:val="none" w:sz="0" w:space="0" w:color="auto"/>
      </w:divBdr>
    </w:div>
    <w:div w:id="2077892268">
      <w:bodyDiv w:val="1"/>
      <w:marLeft w:val="0"/>
      <w:marRight w:val="0"/>
      <w:marTop w:val="0"/>
      <w:marBottom w:val="0"/>
      <w:divBdr>
        <w:top w:val="none" w:sz="0" w:space="0" w:color="auto"/>
        <w:left w:val="none" w:sz="0" w:space="0" w:color="auto"/>
        <w:bottom w:val="none" w:sz="0" w:space="0" w:color="auto"/>
        <w:right w:val="none" w:sz="0" w:space="0" w:color="auto"/>
      </w:divBdr>
    </w:div>
    <w:div w:id="2079554599">
      <w:bodyDiv w:val="1"/>
      <w:marLeft w:val="0"/>
      <w:marRight w:val="0"/>
      <w:marTop w:val="0"/>
      <w:marBottom w:val="0"/>
      <w:divBdr>
        <w:top w:val="none" w:sz="0" w:space="0" w:color="auto"/>
        <w:left w:val="none" w:sz="0" w:space="0" w:color="auto"/>
        <w:bottom w:val="none" w:sz="0" w:space="0" w:color="auto"/>
        <w:right w:val="none" w:sz="0" w:space="0" w:color="auto"/>
      </w:divBdr>
    </w:div>
    <w:div w:id="2084329668">
      <w:bodyDiv w:val="1"/>
      <w:marLeft w:val="0"/>
      <w:marRight w:val="0"/>
      <w:marTop w:val="0"/>
      <w:marBottom w:val="0"/>
      <w:divBdr>
        <w:top w:val="none" w:sz="0" w:space="0" w:color="auto"/>
        <w:left w:val="none" w:sz="0" w:space="0" w:color="auto"/>
        <w:bottom w:val="none" w:sz="0" w:space="0" w:color="auto"/>
        <w:right w:val="none" w:sz="0" w:space="0" w:color="auto"/>
      </w:divBdr>
    </w:div>
    <w:div w:id="2084790093">
      <w:bodyDiv w:val="1"/>
      <w:marLeft w:val="0"/>
      <w:marRight w:val="0"/>
      <w:marTop w:val="0"/>
      <w:marBottom w:val="0"/>
      <w:divBdr>
        <w:top w:val="none" w:sz="0" w:space="0" w:color="auto"/>
        <w:left w:val="none" w:sz="0" w:space="0" w:color="auto"/>
        <w:bottom w:val="none" w:sz="0" w:space="0" w:color="auto"/>
        <w:right w:val="none" w:sz="0" w:space="0" w:color="auto"/>
      </w:divBdr>
    </w:div>
    <w:div w:id="2086101813">
      <w:bodyDiv w:val="1"/>
      <w:marLeft w:val="0"/>
      <w:marRight w:val="0"/>
      <w:marTop w:val="0"/>
      <w:marBottom w:val="0"/>
      <w:divBdr>
        <w:top w:val="none" w:sz="0" w:space="0" w:color="auto"/>
        <w:left w:val="none" w:sz="0" w:space="0" w:color="auto"/>
        <w:bottom w:val="none" w:sz="0" w:space="0" w:color="auto"/>
        <w:right w:val="none" w:sz="0" w:space="0" w:color="auto"/>
      </w:divBdr>
    </w:div>
    <w:div w:id="2088455803">
      <w:bodyDiv w:val="1"/>
      <w:marLeft w:val="0"/>
      <w:marRight w:val="0"/>
      <w:marTop w:val="0"/>
      <w:marBottom w:val="0"/>
      <w:divBdr>
        <w:top w:val="none" w:sz="0" w:space="0" w:color="auto"/>
        <w:left w:val="none" w:sz="0" w:space="0" w:color="auto"/>
        <w:bottom w:val="none" w:sz="0" w:space="0" w:color="auto"/>
        <w:right w:val="none" w:sz="0" w:space="0" w:color="auto"/>
      </w:divBdr>
    </w:div>
    <w:div w:id="2093232891">
      <w:bodyDiv w:val="1"/>
      <w:marLeft w:val="0"/>
      <w:marRight w:val="0"/>
      <w:marTop w:val="0"/>
      <w:marBottom w:val="0"/>
      <w:divBdr>
        <w:top w:val="none" w:sz="0" w:space="0" w:color="auto"/>
        <w:left w:val="none" w:sz="0" w:space="0" w:color="auto"/>
        <w:bottom w:val="none" w:sz="0" w:space="0" w:color="auto"/>
        <w:right w:val="none" w:sz="0" w:space="0" w:color="auto"/>
      </w:divBdr>
    </w:div>
    <w:div w:id="2094470857">
      <w:bodyDiv w:val="1"/>
      <w:marLeft w:val="0"/>
      <w:marRight w:val="0"/>
      <w:marTop w:val="0"/>
      <w:marBottom w:val="0"/>
      <w:divBdr>
        <w:top w:val="none" w:sz="0" w:space="0" w:color="auto"/>
        <w:left w:val="none" w:sz="0" w:space="0" w:color="auto"/>
        <w:bottom w:val="none" w:sz="0" w:space="0" w:color="auto"/>
        <w:right w:val="none" w:sz="0" w:space="0" w:color="auto"/>
      </w:divBdr>
    </w:div>
    <w:div w:id="2095473996">
      <w:bodyDiv w:val="1"/>
      <w:marLeft w:val="0"/>
      <w:marRight w:val="0"/>
      <w:marTop w:val="0"/>
      <w:marBottom w:val="0"/>
      <w:divBdr>
        <w:top w:val="none" w:sz="0" w:space="0" w:color="auto"/>
        <w:left w:val="none" w:sz="0" w:space="0" w:color="auto"/>
        <w:bottom w:val="none" w:sz="0" w:space="0" w:color="auto"/>
        <w:right w:val="none" w:sz="0" w:space="0" w:color="auto"/>
      </w:divBdr>
    </w:div>
    <w:div w:id="2099400553">
      <w:bodyDiv w:val="1"/>
      <w:marLeft w:val="0"/>
      <w:marRight w:val="0"/>
      <w:marTop w:val="0"/>
      <w:marBottom w:val="0"/>
      <w:divBdr>
        <w:top w:val="none" w:sz="0" w:space="0" w:color="auto"/>
        <w:left w:val="none" w:sz="0" w:space="0" w:color="auto"/>
        <w:bottom w:val="none" w:sz="0" w:space="0" w:color="auto"/>
        <w:right w:val="none" w:sz="0" w:space="0" w:color="auto"/>
      </w:divBdr>
    </w:div>
    <w:div w:id="2103066912">
      <w:bodyDiv w:val="1"/>
      <w:marLeft w:val="0"/>
      <w:marRight w:val="0"/>
      <w:marTop w:val="0"/>
      <w:marBottom w:val="0"/>
      <w:divBdr>
        <w:top w:val="none" w:sz="0" w:space="0" w:color="auto"/>
        <w:left w:val="none" w:sz="0" w:space="0" w:color="auto"/>
        <w:bottom w:val="none" w:sz="0" w:space="0" w:color="auto"/>
        <w:right w:val="none" w:sz="0" w:space="0" w:color="auto"/>
      </w:divBdr>
    </w:div>
    <w:div w:id="2107075779">
      <w:bodyDiv w:val="1"/>
      <w:marLeft w:val="0"/>
      <w:marRight w:val="0"/>
      <w:marTop w:val="0"/>
      <w:marBottom w:val="0"/>
      <w:divBdr>
        <w:top w:val="none" w:sz="0" w:space="0" w:color="auto"/>
        <w:left w:val="none" w:sz="0" w:space="0" w:color="auto"/>
        <w:bottom w:val="none" w:sz="0" w:space="0" w:color="auto"/>
        <w:right w:val="none" w:sz="0" w:space="0" w:color="auto"/>
      </w:divBdr>
    </w:div>
    <w:div w:id="2108306661">
      <w:bodyDiv w:val="1"/>
      <w:marLeft w:val="0"/>
      <w:marRight w:val="0"/>
      <w:marTop w:val="0"/>
      <w:marBottom w:val="0"/>
      <w:divBdr>
        <w:top w:val="none" w:sz="0" w:space="0" w:color="auto"/>
        <w:left w:val="none" w:sz="0" w:space="0" w:color="auto"/>
        <w:bottom w:val="none" w:sz="0" w:space="0" w:color="auto"/>
        <w:right w:val="none" w:sz="0" w:space="0" w:color="auto"/>
      </w:divBdr>
    </w:div>
    <w:div w:id="2109230039">
      <w:bodyDiv w:val="1"/>
      <w:marLeft w:val="0"/>
      <w:marRight w:val="0"/>
      <w:marTop w:val="0"/>
      <w:marBottom w:val="0"/>
      <w:divBdr>
        <w:top w:val="none" w:sz="0" w:space="0" w:color="auto"/>
        <w:left w:val="none" w:sz="0" w:space="0" w:color="auto"/>
        <w:bottom w:val="none" w:sz="0" w:space="0" w:color="auto"/>
        <w:right w:val="none" w:sz="0" w:space="0" w:color="auto"/>
      </w:divBdr>
    </w:div>
    <w:div w:id="2112777213">
      <w:bodyDiv w:val="1"/>
      <w:marLeft w:val="0"/>
      <w:marRight w:val="0"/>
      <w:marTop w:val="0"/>
      <w:marBottom w:val="0"/>
      <w:divBdr>
        <w:top w:val="none" w:sz="0" w:space="0" w:color="auto"/>
        <w:left w:val="none" w:sz="0" w:space="0" w:color="auto"/>
        <w:bottom w:val="none" w:sz="0" w:space="0" w:color="auto"/>
        <w:right w:val="none" w:sz="0" w:space="0" w:color="auto"/>
      </w:divBdr>
    </w:div>
    <w:div w:id="2115703628">
      <w:bodyDiv w:val="1"/>
      <w:marLeft w:val="0"/>
      <w:marRight w:val="0"/>
      <w:marTop w:val="0"/>
      <w:marBottom w:val="0"/>
      <w:divBdr>
        <w:top w:val="none" w:sz="0" w:space="0" w:color="auto"/>
        <w:left w:val="none" w:sz="0" w:space="0" w:color="auto"/>
        <w:bottom w:val="none" w:sz="0" w:space="0" w:color="auto"/>
        <w:right w:val="none" w:sz="0" w:space="0" w:color="auto"/>
      </w:divBdr>
    </w:div>
    <w:div w:id="2117557169">
      <w:bodyDiv w:val="1"/>
      <w:marLeft w:val="0"/>
      <w:marRight w:val="0"/>
      <w:marTop w:val="0"/>
      <w:marBottom w:val="0"/>
      <w:divBdr>
        <w:top w:val="none" w:sz="0" w:space="0" w:color="auto"/>
        <w:left w:val="none" w:sz="0" w:space="0" w:color="auto"/>
        <w:bottom w:val="none" w:sz="0" w:space="0" w:color="auto"/>
        <w:right w:val="none" w:sz="0" w:space="0" w:color="auto"/>
      </w:divBdr>
    </w:div>
    <w:div w:id="2118598524">
      <w:bodyDiv w:val="1"/>
      <w:marLeft w:val="0"/>
      <w:marRight w:val="0"/>
      <w:marTop w:val="0"/>
      <w:marBottom w:val="0"/>
      <w:divBdr>
        <w:top w:val="none" w:sz="0" w:space="0" w:color="auto"/>
        <w:left w:val="none" w:sz="0" w:space="0" w:color="auto"/>
        <w:bottom w:val="none" w:sz="0" w:space="0" w:color="auto"/>
        <w:right w:val="none" w:sz="0" w:space="0" w:color="auto"/>
      </w:divBdr>
    </w:div>
    <w:div w:id="2122260012">
      <w:bodyDiv w:val="1"/>
      <w:marLeft w:val="0"/>
      <w:marRight w:val="0"/>
      <w:marTop w:val="0"/>
      <w:marBottom w:val="0"/>
      <w:divBdr>
        <w:top w:val="none" w:sz="0" w:space="0" w:color="auto"/>
        <w:left w:val="none" w:sz="0" w:space="0" w:color="auto"/>
        <w:bottom w:val="none" w:sz="0" w:space="0" w:color="auto"/>
        <w:right w:val="none" w:sz="0" w:space="0" w:color="auto"/>
      </w:divBdr>
    </w:div>
    <w:div w:id="2124111234">
      <w:bodyDiv w:val="1"/>
      <w:marLeft w:val="0"/>
      <w:marRight w:val="0"/>
      <w:marTop w:val="0"/>
      <w:marBottom w:val="0"/>
      <w:divBdr>
        <w:top w:val="none" w:sz="0" w:space="0" w:color="auto"/>
        <w:left w:val="none" w:sz="0" w:space="0" w:color="auto"/>
        <w:bottom w:val="none" w:sz="0" w:space="0" w:color="auto"/>
        <w:right w:val="none" w:sz="0" w:space="0" w:color="auto"/>
      </w:divBdr>
    </w:div>
    <w:div w:id="2124183771">
      <w:bodyDiv w:val="1"/>
      <w:marLeft w:val="0"/>
      <w:marRight w:val="0"/>
      <w:marTop w:val="0"/>
      <w:marBottom w:val="0"/>
      <w:divBdr>
        <w:top w:val="none" w:sz="0" w:space="0" w:color="auto"/>
        <w:left w:val="none" w:sz="0" w:space="0" w:color="auto"/>
        <w:bottom w:val="none" w:sz="0" w:space="0" w:color="auto"/>
        <w:right w:val="none" w:sz="0" w:space="0" w:color="auto"/>
      </w:divBdr>
    </w:div>
    <w:div w:id="2126119062">
      <w:bodyDiv w:val="1"/>
      <w:marLeft w:val="0"/>
      <w:marRight w:val="0"/>
      <w:marTop w:val="0"/>
      <w:marBottom w:val="0"/>
      <w:divBdr>
        <w:top w:val="none" w:sz="0" w:space="0" w:color="auto"/>
        <w:left w:val="none" w:sz="0" w:space="0" w:color="auto"/>
        <w:bottom w:val="none" w:sz="0" w:space="0" w:color="auto"/>
        <w:right w:val="none" w:sz="0" w:space="0" w:color="auto"/>
      </w:divBdr>
    </w:div>
    <w:div w:id="2126918786">
      <w:bodyDiv w:val="1"/>
      <w:marLeft w:val="0"/>
      <w:marRight w:val="0"/>
      <w:marTop w:val="0"/>
      <w:marBottom w:val="0"/>
      <w:divBdr>
        <w:top w:val="none" w:sz="0" w:space="0" w:color="auto"/>
        <w:left w:val="none" w:sz="0" w:space="0" w:color="auto"/>
        <w:bottom w:val="none" w:sz="0" w:space="0" w:color="auto"/>
        <w:right w:val="none" w:sz="0" w:space="0" w:color="auto"/>
      </w:divBdr>
    </w:div>
    <w:div w:id="2127658440">
      <w:bodyDiv w:val="1"/>
      <w:marLeft w:val="0"/>
      <w:marRight w:val="0"/>
      <w:marTop w:val="0"/>
      <w:marBottom w:val="0"/>
      <w:divBdr>
        <w:top w:val="none" w:sz="0" w:space="0" w:color="auto"/>
        <w:left w:val="none" w:sz="0" w:space="0" w:color="auto"/>
        <w:bottom w:val="none" w:sz="0" w:space="0" w:color="auto"/>
        <w:right w:val="none" w:sz="0" w:space="0" w:color="auto"/>
      </w:divBdr>
    </w:div>
    <w:div w:id="2129346851">
      <w:bodyDiv w:val="1"/>
      <w:marLeft w:val="0"/>
      <w:marRight w:val="0"/>
      <w:marTop w:val="0"/>
      <w:marBottom w:val="0"/>
      <w:divBdr>
        <w:top w:val="none" w:sz="0" w:space="0" w:color="auto"/>
        <w:left w:val="none" w:sz="0" w:space="0" w:color="auto"/>
        <w:bottom w:val="none" w:sz="0" w:space="0" w:color="auto"/>
        <w:right w:val="none" w:sz="0" w:space="0" w:color="auto"/>
      </w:divBdr>
    </w:div>
    <w:div w:id="2129814124">
      <w:bodyDiv w:val="1"/>
      <w:marLeft w:val="0"/>
      <w:marRight w:val="0"/>
      <w:marTop w:val="0"/>
      <w:marBottom w:val="0"/>
      <w:divBdr>
        <w:top w:val="none" w:sz="0" w:space="0" w:color="auto"/>
        <w:left w:val="none" w:sz="0" w:space="0" w:color="auto"/>
        <w:bottom w:val="none" w:sz="0" w:space="0" w:color="auto"/>
        <w:right w:val="none" w:sz="0" w:space="0" w:color="auto"/>
      </w:divBdr>
    </w:div>
    <w:div w:id="2132967284">
      <w:bodyDiv w:val="1"/>
      <w:marLeft w:val="0"/>
      <w:marRight w:val="0"/>
      <w:marTop w:val="0"/>
      <w:marBottom w:val="0"/>
      <w:divBdr>
        <w:top w:val="none" w:sz="0" w:space="0" w:color="auto"/>
        <w:left w:val="none" w:sz="0" w:space="0" w:color="auto"/>
        <w:bottom w:val="none" w:sz="0" w:space="0" w:color="auto"/>
        <w:right w:val="none" w:sz="0" w:space="0" w:color="auto"/>
      </w:divBdr>
    </w:div>
    <w:div w:id="2135438656">
      <w:bodyDiv w:val="1"/>
      <w:marLeft w:val="0"/>
      <w:marRight w:val="0"/>
      <w:marTop w:val="0"/>
      <w:marBottom w:val="0"/>
      <w:divBdr>
        <w:top w:val="none" w:sz="0" w:space="0" w:color="auto"/>
        <w:left w:val="none" w:sz="0" w:space="0" w:color="auto"/>
        <w:bottom w:val="none" w:sz="0" w:space="0" w:color="auto"/>
        <w:right w:val="none" w:sz="0" w:space="0" w:color="auto"/>
      </w:divBdr>
    </w:div>
    <w:div w:id="2136483681">
      <w:bodyDiv w:val="1"/>
      <w:marLeft w:val="0"/>
      <w:marRight w:val="0"/>
      <w:marTop w:val="0"/>
      <w:marBottom w:val="0"/>
      <w:divBdr>
        <w:top w:val="none" w:sz="0" w:space="0" w:color="auto"/>
        <w:left w:val="none" w:sz="0" w:space="0" w:color="auto"/>
        <w:bottom w:val="none" w:sz="0" w:space="0" w:color="auto"/>
        <w:right w:val="none" w:sz="0" w:space="0" w:color="auto"/>
      </w:divBdr>
    </w:div>
    <w:div w:id="2139059509">
      <w:bodyDiv w:val="1"/>
      <w:marLeft w:val="0"/>
      <w:marRight w:val="0"/>
      <w:marTop w:val="0"/>
      <w:marBottom w:val="0"/>
      <w:divBdr>
        <w:top w:val="none" w:sz="0" w:space="0" w:color="auto"/>
        <w:left w:val="none" w:sz="0" w:space="0" w:color="auto"/>
        <w:bottom w:val="none" w:sz="0" w:space="0" w:color="auto"/>
        <w:right w:val="none" w:sz="0" w:space="0" w:color="auto"/>
      </w:divBdr>
    </w:div>
    <w:div w:id="2140296489">
      <w:bodyDiv w:val="1"/>
      <w:marLeft w:val="0"/>
      <w:marRight w:val="0"/>
      <w:marTop w:val="0"/>
      <w:marBottom w:val="0"/>
      <w:divBdr>
        <w:top w:val="none" w:sz="0" w:space="0" w:color="auto"/>
        <w:left w:val="none" w:sz="0" w:space="0" w:color="auto"/>
        <w:bottom w:val="none" w:sz="0" w:space="0" w:color="auto"/>
        <w:right w:val="none" w:sz="0" w:space="0" w:color="auto"/>
      </w:divBdr>
    </w:div>
    <w:div w:id="2143306690">
      <w:bodyDiv w:val="1"/>
      <w:marLeft w:val="0"/>
      <w:marRight w:val="0"/>
      <w:marTop w:val="0"/>
      <w:marBottom w:val="0"/>
      <w:divBdr>
        <w:top w:val="none" w:sz="0" w:space="0" w:color="auto"/>
        <w:left w:val="none" w:sz="0" w:space="0" w:color="auto"/>
        <w:bottom w:val="none" w:sz="0" w:space="0" w:color="auto"/>
        <w:right w:val="none" w:sz="0" w:space="0" w:color="auto"/>
      </w:divBdr>
    </w:div>
    <w:div w:id="2145195682">
      <w:bodyDiv w:val="1"/>
      <w:marLeft w:val="0"/>
      <w:marRight w:val="0"/>
      <w:marTop w:val="0"/>
      <w:marBottom w:val="0"/>
      <w:divBdr>
        <w:top w:val="none" w:sz="0" w:space="0" w:color="auto"/>
        <w:left w:val="none" w:sz="0" w:space="0" w:color="auto"/>
        <w:bottom w:val="none" w:sz="0" w:space="0" w:color="auto"/>
        <w:right w:val="none" w:sz="0" w:space="0" w:color="auto"/>
      </w:divBdr>
    </w:div>
    <w:div w:id="214638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customXml" Target="ink/ink4.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ustomXml" Target="ink/ink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2.xml"/><Relationship Id="rId22" Type="http://schemas.openxmlformats.org/officeDocument/2006/relationships/footer" Target="footer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a5e420b3761275a6438eb2ad403651eb">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99b142a9e075f41757fe2ccf2f62d207"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3:SharedWithDetails" minOccurs="0"/>
                <xsd:element ref="ns3:SharingHintHash" minOccurs="0"/>
                <xsd:element ref="ns4:MediaServiceAutoKeyPoints" minOccurs="0"/>
                <xsd:element ref="ns4:MediaServiceKeyPoints" minOccurs="0"/>
                <xsd:element ref="ns4:MediaServiceOCR" minOccurs="0"/>
                <xsd:element ref="ns4:_activity" minOccurs="0"/>
                <xsd:element ref="ns4:MediaServiceSearchPropertie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Alz24</b:Tag>
    <b:SourceType>InternetSite</b:SourceType>
    <b:Guid>{C2FA75B4-9182-42A5-BC3F-341C348D8041}</b:Guid>
    <b:Title>How many people have dementia in the UK?</b:Title>
    <b:Year>2024</b:Year>
    <b:Author>
      <b:Author>
        <b:NameList>
          <b:Person>
            <b:Last>Society</b:Last>
            <b:First>Alzheimer's</b:First>
          </b:Person>
        </b:NameList>
      </b:Author>
    </b:Author>
    <b:YearAccessed>2025</b:YearAccessed>
    <b:MonthAccessed>July</b:MonthAccessed>
    <b:DayAccessed>11</b:DayAccessed>
    <b:URL>https://www.alzheimers.org.uk/blog/how-many-people-have-dementia-uk</b:URL>
    <b:RefOrder>65</b:RefOrder>
  </b:Source>
  <b:Source>
    <b:Tag>Bradford</b:Tag>
    <b:SourceType>JournalArticle</b:SourceType>
    <b:Guid>{19ED16C5-205F-4305-96C5-5C0DA37FCB46}</b:Guid>
    <b:Author>
      <b:Author>
        <b:NameList>
          <b:Person>
            <b:Last>Bradford</b:Last>
            <b:First>Andrea</b:First>
          </b:Person>
          <b:Person>
            <b:Last>Mark</b:Last>
            <b:First>Kunik</b:First>
          </b:Person>
          <b:Person>
            <b:Last>Paul</b:Last>
            <b:First>Schulz</b:First>
          </b:Person>
          <b:Person>
            <b:Last>Susan</b:Last>
            <b:First>Williams</b:First>
          </b:Person>
          <b:Person>
            <b:Last>Hardeep</b:Last>
            <b:First>Singh</b:First>
          </b:Person>
        </b:NameList>
      </b:Author>
    </b:Author>
    <b:Title>Missed and Delayed Diagnosis of Dementia in Primary Care: Prevalence and Contributing Factors.</b:Title>
    <b:JournalName>Alzheimer Disease &amp; Associated Disorders</b:JournalName>
    <b:Year>2009</b:Year>
    <b:Pages>306-314</b:Pages>
    <b:Volume>23</b:Volume>
    <b:Issue>4</b:Issue>
    <b:RefOrder>7</b:RefOrder>
  </b:Source>
  <b:Source>
    <b:Tag>Dep09</b:Tag>
    <b:SourceType>InternetSite</b:SourceType>
    <b:Guid>{BCA79343-1132-4C14-B2A1-64C1D449AA8A}</b:Guid>
    <b:Title>Living Well With Dementia: a national dementia strategy</b:Title>
    <b:Year>2009</b:Year>
    <b:Author>
      <b:Author>
        <b:NameList>
          <b:Person>
            <b:Last>Care</b:Last>
            <b:First>Department</b:First>
            <b:Middle>of Health and Social</b:Middle>
          </b:Person>
        </b:NameList>
      </b:Author>
    </b:Author>
    <b:YearAccessed>2025</b:YearAccessed>
    <b:MonthAccessed>July</b:MonthAccessed>
    <b:DayAccessed>14</b:DayAccessed>
    <b:URL>https://www.gov.uk/government/publications/living-well-with-dementia-a-national-dementia-strategy</b:URL>
    <b:RefOrder>66</b:RefOrder>
  </b:Source>
  <b:Source>
    <b:Tag>Ani19</b:Tag>
    <b:SourceType>JournalArticle</b:SourceType>
    <b:Guid>{C8B9328A-6E2C-4FAD-AB1A-BBE1F7266012}</b:Guid>
    <b:Title>Identifying barriers to diagnosing dementia following incentivisation and policy pressures: General practitioners' perspectives</b:Title>
    <b:Year>2019</b:Year>
    <b:Author>
      <b:Author>
        <b:NameList>
          <b:Person>
            <b:Last>Chithiramohan</b:Last>
            <b:First>Anita</b:First>
          </b:Person>
          <b:Person>
            <b:Last>Iliffe</b:Last>
            <b:First>Steve</b:First>
          </b:Person>
          <b:Person>
            <b:Last>Khattak</b:Last>
            <b:First>Iram</b:First>
          </b:Person>
        </b:NameList>
      </b:Author>
    </b:Author>
    <b:JournalName>Dementia (London)</b:JournalName>
    <b:Pages>514-529</b:Pages>
    <b:Volume>18</b:Volume>
    <b:Issue>2</b:Issue>
    <b:RefOrder>8</b:RefOrder>
  </b:Source>
  <b:Source>
    <b:Tag>Ami12</b:Tag>
    <b:SourceType>JournalArticle</b:SourceType>
    <b:Guid>{33CD9190-5ADA-498E-9B5F-9B2C2B629B97}</b:Guid>
    <b:Author>
      <b:Author>
        <b:NameList>
          <b:Person>
            <b:Last>Faranak</b:Last>
            <b:First>Aminzadeh</b:First>
          </b:Person>
          <b:Person>
            <b:Last>Molnar Frank J</b:Last>
          </b:Person>
          <b:Person>
            <b:Last>Dalziel William B</b:Last>
          </b:Person>
          <b:Person>
            <b:Last>Debbie</b:Last>
            <b:First>Ayotte</b:First>
          </b:Person>
        </b:NameList>
      </b:Author>
    </b:Author>
    <b:Title>A Review of Barriers and Enablers to Diagnosis and Management of Persons with Dementia in Primary Care</b:Title>
    <b:JournalName>Canadian Geriatrics Journal</b:JournalName>
    <b:Year>2012</b:Year>
    <b:Pages>85-94</b:Pages>
    <b:Volume>15</b:Volume>
    <b:Issue>3</b:Issue>
    <b:RefOrder>9</b:RefOrder>
  </b:Source>
  <b:Source>
    <b:Tag>Per23</b:Tag>
    <b:SourceType>JournalArticle</b:SourceType>
    <b:Guid>{D7F447EC-7338-4618-B723-961C22D242EB}</b:Guid>
    <b:Author>
      <b:Author>
        <b:NameList>
          <b:Person>
            <b:Last>Usha</b:Last>
            <b:First>Persaud</b:First>
          </b:Person>
          <b:Person>
            <b:Last>J.</b:Last>
            <b:First>Manning</b:First>
            <b:Middle>Kevin</b:Middle>
          </b:Person>
          <b:Person>
            <b:Last>Rong</b:Last>
            <b:First>Wu</b:First>
          </b:Person>
          <b:Person>
            <b:Last>C.</b:Last>
            <b:First>Steffens</b:First>
            <b:Middle>David</b:Middle>
          </b:Person>
        </b:NameList>
      </b:Author>
    </b:Author>
    <b:Title>59 The Impact of Anxiety on Memory Performance in Older Adults with Depression</b:Title>
    <b:JournalName>Journal of the International Neuropsychological Society</b:JournalName>
    <b:Year>2023</b:Year>
    <b:Pages>844-845</b:Pages>
    <b:Volume>29</b:Volume>
    <b:Issue>1</b:Issue>
    <b:RefOrder>67</b:RefOrder>
  </b:Source>
  <b:Source>
    <b:Tag>Sin17</b:Tag>
    <b:SourceType>JournalArticle</b:SourceType>
    <b:Guid>{8E27B8F4-3C0E-4A73-8532-B5F927E1BFD9}</b:Guid>
    <b:Author>
      <b:Author>
        <b:NameList>
          <b:Person>
            <b:Last>Singh-Manoux</b:Last>
          </b:Person>
          <b:Person>
            <b:Last>A</b:Last>
            <b:First>Dugravot</b:First>
          </b:Person>
          <b:Person>
            <b:Last>A</b:Last>
            <b:First>Fournier</b:First>
          </b:Person>
          <b:Person>
            <b:Last>J</b:Last>
            <b:First>Abell</b:First>
          </b:Person>
          <b:Person>
            <b:Last>K</b:Last>
            <b:First>Ebmeier</b:First>
          </b:Person>
          <b:Person>
            <b:Last>M</b:Last>
            <b:First>Kivimäki</b:First>
          </b:Person>
          <b:Person>
            <b:Last>S</b:Last>
            <b:First>Sabia</b:First>
          </b:Person>
        </b:NameList>
      </b:Author>
    </b:Author>
    <b:Title>Trajectories of Depressive Symptoms Before Diagnosis of Dementia: A 28-Year Follow-up Study</b:Title>
    <b:Year>2017</b:Year>
    <b:RefOrder>68</b:RefOrder>
  </b:Source>
  <b:Source>
    <b:Tag>Pin22</b:Tag>
    <b:SourceType>JournalArticle</b:SourceType>
    <b:Guid>{6BDC8AA3-73C5-4F77-A7E3-FF306ECC6E6E}</b:Guid>
    <b:Author>
      <b:Author>
        <b:NameList>
          <b:Person>
            <b:Last>Chen</b:Last>
            <b:First>Ping‑Jen</b:First>
          </b:Person>
          <b:Person>
            <b:Last>Smits</b:Last>
            <b:First>Lisanne</b:First>
          </b:Person>
          <b:Person>
            <b:Last>Miranda</b:Last>
            <b:First>Rose</b:First>
          </b:Person>
          <b:Person>
            <b:Last>Liao</b:Last>
            <b:First>Jung‑Yu</b:First>
          </b:Person>
        </b:NameList>
      </b:Author>
    </b:Author>
    <b:Title>Impact of home healthcare on end-oflife outcomes for people with dementia:</b:Title>
    <b:JournalName>Scholarly Journal</b:JournalName>
    <b:Year>2022</b:Year>
    <b:Pages>1-14</b:Pages>
    <b:Volume>22</b:Volume>
    <b:RefOrder>69</b:RefOrder>
  </b:Source>
  <b:Source>
    <b:Tag>Ayt21</b:Tag>
    <b:SourceType>JournalArticle</b:SourceType>
    <b:Guid>{4387C978-BC47-40CC-8183-D56C137A783C}</b:Guid>
    <b:Author>
      <b:Author>
        <b:NameList>
          <b:Person>
            <b:Last>Darshini</b:Last>
            <b:First>Ayton</b:First>
          </b:Person>
          <b:Person>
            <b:Last>L</b:Last>
            <b:First>Gardam</b:First>
            <b:Middle>Madeleine</b:Middle>
          </b:Person>
          <b:Person>
            <b:Last>K</b:Last>
            <b:First>Pritchard</b:First>
            <b:Middle>Elizabeth</b:Middle>
          </b:Person>
          <b:Person>
            <b:Last>Rasa</b:Last>
            <b:First>Ruseckaite</b:First>
          </b:Person>
          <b:Person>
            <b:Last>Joanne</b:Last>
            <b:First>Ryan</b:First>
          </b:Person>
          <b:Person>
            <b:Last>J</b:Last>
            <b:First>Robinson</b:First>
            <b:Middle>Sandra</b:Middle>
          </b:Person>
          <b:Person>
            <b:Last>Henry</b:Last>
            <b:First>Brodaty</b:First>
          </b:Person>
          <b:Person>
            <b:Last>A</b:Last>
            <b:First>Ward</b:First>
            <b:Middle>Stephanie</b:Middle>
          </b:Person>
          <b:Person>
            <b:Last>Susannah</b:Last>
            <b:First>Ahern</b:First>
          </b:Person>
        </b:NameList>
      </b:Author>
    </b:Author>
    <b:Title>Patient-Reported Outcome Measures to Inform Care of People With Dementia—A Systematic Scoping Review</b:Title>
    <b:JournalName>The Gerontologist</b:JournalName>
    <b:Year>2021</b:Year>
    <b:Pages>e185-e194</b:Pages>
    <b:Volume>61</b:Volume>
    <b:Issue>5</b:Issue>
    <b:RefOrder>70</b:RefOrder>
  </b:Source>
  <b:Source>
    <b:Tag>Qui14</b:Tag>
    <b:SourceType>JournalArticle</b:SourceType>
    <b:Guid>{CC24D0CF-B04B-42D5-B0C0-CA240F66DB7D}</b:Guid>
    <b:Author>
      <b:Author>
        <b:NameList>
          <b:Person>
            <b:Last>Catherine</b:Last>
            <b:First>Quinn</b:First>
          </b:Person>
          <b:Person>
            <b:Last>Daniel</b:Last>
            <b:First>Anderson</b:First>
          </b:Person>
          <b:Person>
            <b:Last>Gill</b:Last>
            <b:First>Toms</b:First>
          </b:Person>
          <b:Person>
            <b:Last>Rhiannon</b:Last>
            <b:First>Whitaker</b:First>
          </b:Person>
          <b:Person>
            <b:Last>Tudor</b:Last>
            <b:First>Edwards</b:First>
            <b:Middle>Rhiannon</b:Middle>
          </b:Person>
          <b:Person>
            <b:Last>Carys</b:Last>
            <b:First>Jones</b:First>
          </b:Person>
          <b:Person>
            <b:Last>Linda</b:Last>
            <b:First>Clare</b:First>
          </b:Person>
        </b:NameList>
      </b:Author>
    </b:Author>
    <b:Title>Self-management in early-stage dementia: a pilot randomised controlled trial of the efficacy and cost-effectiveness of a self-management group intervention (the SMART study)</b:Title>
    <b:JournalName>Trials</b:JournalName>
    <b:Year>2014</b:Year>
    <b:Pages>74-74</b:Pages>
    <b:Volume>15</b:Volume>
    <b:Issue>1</b:Issue>
    <b:RefOrder>71</b:RefOrder>
  </b:Source>
  <b:Source>
    <b:Tag>Muk15</b:Tag>
    <b:SourceType>JournalArticle</b:SourceType>
    <b:Guid>{85CD922F-B945-4DDD-B07B-12CCE44F46B7}</b:Guid>
    <b:Author>
      <b:Author>
        <b:NameList>
          <b:Person>
            <b:Last>Naaheed</b:Last>
            <b:First>Mukadam</b:First>
          </b:Person>
          <b:Person>
            <b:Last>Claudia</b:Last>
            <b:First>Cooper</b:First>
          </b:Person>
          <b:Person>
            <b:Last>Nishin</b:Last>
            <b:First>Kherani</b:First>
          </b:Person>
          <b:Person>
            <b:Last>Gill</b:Last>
            <b:First>Livingston</b:First>
          </b:Person>
        </b:NameList>
      </b:Author>
    </b:Author>
    <b:Title>A systematic review of interventions to detect dementia or cognitive impairment</b:Title>
    <b:JournalName>International journal of geriatric psychiatry</b:JournalName>
    <b:Year>2015</b:Year>
    <b:Pages>32-45</b:Pages>
    <b:Volume>30</b:Volume>
    <b:Issue>1</b:Issue>
    <b:RefOrder>72</b:RefOrder>
  </b:Source>
  <b:Source>
    <b:Tag>Wat23</b:Tag>
    <b:SourceType>JournalArticle</b:SourceType>
    <b:Guid>{59F118F1-20DC-4281-A1BD-5A11513909D5}</b:Guid>
    <b:Author>
      <b:Author>
        <b:NameList>
          <b:Person>
            <b:Last>Julie</b:Last>
            <b:First>Watson</b:First>
          </b:Person>
          <b:Person>
            <b:Last>Jane</b:Last>
            <b:First>Wilcockson</b:First>
          </b:Person>
          <b:Person>
            <b:Last>Agnes</b:Last>
            <b:First>Houston</b:First>
          </b:Person>
          <b:Person>
            <b:Last>Adele</b:Last>
            <b:First>van</b:First>
            <b:Middle>Wyk</b:Middle>
          </b:Person>
          <b:Person>
            <b:Last>Sarah</b:Last>
            <b:First>Keyes</b:First>
          </b:Person>
          <b:Person>
            <b:Last>Damian</b:Last>
            <b:First>Murphy</b:First>
          </b:Person>
          <b:Person>
            <b:Last>Philly</b:Last>
            <b:First>Hare</b:First>
          </b:Person>
          <b:Person>
            <b:Last>Elaine</b:Last>
            <b:First>Wiersma</b:First>
          </b:Person>
          <b:Person>
            <b:Last>Charlotte</b:Last>
            <b:First>Clarke</b:First>
          </b:Person>
        </b:NameList>
      </b:Author>
    </b:Author>
    <b:Title>‘I feel more part of the world’: Participatory action research to develop post-diagnostic dementia support</b:Title>
    <b:JournalName>Dementia (London, England)</b:JournalName>
    <b:Year>2023</b:Year>
    <b:Pages>1420-1439</b:Pages>
    <b:Volume>22</b:Volume>
    <b:Issue>7</b:Issue>
    <b:RefOrder>10</b:RefOrder>
  </b:Source>
  <b:Source>
    <b:Tag>Rox23</b:Tag>
    <b:SourceType>JournalArticle</b:SourceType>
    <b:Guid>{54612824-74FE-42BA-9C99-3F410B28B7F0}</b:Guid>
    <b:Author>
      <b:Author>
        <b:NameList>
          <b:Person>
            <b:Last>Safavi</b:Last>
            <b:First>Roxanne</b:First>
          </b:Person>
          <b:Person>
            <b:Last>Wearden</b:Last>
            <b:First>Alison</b:First>
          </b:Person>
          <b:Person>
            <b:Last>Berry</b:Last>
            <b:First>Katherine</b:First>
          </b:Person>
        </b:NameList>
      </b:Author>
    </b:Author>
    <b:Title>Psychological well-being in persons with dementia: The role of caregiver expressed emotion</b:Title>
    <b:JournalName>British Journal of Clinical Psychology</b:JournalName>
    <b:Year>2023</b:Year>
    <b:Pages>431-443</b:Pages>
    <b:Volume>62</b:Volume>
    <b:Issue>2</b:Issue>
    <b:RefOrder>73</b:RefOrder>
  </b:Source>
  <b:Source>
    <b:Tag>Naa20</b:Tag>
    <b:SourceType>JournalArticle</b:SourceType>
    <b:Guid>{E75A1591-9182-4B20-88D3-A363362AEA40}</b:Guid>
    <b:Author>
      <b:Author>
        <b:NameList>
          <b:Person>
            <b:Last>Mukadam</b:Last>
            <b:First>Naaheed</b:First>
          </b:Person>
          <b:Person>
            <b:Last>Anderson</b:Last>
            <b:First>Robert</b:First>
          </b:Person>
          <b:Person>
            <b:Last>Knapp</b:Last>
            <b:First>Martin</b:First>
          </b:Person>
          <b:Person>
            <b:Last>Wittenberg</b:Last>
            <b:First>Raphael</b:First>
          </b:Person>
          <b:Person>
            <b:Last>Karagiannidou</b:Last>
            <b:First>Maria</b:First>
          </b:Person>
          <b:Person>
            <b:Last>Costafreda</b:Last>
            <b:First>Sergi</b:First>
            <b:Middle>G</b:Middle>
          </b:Person>
          <b:Person>
            <b:Last>Tutton</b:Last>
            <b:First>Madison</b:First>
          </b:Person>
          <b:Person>
            <b:Last>Alessi</b:Last>
            <b:First>Charles</b:First>
          </b:Person>
          <b:Person>
            <b:Last>Livingston</b:Last>
            <b:First>Gill</b:First>
          </b:Person>
        </b:NameList>
      </b:Author>
    </b:Author>
    <b:Title>Effective interventions for potentially modifiable risk factors for late-onset dementia: a costs and cost-effectiveness modelling study Effective interventions for potentially modifiable risk factors for late-onset dementia: a costs and cost-effectiveness</b:Title>
    <b:JournalName>The Lancet. Healthy longevity</b:JournalName>
    <b:Year>2020</b:Year>
    <b:Pages>e13-e20</b:Pages>
    <b:Volume>1</b:Volume>
    <b:Issue>1</b:Issue>
    <b:RefOrder>74</b:RefOrder>
  </b:Source>
  <b:Source>
    <b:Tag>Mia25</b:Tag>
    <b:SourceType>JournalArticle</b:SourceType>
    <b:Guid>{CFDEF199-0B47-499E-8A1E-75948BBB1E75}</b:Guid>
    <b:Author>
      <b:Author>
        <b:NameList>
          <b:Person>
            <b:Last>Hao</b:Last>
            <b:First>Miao</b:First>
          </b:Person>
          <b:Person>
            <b:Last>Chen</b:Last>
            <b:First>Jiajun</b:First>
          </b:Person>
        </b:NameList>
      </b:Author>
    </b:Author>
    <b:Title>Trend analysis and future predictions of global burden of alzheimer’s disease and other dementias: a study based on the global burden of disease database from 1990 to 2021</b:Title>
    <b:JournalName>BMC Medicine</b:JournalName>
    <b:Year>2025</b:Year>
    <b:Pages>1-18</b:Pages>
    <b:Volume>23</b:Volume>
    <b:RefOrder>1</b:RefOrder>
  </b:Source>
  <b:Source>
    <b:Tag>Chi21</b:Tag>
    <b:SourceType>JournalArticle</b:SourceType>
    <b:Guid>{B47939A9-72F1-4347-9D01-4671C0B257A5}</b:Guid>
    <b:Author>
      <b:Author>
        <b:NameList>
          <b:Person>
            <b:Last>Annalisa</b:Last>
            <b:First>Chiari</b:First>
          </b:Person>
          <b:Person>
            <b:Last>Barbara</b:Last>
            <b:First>Pistoresi</b:First>
          </b:Person>
          <b:Person>
            <b:Last>Chiara</b:Last>
            <b:First>Galli</b:First>
          </b:Person>
          <b:Person>
            <b:Last>Manuela</b:Last>
            <b:First>Tondelli</b:First>
          </b:Person>
          <b:Person>
            <b:Last>Giulia</b:Last>
            <b:First>Vinceti</b:First>
          </b:Person>
        </b:NameList>
      </b:Author>
    </b:Author>
    <b:Title>Determinants of Caregiver Burden in Early-Onset Dementia</b:Title>
    <b:JournalName> Dementia and Geriatric Cognitive Disorders Extra</b:JournalName>
    <b:Year>2021</b:Year>
    <b:Pages>189-197</b:Pages>
    <b:Volume>11</b:Volume>
    <b:Issue>2</b:Issue>
    <b:RefOrder>2</b:RefOrder>
  </b:Source>
  <b:Source>
    <b:Tag>Ami05</b:Tag>
    <b:SourceType>JournalArticle</b:SourceType>
    <b:Guid>{AE26AF3F-2FFA-441A-AA8B-53D74E62FA6D}</b:Guid>
    <b:Author>
      <b:Author>
        <b:NameList>
          <b:Person>
            <b:Last>Hélène</b:Last>
            <b:First>Amieva</b:First>
          </b:Person>
          <b:Person>
            <b:Last>Hélène</b:Last>
            <b:First>Jacqmin-Gadda</b:First>
          </b:Person>
          <b:Person>
            <b:Last>Jean-Marc</b:Last>
            <b:First>Orgogozo</b:First>
          </b:Person>
          <b:Person>
            <b:Last>Nicolas</b:Last>
            <b:First>Le</b:First>
            <b:Middle>Carret</b:Middle>
          </b:Person>
          <b:Person>
            <b:Last>Catherine</b:Last>
            <b:First>Helmer</b:First>
          </b:Person>
          <b:Person>
            <b:Last>Luc</b:Last>
            <b:First>Letenneur</b:First>
          </b:Person>
          <b:Person>
            <b:Last>Pascale</b:Last>
            <b:First>Barberger-Gateau</b:First>
          </b:Person>
          <b:Person>
            <b:Last>Colette</b:Last>
            <b:First>Fabrigoule</b:First>
          </b:Person>
          <b:Person>
            <b:Last>Jean-François</b:Last>
            <b:First>Dartigues</b:First>
          </b:Person>
        </b:NameList>
      </b:Author>
    </b:Author>
    <b:Title>The 9 year cognitive decline before dementia of the Alzheimer type: a prospective population-based study</b:Title>
    <b:JournalName>Brain (London, England : 1878)</b:JournalName>
    <b:Year>2005</b:Year>
    <b:Pages>1093-1101</b:Pages>
    <b:Volume>128</b:Volume>
    <b:Issue>5</b:Issue>
    <b:RefOrder>4</b:RefOrder>
  </b:Source>
  <b:Source>
    <b:Tag>Ter18</b:Tag>
    <b:SourceType>JournalArticle</b:SourceType>
    <b:Guid>{1B297737-3BC2-4053-A817-6FF5D9E65CDD}</b:Guid>
    <b:Author>
      <b:Author>
        <b:NameList>
          <b:Person>
            <b:Last>Terracciano</b:Last>
            <b:First>A</b:First>
          </b:Person>
          <b:Person>
            <b:Last>Islam</b:Last>
            <b:First>M</b:First>
          </b:Person>
          <b:Person>
            <b:Last>Mazumder</b:Last>
            <b:First>M</b:First>
          </b:Person>
          <b:Person>
            <b:Last>Schwabe-Warf</b:Last>
            <b:First>D</b:First>
          </b:Person>
          <b:Person>
            <b:Last>Y</b:Last>
            <b:First>Stephan</b:First>
          </b:Person>
          <b:Person>
            <b:Last>Sutin</b:Last>
            <b:First>A.</b:First>
          </b:Person>
        </b:NameList>
      </b:Author>
    </b:Author>
    <b:Title>PERSONALITY CHANGES WITH DEMENTIA FROM THE INFORMANT PERSPECTIVE: NEW DATA AND META-ANALYSIS</b:Title>
    <b:JournalName>Innovation in Aging</b:JournalName>
    <b:Year>2018</b:Year>
    <b:Pages>973</b:Pages>
    <b:Volume>2</b:Volume>
    <b:RefOrder>5</b:RefOrder>
  </b:Source>
  <b:Source>
    <b:Tag>NHS25</b:Tag>
    <b:SourceType>InternetSite</b:SourceType>
    <b:Guid>{625B05DB-D98E-4958-BB80-5884EE4A9A39}</b:Guid>
    <b:Title>Primary Care Dementia Data, June 2025</b:Title>
    <b:Year>2025</b:Year>
    <b:Author>
      <b:Author>
        <b:NameList>
          <b:Person>
            <b:Last>NHS</b:Last>
          </b:Person>
        </b:NameList>
      </b:Author>
    </b:Author>
    <b:YearAccessed>2025</b:YearAccessed>
    <b:MonthAccessed>June</b:MonthAccessed>
    <b:DayAccessed>26</b:DayAccessed>
    <b:URL>https://digital.nhs.uk/data-and-information/publications/statistical/primary-care-dementia-data/june-2025</b:URL>
    <b:RefOrder>6</b:RefOrder>
  </b:Source>
  <b:Source>
    <b:Tag>Liu25</b:Tag>
    <b:SourceType>JournalArticle</b:SourceType>
    <b:Guid>{7B0D5BF0-094B-4E53-AC26-97F6FB5D9C25}</b:Guid>
    <b:Title>Global burden of Alzheimer’s disease and other dementias in adults aged 65 years and over, and health inequality related to SDI, 1990–2021: analysis of data from GBD 2021</b:Title>
    <b:Year>2025</b:Year>
    <b:Author>
      <b:Author>
        <b:NameList>
          <b:Person>
            <b:Last>Wen</b:Last>
            <b:First>Liu</b:First>
          </b:Person>
          <b:Person>
            <b:Last>Wei</b:Last>
            <b:First>Deng</b:First>
          </b:Person>
          <b:Person>
            <b:Last>Xinhao</b:Last>
            <b:First>Gong</b:First>
          </b:Person>
          <b:Person>
            <b:Last>Jinping</b:Last>
            <b:First>Ou</b:First>
          </b:Person>
          <b:Person>
            <b:Last>Shuchun</b:Last>
            <b:First>Yu</b:First>
          </b:Person>
          <b:Person>
            <b:Last>Shoulin</b:Last>
            <b:First>Chen</b:First>
          </b:Person>
        </b:NameList>
      </b:Author>
    </b:Author>
    <b:JournalName>BMC Public Health</b:JournalName>
    <b:Pages>1-10</b:Pages>
    <b:Volume>25</b:Volume>
    <b:RefOrder>11</b:RefOrder>
  </b:Source>
  <b:Source>
    <b:Tag>GOV11</b:Tag>
    <b:SourceType>InternetSite</b:SourceType>
    <b:Guid>{3F27A318-EAD0-4BF5-AA82-565FC39716A9}</b:Guid>
    <b:Title>Living Well With Dementia: A national dementia strategy</b:Title>
    <b:Year>2011</b:Year>
    <b:Author>
      <b:Author>
        <b:NameList>
          <b:Person>
            <b:Last>UK</b:Last>
            <b:First>GOV</b:First>
          </b:Person>
        </b:NameList>
      </b:Author>
    </b:Author>
    <b:YearAccessed>2025</b:YearAccessed>
    <b:MonthAccessed>August</b:MonthAccessed>
    <b:DayAccessed>04</b:DayAccessed>
    <b:URL>https://www.gov.uk/government/news/living-well-with-dementia-a-national-dementia-strategy</b:URL>
    <b:RefOrder>75</b:RefOrder>
  </b:Source>
  <b:Source>
    <b:Tag>GOK15</b:Tag>
    <b:SourceType>InternetSite</b:SourceType>
    <b:Guid>{54D5369C-113E-44C7-93A9-55A385DEDC53}</b:Guid>
    <b:Author>
      <b:Author>
        <b:NameList>
          <b:Person>
            <b:Last>UK</b:Last>
            <b:First>GOK</b:First>
          </b:Person>
        </b:NameList>
      </b:Author>
    </b:Author>
    <b:Title>Prime Minister's challenge on dementia 2020</b:Title>
    <b:Year>2015</b:Year>
    <b:YearAccessed>2025</b:YearAccessed>
    <b:MonthAccessed>August</b:MonthAccessed>
    <b:DayAccessed>04</b:DayAccessed>
    <b:URL>https://www.gov.uk/government/publications/prime-ministers-challenge-on-dementia-2020</b:URL>
    <b:RefOrder>76</b:RefOrder>
  </b:Source>
  <b:Source>
    <b:Tag>Chr13</b:Tag>
    <b:SourceType>JournalArticle</b:SourceType>
    <b:Guid>{1EAF2668-CF11-4052-BC4B-386655D54490}</b:Guid>
    <b:Title>The pros and cons of early diagnosis in dementia</b:Title>
    <b:Year>2013</b:Year>
    <b:Author>
      <b:Author>
        <b:NameList>
          <b:Person>
            <b:Last>Fox</b:Last>
            <b:First>Chris</b:First>
          </b:Person>
          <b:Person>
            <b:Last>Lafortune</b:Last>
            <b:First>Louise</b:First>
          </b:Person>
          <b:Person>
            <b:Last>Boustani</b:Last>
            <b:First>Malaz</b:First>
          </b:Person>
          <b:Person>
            <b:Last>Brayne</b:Last>
            <b:First>Carol</b:First>
          </b:Person>
        </b:NameList>
      </b:Author>
    </b:Author>
    <b:JournalName>British Journal of General Practice</b:JournalName>
    <b:Pages>e510–e512</b:Pages>
    <b:Volume>63</b:Volume>
    <b:Issue>612</b:Issue>
    <b:RefOrder>12</b:RefOrder>
  </b:Source>
  <b:Source>
    <b:Tag>Gil17</b:Tag>
    <b:SourceType>JournalArticle</b:SourceType>
    <b:Guid>{9DCB420E-1481-41B2-A76C-2E22834C15C7}</b:Guid>
    <b:Author>
      <b:Author>
        <b:NameList>
          <b:Person>
            <b:Last>Livingston</b:Last>
            <b:First>Gill</b:First>
          </b:Person>
          <b:Person>
            <b:Last>Sommerlad</b:Last>
            <b:First>Andrew</b:First>
          </b:Person>
          <b:Person>
            <b:Last>Orgeta</b:Last>
            <b:First>Vasiliki</b:First>
          </b:Person>
          <b:Person>
            <b:Last>Costafreda</b:Last>
            <b:First>Sergi</b:First>
            <b:Middle>G</b:Middle>
          </b:Person>
          <b:Person>
            <b:Last>Huntley</b:Last>
            <b:First>Jonathan</b:First>
          </b:Person>
          <b:Person>
            <b:Last>Ames</b:Last>
            <b:First>David</b:First>
          </b:Person>
          <b:Person>
            <b:Last>Ballard</b:Last>
            <b:First>Clive</b:First>
          </b:Person>
          <b:Person>
            <b:Last>Banerjee</b:Last>
            <b:First>Sube</b:First>
          </b:Person>
          <b:Person>
            <b:Last>Burns</b:Last>
            <b:First>Alistair</b:First>
          </b:Person>
          <b:Person>
            <b:Last>Cohen-Mansfield</b:Last>
            <b:First>Jiska</b:First>
          </b:Person>
          <b:Person>
            <b:Last>Cooper</b:Last>
            <b:First>Claudia</b:First>
          </b:Person>
          <b:Person>
            <b:Last>Fox</b:Last>
            <b:First>Nick</b:First>
          </b:Person>
          <b:Person>
            <b:Last>Gitlin</b:Last>
            <b:First>Laura</b:First>
            <b:Middle>N</b:Middle>
          </b:Person>
        </b:NameList>
      </b:Author>
    </b:Author>
    <b:Title>Dementia prevention, intervention, and care</b:Title>
    <b:JournalName>The Lancet</b:JournalName>
    <b:Year>2017</b:Year>
    <b:Pages>2673-2734</b:Pages>
    <b:Volume>390</b:Volume>
    <b:Issue>10113</b:Issue>
    <b:RefOrder>13</b:RefOrder>
  </b:Source>
  <b:Source>
    <b:Tag>Vas22</b:Tag>
    <b:SourceType>JournalArticle</b:SourceType>
    <b:Guid>{48433E17-BD9F-4E92-AB18-F170B2278FA7}</b:Guid>
    <b:Author>
      <b:Author>
        <b:NameList>
          <b:Person>
            <b:Last>Orgeta</b:Last>
            <b:First>Vasiliki</b:First>
          </b:Person>
          <b:Person>
            <b:Last>Leung</b:Last>
            <b:First>Phuong</b:First>
          </b:Person>
          <b:Person>
            <b:Last>del-Pino-Casado</b:Last>
            <b:First>Rafael</b:First>
          </b:Person>
          <b:Person>
            <b:Last>Qazi</b:Last>
            <b:First>Afifa</b:First>
          </b:Person>
          <b:Person>
            <b:Last>Orrell</b:Last>
            <b:First>Martin</b:First>
          </b:Person>
          <b:Person>
            <b:Last>Spector</b:Last>
            <b:First>Aimee</b:First>
            <b:Middle>E</b:Middle>
          </b:Person>
          <b:Person>
            <b:Last>Methley</b:Last>
            <b:First>Abigail</b:First>
            <b:Middle>M</b:Middle>
          </b:Person>
        </b:NameList>
      </b:Author>
    </b:Author>
    <b:Title>Psychological treatments for depression and anxiety in dementia and mild cognitive impairment</b:Title>
    <b:JournalName>Cochrane Database of Systematic reviews</b:JournalName>
    <b:Year>2022</b:Year>
    <b:Issue>4 Art. No.: CD009125</b:Issue>
    <b:RefOrder>14</b:RefOrder>
  </b:Source>
  <b:Source>
    <b:Tag>LiY15</b:Tag>
    <b:SourceType>JournalArticle</b:SourceType>
    <b:Guid>{D4EAF859-E182-411C-9713-8B20C506C066}</b:Guid>
    <b:Author>
      <b:Author>
        <b:NameList>
          <b:Person>
            <b:Last>Ying</b:Last>
            <b:First>Li</b:First>
          </b:Person>
          <b:Person>
            <b:Last>Shan</b:Last>
            <b:First>Hai</b:First>
          </b:Person>
          <b:Person>
            <b:Last>Yan</b:Last>
            <b:First>Zhou</b:First>
          </b:Person>
          <b:Person>
            <b:Last>Rong</b:Last>
            <b:First>Dong</b:First>
            <b:Middle>Bi</b:Middle>
          </b:Person>
        </b:NameList>
      </b:Author>
    </b:Author>
    <b:Title>Cholinesterase inhibitors for rarer dementias associated with neurological conditions</b:Title>
    <b:JournalName>Cochrane database of systematic reviews</b:JournalName>
    <b:Year>2015</b:Year>
    <b:Pages>CD009444</b:Pages>
    <b:Volume>3</b:Volume>
    <b:RefOrder>15</b:RefOrder>
  </b:Source>
  <b:Source>
    <b:Tag>Sim04</b:Tag>
    <b:SourceType>JournalArticle</b:SourceType>
    <b:Guid>{FBC9D1EB-AA69-421A-BC7F-03E0D8812B76}</b:Guid>
    <b:Author>
      <b:Author>
        <b:NameList>
          <b:Person>
            <b:Last>Douglas</b:Last>
            <b:First>Simon</b:First>
          </b:Person>
          <b:Person>
            <b:Last>James</b:Last>
            <b:First>Ian</b:First>
          </b:Person>
          <b:Person>
            <b:Last>Ballard</b:Last>
            <b:First>Clive</b:First>
          </b:Person>
        </b:NameList>
      </b:Author>
    </b:Author>
    <b:Title>Non-pharmacological interventions in dementia</b:Title>
    <b:JournalName>Advances in Psychiatric Treatment</b:JournalName>
    <b:Year>2004</b:Year>
    <b:Pages>171-177</b:Pages>
    <b:Volume>10</b:Volume>
    <b:Issue>3</b:Issue>
    <b:RefOrder>16</b:RefOrder>
  </b:Source>
  <b:Source>
    <b:Tag>Aim18</b:Tag>
    <b:SourceType>JournalArticle</b:SourceType>
    <b:Guid>{686B964A-19B4-40EE-A2F1-0483633FFA0A}</b:Guid>
    <b:Author>
      <b:Author>
        <b:NameList>
          <b:Person>
            <b:Last>Spector</b:Last>
            <b:First>Aimee</b:First>
          </b:Person>
          <b:Person>
            <b:Last>Charlesworth</b:Last>
            <b:First>Georgina</b:First>
          </b:Person>
          <b:Person>
            <b:Last>King</b:Last>
            <b:First>Michael</b:First>
          </b:Person>
          <b:Person>
            <b:Last>Lattimer</b:Last>
            <b:First>Miles</b:First>
          </b:Person>
          <b:Person>
            <b:Last>Sadek</b:Last>
            <b:First>Susan</b:First>
          </b:Person>
          <b:Person>
            <b:Last>Marston</b:Last>
            <b:First>Louise</b:First>
          </b:Person>
          <b:Person>
            <b:Last>Rehill</b:Last>
            <b:First>Amritpal</b:First>
          </b:Person>
          <b:Person>
            <b:Last>Hoe</b:Last>
            <b:First>Juanita</b:First>
          </b:Person>
          <b:Person>
            <b:Last>Qazi</b:Last>
            <b:First>Afifa</b:First>
          </b:Person>
          <b:Person>
            <b:Last>Knapp</b:Last>
            <b:First>Martin</b:First>
          </b:Person>
          <b:Person>
            <b:Last>Orrell</b:Last>
            <b:First>Martin</b:First>
          </b:Person>
        </b:NameList>
      </b:Author>
    </b:Author>
    <b:Title>Cognitive–behavioural therapy for anxiety in dementia: pilotrandomised controlled trial</b:Title>
    <b:JournalName>The British Journal of Psychiatry</b:JournalName>
    <b:Year>2018</b:Year>
    <b:Pages>509-516</b:Pages>
    <b:Volume>206</b:Volume>
    <b:Issue>6</b:Issue>
    <b:RefOrder>77</b:RefOrder>
  </b:Source>
  <b:Source>
    <b:Tag>Fra18</b:Tag>
    <b:SourceType>JournalArticle</b:SourceType>
    <b:Guid>{08F0326B-5FBE-4A2A-9015-D32D46CBC0E6}</b:Guid>
    <b:Author>
      <b:Author>
        <b:NameList>
          <b:Person>
            <b:Last>Bunn</b:Last>
            <b:First>Frances</b:First>
          </b:Person>
          <b:Person>
            <b:Last>Goodman</b:Last>
            <b:First>Claire</b:First>
          </b:Person>
          <b:Person>
            <b:Last>Russell</b:Last>
            <b:First>Bridget</b:First>
          </b:Person>
          <b:Person>
            <b:Last>Wilson</b:Last>
            <b:First>Patricia</b:First>
          </b:Person>
          <b:Person>
            <b:Last>Manthorpe</b:Last>
            <b:First>Jill</b:First>
          </b:Person>
          <b:Person>
            <b:Last>Rait</b:Last>
            <b:First>Greta</b:First>
          </b:Person>
          <b:Person>
            <b:Last>Hodkinson</b:Last>
            <b:First>Isabel</b:First>
          </b:Person>
          <b:Person>
            <b:Last>Durand</b:Last>
            <b:First>Marie-Anne</b:First>
          </b:Person>
        </b:NameList>
      </b:Author>
    </b:Author>
    <b:Title>Supporting shared decision making for older people with multiple health and social care needs: a realist synthesis</b:Title>
    <b:JournalName>BMC Geriatrics</b:JournalName>
    <b:Year>2018</b:Year>
    <b:Volume>18</b:Volume>
    <b:Issue>165</b:Issue>
    <b:RefOrder>78</b:RefOrder>
  </b:Source>
  <b:Source>
    <b:Tag>You19</b:Tag>
    <b:SourceType>JournalArticle</b:SourceType>
    <b:Guid>{E3E74095-F43E-4965-89F3-D00461DA9B79}</b:Guid>
    <b:Author>
      <b:Author>
        <b:NameList>
          <b:Person>
            <b:Last>Laurent</b:Last>
            <b:First>Younes</b:First>
          </b:Person>
          <b:Person>
            <b:Last>Marilyn</b:Last>
            <b:First>Albert</b:First>
          </b:Person>
          <b:Person>
            <b:Last>Abhay</b:Last>
            <b:First>Moghekar</b:First>
          </b:Person>
          <b:Person>
            <b:Last>Anja</b:Last>
            <b:First>Soldan</b:First>
          </b:Person>
          <b:Person>
            <b:Last>Corinne</b:Last>
            <b:First>Pettigrew</b:First>
          </b:Person>
          <b:Person>
            <b:Last>I.</b:Last>
            <b:First>Miller</b:First>
            <b:Middle>Michael</b:Middle>
          </b:Person>
        </b:NameList>
      </b:Author>
    </b:Author>
    <b:Title>Identifying Changepoints in Biomarkers During the Preclinical Phase of Alzheimer’s Disease</b:Title>
    <b:JournalName>Frontiers in Aging Neuroscience</b:JournalName>
    <b:Year>2019</b:Year>
    <b:RefOrder>17</b:RefOrder>
  </b:Source>
  <b:Source>
    <b:Tag>Mar21</b:Tag>
    <b:SourceType>JournalArticle</b:SourceType>
    <b:Guid>{5D4EBAE0-2D3F-4445-9A28-1D8E65B0EEB7}</b:Guid>
    <b:Author>
      <b:Author>
        <b:NameList>
          <b:Person>
            <b:Last>O’Malley</b:Last>
            <b:First>Mary</b:First>
          </b:Person>
          <b:Person>
            <b:Last>Parkes</b:Last>
            <b:First>Jacqueline</b:First>
          </b:Person>
          <b:Person>
            <b:Last>Stamou</b:Last>
            <b:First>Vasileios</b:First>
          </b:Person>
          <b:Person>
            <b:Last>LaFontaine</b:Last>
            <b:First>Jenny</b:First>
          </b:Person>
          <b:Person>
            <b:Last>Oyebode</b:Last>
            <b:First>Jan</b:First>
          </b:Person>
          <b:Person>
            <b:Last>Campbell</b:Last>
            <b:First>Jackie</b:First>
          </b:Person>
          <b:Person>
            <b:Last>Carter</b:Last>
            <b:First>Janet</b:First>
          </b:Person>
        </b:NameList>
      </b:Author>
    </b:Author>
    <b:Title>Current UK clinical practice in diagnosing dementia in younger adults: compliance with quality indicators in electronic health records from mental health trusts</b:Title>
    <b:JournalName>Aging Ment Health</b:JournalName>
    <b:Year>2021</b:Year>
    <b:Pages>2233-2242</b:Pages>
    <b:Volume>26</b:Volume>
    <b:Issue>11</b:Issue>
    <b:RefOrder>79</b:RefOrder>
  </b:Source>
  <b:Source>
    <b:Tag>Cla23</b:Tag>
    <b:SourceType>JournalArticle</b:SourceType>
    <b:Guid>{00B69717-99C8-4747-8FFF-AD1CE9968251}</b:Guid>
    <b:Author>
      <b:Author>
        <b:NameList>
          <b:Person>
            <b:Last>Bamford</b:Last>
            <b:First>Claire</b:First>
          </b:Person>
          <b:Person>
            <b:Last>Wilcock</b:Last>
            <b:First>Jane</b:First>
          </b:Person>
          <b:Person>
            <b:Last>Brunskill</b:Last>
            <b:First>Greta</b:First>
          </b:Person>
          <b:Person>
            <b:Last>Wheatley</b:Last>
            <b:First>Alison</b:First>
          </b:Person>
          <b:Person>
            <b:Last>Dening</b:Last>
            <b:First>Karen</b:First>
            <b:Middle>Harrison</b:Middle>
          </b:Person>
          <b:Person>
            <b:Last>Manthorpe</b:Last>
            <b:First>Jill</b:First>
          </b:Person>
          <b:Person>
            <b:Last>Allan</b:Last>
            <b:First>Louise</b:First>
          </b:Person>
          <b:Person>
            <b:Last>Banerjee</b:Last>
            <b:First>Sube</b:First>
          </b:Person>
          <b:Person>
            <b:Last>Booi</b:Last>
            <b:First>Laura</b:First>
          </b:Person>
          <b:Person>
            <b:Last>Griffiths</b:Last>
            <b:First>Sarah</b:First>
          </b:Person>
          <b:Person>
            <b:Last>Rait</b:Last>
            <b:First>Greta</b:First>
          </b:Person>
          <b:Person>
            <b:Last>Walters</b:Last>
            <b:First>Kate</b:First>
          </b:Person>
          <b:Person>
            <b:Last>Robinson</b:Last>
            <b:First>Louise</b:First>
          </b:Person>
        </b:NameList>
      </b:Author>
    </b:Author>
    <b:Title>Improving primary care based post-diagnostic support for people living with dementia and carers: Developing a complex intervention using the Theory of Change</b:Title>
    <b:JournalName>PLoS ONE</b:JournalName>
    <b:Year>2023</b:Year>
    <b:Pages>e0283818</b:Pages>
    <b:Volume>18</b:Volume>
    <b:Issue>5</b:Issue>
    <b:RefOrder>80</b:RefOrder>
  </b:Source>
  <b:Source>
    <b:Tag>Esm23</b:Tag>
    <b:SourceType>JournalArticle</b:SourceType>
    <b:Guid>{CC916950-1A79-4EEA-A121-04740BFE9AAC}</b:Guid>
    <b:Title>The memory clinic and psychosocial intervention: Translating past promise into current practices</b:Title>
    <b:JournalName>Frontiers in Rehabilitation Sciences - Innovations in dementia and ageing care</b:JournalName>
    <b:Year>2023</b:Year>
    <b:Pages>1052244</b:Pages>
    <b:Volume>4</b:Volume>
    <b:Author>
      <b:Author>
        <b:NameList>
          <b:Person>
            <b:Last>Moniz-Cook</b:Last>
            <b:First>Esme</b:First>
          </b:Person>
          <b:Person>
            <b:Last>Mountain</b:Last>
            <b:First>Gail</b:First>
          </b:Person>
        </b:NameList>
      </b:Author>
    </b:Author>
    <b:RefOrder>18</b:RefOrder>
  </b:Source>
  <b:Source>
    <b:Tag>Cla231</b:Tag>
    <b:SourceType>JournalArticle</b:SourceType>
    <b:Guid>{76B9E53E-3360-4E66-AE37-23369534EEDB}</b:Guid>
    <b:Author>
      <b:Author>
        <b:NameList>
          <b:Person>
            <b:Last>Giebel</b:Last>
            <b:First>Clarissa</b:First>
          </b:Person>
          <b:Person>
            <b:Last>Heath</b:Last>
            <b:First>Bronte</b:First>
          </b:Person>
        </b:NameList>
      </b:Author>
    </b:Author>
    <b:Title>A 3-UK-nation survey on dementia and the cost of living crisis: contributions of gender and ethnicity on struggling to pay for social care</b:Title>
    <b:JournalName>Aging &amp; Mental Health</b:JournalName>
    <b:Year>2023</b:Year>
    <b:Pages>2368-2376</b:Pages>
    <b:Volume>27</b:Volume>
    <b:Issue>12</b:Issue>
    <b:RefOrder>28</b:RefOrder>
  </b:Source>
  <b:Source>
    <b:Tag>UCL23</b:Tag>
    <b:SourceType>InternetSite</b:SourceType>
    <b:Guid>{D560290F-0E56-4929-B568-563BF86608A8}</b:Guid>
    <b:Title>Link between talking therapy and lower rates of dementia assessed</b:Title>
    <b:Year>2023</b:Year>
    <b:Author>
      <b:Author>
        <b:NameList>
          <b:Person>
            <b:Last>UCL</b:Last>
          </b:Person>
        </b:NameList>
      </b:Author>
    </b:Author>
    <b:YearAccessed>2025</b:YearAccessed>
    <b:MonthAccessed>August</b:MonthAccessed>
    <b:DayAccessed>04</b:DayAccessed>
    <b:URL>https://www.ucl.ac.uk/news/2023/feb/link-between-talking-therapy-and-lower-rates-dementia-assessed?utm_source</b:URL>
    <b:RefOrder>19</b:RefOrder>
  </b:Source>
  <b:Source>
    <b:Tag>Gor02</b:Tag>
    <b:SourceType>JournalArticle</b:SourceType>
    <b:Guid>{60BC267A-9649-4C0D-84C8-7D5E861BAB20}</b:Guid>
    <b:Title>Cognitive Behaviour Therapy : Publication Trends and Future Directions</b:Title>
    <b:Year>2002</b:Year>
    <b:Author>
      <b:Author>
        <b:NameList>
          <b:Person>
            <b:Last>Asmundson</b:Last>
            <b:First>Gordon</b:First>
            <b:Middle>J. G.</b:Middle>
          </b:Person>
          <b:Person>
            <b:Last>Andersson</b:Last>
            <b:First>Gerhard</b:First>
          </b:Person>
        </b:NameList>
      </b:Author>
    </b:Author>
    <b:JournalName>Cognitive Behaviour Therapy</b:JournalName>
    <b:Pages>3-7</b:Pages>
    <b:Volume>31</b:Volume>
    <b:Issue>1</b:Issue>
    <b:RefOrder>20</b:RefOrder>
  </b:Source>
  <b:Source>
    <b:Tag>Fra17</b:Tag>
    <b:SourceType>JournalArticle</b:SourceType>
    <b:Guid>{5FD1D300-76E9-4455-9C2B-6BC67819F339}</b:Guid>
    <b:Author>
      <b:Author>
        <b:NameList>
          <b:Person>
            <b:Last>Bunn</b:Last>
            <b:First>Frances</b:First>
          </b:Person>
          <b:Person>
            <b:Last>Burn</b:Last>
            <b:First>Anne-Marie</b:First>
          </b:Person>
          <b:Person>
            <b:Last>Robinson</b:Last>
            <b:First>Louise</b:First>
          </b:Person>
          <b:Person>
            <b:Last>Poole</b:Last>
            <b:First>Marie</b:First>
          </b:Person>
          <b:Person>
            <b:Last>Rait</b:Last>
            <b:First>Greta</b:First>
          </b:Person>
          <b:Person>
            <b:Last>Brayn</b:Last>
            <b:First>Carol</b:First>
          </b:Person>
          <b:Person>
            <b:Last>Schoeman</b:Last>
            <b:First>Johan</b:First>
          </b:Person>
          <b:Person>
            <b:Last>Norton</b:Last>
            <b:First>Sam</b:First>
          </b:Person>
          <b:Person>
            <b:Last>Goodman</b:Last>
            <b:First>Claire</b:First>
          </b:Person>
        </b:NameList>
      </b:Author>
    </b:Author>
    <b:Title>Healthcare organisation and delivery for people with dementia and comorbidity: a qualitative study exploring the views of patients, carers and professionals</b:Title>
    <b:JournalName>Health services research, BMJ Open</b:JournalName>
    <b:Year>2017</b:Year>
    <b:Pages>e013067</b:Pages>
    <b:Volume>7</b:Volume>
    <b:Issue>1</b:Issue>
    <b:RefOrder>21</b:RefOrder>
  </b:Source>
  <b:Source>
    <b:Tag>Fli19</b:Tag>
    <b:SourceType>JournalArticle</b:SourceType>
    <b:Guid>{D43F8A97-C327-41B9-92A4-3CB560D516DF}</b:Guid>
    <b:Author>
      <b:Author>
        <b:NameList>
          <b:Person>
            <b:Last>Monica</b:Last>
            <b:First>Fliedner</b:First>
          </b:Person>
          <b:Person>
            <b:Last>Sofia</b:Last>
            <b:First>Zambrano</b:First>
          </b:Person>
          <b:Person>
            <b:Last>Jos</b:Last>
            <b:First>Schols</b:First>
          </b:Person>
          <b:Person>
            <b:Last>Marie</b:Last>
            <b:First>Bakitas</b:First>
          </b:Person>
          <b:Person>
            <b:Last>Christa</b:Last>
            <b:First>Lohrmann</b:First>
          </b:Person>
          <b:Person>
            <b:Last>JG</b:Last>
            <b:First>Halfens</b:First>
            <b:Middle>Ruud</b:Middle>
          </b:Person>
          <b:Person>
            <b:Last>Steffen</b:Last>
            <b:First>Eychmüller</b:First>
          </b:Person>
        </b:NameList>
      </b:Author>
    </b:Author>
    <b:Title>An early palliative care intervention can be confronting but reassuring: A qualitative study on the experiences of patients with advanced cancer</b:Title>
    <b:JournalName>Palliative medicine</b:JournalName>
    <b:Year>2019</b:Year>
    <b:Pages>783-792</b:Pages>
    <b:Volume>33</b:Volume>
    <b:Issue>7</b:Issue>
    <b:RefOrder>81</b:RefOrder>
  </b:Source>
  <b:Source>
    <b:Tag>Kim20</b:Tag>
    <b:SourceType>JournalArticle</b:SourceType>
    <b:Guid>{F32E7100-BC1F-4439-A02C-E1C4B69806BF}</b:Guid>
    <b:Author>
      <b:Author>
        <b:NameList>
          <b:Person>
            <b:Last>DeokJu</b:Last>
            <b:First>Kim</b:First>
          </b:Person>
        </b:NameList>
      </b:Author>
    </b:Author>
    <b:Title>The Effects of a Recollection-Based Occupational Therapy Program of Alzheimer’s Disease: A Randomized Controlled Trial</b:Title>
    <b:JournalName>Occupational Therapy International</b:JournalName>
    <b:Year>2020</b:Year>
    <b:RefOrder>22</b:RefOrder>
  </b:Source>
  <b:Source>
    <b:Tag>Ali10</b:Tag>
    <b:SourceType>JournalArticle</b:SourceType>
    <b:Guid>{7861D1EA-745B-48EF-BC20-BA8475735B0F}</b:Guid>
    <b:Author>
      <b:Author>
        <b:NameList>
          <b:Person>
            <b:Last>Milne</b:Last>
            <b:First>Alisoun</b:First>
          </b:Person>
        </b:NameList>
      </b:Author>
    </b:Author>
    <b:Title>Dementia screening and early diagnosis: The case for and against</b:Title>
    <b:JournalName>Health, Risk &amp; Society</b:JournalName>
    <b:Year>2010</b:Year>
    <b:Pages>65-76</b:Pages>
    <b:Volume>12</b:Volume>
    <b:Issue>1</b:Issue>
    <b:RefOrder>82</b:RefOrder>
  </b:Source>
  <b:Source>
    <b:Tag>Max24</b:Tag>
    <b:SourceType>Report</b:SourceType>
    <b:Guid>{7F8347A7-2C15-407A-9633-89D3D1D08A6C}</b:Guid>
    <b:Author>
      <b:Author>
        <b:NameList>
          <b:Person>
            <b:Last>Maxine</b:Last>
            <b:First>Mackintosh</b:First>
          </b:Person>
        </b:NameList>
      </b:Author>
    </b:Author>
    <b:Title>Using Primary Care Electronic Health Records to Investigate Preclinical Dementia: Development of a Methodological Toolkit</b:Title>
    <b:Year>2024</b:Year>
    <b:Publisher>University College London</b:Publisher>
    <b:City>London</b:City>
    <b:RefOrder>23</b:RefOrder>
  </b:Source>
  <b:Source>
    <b:Tag>deV</b:Tag>
    <b:SourceType>JournalArticle</b:SourceType>
    <b:Guid>{1C93015B-288E-426D-85B4-A5B8365A4E73}</b:Guid>
    <b:Author>
      <b:Author>
        <b:NameList>
          <b:Person>
            <b:Last>Vugt</b:Last>
            <b:First>Marjolein</b:First>
            <b:Middle>de</b:Middle>
          </b:Person>
          <b:Person>
            <b:Last>Verhey</b:Last>
            <b:First>Frans</b:First>
          </b:Person>
        </b:NameList>
      </b:Author>
    </b:Author>
    <b:Title>The impact of early dementia diagnosis and intervention on informal caregivers</b:Title>
    <b:JournalName>Progress in neurobiology</b:JournalName>
    <b:Year>2013</b:Year>
    <b:Pages>54-62</b:Pages>
    <b:Volume>110</b:Volume>
    <b:RefOrder>24</b:RefOrder>
  </b:Source>
  <b:Source>
    <b:Tag>Jac22</b:Tag>
    <b:SourceType>JournalArticle</b:SourceType>
    <b:Guid>{CE83F73D-8F7E-4C0E-8739-7C4D624989C0}</b:Guid>
    <b:Author>
      <b:Author>
        <b:NameList>
          <b:Person>
            <b:Last>Jonathan</b:Last>
            <b:First>Jackson</b:First>
          </b:Person>
        </b:NameList>
      </b:Author>
    </b:Author>
    <b:Title>A Methodological Framework for Investigating Diversity in Clinical Researc</b:Title>
    <b:JournalName>Alzheimer's &amp; dementia</b:JournalName>
    <b:Year>2022</b:Year>
    <b:Volume>18</b:Volume>
    <b:Issue>11</b:Issue>
    <b:RefOrder>25</b:RefOrder>
  </b:Source>
  <b:Source>
    <b:Tag>Ved20</b:Tag>
    <b:SourceType>JournalArticle</b:SourceType>
    <b:Guid>{68692C18-6754-4603-BBCB-5B9D0D18A79A}</b:Guid>
    <b:Author>
      <b:Author>
        <b:NameList>
          <b:Person>
            <b:Last>Isabelle</b:Last>
            <b:First>Vedel</b:First>
          </b:Person>
          <b:Person>
            <b:Last>Carrie</b:Last>
            <b:First>McAiney</b:First>
          </b:Person>
          <b:Person>
            <b:Last>Yves</b:Last>
            <b:First>Couturier</b:First>
          </b:Person>
          <b:Person>
            <b:Last>Sarah</b:Last>
            <b:First>Pakzad</b:First>
          </b:Person>
          <b:Person>
            <b:Last>Geneviève</b:Last>
            <b:First>Arsenault-Lapierre</b:First>
          </b:Person>
          <b:Person>
            <b:Last>Claire</b:Last>
            <b:First>Godard-Sebillotte</b:First>
          </b:Person>
          <b:Person>
            <b:Last>Nadia</b:Last>
            <b:First>Sourial</b:First>
          </b:Person>
          <b:Person>
            <b:Last>Rachel</b:Last>
            <b:First>Simmons</b:First>
          </b:Person>
          <b:Person>
            <b:Last>Howard</b:Last>
            <b:First>Bergman</b:First>
          </b:Person>
        </b:NameList>
      </b:Author>
    </b:Author>
    <b:Title>Assessing care models implemented in primary healthcare for persons with dementia: a mixed-methods study protocol</b:Title>
    <b:JournalName>BMJ Open</b:JournalName>
    <b:Year>2020</b:Year>
    <b:Pages>e035916</b:Pages>
    <b:Volume>10</b:Volume>
    <b:Issue>5</b:Issue>
    <b:RefOrder>26</b:RefOrder>
  </b:Source>
  <b:Source>
    <b:Tag>Fra181</b:Tag>
    <b:SourceType>Report</b:SourceType>
    <b:Guid>{BD3DBF18-9258-41FC-946C-5932272E5449}</b:Guid>
    <b:Title>Epidemiology of Dementia: The Burden on Society, the Challenges for Research</b:Title>
    <b:Year>2018</b:Year>
    <b:Author>
      <b:Author>
        <b:NameList>
          <b:Person>
            <b:Last>Wolters</b:Last>
            <b:First>Frank</b:First>
            <b:Middle>J.</b:Middle>
          </b:Person>
          <b:Person>
            <b:Last>Ikram</b:Last>
            <b:First>MA</b:First>
          </b:Person>
        </b:NameList>
      </b:Author>
    </b:Author>
    <b:Publisher>Humana Press</b:Publisher>
    <b:City>New York</b:City>
    <b:RefOrder>27</b:RefOrder>
  </b:Source>
  <b:Source>
    <b:Tag>Tui21</b:Tag>
    <b:SourceType>JournalArticle</b:SourceType>
    <b:Guid>{8F4215E3-EFCD-456D-97F5-E49FDCFB4901}</b:Guid>
    <b:Title>Life under lockdown and social restrictions - the experiences of people living with dementia and their carers during the COVID-19 pandemic in England</b:Title>
    <b:Year>2021</b:Year>
    <b:Author>
      <b:Author>
        <b:NameList>
          <b:Person>
            <b:Last>Remco</b:Last>
            <b:First>Tuijt</b:First>
          </b:Person>
          <b:Person>
            <b:Last>Rachael</b:Last>
            <b:First>Frost</b:First>
          </b:Person>
          <b:Person>
            <b:Last>Jane</b:Last>
            <b:First>Wilcock</b:First>
          </b:Person>
          <b:Person>
            <b:Last>Louise</b:Last>
            <b:First>Robinson</b:First>
          </b:Person>
          <b:Person>
            <b:Last>Jill</b:Last>
            <b:First>Manthorpe</b:First>
          </b:Person>
          <b:Person>
            <b:Last>Greta</b:Last>
            <b:First>Rait</b:First>
          </b:Person>
          <b:Person>
            <b:Last>Kate</b:Last>
            <b:First>Walters</b:First>
          </b:Person>
        </b:NameList>
      </b:Author>
    </b:Author>
    <b:JournalName>BMC geriatrics</b:JournalName>
    <b:Pages>301-12</b:Pages>
    <b:Volume>21</b:Volume>
    <b:Issue>1</b:Issue>
    <b:RefOrder>31</b:RefOrder>
  </b:Source>
  <b:Source>
    <b:Tag>Bar25</b:Tag>
    <b:SourceType>JournalArticle</b:SourceType>
    <b:Guid>{D9C6E254-3094-4A17-A1E2-AE0B375E358F}</b:Guid>
    <b:Author>
      <b:Author>
        <b:NameList>
          <b:Person>
            <b:Last>Yehuda</b:Last>
            <b:First>Baruch</b:First>
          </b:Person>
          <b:Person>
            <b:Last>A.</b:Last>
            <b:First>Guttormsen</b:First>
            <b:Middle>David S.</b:Middle>
          </b:Person>
          <b:Person>
            <b:Last>B.</b:Last>
            <b:First>Gyoshev</b:First>
            <b:Middle>Stanley</b:Middle>
          </b:Person>
          <b:Person>
            <b:Last>Trifon</b:Last>
            <b:First>Pavkov</b:First>
          </b:Person>
          <b:Person>
            <b:Last>Miana</b:Last>
            <b:First>Plesca</b:First>
          </b:Person>
        </b:NameList>
      </b:Author>
    </b:Author>
    <b:Title>Sub‐Sampling at the Researcher's Peril: New Insights Into Sampling Strategy to Avoid Invalid Findings</b:Title>
    <b:JournalName>Human resource management journal</b:JournalName>
    <b:Year>2025</b:Year>
    <b:RefOrder>83</b:RefOrder>
  </b:Source>
  <b:Source>
    <b:Tag>Vic04</b:Tag>
    <b:SourceType>JournalArticle</b:SourceType>
    <b:Guid>{E789C100-F076-4904-9E6F-4BAF17E90F23}</b:Guid>
    <b:Author>
      <b:Author>
        <b:NameList>
          <b:Person>
            <b:Last>Cesar</b:Last>
            <b:First>Victora</b:First>
          </b:Person>
          <b:Person>
            <b:Last>Jean-Pierre</b:Last>
            <b:First>Habicht</b:First>
          </b:Person>
          <b:Person>
            <b:Last>Jennifer</b:Last>
            <b:First>Bryce</b:First>
          </b:Person>
        </b:NameList>
      </b:Author>
    </b:Author>
    <b:Title>Evidence-Based Public Health: Moving Beyond Randomized Trials</b:Title>
    <b:JournalName>American Journal of Public Health</b:JournalName>
    <b:Year>2004</b:Year>
    <b:Pages>400</b:Pages>
    <b:Volume>94</b:Volume>
    <b:Issue>3</b:Issue>
    <b:RefOrder>29</b:RefOrder>
  </b:Source>
  <b:Source>
    <b:Tag>Sam22</b:Tag>
    <b:SourceType>JournalArticle</b:SourceType>
    <b:Guid>{6B37D15D-E8B9-4757-BCD6-D96E6A91CDA2}</b:Guid>
    <b:Author>
      <b:Author>
        <b:NameList>
          <b:Person>
            <b:Last>Creavin</b:Last>
            <b:First>Samuel</b:First>
            <b:Middle>T</b:Middle>
          </b:Person>
          <b:Person>
            <b:Last>H</b:Last>
            <b:First>Noel-Storr</b:First>
            <b:Middle>Anna</b:Middle>
          </b:Person>
          <b:Person>
            <b:Last>J</b:Last>
            <b:First>Langdon</b:First>
            <b:Middle>Ryan</b:Middle>
          </b:Person>
          <b:Person>
            <b:Last>Edo</b:Last>
            <b:First>Richard</b:First>
          </b:Person>
          <b:Person>
            <b:Last>L</b:Last>
            <b:First>Creavin</b:First>
            <b:Middle>Alexandra</b:Middle>
          </b:Person>
          <b:Person>
            <b:Last>Sarah</b:Last>
            <b:First>Cullum</b:First>
          </b:Person>
          <b:Person>
            <b:Last>Sarah</b:Last>
            <b:First>Purdy</b:First>
          </b:Person>
          <b:Person>
            <b:Last>Yoav</b:Last>
            <b:First>Ben-Shlomo</b:First>
          </b:Person>
        </b:NameList>
      </b:Author>
    </b:Author>
    <b:Title>Clinical judgement by primary care physicians for the diagnosis of all‐cause dementia or cognitive impairment in symptomatic people</b:Title>
    <b:JournalName>Cochrane database of systematic reviews</b:JournalName>
    <b:Year>2022</b:Year>
    <b:Pages>CD012558</b:Pages>
    <b:Volume>2022</b:Volume>
    <b:Issue>6</b:Issue>
    <b:RefOrder>84</b:RefOrder>
  </b:Source>
  <b:Source>
    <b:Tag>Dav22</b:Tag>
    <b:SourceType>JournalArticle</b:SourceType>
    <b:Guid>{B1D7AF6A-938D-4949-B541-165D3E928FE2}</b:Guid>
    <b:Author>
      <b:Author>
        <b:NameList>
          <b:Person>
            <b:Last>Cammisuli</b:Last>
            <b:First>Davide</b:First>
            <b:Middle>Maria</b:Middle>
          </b:Person>
          <b:Person>
            <b:Last>Cipriani</b:Last>
            <b:First>Gabriele</b:First>
          </b:Person>
          <b:Person>
            <b:Last>Giusti</b:Last>
            <b:First>Emanuele</b:First>
            <b:Middle>Maria</b:Middle>
          </b:Person>
          <b:Person>
            <b:Last>Castelnuovo</b:Last>
            <b:First>Gianluca</b:First>
          </b:Person>
        </b:NameList>
      </b:Author>
    </b:Author>
    <b:Title>Effects of Reminiscence Therapy on Cognition, Depression and Quality of Life in Elderly People with Alzheimer’s Disease: A Systematic Review of Randomized Controlled Trials</b:Title>
    <b:JournalName>Journal of Clinical Medicine</b:JournalName>
    <b:Year>2022</b:Year>
    <b:Pages>5752</b:Pages>
    <b:Volume>11</b:Volume>
    <b:Issue>19</b:Issue>
    <b:RefOrder>32</b:RefOrder>
  </b:Source>
  <b:Source>
    <b:Tag>Cla18</b:Tag>
    <b:SourceType>JournalArticle</b:SourceType>
    <b:Guid>{73FA772F-C9B3-40A4-BE22-DAD828643D56}</b:Guid>
    <b:Author>
      <b:Author>
        <b:NameList>
          <b:Person>
            <b:Last>Wolfs</b:Last>
            <b:First>Claire</b:First>
            <b:Middle>A. G.</b:Middle>
          </b:Person>
          <b:Person>
            <b:Last>Kessels</b:Last>
            <b:First>Alfons</b:First>
          </b:Person>
          <b:Person>
            <b:Last>Dirksen</b:Last>
            <b:First>Carmen</b:First>
            <b:Middle>D.</b:Middle>
          </b:Person>
          <b:Person>
            <b:Last>Severens</b:Last>
            <b:First>Johan</b:First>
            <b:Middle>L.</b:Middle>
          </b:Person>
          <b:Person>
            <b:Last>Verhey</b:Last>
            <b:First>F.</b:First>
            <b:Middle>R. J.</b:Middle>
          </b:Person>
        </b:NameList>
      </b:Author>
    </b:Author>
    <b:Title>Integrated multidisciplinary diagnostic approach for dementiacare: Randomised controlled trial</b:Title>
    <b:JournalName>The British Journal of Psychiatry</b:JournalName>
    <b:Year>2018</b:Year>
    <b:Pages>300-305</b:Pages>
    <b:Volume>192</b:Volume>
    <b:Issue>4</b:Issue>
    <b:RefOrder>33</b:RefOrder>
  </b:Source>
  <b:Source>
    <b:Tag>Geo77</b:Tag>
    <b:SourceType>JournalArticle</b:SourceType>
    <b:Guid>{A42BD874-AF5F-4F76-916A-E306BC1E7DE6}</b:Guid>
    <b:Author>
      <b:Author>
        <b:NameList>
          <b:Person>
            <b:Last>Engel</b:Last>
            <b:First>George</b:First>
            <b:Middle>L.</b:Middle>
          </b:Person>
        </b:NameList>
      </b:Author>
    </b:Author>
    <b:Title>The Need for a New Medical Model: A Challenge for Biomedicine</b:Title>
    <b:JournalName>Science</b:JournalName>
    <b:Year>1977</b:Year>
    <b:Pages>129-136</b:Pages>
    <b:Volume>196</b:Volume>
    <b:Issue>4286</b:Issue>
    <b:RefOrder>35</b:RefOrder>
  </b:Source>
  <b:Source>
    <b:Tag>Rhi20</b:Tag>
    <b:SourceType>JournalArticle</b:SourceType>
    <b:Guid>{DF0ED70B-CCB8-4490-8E67-FCABBF1FF6F5}</b:Guid>
    <b:Author>
      <b:Author>
        <b:NameList>
          <b:Person>
            <b:Last>Lane</b:Last>
            <b:First>Rhiannon</b:First>
          </b:Person>
        </b:NameList>
      </b:Author>
    </b:Author>
    <b:Title>Special Issue:Understanding and Managing Uncertainty in Healthcare: Revisiting and Advancing Sociological Contributions</b:Title>
    <b:JournalName>Sociology of Health &amp; Illness</b:JournalName>
    <b:Year>2020</b:Year>
    <b:Pages>69-83</b:Pages>
    <b:Volume>43</b:Volume>
    <b:Issue>1</b:Issue>
    <b:RefOrder>85</b:RefOrder>
  </b:Source>
  <b:Source>
    <b:Tag>NHS251</b:Tag>
    <b:SourceType>InternetSite</b:SourceType>
    <b:Guid>{E6FC2FE2-BCD7-4C6E-9116-AD594CC781E7}</b:Guid>
    <b:Title>Dementia</b:Title>
    <b:Year>2025</b:Year>
    <b:Author>
      <b:Author>
        <b:NameList>
          <b:Person>
            <b:Last>England</b:Last>
            <b:First>NHS</b:First>
          </b:Person>
        </b:NameList>
      </b:Author>
    </b:Author>
    <b:YearAccessed>2025</b:YearAccessed>
    <b:MonthAccessed>August</b:MonthAccessed>
    <b:DayAccessed>05</b:DayAccessed>
    <b:URL>https://www.england.nhs.uk/mental-health/dementia/</b:URL>
    <b:RefOrder>86</b:RefOrder>
  </b:Source>
  <b:Source>
    <b:Tag>Ric84</b:Tag>
    <b:SourceType>Book</b:SourceType>
    <b:Guid>{A1E6E6B9-E93D-4EF9-998E-A6A6DC739F30}</b:Guid>
    <b:Title>Stress, Appraisal, and Coping</b:Title>
    <b:Year>1984</b:Year>
    <b:Author>
      <b:Author>
        <b:NameList>
          <b:Person>
            <b:Last>Lazarus</b:Last>
            <b:First>Richard</b:First>
            <b:Middle>S.</b:Middle>
          </b:Person>
          <b:Person>
            <b:Last>Folkman</b:Last>
            <b:First>Susan</b:First>
          </b:Person>
        </b:NameList>
      </b:Author>
    </b:Author>
    <b:City>New York</b:City>
    <b:Publisher>Springer</b:Publisher>
    <b:RefOrder>36</b:RefOrder>
  </b:Source>
  <b:Source>
    <b:Tag>Tom97</b:Tag>
    <b:SourceType>Book</b:SourceType>
    <b:Guid>{8C8A1982-42EE-471F-959F-800525BF528D}</b:Guid>
    <b:Author>
      <b:Author>
        <b:NameList>
          <b:Person>
            <b:Last>Kitwood</b:Last>
            <b:First>Tom</b:First>
          </b:Person>
          <b:Person>
            <b:Last>Brooker</b:Last>
            <b:First>Dawn</b:First>
          </b:Person>
        </b:NameList>
      </b:Author>
    </b:Author>
    <b:Title>Dementia Reconsidered Revisited: The Person Still Comes First</b:Title>
    <b:Year>1997</b:Year>
    <b:City>London</b:City>
    <b:Publisher>Open University Press</b:Publisher>
    <b:Edition>Second Edition</b:Edition>
    <b:RefOrder>37</b:RefOrder>
  </b:Source>
  <b:Source>
    <b:Tag>NIC18</b:Tag>
    <b:SourceType>InternetSite</b:SourceType>
    <b:Guid>{5D6040A8-2D18-47D2-9C71-7845EA511A2B}</b:Guid>
    <b:Title>Dementia: assessment, management and support for people living with dementia and their carers. NICE guideline. Person-centred care</b:Title>
    <b:Year>2018</b:Year>
    <b:Author>
      <b:Author>
        <b:NameList>
          <b:Person>
            <b:Last>NICE</b:Last>
          </b:Person>
        </b:NameList>
      </b:Author>
    </b:Author>
    <b:YearAccessed>2025</b:YearAccessed>
    <b:MonthAccessed>August</b:MonthAccessed>
    <b:DayAccessed>05</b:DayAccessed>
    <b:URL>https://www.nice.org.uk/guidance/ng97/chapter/Person-centred-care</b:URL>
    <b:RefOrder>87</b:RefOrder>
  </b:Source>
  <b:Source>
    <b:Tag>Jee21</b:Tag>
    <b:SourceType>JournalArticle</b:SourceType>
    <b:Guid>{160C8629-5835-4995-B8DA-1D2DCEEE481C}</b:Guid>
    <b:Title>Effectiveness of reminiscence therapy in reducing agitation and depression and improving quality of life and cognition in long-term care residents with dementia: A systematic review and meta-analysis</b:Title>
    <b:Year>2021</b:Year>
    <b:Author>
      <b:Author>
        <b:NameList>
          <b:Person>
            <b:Last>Thomas</b:Last>
            <b:First>Jeena</b:First>
            <b:Middle>Mary</b:Middle>
          </b:Person>
          <b:Person>
            <b:Last>Sezgin</b:Last>
            <b:First>Duygu</b:First>
          </b:Person>
        </b:NameList>
      </b:Author>
    </b:Author>
    <b:JournalName>Geriatric Nursing</b:JournalName>
    <b:Pages>1497-1506</b:Pages>
    <b:Volume>42</b:Volume>
    <b:Issue>6</b:Issue>
    <b:RefOrder>88</b:RefOrder>
  </b:Source>
  <b:Source>
    <b:Tag>Mat21</b:Tag>
    <b:SourceType>JournalArticle</b:SourceType>
    <b:Guid>{2737793F-E02D-4635-B3EB-951259916BE5}</b:Guid>
    <b:Author>
      <b:Author>
        <b:NameList>
          <b:Person>
            <b:Last>Page</b:Last>
            <b:First>Matthew</b:First>
            <b:Middle>J</b:Middle>
          </b:Person>
          <b:Person>
            <b:Last>McKenzie</b:Last>
            <b:First>Joanne</b:First>
            <b:Middle>E</b:Middle>
          </b:Person>
          <b:Person>
            <b:Last>Bossuyt</b:Last>
            <b:First>Patrick</b:First>
            <b:Middle>M</b:Middle>
          </b:Person>
          <b:Person>
            <b:Last>Boutron</b:Last>
            <b:First>Isabelle</b:First>
          </b:Person>
          <b:Person>
            <b:Last>Hoffmann</b:Last>
            <b:First>Tammy</b:First>
            <b:Middle>C</b:Middle>
          </b:Person>
          <b:Person>
            <b:Last>Mulrow</b:Last>
            <b:First>Cynthia</b:First>
            <b:Middle>D</b:Middle>
          </b:Person>
          <b:Person>
            <b:Last>Shamseer</b:Last>
            <b:First>Larissa</b:First>
          </b:Person>
          <b:Person>
            <b:Last>Tetzlaff</b:Last>
            <b:First>Jennifer</b:First>
            <b:Middle>M</b:Middle>
          </b:Person>
          <b:Person>
            <b:Last>Akl</b:Last>
            <b:First>Elie</b:First>
            <b:Middle>A</b:Middle>
          </b:Person>
          <b:Person>
            <b:Last>Brennan</b:Last>
            <b:First>Sue</b:First>
            <b:Middle>E</b:Middle>
          </b:Person>
          <b:Person>
            <b:Last>Chou</b:Last>
            <b:First>Roger</b:First>
          </b:Person>
          <b:Person>
            <b:Last>Glanville</b:Last>
            <b:First>Julie</b:First>
          </b:Person>
          <b:Person>
            <b:Last>Grimshaw</b:Last>
            <b:First>Jeremy</b:First>
            <b:Middle>M</b:Middle>
          </b:Person>
          <b:Person>
            <b:Last>Hróbjartsson</b:Last>
            <b:First>Asbjørn</b:First>
          </b:Person>
        </b:NameList>
      </b:Author>
    </b:Author>
    <b:Title>The PRISMA 2020 statement: an updated guideline for reporting systematic reviews</b:Title>
    <b:JournalName>The BMJ Research Methods &amp; Reporting</b:JournalName>
    <b:Year>2021</b:Year>
    <b:Pages>372</b:Pages>
    <b:RefOrder>38</b:RefOrder>
  </b:Source>
  <b:Source>
    <b:Tag>Gou17</b:Tag>
    <b:SourceType>ElectronicSource</b:SourceType>
    <b:Guid>{6D9C8052-082C-4282-83FE-3DC96AE6C682}</b:Guid>
    <b:Title>An Introduction to Systematic Reviews</b:Title>
    <b:Year>2017</b:Year>
    <b:City>Ebook</b:City>
    <b:Publisher>Sage publications</b:Publisher>
    <b:Author>
      <b:Author>
        <b:NameList>
          <b:Person>
            <b:Last>Gough</b:Last>
            <b:First>David</b:First>
          </b:Person>
          <b:Person>
            <b:Last>Thomas</b:Last>
            <b:First>James</b:First>
          </b:Person>
          <b:Person>
            <b:Last>Oliver</b:Last>
            <b:First>Sandy</b:First>
          </b:Person>
        </b:NameList>
      </b:Author>
    </b:Author>
    <b:RefOrder>39</b:RefOrder>
  </b:Source>
  <b:Source>
    <b:Tag>Dav09</b:Tag>
    <b:SourceType>JournalArticle</b:SourceType>
    <b:Guid>{0167E9A2-E1BB-4C12-ACF1-C949289F7768}</b:Guid>
    <b:Title>Preferred reporting items for systematic reviews and meta-analyses: the PRISMA statement</b:Title>
    <b:Year>2009</b:Year>
    <b:Author>
      <b:Author>
        <b:NameList>
          <b:Person>
            <b:Last>Moher</b:Last>
            <b:First>David</b:First>
          </b:Person>
          <b:Person>
            <b:Last>Liberati</b:Last>
            <b:First>Alessandro</b:First>
          </b:Person>
          <b:Person>
            <b:Last>Tetzlaff</b:Last>
            <b:First>Jennifer</b:First>
          </b:Person>
          <b:Person>
            <b:Last>Altman</b:Last>
            <b:First>Douglas</b:First>
            <b:Middle>G</b:Middle>
          </b:Person>
        </b:NameList>
      </b:Author>
    </b:Author>
    <b:JournalName>The BMJ Research Methods &amp; Reporting</b:JournalName>
    <b:Pages>339:b2535</b:Pages>
    <b:RefOrder>40</b:RefOrder>
  </b:Source>
  <b:Source>
    <b:Tag>Ali09</b:Tag>
    <b:SourceType>JournalArticle</b:SourceType>
    <b:Guid>{2C0E8856-E69F-475A-9BC3-773A7B999877}</b:Guid>
    <b:Author>
      <b:Author>
        <b:NameList>
          <b:Person>
            <b:Last>Burns</b:Last>
            <b:First>Alistair</b:First>
          </b:Person>
          <b:Person>
            <b:Last>Robert</b:Last>
            <b:First>Philippe</b:First>
          </b:Person>
        </b:NameList>
      </b:Author>
    </b:Author>
    <b:Title>The National Dementia strategy in England</b:Title>
    <b:JournalName>The BMJ</b:JournalName>
    <b:Year>2009</b:Year>
    <b:Pages>338:B931</b:Pages>
    <b:RefOrder>42</b:RefOrder>
  </b:Source>
  <b:Source>
    <b:Tag>Mic10</b:Tag>
    <b:SourceType>JournalArticle</b:SourceType>
    <b:Guid>{174EEFA2-2FDB-4B74-89F0-30372EC7D6A7}</b:Guid>
    <b:Author>
      <b:Author>
        <b:NameList>
          <b:Person>
            <b:Last>Tarsilla</b:Last>
            <b:First>Michele</b:First>
          </b:Person>
        </b:NameList>
      </b:Author>
    </b:Author>
    <b:Title>Cochrane Handbook for Systematic Reviews of Interventions</b:Title>
    <b:JournalName>Journal of MultiDisciplinary Evaluation</b:JournalName>
    <b:Year>2010</b:Year>
    <b:Pages>142-148</b:Pages>
    <b:Volume>6</b:Volume>
    <b:Issue>14</b:Issue>
    <b:RefOrder>43</b:RefOrder>
  </b:Source>
  <b:Source>
    <b:Tag>Jam08</b:Tag>
    <b:SourceType>JournalArticle</b:SourceType>
    <b:Guid>{7594F762-1F34-4B80-80A2-5D75B471B0F6}</b:Guid>
    <b:Author>
      <b:Author>
        <b:NameList>
          <b:Person>
            <b:Last>Harden</b:Last>
            <b:First>James</b:First>
            <b:Middle>Thomas &amp; Angela</b:Middle>
          </b:Person>
        </b:NameList>
      </b:Author>
    </b:Author>
    <b:Title>Methods for the thematic synthesis of qualitative research in systematic reviews</b:Title>
    <b:JournalName>BMC Medical Research Methodology</b:JournalName>
    <b:Year>2008</b:Year>
    <b:Volume>8</b:Volume>
    <b:Issue>45</b:Issue>
    <b:RefOrder>51</b:RefOrder>
  </b:Source>
  <b:Source>
    <b:Tag>Had22</b:Tag>
    <b:SourceType>JournalArticle</b:SourceType>
    <b:Guid>{21A9B171-F06C-44C5-B471-7AE0FC1C8EA2}</b:Guid>
    <b:Title>PRISMA2020: An R package and Shiny app for producing PRISMA 2020-compliant flow diagrams, with interactivity for optimised digital transparency and Open Synthesis</b:Title>
    <b:JournalName>METHODS RESEARCH PAPER Campbell Systematic Reviews</b:JournalName>
    <b:Year>2022</b:Year>
    <b:Pages>e1230</b:Pages>
    <b:Volume>18</b:Volume>
    <b:Issue>2</b:Issue>
    <b:Author>
      <b:Author>
        <b:NameList>
          <b:Person>
            <b:Last>Haddaway</b:Last>
            <b:First>Neal</b:First>
            <b:Middle>R.</b:Middle>
          </b:Person>
          <b:Person>
            <b:Last>Page</b:Last>
            <b:First>Matthew</b:First>
            <b:Middle>J.</b:Middle>
          </b:Person>
          <b:Person>
            <b:Last>Pritchard</b:Last>
            <b:First>Chris</b:First>
            <b:Middle>C.</b:Middle>
          </b:Person>
          <b:Person>
            <b:Last>McGuinness</b:Last>
            <b:First>Luke</b:First>
            <b:Middle>A.</b:Middle>
          </b:Person>
        </b:NameList>
      </b:Author>
    </b:Author>
    <b:RefOrder>44</b:RefOrder>
  </b:Source>
  <b:Source>
    <b:Tag>Meh20</b:Tag>
    <b:SourceType>JournalArticle</b:SourceType>
    <b:Guid>{C381C251-4C51-4993-85D1-F8AF9A09F46C}</b:Guid>
    <b:Author>
      <b:Author>
        <b:NameList>
          <b:Person>
            <b:Last>Janati</b:Last>
            <b:First>Mehrdad</b:First>
            <b:Middle>Amir-Behghadami &amp; Ali</b:Middle>
          </b:Person>
        </b:NameList>
      </b:Author>
    </b:Author>
    <b:Title>Population, Intervention, Comparison, Outcomes and Study (PICOS) design as a framework to formulate eligibility criteria in systematic reviews</b:Title>
    <b:JournalName>Emergency Medicine Journal : EMJ</b:JournalName>
    <b:Year>2020</b:Year>
    <b:Pages>387-387</b:Pages>
    <b:Volume>37</b:Volume>
    <b:Issue>6</b:Issue>
    <b:RefOrder>45</b:RefOrder>
  </b:Source>
  <b:Source>
    <b:Tag>GOV09</b:Tag>
    <b:SourceType>InternetSite</b:SourceType>
    <b:Guid>{44D94DD9-75BB-4172-962D-B8E4F896B74C}</b:Guid>
    <b:Title>Living Well With Dementia: A national dementia strategy, Department of Health and Social Care</b:Title>
    <b:Year>2009</b:Year>
    <b:Author>
      <b:Author>
        <b:NameList>
          <b:Person>
            <b:Last>GOV.UK</b:Last>
          </b:Person>
        </b:NameList>
      </b:Author>
    </b:Author>
    <b:YearAccessed>2025</b:YearAccessed>
    <b:MonthAccessed>July</b:MonthAccessed>
    <b:DayAccessed>27</b:DayAccessed>
    <b:URL>https://www.gov.uk/government/news/living-well-with-dementia-a-national-dementia-strategy</b:URL>
    <b:RefOrder>46</b:RefOrder>
  </b:Source>
  <b:Source>
    <b:Tag>Bad15</b:Tag>
    <b:SourceType>ConferenceProceedings</b:SourceType>
    <b:Guid>{E55816BA-71E4-404C-B723-129F545CF283}</b:Guid>
    <b:Title>Experiences from using snowballing and database searches in systematic literature studies</b:Title>
    <b:Year>2015</b:Year>
    <b:Author>
      <b:Author>
        <b:NameList>
          <b:Person>
            <b:Last>Deepika</b:Last>
            <b:First>Badampudi</b:First>
          </b:Person>
          <b:Person>
            <b:Last>Claes</b:Last>
            <b:First>Wohlin</b:First>
          </b:Person>
          <b:Person>
            <b:Last>Kai</b:Last>
            <b:First>Petersen</b:First>
          </b:Person>
        </b:NameList>
      </b:Author>
    </b:Author>
    <b:City>New York</b:City>
    <b:Publisher>Proceedings of the 19th International Conference on Evaluation and Assessment in Software Engineering</b:Publisher>
    <b:RefOrder>47</b:RefOrder>
  </b:Source>
  <b:Source>
    <b:Tag>Mic101</b:Tag>
    <b:SourceType>JournalArticle</b:SourceType>
    <b:Guid>{8F4FF633-97F8-4B6A-AB7E-AFA2C078B58F}</b:Guid>
    <b:Title>Cochrane Handbook for Systematic Reviews of Interventions</b:Title>
    <b:Year>2010</b:Year>
    <b:Author>
      <b:Author>
        <b:NameList>
          <b:Person>
            <b:Last>Tarsilla</b:Last>
            <b:First>Michele</b:First>
          </b:Person>
        </b:NameList>
      </b:Author>
    </b:Author>
    <b:JournalName>Journal of MultiDisciplinary Evaluation</b:JournalName>
    <b:Pages>142-148</b:Pages>
    <b:Volume>6</b:Volume>
    <b:Issue>14</b:Issue>
    <b:RefOrder>48</b:RefOrder>
  </b:Source>
  <b:Source>
    <b:Tag>Lor17</b:Tag>
    <b:SourceType>JournalArticle</b:SourceType>
    <b:Guid>{04163F1D-B10D-4C40-BEF7-DCFF2C7B362C}</b:Guid>
    <b:Author>
      <b:Author>
        <b:NameList>
          <b:Person>
            <b:Last>Nowell</b:Last>
            <b:First>Lorelli</b:First>
            <b:Middle>S.</b:Middle>
          </b:Person>
          <b:Person>
            <b:Last>Norris</b:Last>
            <b:First>Jill</b:First>
            <b:Middle>M.</b:Middle>
          </b:Person>
          <b:Person>
            <b:Last>Moules</b:Last>
            <b:First>Nancy</b:First>
            <b:Middle>J.</b:Middle>
          </b:Person>
        </b:NameList>
      </b:Author>
    </b:Author>
    <b:Title>Thematic Analysis: Striving to Meet the Trustworthiness Criteria</b:Title>
    <b:JournalName>International Journal of Qualitative Methods</b:JournalName>
    <b:Year>2017</b:Year>
    <b:Volume>16</b:Volume>
    <b:Issue>1</b:Issue>
    <b:RefOrder>49</b:RefOrder>
  </b:Source>
  <b:Source>
    <b:Tag>Vir19</b:Tag>
    <b:SourceType>JournalArticle</b:SourceType>
    <b:Guid>{225E4605-B8A4-4F9B-9357-A7475B416B4A}</b:Guid>
    <b:Author>
      <b:Author>
        <b:NameList>
          <b:Person>
            <b:Last>Braun</b:Last>
            <b:First>Virginia</b:First>
          </b:Person>
          <b:Person>
            <b:Last>Clarke</b:Last>
            <b:First>Victoria</b:First>
          </b:Person>
        </b:NameList>
      </b:Author>
    </b:Author>
    <b:Title>Reflecting on reflexive thematic analysis</b:Title>
    <b:JournalName>Qualitative Research in Sport, Exercise and Health </b:JournalName>
    <b:Year>2019</b:Year>
    <b:Pages>589-597</b:Pages>
    <b:Volume>11</b:Volume>
    <b:Issue>4</b:Issue>
    <b:RefOrder>50</b:RefOrder>
  </b:Source>
  <b:Source>
    <b:Tag>Spr19</b:Tag>
    <b:SourceType>JournalArticle</b:SourceType>
    <b:Guid>{99C9D156-9163-418D-B9C0-567A7EDB52A7}</b:Guid>
    <b:Author>
      <b:Author>
        <b:NameList>
          <b:Person>
            <b:Last>John</b:Last>
            <b:First>Spreadbury</b:First>
          </b:Person>
          <b:Person>
            <b:Last>Christopher</b:Last>
            <b:First>Kipps</b:First>
          </b:Person>
        </b:NameList>
      </b:Author>
    </b:Author>
    <b:Title>Measuring younger onset dementia: What the qualitative literature reveals about the ‘lived experience’ for patients and caregivers</b:Title>
    <b:JournalName>Dementia (London, England)</b:JournalName>
    <b:Year>2019</b:Year>
    <b:Pages>579-598</b:Pages>
    <b:Volume>18</b:Volume>
    <b:Issue>2</b:Issue>
    <b:RefOrder>41</b:RefOrder>
  </b:Source>
  <b:Source>
    <b:Tag>The21</b:Tag>
    <b:SourceType>DocumentFromInternetSite</b:SourceType>
    <b:Guid>{F5901E56-9843-4AB0-9B25-0F581E4DCCF1}</b:Guid>
    <b:Title>BPS Code of Human Research Ethics</b:Title>
    <b:Year>2021</b:Year>
    <b:Author>
      <b:Author>
        <b:NameList>
          <b:Person>
            <b:Last>Society</b:Last>
            <b:First>The</b:First>
            <b:Middle>British Psychological</b:Middle>
          </b:Person>
        </b:NameList>
      </b:Author>
    </b:Author>
    <b:Month>April</b:Month>
    <b:Day>05</b:Day>
    <b:YearAccessed>2025</b:YearAccessed>
    <b:MonthAccessed>May</b:MonthAccessed>
    <b:DayAccessed>05</b:DayAccessed>
    <b:URL>https://www.bps.org.uk/guideline/bps-code-human-research-ethics</b:URL>
    <b:RefOrder>89</b:RefOrder>
  </b:Source>
  <b:Source>
    <b:Tag>Mic15</b:Tag>
    <b:SourceType>JournalArticle</b:SourceType>
    <b:Guid>{0F8292CD-B1A9-4573-AFCA-82B97F0C78B0}</b:Guid>
    <b:Title>Publishing a Methodological Mixed Methods Research Article</b:Title>
    <b:Year>2015</b:Year>
    <b:Author>
      <b:Author>
        <b:NameList>
          <b:Person>
            <b:Last>Fetters</b:Last>
            <b:First>Michael</b:First>
            <b:Middle>D.</b:Middle>
          </b:Person>
          <b:Person>
            <b:Last>Freshwater</b:Last>
            <b:First>Dawn</b:First>
          </b:Person>
        </b:NameList>
      </b:Author>
    </b:Author>
    <b:JournalName>Journal of Mixed Methods Research</b:JournalName>
    <b:Pages>203-213</b:Pages>
    <b:Volume>9</b:Volume>
    <b:Issue>3</b:Issue>
    <b:RefOrder>54</b:RefOrder>
  </b:Source>
  <b:Source>
    <b:Tag>And12</b:Tag>
    <b:SourceType>JournalArticle</b:SourceType>
    <b:Guid>{DC2DAFEB-F8B5-434A-B3E8-6F00E34FAB8B}</b:Guid>
    <b:Author>
      <b:Author>
        <b:NameList>
          <b:Person>
            <b:Last>Morrison</b:Last>
            <b:First>Andra</b:First>
          </b:Person>
          <b:Person>
            <b:Last>Polisena</b:Last>
            <b:First>Julie</b:First>
          </b:Person>
          <b:Person>
            <b:Last>Husereau</b:Last>
            <b:First>Don</b:First>
          </b:Person>
          <b:Person>
            <b:Last>Moulton</b:Last>
            <b:First>Kristen</b:First>
          </b:Person>
          <b:Person>
            <b:Last>Clark</b:Last>
            <b:First>Michelle</b:First>
          </b:Person>
          <b:Person>
            <b:Last>Fiander</b:Last>
            <b:First>Michelle</b:First>
          </b:Person>
          <b:Person>
            <b:Last>Mierzwinski-Urban</b:Last>
            <b:First>Monika</b:First>
          </b:Person>
          <b:Person>
            <b:Last>Clifford</b:Last>
            <b:First>Tammy</b:First>
          </b:Person>
          <b:Person>
            <b:Last>Hutton</b:Last>
            <b:First>Brian</b:First>
          </b:Person>
          <b:Person>
            <b:Last>Rabb</b:Last>
            <b:First>Danielle</b:First>
          </b:Person>
        </b:NameList>
      </b:Author>
    </b:Author>
    <b:Title>THE EFFECT OF ENGLISH-LANGUAGE RESTRICTION ON SYSTEMATIC REVIEW-BASED META-ANALYSES: A SYSTEMATIC REVIEW OF EMPIRICAL STUDIES</b:Title>
    <b:JournalName>International Journal of Technology Assessment in Health Care</b:JournalName>
    <b:Year>2012</b:Year>
    <b:Pages>138-144</b:Pages>
    <b:Volume>28</b:Volume>
    <b:Issue>2</b:Issue>
    <b:RefOrder>55</b:RefOrder>
  </b:Source>
  <b:Source>
    <b:Tag>Leo81</b:Tag>
    <b:SourceType>JournalArticle</b:SourceType>
    <b:Guid>{267251BD-BD17-4F27-9E05-94B626A6BECD}</b:Guid>
    <b:Author>
      <b:Author>
        <b:NameList>
          <b:Person>
            <b:Last>Pearlin</b:Last>
            <b:First>Leonard</b:First>
            <b:Middle>I.</b:Middle>
          </b:Person>
          <b:Person>
            <b:Last>Menaghan</b:Last>
            <b:First>Elizabeth</b:First>
            <b:Middle>G.</b:Middle>
          </b:Person>
          <b:Person>
            <b:Last>Mullan</b:Last>
            <b:First>Morton</b:First>
            <b:Middle>A. Lieberman and Joseph T.</b:Middle>
          </b:Person>
        </b:NameList>
      </b:Author>
    </b:Author>
    <b:Title>The Stress Process</b:Title>
    <b:JournalName>Journal of Health and Social Behavior</b:JournalName>
    <b:Year>1981</b:Year>
    <b:Pages>337-356</b:Pages>
    <b:Volume>22</b:Volume>
    <b:Issue>4</b:Issue>
    <b:RefOrder>34</b:RefOrder>
  </b:Source>
  <b:Source>
    <b:Tag>Bec21</b:Tag>
    <b:SourceType>JournalArticle</b:SourceType>
    <b:Guid>{9D59B4EE-DB19-4ED0-AFB9-A996DDEFD13D}</b:Guid>
    <b:Author>
      <b:Author>
        <b:NameList>
          <b:Person>
            <b:Last>Field</b:Last>
            <b:First>Becky</b:First>
          </b:Person>
          <b:Person>
            <b:Last>Coates</b:Last>
            <b:First>Elizabeth</b:First>
          </b:Person>
          <b:Person>
            <b:Last>Gail</b:Last>
            <b:First>Mountain.</b:First>
          </b:Person>
        </b:NameList>
      </b:Author>
    </b:Author>
    <b:Title>What influences uptake of psychosocial interventions by people living with early dementia? A qualitative study</b:Title>
    <b:JournalName>Sage Journals. Dementia</b:JournalName>
    <b:Year>2021</b:Year>
    <b:Pages>2668-2688</b:Pages>
    <b:Volume>20</b:Volume>
    <b:Issue>8</b:Issue>
    <b:RefOrder>56</b:RefOrder>
  </b:Source>
  <b:Source>
    <b:Tag>Mar18</b:Tag>
    <b:SourceType>JournalArticle</b:SourceType>
    <b:Guid>{D16943BA-267F-4C49-AAEA-E2C512C6D152}</b:Guid>
    <b:Author>
      <b:Author>
        <b:NameList>
          <b:Person>
            <b:Last>Pujades-Rodriguez</b:Last>
            <b:First>Mar</b:First>
          </b:Person>
          <b:Person>
            <b:Last>Assi</b:Last>
            <b:First>Valentina</b:First>
          </b:Person>
          <b:Person>
            <b:Last>Gonzalez-Izquierdo</b:Last>
            <b:First>Arturo</b:First>
          </b:Person>
          <b:Person>
            <b:Last>Wilkinson</b:Last>
            <b:First>Tim</b:First>
          </b:Person>
          <b:Person>
            <b:Last>Schnier</b:Last>
            <b:First>Christian</b:First>
          </b:Person>
          <b:Person>
            <b:Last>Sudlow</b:Last>
            <b:First>Cathie</b:First>
          </b:Person>
          <b:Person>
            <b:Last>Hemingway</b:Last>
            <b:First>Harry</b:First>
          </b:Person>
          <b:Person>
            <b:Last>Whiteley</b:Last>
            <b:First>William</b:First>
            <b:Middle>N.</b:Middle>
          </b:Person>
        </b:NameList>
      </b:Author>
    </b:Author>
    <b:Title>The diagnosis, burden and prognosis of dementia: A record-linkage cohort study in England</b:Title>
    <b:JournalName>PLOS ONE</b:JournalName>
    <b:Year>2018</b:Year>
    <b:Pages>e0199026</b:Pages>
    <b:Volume>13</b:Volume>
    <b:Issue>6</b:Issue>
    <b:RefOrder>30</b:RefOrder>
  </b:Source>
  <b:Source>
    <b:Tag>Mar22</b:Tag>
    <b:SourceType>JournalArticle</b:SourceType>
    <b:Guid>{105A1E90-10C4-4579-B622-D4588AA4B2D9}</b:Guid>
    <b:Author>
      <b:Author>
        <b:NameList>
          <b:Person>
            <b:Last>Kajander</b:Last>
            <b:First>Martine</b:First>
          </b:Person>
          <b:Person>
            <b:Last>Gjestsen</b:Last>
            <b:First>Martha</b:First>
            <b:Middle>Therese</b:Middle>
          </b:Person>
          <b:Person>
            <b:Last>Vagle</b:Last>
            <b:First>Vigdis</b:First>
          </b:Person>
          <b:Person>
            <b:Last>Meling</b:Last>
            <b:First>Målfrid</b:First>
          </b:Person>
          <b:Person>
            <b:Last>Henriksen</b:Last>
            <b:First>Anne</b:First>
            <b:Middle>Torsvik</b:Middle>
          </b:Person>
          <b:Person>
            <b:Last>Testad</b:Last>
            <b:First>Ingelin</b:First>
          </b:Person>
        </b:NameList>
      </b:Author>
    </b:Author>
    <b:Title>Health promotion in early-stage dementia – user experiences from an educative intervention</b:Title>
    <b:JournalName>Educational Gerontology</b:JournalName>
    <b:Year>2022</b:Year>
    <b:Pages>391-403</b:Pages>
    <b:Volume>48</b:Volume>
    <b:Issue>9</b:Issue>
    <b:RefOrder>57</b:RefOrder>
  </b:Source>
  <b:Source>
    <b:Tag>Bet24</b:Tag>
    <b:SourceType>JournalArticle</b:SourceType>
    <b:Guid>{205C2007-D977-4A32-8150-2C6B1F59E373}</b:Guid>
    <b:Author>
      <b:Author>
        <b:NameList>
          <b:Person>
            <b:Last>Edwards</b:Last>
            <b:First>Bethan</b:First>
            <b:Middle>M</b:Middle>
          </b:Person>
          <b:Person>
            <b:Last>Busse</b:Last>
            <b:First>Monica</b:First>
          </b:Person>
          <b:Person>
            <b:Last>Clouston</b:Last>
            <b:First>Teena</b:First>
            <b:Middle>J</b:Middle>
          </b:Person>
          <b:Person>
            <b:Last>Hannigan</b:Last>
            <b:First>Ben</b:First>
          </b:Person>
        </b:NameList>
      </b:Author>
    </b:Author>
    <b:Title>Exploring the impact of early-stage dementia on everyday activities</b:Title>
    <b:JournalName>British Journal of Occupational Therapy</b:JournalName>
    <b:Year>2024</b:Year>
    <b:Pages>704-714</b:Pages>
    <b:Volume>87</b:Volume>
    <b:Issue>11</b:Issue>
    <b:RefOrder>58</b:RefOrder>
  </b:Source>
  <b:Source>
    <b:Tag>Hel19</b:Tag>
    <b:SourceType>JournalArticle</b:SourceType>
    <b:Guid>{660C292C-114A-4305-B76E-CD25F4E8CB0B}</b:Guid>
    <b:Author>
      <b:Author>
        <b:NameList>
          <b:Person>
            <b:Last>Carreira</b:Last>
            <b:First>Helena</b:First>
          </b:Person>
          <b:Person>
            <b:Last>Williams</b:Last>
            <b:First>Rachael</b:First>
          </b:Person>
          <b:Person>
            <b:Last>Strongman</b:Last>
            <b:First>Helen</b:First>
          </b:Person>
          <b:Person>
            <b:Last>Bhaskaran</b:Last>
            <b:First>Krishnan</b:First>
          </b:Person>
        </b:NameList>
      </b:Author>
    </b:Author>
    <b:Title>Identification of mental health and quality of life outcomes in primary care databases in the UK: a systematic review</b:Title>
    <b:JournalName>BMJ Open</b:JournalName>
    <b:Year>2019</b:Year>
    <b:Pages>e029227</b:Pages>
    <b:Volume>9</b:Volume>
    <b:RefOrder>59</b:RefOrder>
  </b:Source>
  <b:Source>
    <b:Tag>Chr20</b:Tag>
    <b:SourceType>JournalArticle</b:SourceType>
    <b:Guid>{A872A7EA-1CB9-4540-8FAA-DAF8D0064746}</b:Guid>
    <b:Author>
      <b:Author>
        <b:NameList>
          <b:Person>
            <b:Last>Clarke</b:Last>
            <b:First>Chris</b:First>
          </b:Person>
          <b:Person>
            <b:Last>Woods</b:Last>
            <b:First>Bob</b:First>
          </b:Person>
          <b:Person>
            <b:Last>Moniz-Cook</b:Last>
            <b:First>Esme</b:First>
          </b:Person>
          <b:Person>
            <b:Last>Mountain</b:Last>
            <b:First>Gail</b:First>
          </b:Person>
          <b:Person>
            <b:Last>Øksnebjerg</b:Last>
            <b:First>Laila</b:First>
          </b:Person>
          <b:Person>
            <b:Last>Chattat</b:Last>
            <b:First>Rabih</b:First>
          </b:Person>
          <b:Person>
            <b:Last>Diaz</b:Last>
            <b:First>Ana</b:First>
          </b:Person>
          <b:Person>
            <b:Last>Gove</b:Last>
            <b:First>Dianne</b:First>
          </b:Person>
          <b:Person>
            <b:Last>Vernooij-Dassen</b:Last>
            <b:First>Myrra</b:First>
          </b:Person>
          <b:Person>
            <b:Last>Wolverson</b:Last>
            <b:First>Emma</b:First>
          </b:Person>
        </b:NameList>
      </b:Author>
    </b:Author>
    <b:Title>Measuring the well-being of people with dementia: a conceptual scoping review</b:Title>
    <b:JournalName>Health and Quality of Life Outcomes</b:JournalName>
    <b:Year>2020</b:Year>
    <b:Pages>1-14</b:Pages>
    <b:Volume>18</b:Volume>
    <b:Issue>249</b:Issue>
    <b:RefOrder>60</b:RefOrder>
  </b:Source>
  <b:Source>
    <b:Tag>Ann23</b:Tag>
    <b:SourceType>JournalArticle</b:SourceType>
    <b:Guid>{DBE37778-E845-48A4-BD63-96658F754196}</b:Guid>
    <b:Author>
      <b:Author>
        <b:NameList>
          <b:Person>
            <b:Last>Hunt</b:Last>
            <b:First>Anna</b:First>
          </b:Person>
          <b:Person>
            <b:Last>Martyr</b:Last>
            <b:First>Anthony</b:First>
          </b:Person>
          <b:Person>
            <b:Last>Gamble</b:Last>
            <b:First>Laura</b:First>
            <b:Middle>D.</b:Middle>
          </b:Person>
          <b:Person>
            <b:Last>Morris</b:Last>
            <b:First>Robin</b:First>
            <b:Middle>G.</b:Middle>
          </b:Person>
          <b:Person>
            <b:Last>Thom</b:Last>
            <b:First>Jeanette</b:First>
            <b:Middle>M.</b:Middle>
          </b:Person>
          <b:Person>
            <b:Last>Pentecost</b:Last>
            <b:First>Claire</b:First>
          </b:Person>
          <b:Person>
            <b:Last>Clare</b:Last>
            <b:First>Linda</b:First>
          </b:Person>
        </b:NameList>
      </b:Author>
    </b:Author>
    <b:Title>The associations between personality traits and quality of life, satisfaction with life, and well-being over time in people with dementia and their caregivers: findings from the IDEAL programme</b:Title>
    <b:JournalName>BMC Geriatrics</b:JournalName>
    <b:Year>2023</b:Year>
    <b:Pages>1-12</b:Pages>
    <b:Volume>23</b:Volume>
    <b:Issue>354</b:Issue>
    <b:RefOrder>61</b:RefOrder>
  </b:Source>
  <b:Source>
    <b:Tag>Ali21</b:Tag>
    <b:SourceType>JournalArticle</b:SourceType>
    <b:Guid>{CF5AAFCD-63D1-4AF1-8ACF-8A6B546A5C82}</b:Guid>
    <b:Author>
      <b:Author>
        <b:NameList>
          <b:Person>
            <b:Last>Wheatley</b:Last>
            <b:First>Alison</b:First>
          </b:Person>
          <b:Person>
            <b:Last>Bamford</b:Last>
            <b:First>Claire</b:First>
          </b:Person>
          <b:Person>
            <b:Last>Brunskill</b:Last>
            <b:First>Greta</b:First>
          </b:Person>
          <b:Person>
            <b:Last>Booi</b:Last>
            <b:First>Laura</b:First>
          </b:Person>
          <b:Person>
            <b:Last>Dening</b:Last>
            <b:First>Karen</b:First>
            <b:Middle>Harrison</b:Middle>
          </b:Person>
          <b:Person>
            <b:Last>Robinson</b:Last>
            <b:First>Louise</b:First>
          </b:Person>
        </b:NameList>
      </b:Author>
    </b:Author>
    <b:Title>Implementing post-diagnostic support for people living with dementia in England: a qualitative study of barriers and strategies used to address these in practice</b:Title>
    <b:JournalName>Age and Ageing</b:JournalName>
    <b:Year>2021</b:Year>
    <b:Pages>2230-2237</b:Pages>
    <b:Volume>50</b:Volume>
    <b:RefOrder>62</b:RefOrder>
  </b:Source>
  <b:Source>
    <b:Tag>Geo22</b:Tag>
    <b:SourceType>JournalArticle</b:SourceType>
    <b:Guid>{E47C5985-986B-4175-A6B8-C44BB1078A9A}</b:Guid>
    <b:Author>
      <b:Author>
        <b:NameList>
          <b:Person>
            <b:Last>Bell</b:Last>
            <b:First>Georgia</b:First>
          </b:Person>
          <b:Person>
            <b:Last>Baou</b:Last>
            <b:First>Celine</b:First>
            <b:Middle>El</b:Middle>
          </b:Person>
          <b:Person>
            <b:Last>Saunders</b:Last>
            <b:First>Rob</b:First>
          </b:Person>
          <b:Person>
            <b:Last>Buckman</b:Last>
            <b:First>Joshua</b:First>
            <b:Middle>E. J</b:Middle>
          </b:Person>
          <b:Person>
            <b:Last>Charlesworth</b:Last>
            <b:First>Georgina</b:First>
          </b:Person>
          <b:Person>
            <b:Last>Richards</b:Last>
            <b:First>Marcus</b:First>
          </b:Person>
          <b:Person>
            <b:Last>Brown</b:Last>
            <b:First>Barbara</b:First>
          </b:Person>
          <b:Person>
            <b:Last>Nurock</b:Last>
            <b:First>Shirley</b:First>
          </b:Person>
          <b:Person>
            <b:Last>Michael</b:Last>
            <b:First>Stuart</b:First>
          </b:Person>
          <b:Person>
            <b:Last>Ware</b:Last>
            <b:First>Paul</b:First>
          </b:Person>
          <b:Person>
            <b:Last>Aguirre</b:Last>
            <b:First>Elisa</b:First>
          </b:Person>
          <b:Person>
            <b:Last>Rio</b:Last>
            <b:First>Miguel</b:First>
          </b:Person>
          <b:Person>
            <b:Last>Cooper</b:Last>
            <b:First>Claudia</b:First>
          </b:Person>
          <b:Person>
            <b:Last>Pilling</b:Last>
            <b:First>Stephen</b:First>
          </b:Person>
          <b:Person>
            <b:Last>John</b:Last>
            <b:First>Amber</b:First>
          </b:Person>
          <b:Person>
            <b:Last>Stott</b:Last>
            <b:First>Joshua</b:First>
          </b:Person>
        </b:NameList>
      </b:Author>
    </b:Author>
    <b:Title>Effectiveness of primary care psychological therapy services for the treatment of depression and anxiety in people living with dementia: Evidence from national healthcare records in England</b:Title>
    <b:JournalName>eClinicalMedicine</b:JournalName>
    <b:Year>2022</b:Year>
    <b:Pages>101692</b:Pages>
    <b:Volume>52</b:Volume>
    <b:RefOrder>63</b:RefOrder>
  </b:Source>
  <b:Source>
    <b:Tag>Geo24</b:Tag>
    <b:SourceType>JournalArticle</b:SourceType>
    <b:Guid>{D277E0BA-AABA-49D2-903C-064576D8B017}</b:Guid>
    <b:Author>
      <b:Author>
        <b:NameList>
          <b:Person>
            <b:Last>Bell</b:Last>
            <b:First>Georgia</b:First>
          </b:Person>
          <b:Person>
            <b:Last>Baou</b:Last>
            <b:First>Celine</b:First>
            <b:Middle>El</b:Middle>
          </b:Person>
          <b:Person>
            <b:Last>Saunders</b:Last>
            <b:First>Rob</b:First>
          </b:Person>
          <b:Person>
            <b:Last>Buckman</b:Last>
            <b:First>Joshua</b:First>
          </b:Person>
          <b:Person>
            <b:Last>Charlesworth</b:Last>
            <b:First>Georgina</b:First>
          </b:Person>
          <b:Person>
            <b:Last>Richards</b:Last>
            <b:First>Marcus</b:First>
          </b:Person>
          <b:Person>
            <b:Last>Fearn</b:Last>
            <b:First>Caroline</b:First>
          </b:Person>
          <b:Person>
            <b:Last>Brown</b:Last>
            <b:First>Barbara</b:First>
          </b:Person>
          <b:Person>
            <b:Last>Nurock</b:Last>
            <b:First>Shirley</b:First>
          </b:Person>
          <b:Person>
            <b:Last>Michael</b:Last>
            <b:First>Stuart</b:First>
          </b:Person>
          <b:Person>
            <b:Last>Ware</b:Last>
            <b:First>Paul</b:First>
          </b:Person>
          <b:Person>
            <b:Last>Marchant</b:Last>
            <b:First>Natalie</b:First>
          </b:Person>
          <b:Person>
            <b:Last>Aguirre</b:Last>
            <b:First>Elisa</b:First>
          </b:Person>
          <b:Person>
            <b:Last>Rio</b:Last>
            <b:First>Miguel</b:First>
          </b:Person>
          <b:Person>
            <b:Last>Cooper</b:Last>
            <b:First>Claudia</b:First>
          </b:Person>
          <b:Person>
            <b:Last>Pilling</b:Last>
            <b:First>Stephen</b:First>
          </b:Person>
        </b:NameList>
      </b:Author>
    </b:Author>
    <b:Title>Predictors of primary care psychological therapy outcomes for depression and anxiety in people living with dementia: evidence from national healthcare records in England</b:Title>
    <b:JournalName>The British Journal of Psychiatry</b:JournalName>
    <b:Year>2024</b:Year>
    <b:Pages>205-212</b:Pages>
    <b:Volume>224</b:Volume>
    <b:RefOrder>64</b:RefOrder>
  </b:Source>
  <b:Source>
    <b:Tag>Bur23</b:Tag>
    <b:SourceType>JournalArticle</b:SourceType>
    <b:Guid>{11BFE49C-3596-47A3-A2BC-AEEE48B00FFA}</b:Guid>
    <b:Author>
      <b:Author>
        <b:NameList>
          <b:Person>
            <b:Last>Julia</b:Last>
            <b:First>Burgdorf</b:First>
          </b:Person>
          <b:Person>
            <b:Last>Halima</b:Last>
            <b:First>Amjad</b:First>
          </b:Person>
        </b:NameList>
      </b:Author>
    </b:Author>
    <b:Title>Impact of diagnosed (vs undiagnosed) dementia on family caregiving experiences</b:Title>
    <b:JournalName>Journal of the American Geriatrics Society</b:JournalName>
    <b:Year>2023</b:Year>
    <b:Pages>1236–1242</b:Pages>
    <b:Volume>71</b:Volume>
    <b:Issue>4</b:Issue>
    <b:RefOrder>3</b:RefOrder>
  </b:Source>
  <b:Source>
    <b:Tag>Cor25</b:Tag>
    <b:SourceType>InternetSite</b:SourceType>
    <b:Guid>{11BDC3D1-E59B-4707-8E81-2EB765A0A61C}</b:Guid>
    <b:Title>Microsoft Excel</b:Title>
    <b:Year>2025</b:Year>
    <b:Author>
      <b:Author>
        <b:NameList>
          <b:Person>
            <b:Last>Corporation</b:Last>
            <b:First>Microsoft</b:First>
          </b:Person>
        </b:NameList>
      </b:Author>
    </b:Author>
    <b:YearAccessed>2025</b:YearAccessed>
    <b:MonthAccessed>June</b:MonthAccessed>
    <b:DayAccessed>29</b:DayAccessed>
    <b:URL>https://www.microsoft.com/en-gb/microsoft-365/excel</b:URL>
    <b:Version>19.2509.59141.0</b:Version>
    <b:RefOrder>52</b:RefOrder>
  </b:Source>
  <b:Source>
    <b:Tag>Can25</b:Tag>
    <b:SourceType>InternetSite</b:SourceType>
    <b:Guid>{2AED965E-A329-4769-9F82-6FC9EC22A324}</b:Guid>
    <b:Author>
      <b:Author>
        <b:NameList>
          <b:Person>
            <b:Last>Canva</b:Last>
          </b:Person>
        </b:NameList>
      </b:Author>
    </b:Author>
    <b:Title>Canva</b:Title>
    <b:Year>2025</b:Year>
    <b:YearAccessed>2025</b:YearAccessed>
    <b:MonthAccessed>July</b:MonthAccessed>
    <b:DayAccessed>15</b:DayAccessed>
    <b:URL>https://www.canva.com/en_gb/</b:URL>
    <b:RefOrder>53</b:RefOrder>
  </b:Source>
</b:Sources>
</file>

<file path=customXml/itemProps1.xml><?xml version="1.0" encoding="utf-8"?>
<ds:datastoreItem xmlns:ds="http://schemas.openxmlformats.org/officeDocument/2006/customXml" ds:itemID="{557A1975-6402-473B-9BF8-D2095F66F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EB6E51-BDE7-41E2-9567-7DDF04B4D88E}">
  <ds:schemaRefs>
    <ds:schemaRef ds:uri="http://schemas.microsoft.com/sharepoint/v3/contenttype/forms"/>
  </ds:schemaRefs>
</ds:datastoreItem>
</file>

<file path=customXml/itemProps3.xml><?xml version="1.0" encoding="utf-8"?>
<ds:datastoreItem xmlns:ds="http://schemas.openxmlformats.org/officeDocument/2006/customXml" ds:itemID="{63A43A84-9FFC-4285-92B3-FD265B392E18}">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DF827287-16B8-4EDD-883A-EA1C56E23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1174</TotalTime>
  <Pages>61</Pages>
  <Words>19300</Words>
  <Characters>122948</Characters>
  <Application>Microsoft Office Word</Application>
  <DocSecurity>0</DocSecurity>
  <Lines>2195</Lines>
  <Paragraphs>737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Roman (2007914)</dc:creator>
  <cp:keywords/>
  <dc:description/>
  <cp:lastModifiedBy>Adriana Roman (2007914)</cp:lastModifiedBy>
  <cp:revision>195</cp:revision>
  <cp:lastPrinted>2023-09-21T02:18:00Z</cp:lastPrinted>
  <dcterms:created xsi:type="dcterms:W3CDTF">2025-08-06T11:33:00Z</dcterms:created>
  <dcterms:modified xsi:type="dcterms:W3CDTF">2025-10-06T20:33:00Z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