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0E4BEB6" w:rsidP="60E4BEB6" w:rsidRDefault="60E4BEB6" w14:paraId="6128E165" w14:textId="52FDF7EA">
      <w:pPr>
        <w:jc w:val="center"/>
        <w:rPr>
          <w:rFonts w:ascii="Arial Nova" w:hAnsi="Arial Nova" w:eastAsia="Arial Nova" w:cs="Arial Nova"/>
          <w:b w:val="1"/>
          <w:bCs w:val="1"/>
          <w:sz w:val="40"/>
          <w:szCs w:val="40"/>
          <w:u w:val="single"/>
        </w:rPr>
      </w:pPr>
    </w:p>
    <w:p w:rsidR="60E4BEB6" w:rsidP="60E4BEB6" w:rsidRDefault="60E4BEB6" w14:paraId="0980A5A4" w14:textId="1259A92F">
      <w:pPr>
        <w:jc w:val="center"/>
        <w:rPr>
          <w:rFonts w:ascii="Arial Nova" w:hAnsi="Arial Nova" w:eastAsia="Arial Nova" w:cs="Arial Nova"/>
          <w:b w:val="1"/>
          <w:bCs w:val="1"/>
          <w:sz w:val="40"/>
          <w:szCs w:val="40"/>
          <w:u w:val="single"/>
        </w:rPr>
      </w:pPr>
    </w:p>
    <w:p xmlns:wp14="http://schemas.microsoft.com/office/word/2010/wordml" w:rsidP="60E4BEB6" wp14:paraId="5E5787A5" wp14:textId="5FA85744">
      <w:pPr>
        <w:jc w:val="center"/>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40"/>
          <w:szCs w:val="40"/>
          <w:u w:val="single"/>
        </w:rPr>
        <w:t xml:space="preserve">Stakeholder Engagement </w:t>
      </w:r>
    </w:p>
    <w:p w:rsidR="60E4BEB6" w:rsidP="60E4BEB6" w:rsidRDefault="60E4BEB6" w14:paraId="405D5176" w14:textId="182E0D81">
      <w:pPr>
        <w:jc w:val="center"/>
        <w:rPr>
          <w:rFonts w:ascii="Arial Nova" w:hAnsi="Arial Nova" w:eastAsia="Arial Nova" w:cs="Arial Nova"/>
          <w:b w:val="1"/>
          <w:bCs w:val="1"/>
          <w:sz w:val="40"/>
          <w:szCs w:val="40"/>
          <w:u w:val="single"/>
        </w:rPr>
      </w:pPr>
    </w:p>
    <w:p w:rsidR="60E4BEB6" w:rsidP="60E4BEB6" w:rsidRDefault="60E4BEB6" w14:paraId="262F12C9" w14:textId="6BD36E79">
      <w:pPr>
        <w:jc w:val="center"/>
        <w:rPr>
          <w:rFonts w:ascii="Arial Nova" w:hAnsi="Arial Nova" w:eastAsia="Arial Nova" w:cs="Arial Nova"/>
          <w:b w:val="1"/>
          <w:bCs w:val="1"/>
          <w:sz w:val="40"/>
          <w:szCs w:val="40"/>
          <w:u w:val="single"/>
        </w:rPr>
      </w:pPr>
    </w:p>
    <w:p w:rsidR="4EB5335F" w:rsidP="60E4BEB6" w:rsidRDefault="4EB5335F" w14:paraId="67F01A0C" w14:textId="0ACD0244">
      <w:pPr>
        <w:jc w:val="center"/>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40"/>
          <w:szCs w:val="40"/>
          <w:u w:val="single"/>
        </w:rPr>
        <w:t>Student Name: Timea Putz</w:t>
      </w:r>
    </w:p>
    <w:p w:rsidR="60E4BEB6" w:rsidP="60E4BEB6" w:rsidRDefault="60E4BEB6" w14:paraId="7F6EB8BC" w14:textId="7FF3E9DC">
      <w:pPr>
        <w:jc w:val="center"/>
        <w:rPr>
          <w:rFonts w:ascii="Arial Nova" w:hAnsi="Arial Nova" w:eastAsia="Arial Nova" w:cs="Arial Nova"/>
          <w:b w:val="1"/>
          <w:bCs w:val="1"/>
          <w:sz w:val="40"/>
          <w:szCs w:val="40"/>
          <w:u w:val="single"/>
        </w:rPr>
      </w:pPr>
    </w:p>
    <w:p w:rsidR="60E4BEB6" w:rsidP="60E4BEB6" w:rsidRDefault="60E4BEB6" w14:paraId="42452EA0" w14:textId="517C7D50">
      <w:pPr>
        <w:jc w:val="center"/>
        <w:rPr>
          <w:rFonts w:ascii="Arial Nova" w:hAnsi="Arial Nova" w:eastAsia="Arial Nova" w:cs="Arial Nova"/>
          <w:b w:val="1"/>
          <w:bCs w:val="1"/>
          <w:sz w:val="40"/>
          <w:szCs w:val="40"/>
          <w:u w:val="single"/>
        </w:rPr>
      </w:pPr>
    </w:p>
    <w:p w:rsidR="4EB5335F" w:rsidP="60E4BEB6" w:rsidRDefault="4EB5335F" w14:paraId="1A8D75A7" w14:textId="50B7DF69">
      <w:pPr>
        <w:jc w:val="center"/>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40"/>
          <w:szCs w:val="40"/>
          <w:u w:val="single"/>
        </w:rPr>
        <w:t>Student ID: 2321020</w:t>
      </w:r>
    </w:p>
    <w:p w:rsidR="60E4BEB6" w:rsidP="60E4BEB6" w:rsidRDefault="60E4BEB6" w14:paraId="7ECD7195" w14:textId="617E3EE6">
      <w:pPr>
        <w:jc w:val="center"/>
        <w:rPr>
          <w:rFonts w:ascii="Arial Nova" w:hAnsi="Arial Nova" w:eastAsia="Arial Nova" w:cs="Arial Nova"/>
          <w:b w:val="1"/>
          <w:bCs w:val="1"/>
          <w:sz w:val="40"/>
          <w:szCs w:val="40"/>
          <w:u w:val="single"/>
        </w:rPr>
      </w:pPr>
    </w:p>
    <w:p w:rsidR="60E4BEB6" w:rsidP="60E4BEB6" w:rsidRDefault="60E4BEB6" w14:paraId="19ACAF3C" w14:textId="3CD6728D">
      <w:pPr>
        <w:jc w:val="center"/>
        <w:rPr>
          <w:rFonts w:ascii="Arial Nova" w:hAnsi="Arial Nova" w:eastAsia="Arial Nova" w:cs="Arial Nova"/>
          <w:b w:val="1"/>
          <w:bCs w:val="1"/>
          <w:sz w:val="40"/>
          <w:szCs w:val="40"/>
          <w:u w:val="single"/>
        </w:rPr>
      </w:pPr>
    </w:p>
    <w:p w:rsidR="4EB5335F" w:rsidP="60E4BEB6" w:rsidRDefault="4EB5335F" w14:paraId="0B2B950D" w14:textId="7E91A15B">
      <w:pPr>
        <w:jc w:val="center"/>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40"/>
          <w:szCs w:val="40"/>
          <w:u w:val="single"/>
        </w:rPr>
        <w:t>Module: LCBB4013</w:t>
      </w:r>
    </w:p>
    <w:p w:rsidR="60E4BEB6" w:rsidP="60E4BEB6" w:rsidRDefault="60E4BEB6" w14:paraId="60846F68" w14:textId="1D12F9E2">
      <w:pPr>
        <w:jc w:val="center"/>
        <w:rPr>
          <w:rFonts w:ascii="Arial Nova" w:hAnsi="Arial Nova" w:eastAsia="Arial Nova" w:cs="Arial Nova"/>
          <w:b w:val="1"/>
          <w:bCs w:val="1"/>
          <w:sz w:val="40"/>
          <w:szCs w:val="40"/>
          <w:u w:val="single"/>
        </w:rPr>
      </w:pPr>
    </w:p>
    <w:p w:rsidR="60E4BEB6" w:rsidP="60E4BEB6" w:rsidRDefault="60E4BEB6" w14:paraId="27F10F1C" w14:textId="387CEA36">
      <w:pPr>
        <w:jc w:val="center"/>
        <w:rPr>
          <w:rFonts w:ascii="Arial Nova" w:hAnsi="Arial Nova" w:eastAsia="Arial Nova" w:cs="Arial Nova"/>
          <w:b w:val="1"/>
          <w:bCs w:val="1"/>
          <w:sz w:val="40"/>
          <w:szCs w:val="40"/>
          <w:u w:val="single"/>
        </w:rPr>
      </w:pPr>
    </w:p>
    <w:p w:rsidR="60E4BEB6" w:rsidP="60E4BEB6" w:rsidRDefault="60E4BEB6" w14:paraId="79B85126" w14:textId="6EA0B9B6">
      <w:pPr>
        <w:jc w:val="center"/>
        <w:rPr>
          <w:rFonts w:ascii="Arial Nova" w:hAnsi="Arial Nova" w:eastAsia="Arial Nova" w:cs="Arial Nova"/>
          <w:b w:val="1"/>
          <w:bCs w:val="1"/>
          <w:sz w:val="40"/>
          <w:szCs w:val="40"/>
          <w:u w:val="single"/>
        </w:rPr>
      </w:pPr>
    </w:p>
    <w:p w:rsidR="60E4BEB6" w:rsidP="60E4BEB6" w:rsidRDefault="60E4BEB6" w14:paraId="3720AB7E" w14:textId="0F714FF8">
      <w:pPr>
        <w:jc w:val="center"/>
        <w:rPr>
          <w:rFonts w:ascii="Arial Nova" w:hAnsi="Arial Nova" w:eastAsia="Arial Nova" w:cs="Arial Nova"/>
          <w:b w:val="1"/>
          <w:bCs w:val="1"/>
          <w:sz w:val="40"/>
          <w:szCs w:val="40"/>
          <w:u w:val="single"/>
        </w:rPr>
      </w:pPr>
    </w:p>
    <w:p w:rsidR="60E4BEB6" w:rsidP="60E4BEB6" w:rsidRDefault="60E4BEB6" w14:paraId="7505802C" w14:textId="216FA2DB">
      <w:pPr>
        <w:jc w:val="center"/>
        <w:rPr>
          <w:rFonts w:ascii="Arial Nova" w:hAnsi="Arial Nova" w:eastAsia="Arial Nova" w:cs="Arial Nova"/>
          <w:b w:val="1"/>
          <w:bCs w:val="1"/>
          <w:sz w:val="40"/>
          <w:szCs w:val="40"/>
          <w:u w:val="single"/>
        </w:rPr>
      </w:pPr>
    </w:p>
    <w:p w:rsidR="60E4BEB6" w:rsidP="60E4BEB6" w:rsidRDefault="60E4BEB6" w14:paraId="05E774B7" w14:textId="60714EDE">
      <w:pPr>
        <w:jc w:val="center"/>
        <w:rPr>
          <w:rFonts w:ascii="Arial Nova" w:hAnsi="Arial Nova" w:eastAsia="Arial Nova" w:cs="Arial Nova"/>
          <w:b w:val="1"/>
          <w:bCs w:val="1"/>
          <w:sz w:val="40"/>
          <w:szCs w:val="40"/>
          <w:u w:val="single"/>
        </w:rPr>
      </w:pPr>
    </w:p>
    <w:p w:rsidR="60E4BEB6" w:rsidP="60E4BEB6" w:rsidRDefault="60E4BEB6" w14:paraId="42ACA3DC" w14:textId="2D7A2888">
      <w:pPr>
        <w:jc w:val="center"/>
        <w:rPr>
          <w:rFonts w:ascii="Arial Nova" w:hAnsi="Arial Nova" w:eastAsia="Arial Nova" w:cs="Arial Nova"/>
          <w:b w:val="1"/>
          <w:bCs w:val="1"/>
          <w:sz w:val="40"/>
          <w:szCs w:val="40"/>
          <w:u w:val="single"/>
        </w:rPr>
      </w:pPr>
    </w:p>
    <w:p w:rsidR="60E4BEB6" w:rsidP="60E4BEB6" w:rsidRDefault="60E4BEB6" w14:paraId="2B161588" w14:textId="426CA2FB">
      <w:pPr>
        <w:pStyle w:val="Normal"/>
        <w:jc w:val="center"/>
        <w:rPr>
          <w:rFonts w:ascii="Arial Nova" w:hAnsi="Arial Nova" w:eastAsia="Arial Nova" w:cs="Arial Nova"/>
          <w:b w:val="1"/>
          <w:bCs w:val="1"/>
          <w:sz w:val="22"/>
          <w:szCs w:val="22"/>
          <w:u w:val="none"/>
        </w:rPr>
      </w:pPr>
    </w:p>
    <w:p w:rsidR="4EB5335F" w:rsidP="60E4BEB6" w:rsidRDefault="4EB5335F" w14:paraId="07882A85" w14:textId="3AD78E5E">
      <w:pPr>
        <w:pStyle w:val="Normal"/>
        <w:spacing w:line="360" w:lineRule="auto"/>
        <w:jc w:val="left"/>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22"/>
          <w:szCs w:val="22"/>
          <w:u w:val="none"/>
        </w:rPr>
        <w:t xml:space="preserve">Element </w:t>
      </w:r>
      <w:r w:rsidRPr="60E4BEB6" w:rsidR="479DA0FA">
        <w:rPr>
          <w:rFonts w:ascii="Arial Nova" w:hAnsi="Arial Nova" w:eastAsia="Arial Nova" w:cs="Arial Nova"/>
          <w:b w:val="1"/>
          <w:bCs w:val="1"/>
          <w:sz w:val="22"/>
          <w:szCs w:val="22"/>
          <w:u w:val="none"/>
        </w:rPr>
        <w:t>1: Introduction</w:t>
      </w:r>
    </w:p>
    <w:p w:rsidR="15BCBD3A" w:rsidP="60E4BEB6" w:rsidRDefault="15BCBD3A" w14:paraId="4905E552" w14:textId="3E980213">
      <w:pPr>
        <w:spacing w:before="240" w:beforeAutospacing="off" w:after="240" w:afterAutospacing="off" w:line="360" w:lineRule="auto"/>
        <w:jc w:val="left"/>
      </w:pPr>
      <w:r w:rsidRPr="3B3420D8" w:rsidR="15BCBD3A">
        <w:rPr>
          <w:rFonts w:ascii="Arial Nova" w:hAnsi="Arial Nova" w:eastAsia="Arial Nova" w:cs="Arial Nova"/>
          <w:noProof w:val="0"/>
          <w:sz w:val="22"/>
          <w:szCs w:val="22"/>
          <w:lang w:val="en-GB"/>
        </w:rPr>
        <w:t xml:space="preserve">The Suburban Community Park project </w:t>
      </w:r>
      <w:r w:rsidRPr="3B3420D8" w:rsidR="15BCBD3A">
        <w:rPr>
          <w:rFonts w:ascii="Arial Nova" w:hAnsi="Arial Nova" w:eastAsia="Arial Nova" w:cs="Arial Nova"/>
          <w:noProof w:val="0"/>
          <w:sz w:val="22"/>
          <w:szCs w:val="22"/>
          <w:lang w:val="en-GB"/>
        </w:rPr>
        <w:t>represents</w:t>
      </w:r>
      <w:r w:rsidRPr="3B3420D8" w:rsidR="15BCBD3A">
        <w:rPr>
          <w:rFonts w:ascii="Arial Nova" w:hAnsi="Arial Nova" w:eastAsia="Arial Nova" w:cs="Arial Nova"/>
          <w:noProof w:val="0"/>
          <w:sz w:val="22"/>
          <w:szCs w:val="22"/>
          <w:lang w:val="en-GB"/>
        </w:rPr>
        <w:t xml:space="preserve"> a strategic local infrastructure initiative designed to enhance environmental quality, promote social inclusion, and improve wellbeing within a rapidly growing suburban settlement. Across the UK, demand for accessible green spaces has risen significantly due to expanding housing developments and changing lifestyle patterns. As suburban areas densify, residents often face declining access to recreational facilities, walkable environments, and natural landscapes. The proposed community park aims to mitigate these issues by providing a multifunctional public space that fosters physical activity, community interaction, biodiversity protection, and environmental learning.</w:t>
      </w:r>
    </w:p>
    <w:p w:rsidR="15BCBD3A" w:rsidP="60E4BEB6" w:rsidRDefault="15BCBD3A" w14:paraId="62EA09DE" w14:textId="4456C3C6">
      <w:pPr>
        <w:spacing w:before="240" w:beforeAutospacing="off" w:after="240" w:afterAutospacing="off" w:line="360" w:lineRule="auto"/>
        <w:jc w:val="left"/>
      </w:pPr>
      <w:r w:rsidRPr="3B3420D8" w:rsidR="15BCBD3A">
        <w:rPr>
          <w:rFonts w:ascii="Arial Nova" w:hAnsi="Arial Nova" w:eastAsia="Arial Nova" w:cs="Arial Nova"/>
          <w:noProof w:val="0"/>
          <w:sz w:val="22"/>
          <w:szCs w:val="22"/>
          <w:lang w:val="en-GB"/>
        </w:rPr>
        <w:t>The conceptual design of the park includes a connected network of walking paths, inclusive play equipment, quiet seating zones, sensory gardens, multipurpose lawns, and ecological planting areas. Evidence suggests that well-designed parks support healthier lifestyles by promoting daily physical activity, improving mental health, and creating opportunities for social cohesion. Moreover, the Green Infrastructure Standards for England emphasise the critical role of accessible natural spaces in supporting urban resilience and community wellbeing.</w:t>
      </w:r>
    </w:p>
    <w:p w:rsidR="3D85E01D" w:rsidP="60E4BEB6" w:rsidRDefault="3D85E01D" w14:paraId="428774DA" w14:textId="1E80E60E">
      <w:pPr>
        <w:pStyle w:val="Normal"/>
        <w:spacing w:line="360" w:lineRule="auto"/>
        <w:jc w:val="left"/>
        <w:rPr>
          <w:rFonts w:ascii="Arial Nova" w:hAnsi="Arial Nova" w:eastAsia="Arial Nova" w:cs="Arial Nova"/>
          <w:b w:val="1"/>
          <w:bCs w:val="1"/>
          <w:sz w:val="22"/>
          <w:szCs w:val="22"/>
          <w:u w:val="none"/>
        </w:rPr>
      </w:pPr>
      <w:r w:rsidRPr="60E4BEB6" w:rsidR="3D85E01D">
        <w:rPr>
          <w:rFonts w:ascii="Arial Nova" w:hAnsi="Arial Nova" w:eastAsia="Arial Nova" w:cs="Arial Nova"/>
          <w:noProof w:val="0"/>
          <w:sz w:val="22"/>
          <w:szCs w:val="22"/>
          <w:lang w:val="en-GB"/>
        </w:rPr>
        <w:t>Six key stakeholders stand to benefit directly:</w:t>
      </w:r>
    </w:p>
    <w:p w:rsidR="3D85E01D" w:rsidP="60E4BEB6" w:rsidRDefault="3D85E01D" w14:paraId="5E0DF7AF" w14:textId="50D948CB">
      <w:pPr>
        <w:pStyle w:val="Normal"/>
        <w:spacing w:line="360" w:lineRule="auto"/>
        <w:jc w:val="left"/>
        <w:rPr>
          <w:rFonts w:ascii="Arial Nova" w:hAnsi="Arial Nova" w:eastAsia="Arial Nova" w:cs="Arial Nova"/>
          <w:noProof w:val="0"/>
          <w:sz w:val="22"/>
          <w:szCs w:val="22"/>
          <w:lang w:val="en-GB"/>
        </w:rPr>
      </w:pPr>
      <w:r w:rsidRPr="3B3420D8" w:rsidR="3D85E01D">
        <w:rPr>
          <w:rFonts w:ascii="Arial Nova" w:hAnsi="Arial Nova" w:eastAsia="Arial Nova" w:cs="Arial Nova"/>
          <w:noProof w:val="0"/>
          <w:sz w:val="22"/>
          <w:szCs w:val="22"/>
          <w:lang w:val="en-GB"/>
        </w:rPr>
        <w:t xml:space="preserve"> 1. </w:t>
      </w:r>
      <w:r w:rsidRPr="3B3420D8" w:rsidR="63E32E7B">
        <w:rPr>
          <w:rFonts w:ascii="Arial Nova" w:hAnsi="Arial Nova" w:eastAsia="Arial Nova" w:cs="Arial Nova"/>
          <w:noProof w:val="0"/>
          <w:sz w:val="22"/>
          <w:szCs w:val="22"/>
          <w:lang w:val="en-GB"/>
        </w:rPr>
        <w:t>Residents</w:t>
      </w:r>
      <w:r w:rsidRPr="3B3420D8" w:rsidR="33E10B70">
        <w:rPr>
          <w:rFonts w:ascii="Arial Nova" w:hAnsi="Arial Nova" w:eastAsia="Arial Nova" w:cs="Arial Nova"/>
          <w:noProof w:val="0"/>
          <w:sz w:val="22"/>
          <w:szCs w:val="22"/>
          <w:lang w:val="en-GB"/>
        </w:rPr>
        <w:t>:</w:t>
      </w:r>
      <w:r w:rsidRPr="3B3420D8" w:rsidR="63E32E7B">
        <w:rPr>
          <w:rFonts w:ascii="Arial Nova" w:hAnsi="Arial Nova" w:eastAsia="Arial Nova" w:cs="Arial Nova"/>
          <w:noProof w:val="0"/>
          <w:sz w:val="22"/>
          <w:szCs w:val="22"/>
          <w:lang w:val="en-GB"/>
        </w:rPr>
        <w:t xml:space="preserve"> are key beneficiaries because the park provides opportunities for exercise, leisure, and community interaction. Research shows that the presence of green spaces in residential areas can enhance life satisfaction and property values.</w:t>
      </w:r>
    </w:p>
    <w:p w:rsidR="3D85E01D" w:rsidP="60E4BEB6" w:rsidRDefault="3D85E01D" w14:paraId="55E2DDE8" w14:textId="7A52D679">
      <w:pPr>
        <w:pStyle w:val="Normal"/>
        <w:spacing w:line="360" w:lineRule="auto"/>
        <w:jc w:val="left"/>
      </w:pPr>
      <w:r w:rsidRPr="3B3420D8" w:rsidR="3D85E01D">
        <w:rPr>
          <w:rFonts w:ascii="Arial Nova" w:hAnsi="Arial Nova" w:eastAsia="Arial Nova" w:cs="Arial Nova"/>
          <w:noProof w:val="0"/>
          <w:sz w:val="22"/>
          <w:szCs w:val="22"/>
          <w:lang w:val="en-GB"/>
        </w:rPr>
        <w:t xml:space="preserve">2. Children and families: </w:t>
      </w:r>
      <w:r w:rsidRPr="3B3420D8" w:rsidR="12DA0F4B">
        <w:rPr>
          <w:rFonts w:ascii="Arial Nova" w:hAnsi="Arial Nova" w:eastAsia="Arial Nova" w:cs="Arial Nova"/>
          <w:noProof w:val="0"/>
          <w:sz w:val="22"/>
          <w:szCs w:val="22"/>
          <w:lang w:val="en-GB"/>
        </w:rPr>
        <w:t>Play areas and safe open environments support child development, family bonding, and social learning. Access to nature is associated with improved behavioural, emotional, and physical outcomes for children.</w:t>
      </w:r>
    </w:p>
    <w:p w:rsidR="3D85E01D" w:rsidP="60E4BEB6" w:rsidRDefault="3D85E01D" w14:paraId="209AA8EB" w14:textId="5EAB6E0E">
      <w:pPr>
        <w:pStyle w:val="Normal"/>
        <w:spacing w:line="360" w:lineRule="auto"/>
        <w:jc w:val="left"/>
      </w:pPr>
      <w:r w:rsidRPr="3B3420D8" w:rsidR="3D85E01D">
        <w:rPr>
          <w:rFonts w:ascii="Arial Nova" w:hAnsi="Arial Nova" w:eastAsia="Arial Nova" w:cs="Arial Nova"/>
          <w:noProof w:val="0"/>
          <w:sz w:val="22"/>
          <w:szCs w:val="22"/>
          <w:lang w:val="en-GB"/>
        </w:rPr>
        <w:t xml:space="preserve">3. Local schools and youth organisations: </w:t>
      </w:r>
      <w:r w:rsidRPr="3B3420D8" w:rsidR="44B32165">
        <w:rPr>
          <w:rFonts w:ascii="Arial Nova" w:hAnsi="Arial Nova" w:eastAsia="Arial Nova" w:cs="Arial Nova"/>
          <w:noProof w:val="0"/>
          <w:sz w:val="22"/>
          <w:szCs w:val="22"/>
          <w:lang w:val="en-GB"/>
        </w:rPr>
        <w:t>Schools gain new outdoor learning environments and increased opportunities for environmental education and physical activity programmes.</w:t>
      </w:r>
      <w:r w:rsidRPr="3B3420D8" w:rsidR="3D85E01D">
        <w:rPr>
          <w:rFonts w:ascii="Arial Nova" w:hAnsi="Arial Nova" w:eastAsia="Arial Nova" w:cs="Arial Nova"/>
          <w:noProof w:val="0"/>
          <w:sz w:val="22"/>
          <w:szCs w:val="22"/>
          <w:lang w:val="en-GB"/>
        </w:rPr>
        <w:t xml:space="preserve"> </w:t>
      </w:r>
    </w:p>
    <w:p w:rsidR="3D85E01D" w:rsidP="60E4BEB6" w:rsidRDefault="3D85E01D" w14:paraId="0DC8F8A4" w14:textId="3F38E6B1">
      <w:pPr>
        <w:pStyle w:val="Normal"/>
        <w:spacing w:line="360" w:lineRule="auto"/>
        <w:jc w:val="left"/>
      </w:pPr>
      <w:r w:rsidRPr="3B3420D8" w:rsidR="3D85E01D">
        <w:rPr>
          <w:rFonts w:ascii="Arial Nova" w:hAnsi="Arial Nova" w:eastAsia="Arial Nova" w:cs="Arial Nova"/>
          <w:noProof w:val="0"/>
          <w:sz w:val="22"/>
          <w:szCs w:val="22"/>
          <w:lang w:val="en-GB"/>
        </w:rPr>
        <w:t xml:space="preserve">4. Local authority / council: </w:t>
      </w:r>
      <w:r w:rsidRPr="3B3420D8" w:rsidR="6DC6BCF9">
        <w:rPr>
          <w:rFonts w:ascii="Arial Nova" w:hAnsi="Arial Nova" w:eastAsia="Arial Nova" w:cs="Arial Nova"/>
          <w:noProof w:val="0"/>
          <w:sz w:val="22"/>
          <w:szCs w:val="22"/>
          <w:lang w:val="en-GB"/>
        </w:rPr>
        <w:t>The council benefits through improved service provision, progress towards sustainability goals, and enhanced community satisfaction</w:t>
      </w:r>
      <w:r w:rsidRPr="3B3420D8" w:rsidR="308352CB">
        <w:rPr>
          <w:rFonts w:ascii="Arial Nova" w:hAnsi="Arial Nova" w:eastAsia="Arial Nova" w:cs="Arial Nova"/>
          <w:noProof w:val="0"/>
          <w:sz w:val="22"/>
          <w:szCs w:val="22"/>
          <w:lang w:val="en-GB"/>
        </w:rPr>
        <w:t xml:space="preserve"> </w:t>
      </w:r>
      <w:r w:rsidRPr="3B3420D8" w:rsidR="6DC6BCF9">
        <w:rPr>
          <w:rFonts w:ascii="Arial Nova" w:hAnsi="Arial Nova" w:eastAsia="Arial Nova" w:cs="Arial Nova"/>
          <w:noProof w:val="0"/>
          <w:sz w:val="22"/>
          <w:szCs w:val="22"/>
          <w:lang w:val="en-GB"/>
        </w:rPr>
        <w:t>key considerations in public governance.</w:t>
      </w:r>
    </w:p>
    <w:p w:rsidR="3D85E01D" w:rsidP="60E4BEB6" w:rsidRDefault="3D85E01D" w14:paraId="04FC272F" w14:textId="4B3E935D">
      <w:pPr>
        <w:pStyle w:val="Normal"/>
        <w:spacing w:line="360" w:lineRule="auto"/>
        <w:jc w:val="left"/>
      </w:pPr>
      <w:r w:rsidRPr="3B3420D8" w:rsidR="3D85E01D">
        <w:rPr>
          <w:rFonts w:ascii="Arial Nova" w:hAnsi="Arial Nova" w:eastAsia="Arial Nova" w:cs="Arial Nova"/>
          <w:noProof w:val="0"/>
          <w:sz w:val="22"/>
          <w:szCs w:val="22"/>
          <w:lang w:val="en-GB"/>
        </w:rPr>
        <w:t xml:space="preserve">5. Environmental groups: </w:t>
      </w:r>
      <w:r w:rsidRPr="3B3420D8" w:rsidR="1FEE0BE2">
        <w:rPr>
          <w:rFonts w:ascii="Arial Nova" w:hAnsi="Arial Nova" w:eastAsia="Arial Nova" w:cs="Arial Nova"/>
          <w:noProof w:val="0"/>
          <w:sz w:val="22"/>
          <w:szCs w:val="22"/>
          <w:lang w:val="en-GB"/>
        </w:rPr>
        <w:t xml:space="preserve">Conservation groups </w:t>
      </w:r>
      <w:r w:rsidRPr="3B3420D8" w:rsidR="1FEE0BE2">
        <w:rPr>
          <w:rFonts w:ascii="Arial Nova" w:hAnsi="Arial Nova" w:eastAsia="Arial Nova" w:cs="Arial Nova"/>
          <w:noProof w:val="0"/>
          <w:sz w:val="22"/>
          <w:szCs w:val="22"/>
          <w:lang w:val="en-GB"/>
        </w:rPr>
        <w:t>benefit</w:t>
      </w:r>
      <w:r w:rsidRPr="3B3420D8" w:rsidR="1FEE0BE2">
        <w:rPr>
          <w:rFonts w:ascii="Arial Nova" w:hAnsi="Arial Nova" w:eastAsia="Arial Nova" w:cs="Arial Nova"/>
          <w:noProof w:val="0"/>
          <w:sz w:val="22"/>
          <w:szCs w:val="22"/>
          <w:lang w:val="en-GB"/>
        </w:rPr>
        <w:t xml:space="preserve"> from improved connectivity between habitats, enabling biodiversity monitoring, ecological restoration, and community engagement with sustainability initiatives.</w:t>
      </w:r>
    </w:p>
    <w:p w:rsidR="3D85E01D" w:rsidP="60E4BEB6" w:rsidRDefault="3D85E01D" w14:paraId="3AD0FA66" w14:textId="35C63CF5">
      <w:pPr>
        <w:pStyle w:val="Normal"/>
        <w:spacing w:line="360" w:lineRule="auto"/>
        <w:jc w:val="left"/>
      </w:pPr>
      <w:r w:rsidRPr="3B3420D8" w:rsidR="3D85E01D">
        <w:rPr>
          <w:rFonts w:ascii="Arial Nova" w:hAnsi="Arial Nova" w:eastAsia="Arial Nova" w:cs="Arial Nova"/>
          <w:noProof w:val="0"/>
          <w:sz w:val="22"/>
          <w:szCs w:val="22"/>
          <w:lang w:val="en-GB"/>
        </w:rPr>
        <w:t xml:space="preserve">6. Local businesses: </w:t>
      </w:r>
      <w:r w:rsidRPr="3B3420D8" w:rsidR="0A728F4C">
        <w:rPr>
          <w:rFonts w:ascii="Arial Nova" w:hAnsi="Arial Nova" w:eastAsia="Arial Nova" w:cs="Arial Nova"/>
          <w:noProof w:val="0"/>
          <w:sz w:val="22"/>
          <w:szCs w:val="22"/>
          <w:lang w:val="en-GB"/>
        </w:rPr>
        <w:t xml:space="preserve">Increased visitor footfall </w:t>
      </w:r>
      <w:r w:rsidRPr="3B3420D8" w:rsidR="0A728F4C">
        <w:rPr>
          <w:rFonts w:ascii="Arial Nova" w:hAnsi="Arial Nova" w:eastAsia="Arial Nova" w:cs="Arial Nova"/>
          <w:noProof w:val="0"/>
          <w:sz w:val="22"/>
          <w:szCs w:val="22"/>
          <w:lang w:val="en-GB"/>
        </w:rPr>
        <w:t>provides</w:t>
      </w:r>
      <w:r w:rsidRPr="3B3420D8" w:rsidR="0A728F4C">
        <w:rPr>
          <w:rFonts w:ascii="Arial Nova" w:hAnsi="Arial Nova" w:eastAsia="Arial Nova" w:cs="Arial Nova"/>
          <w:noProof w:val="0"/>
          <w:sz w:val="22"/>
          <w:szCs w:val="22"/>
          <w:lang w:val="en-GB"/>
        </w:rPr>
        <w:t xml:space="preserve"> economic opportunities for small enterprises such as cafés, shops, and service providers. Studies </w:t>
      </w:r>
      <w:r w:rsidRPr="3B3420D8" w:rsidR="0A728F4C">
        <w:rPr>
          <w:rFonts w:ascii="Arial Nova" w:hAnsi="Arial Nova" w:eastAsia="Arial Nova" w:cs="Arial Nova"/>
          <w:noProof w:val="0"/>
          <w:sz w:val="22"/>
          <w:szCs w:val="22"/>
          <w:lang w:val="en-GB"/>
        </w:rPr>
        <w:t>indicate</w:t>
      </w:r>
      <w:r w:rsidRPr="3B3420D8" w:rsidR="0A728F4C">
        <w:rPr>
          <w:rFonts w:ascii="Arial Nova" w:hAnsi="Arial Nova" w:eastAsia="Arial Nova" w:cs="Arial Nova"/>
          <w:noProof w:val="0"/>
          <w:sz w:val="22"/>
          <w:szCs w:val="22"/>
          <w:lang w:val="en-GB"/>
        </w:rPr>
        <w:t xml:space="preserve"> that parks can stimulate local economic activity by attracting visitors and supporting place-based branding.</w:t>
      </w:r>
    </w:p>
    <w:p w:rsidR="0A728F4C" w:rsidP="60E4BEB6" w:rsidRDefault="0A728F4C" w14:paraId="330C3B84" w14:textId="4B31A761">
      <w:pPr>
        <w:pStyle w:val="Normal"/>
        <w:spacing w:line="360" w:lineRule="auto"/>
        <w:jc w:val="left"/>
      </w:pPr>
      <w:r w:rsidRPr="3B3420D8" w:rsidR="0A728F4C">
        <w:rPr>
          <w:rFonts w:ascii="Arial Nova" w:hAnsi="Arial Nova" w:eastAsia="Arial Nova" w:cs="Arial Nova"/>
          <w:noProof w:val="0"/>
          <w:sz w:val="22"/>
          <w:szCs w:val="22"/>
          <w:lang w:val="en-GB"/>
        </w:rPr>
        <w:t xml:space="preserve">Stakeholder engagement is essential for balancing these diverse interests. </w:t>
      </w:r>
      <w:r w:rsidRPr="3B3420D8" w:rsidR="01E9513E">
        <w:rPr>
          <w:rFonts w:ascii="Arial Nova" w:hAnsi="Arial Nova" w:eastAsia="Arial Nova" w:cs="Arial Nova"/>
          <w:b w:val="0"/>
          <w:bCs w:val="0"/>
          <w:i w:val="0"/>
          <w:iCs w:val="0"/>
          <w:caps w:val="0"/>
          <w:smallCaps w:val="0"/>
          <w:noProof w:val="0"/>
          <w:color w:val="auto"/>
          <w:sz w:val="22"/>
          <w:szCs w:val="22"/>
          <w:lang w:val="en-GB"/>
        </w:rPr>
        <w:t xml:space="preserve">The development of effective management strategies involves the engagement of stakeholders in decision-making processes, the establishment of ongoing contacts, and the resolution of challenges, all with a focus on prioritizing their needs and expectations. </w:t>
      </w:r>
      <w:r w:rsidRPr="3B3420D8" w:rsidR="34029571">
        <w:rPr>
          <w:rFonts w:ascii="Arial Nova" w:hAnsi="Arial Nova" w:eastAsia="Arial Nova" w:cs="Arial Nova"/>
          <w:b w:val="0"/>
          <w:bCs w:val="0"/>
          <w:i w:val="0"/>
          <w:iCs w:val="0"/>
          <w:caps w:val="0"/>
          <w:smallCaps w:val="0"/>
          <w:noProof w:val="0"/>
          <w:color w:val="auto"/>
          <w:sz w:val="22"/>
          <w:szCs w:val="22"/>
          <w:lang w:val="en-GB"/>
        </w:rPr>
        <w:t>(</w:t>
      </w:r>
      <w:r w:rsidRPr="3B3420D8" w:rsidR="3D5E01BA">
        <w:rPr>
          <w:rFonts w:ascii="Arial Nova" w:hAnsi="Arial Nova" w:eastAsia="Arial Nova" w:cs="Arial Nova"/>
          <w:b w:val="0"/>
          <w:bCs w:val="0"/>
          <w:i w:val="0"/>
          <w:iCs w:val="0"/>
          <w:caps w:val="0"/>
          <w:smallCaps w:val="0"/>
          <w:noProof w:val="0"/>
          <w:color w:val="auto"/>
          <w:sz w:val="22"/>
          <w:szCs w:val="22"/>
          <w:lang w:val="en-GB"/>
        </w:rPr>
        <w:t xml:space="preserve">S. F. Azzahra et al., 2023) </w:t>
      </w:r>
      <w:r w:rsidRPr="3B3420D8" w:rsidR="0A728F4C">
        <w:rPr>
          <w:rFonts w:ascii="Arial Nova" w:hAnsi="Arial Nova" w:eastAsia="Arial Nova" w:cs="Arial Nova"/>
          <w:noProof w:val="0"/>
          <w:sz w:val="22"/>
          <w:szCs w:val="22"/>
          <w:lang w:val="en-GB"/>
        </w:rPr>
        <w:t>Without structured consultation, infrastructure projects risk community resistance, planning delays, or diminished long-term value</w:t>
      </w:r>
      <w:r w:rsidRPr="3B3420D8" w:rsidR="5A986C84">
        <w:rPr>
          <w:rFonts w:ascii="Arial Nova" w:hAnsi="Arial Nova" w:eastAsia="Arial Nova" w:cs="Arial Nova"/>
          <w:noProof w:val="0"/>
          <w:sz w:val="22"/>
          <w:szCs w:val="22"/>
          <w:lang w:val="en-GB"/>
        </w:rPr>
        <w:t xml:space="preserve">. </w:t>
      </w:r>
      <w:r w:rsidRPr="3B3420D8" w:rsidR="0A728F4C">
        <w:rPr>
          <w:rFonts w:ascii="Arial Nova" w:hAnsi="Arial Nova" w:eastAsia="Arial Nova" w:cs="Arial Nova"/>
          <w:noProof w:val="0"/>
          <w:sz w:val="22"/>
          <w:szCs w:val="22"/>
          <w:lang w:val="en-GB"/>
        </w:rPr>
        <w:t>Therefore, an evidence-based stakeholder management plan is crucial for ensuring project legitimacy, public support, and sustainable delivery.</w:t>
      </w:r>
    </w:p>
    <w:p w:rsidR="23746978" w:rsidP="60E4BEB6" w:rsidRDefault="23746978" w14:paraId="297D2284" w14:textId="78B2D8F8">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23746978">
        <w:rPr>
          <w:rFonts w:ascii="Arial Nova" w:hAnsi="Arial Nova" w:eastAsia="Arial Nova" w:cs="Arial Nova" w:asciiTheme="minorAscii" w:hAnsiTheme="minorAscii" w:eastAsiaTheme="minorAscii" w:cstheme="minorAscii"/>
          <w:b w:val="1"/>
          <w:bCs w:val="1"/>
          <w:noProof w:val="0"/>
          <w:sz w:val="22"/>
          <w:szCs w:val="22"/>
          <w:lang w:val="en-GB"/>
        </w:rPr>
        <w:t>Element 2: Application to include Stakeholder Engagement Strategies</w:t>
      </w:r>
    </w:p>
    <w:p w:rsidR="4D470FCE" w:rsidP="60E4BEB6" w:rsidRDefault="4D470FCE" w14:paraId="6DFF499A" w14:textId="1B678F08">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4D470FCE">
        <w:rPr>
          <w:rFonts w:ascii="Arial Nova" w:hAnsi="Arial Nova" w:eastAsia="Arial Nova" w:cs="Arial Nova" w:asciiTheme="minorAscii" w:hAnsiTheme="minorAscii" w:eastAsiaTheme="minorAscii" w:cstheme="minorAscii"/>
          <w:b w:val="1"/>
          <w:bCs w:val="1"/>
          <w:noProof w:val="0"/>
          <w:sz w:val="22"/>
          <w:szCs w:val="22"/>
          <w:u w:val="single"/>
          <w:lang w:val="en-GB"/>
        </w:rPr>
        <w:t>2.1 POWER / INFLUENCE / INTEREST TABLE</w:t>
      </w:r>
    </w:p>
    <w:p w:rsidR="60E4BEB6" w:rsidP="60E4BEB6" w:rsidRDefault="60E4BEB6" w14:paraId="0FEB4A19" w14:textId="5CC2ABF3">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tbl>
      <w:tblPr>
        <w:tblStyle w:val="TableGrid"/>
        <w:tblW w:w="0" w:type="auto"/>
        <w:tblLook w:val="06A0" w:firstRow="1" w:lastRow="0" w:firstColumn="1" w:lastColumn="0" w:noHBand="1" w:noVBand="1"/>
      </w:tblPr>
      <w:tblGrid>
        <w:gridCol w:w="1803"/>
        <w:gridCol w:w="1803"/>
        <w:gridCol w:w="1803"/>
        <w:gridCol w:w="1803"/>
        <w:gridCol w:w="1928"/>
      </w:tblGrid>
      <w:tr w:rsidR="60E4BEB6" w:rsidTr="60E4BEB6" w14:paraId="7F72A797">
        <w:trPr>
          <w:trHeight w:val="300"/>
        </w:trPr>
        <w:tc>
          <w:tcPr>
            <w:tcW w:w="1803" w:type="dxa"/>
            <w:shd w:val="clear" w:color="auto" w:fill="DAE9F7" w:themeFill="text2" w:themeFillTint="1A"/>
            <w:tcMar/>
          </w:tcPr>
          <w:p w:rsidR="54720BCD" w:rsidP="60E4BEB6" w:rsidRDefault="54720BCD" w14:paraId="1E0F339C" w14:textId="7FFAE886">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Stakeholder </w:t>
            </w: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Group</w:t>
            </w: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 </w:t>
            </w:r>
          </w:p>
        </w:tc>
        <w:tc>
          <w:tcPr>
            <w:tcW w:w="1803" w:type="dxa"/>
            <w:shd w:val="clear" w:color="auto" w:fill="DAE9F7" w:themeFill="text2" w:themeFillTint="1A"/>
            <w:tcMar/>
          </w:tcPr>
          <w:p w:rsidR="54720BCD" w:rsidP="60E4BEB6" w:rsidRDefault="54720BCD" w14:paraId="798173ED" w14:textId="24528EF5">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Power</w:t>
            </w:r>
          </w:p>
        </w:tc>
        <w:tc>
          <w:tcPr>
            <w:tcW w:w="1803" w:type="dxa"/>
            <w:shd w:val="clear" w:color="auto" w:fill="DAE9F7" w:themeFill="text2" w:themeFillTint="1A"/>
            <w:tcMar/>
          </w:tcPr>
          <w:p w:rsidR="54720BCD" w:rsidP="60E4BEB6" w:rsidRDefault="54720BCD" w14:paraId="5ECDDC91" w14:textId="7F02A10D">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Influence </w:t>
            </w:r>
          </w:p>
        </w:tc>
        <w:tc>
          <w:tcPr>
            <w:tcW w:w="1803" w:type="dxa"/>
            <w:shd w:val="clear" w:color="auto" w:fill="DAE9F7" w:themeFill="text2" w:themeFillTint="1A"/>
            <w:tcMar/>
          </w:tcPr>
          <w:p w:rsidR="54720BCD" w:rsidP="60E4BEB6" w:rsidRDefault="54720BCD" w14:paraId="734D8DF0" w14:textId="35AC6479">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Interest </w:t>
            </w:r>
          </w:p>
        </w:tc>
        <w:tc>
          <w:tcPr>
            <w:tcW w:w="1928" w:type="dxa"/>
            <w:shd w:val="clear" w:color="auto" w:fill="DAE9F7" w:themeFill="text2" w:themeFillTint="1A"/>
            <w:tcMar/>
          </w:tcPr>
          <w:p w:rsidR="54720BCD" w:rsidP="60E4BEB6" w:rsidRDefault="54720BCD" w14:paraId="3016DB3B" w14:textId="031AFFD2">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Reasons </w:t>
            </w:r>
          </w:p>
        </w:tc>
      </w:tr>
      <w:tr w:rsidR="60E4BEB6" w:rsidTr="60E4BEB6" w14:paraId="6EB430FA">
        <w:trPr>
          <w:trHeight w:val="300"/>
        </w:trPr>
        <w:tc>
          <w:tcPr>
            <w:tcW w:w="1803" w:type="dxa"/>
            <w:tcMar/>
          </w:tcPr>
          <w:p w:rsidR="3188EB0D" w:rsidP="60E4BEB6" w:rsidRDefault="3188EB0D" w14:paraId="5349D520" w14:textId="0F948AD8">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Residents</w:t>
            </w:r>
          </w:p>
        </w:tc>
        <w:tc>
          <w:tcPr>
            <w:tcW w:w="1803" w:type="dxa"/>
            <w:tcMar/>
          </w:tcPr>
          <w:p w:rsidR="3188EB0D" w:rsidP="60E4BEB6" w:rsidRDefault="3188EB0D" w14:paraId="0FF793DA" w14:textId="1387984A">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3188EB0D" w:rsidP="60E4BEB6" w:rsidRDefault="3188EB0D" w14:paraId="1D817D83" w14:textId="4B97C1E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3188EB0D" w:rsidP="60E4BEB6" w:rsidRDefault="3188EB0D" w14:paraId="31370847" w14:textId="2C44E1ED">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High</w:t>
            </w:r>
          </w:p>
        </w:tc>
        <w:tc>
          <w:tcPr>
            <w:tcW w:w="1928" w:type="dxa"/>
            <w:tcMar/>
          </w:tcPr>
          <w:p w:rsidR="3188EB0D" w:rsidP="60E4BEB6" w:rsidRDefault="3188EB0D" w14:paraId="121F3C7E" w14:textId="34BC66D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 xml:space="preserve">Directly Affected, can mobilise opinion, </w:t>
            </w: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high stake</w:t>
            </w:r>
          </w:p>
        </w:tc>
      </w:tr>
      <w:tr w:rsidR="60E4BEB6" w:rsidTr="60E4BEB6" w14:paraId="28704874">
        <w:trPr>
          <w:trHeight w:val="300"/>
        </w:trPr>
        <w:tc>
          <w:tcPr>
            <w:tcW w:w="1803" w:type="dxa"/>
            <w:tcMar/>
          </w:tcPr>
          <w:p w:rsidR="4D3E59BC" w:rsidP="60E4BEB6" w:rsidRDefault="4D3E59BC" w14:paraId="3E66583B" w14:textId="12F94016">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Local Authority, Council </w:t>
            </w:r>
          </w:p>
        </w:tc>
        <w:tc>
          <w:tcPr>
            <w:tcW w:w="1803" w:type="dxa"/>
            <w:tcMar/>
          </w:tcPr>
          <w:p w:rsidR="4D3E59BC" w:rsidP="60E4BEB6" w:rsidRDefault="4D3E59BC" w14:paraId="37FF2637" w14:textId="3D18052F">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4D3E59BC" w:rsidP="60E4BEB6" w:rsidRDefault="4D3E59BC" w14:paraId="7FC224EC" w14:textId="5CD0E452">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High</w:t>
            </w:r>
          </w:p>
        </w:tc>
        <w:tc>
          <w:tcPr>
            <w:tcW w:w="1803" w:type="dxa"/>
            <w:tcMar/>
          </w:tcPr>
          <w:p w:rsidR="4D3E59BC" w:rsidP="60E4BEB6" w:rsidRDefault="4D3E59BC" w14:paraId="0167BE93" w14:textId="4D0A8559">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Medium </w:t>
            </w:r>
          </w:p>
        </w:tc>
        <w:tc>
          <w:tcPr>
            <w:tcW w:w="1928" w:type="dxa"/>
            <w:tcMar/>
          </w:tcPr>
          <w:p w:rsidR="4D3E59BC" w:rsidP="60E4BEB6" w:rsidRDefault="4D3E59BC" w14:paraId="24D07FB5" w14:textId="3830E75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Holds statutory planning powers and funding responsibilities</w:t>
            </w:r>
          </w:p>
        </w:tc>
      </w:tr>
      <w:tr w:rsidR="60E4BEB6" w:rsidTr="60E4BEB6" w14:paraId="340554E6">
        <w:trPr>
          <w:trHeight w:val="300"/>
        </w:trPr>
        <w:tc>
          <w:tcPr>
            <w:tcW w:w="1803" w:type="dxa"/>
            <w:tcMar/>
          </w:tcPr>
          <w:p w:rsidR="4D3E59BC" w:rsidP="60E4BEB6" w:rsidRDefault="4D3E59BC" w14:paraId="5CD303F3" w14:textId="42F550A5">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Local Schools and Youth Groups </w:t>
            </w:r>
          </w:p>
        </w:tc>
        <w:tc>
          <w:tcPr>
            <w:tcW w:w="1803" w:type="dxa"/>
            <w:tcMar/>
          </w:tcPr>
          <w:p w:rsidR="4D3E59BC" w:rsidP="60E4BEB6" w:rsidRDefault="4D3E59BC" w14:paraId="36BFDE9E" w14:textId="43CA7C44">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Low</w:t>
            </w:r>
          </w:p>
        </w:tc>
        <w:tc>
          <w:tcPr>
            <w:tcW w:w="1803" w:type="dxa"/>
            <w:tcMar/>
          </w:tcPr>
          <w:p w:rsidR="4D3E59BC" w:rsidP="60E4BEB6" w:rsidRDefault="4D3E59BC" w14:paraId="41244857" w14:textId="59CDCE25">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Medium </w:t>
            </w:r>
          </w:p>
        </w:tc>
        <w:tc>
          <w:tcPr>
            <w:tcW w:w="1803" w:type="dxa"/>
            <w:tcMar/>
          </w:tcPr>
          <w:p w:rsidR="4D3E59BC" w:rsidP="60E4BEB6" w:rsidRDefault="4D3E59BC" w14:paraId="50AF3F4E" w14:textId="3786485D">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928" w:type="dxa"/>
            <w:tcMar/>
          </w:tcPr>
          <w:p w:rsidR="4D3E59BC" w:rsidP="60E4BEB6" w:rsidRDefault="4D3E59BC" w14:paraId="01205822" w14:textId="3B2C504F">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Strong interest in educational and recreational use</w:t>
            </w:r>
          </w:p>
        </w:tc>
      </w:tr>
      <w:tr w:rsidR="60E4BEB6" w:rsidTr="60E4BEB6" w14:paraId="5F206886">
        <w:trPr>
          <w:trHeight w:val="300"/>
        </w:trPr>
        <w:tc>
          <w:tcPr>
            <w:tcW w:w="1803" w:type="dxa"/>
            <w:tcMar/>
          </w:tcPr>
          <w:p w:rsidR="5D7FE987" w:rsidP="60E4BEB6" w:rsidRDefault="5D7FE987" w14:paraId="45F53B29" w14:textId="0A414D00">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 xml:space="preserve">Environmental Groups </w:t>
            </w:r>
          </w:p>
        </w:tc>
        <w:tc>
          <w:tcPr>
            <w:tcW w:w="1803" w:type="dxa"/>
            <w:tcMar/>
          </w:tcPr>
          <w:p w:rsidR="5D7FE987" w:rsidP="60E4BEB6" w:rsidRDefault="5D7FE987" w14:paraId="3480A9E1" w14:textId="572FE28F">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Medium</w:t>
            </w:r>
          </w:p>
        </w:tc>
        <w:tc>
          <w:tcPr>
            <w:tcW w:w="1803" w:type="dxa"/>
            <w:tcMar/>
          </w:tcPr>
          <w:p w:rsidR="5D7FE987" w:rsidP="60E4BEB6" w:rsidRDefault="5D7FE987" w14:paraId="2C97DCBC" w14:textId="4965DE60">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Medium</w:t>
            </w:r>
          </w:p>
        </w:tc>
        <w:tc>
          <w:tcPr>
            <w:tcW w:w="1803" w:type="dxa"/>
            <w:tcMar/>
          </w:tcPr>
          <w:p w:rsidR="5D7FE987" w:rsidP="60E4BEB6" w:rsidRDefault="5D7FE987" w14:paraId="2BC1EA68" w14:textId="2A10F0A7">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928" w:type="dxa"/>
            <w:tcMar/>
          </w:tcPr>
          <w:p w:rsidR="5D7FE987" w:rsidP="60E4BEB6" w:rsidRDefault="5D7FE987" w14:paraId="539652A9" w14:textId="49BECEB5">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 xml:space="preserve">Legitimate technical influence on biodiversity decisions </w:t>
            </w:r>
          </w:p>
        </w:tc>
      </w:tr>
      <w:tr w:rsidR="60E4BEB6" w:rsidTr="60E4BEB6" w14:paraId="4C83884F">
        <w:trPr>
          <w:trHeight w:val="300"/>
        </w:trPr>
        <w:tc>
          <w:tcPr>
            <w:tcW w:w="1803" w:type="dxa"/>
            <w:tcMar/>
          </w:tcPr>
          <w:p w:rsidR="54F398FE" w:rsidP="60E4BEB6" w:rsidRDefault="54F398FE" w14:paraId="7F26660E" w14:textId="4A4EC842">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 xml:space="preserve">Local Businesses </w:t>
            </w:r>
          </w:p>
        </w:tc>
        <w:tc>
          <w:tcPr>
            <w:tcW w:w="1803" w:type="dxa"/>
            <w:tcMar/>
          </w:tcPr>
          <w:p w:rsidR="54F398FE" w:rsidP="60E4BEB6" w:rsidRDefault="54F398FE" w14:paraId="3E8A9324" w14:textId="170A25B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803" w:type="dxa"/>
            <w:tcMar/>
          </w:tcPr>
          <w:p w:rsidR="54F398FE" w:rsidP="60E4BEB6" w:rsidRDefault="54F398FE" w14:paraId="7C08287B" w14:textId="66555784">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Medium</w:t>
            </w:r>
          </w:p>
        </w:tc>
        <w:tc>
          <w:tcPr>
            <w:tcW w:w="1803" w:type="dxa"/>
            <w:tcMar/>
          </w:tcPr>
          <w:p w:rsidR="54F398FE" w:rsidP="60E4BEB6" w:rsidRDefault="54F398FE" w14:paraId="4D91531E" w14:textId="6197A6F4">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 xml:space="preserve">Medium </w:t>
            </w:r>
          </w:p>
        </w:tc>
        <w:tc>
          <w:tcPr>
            <w:tcW w:w="1928" w:type="dxa"/>
            <w:tcMar/>
          </w:tcPr>
          <w:p w:rsidR="54F398FE" w:rsidP="60E4BEB6" w:rsidRDefault="54F398FE" w14:paraId="41FB73E1" w14:textId="600685B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 xml:space="preserve">Interested in increased footfall and community activity </w:t>
            </w:r>
          </w:p>
        </w:tc>
      </w:tr>
      <w:tr w:rsidR="60E4BEB6" w:rsidTr="60E4BEB6" w14:paraId="33CEC141">
        <w:trPr>
          <w:trHeight w:val="1290"/>
        </w:trPr>
        <w:tc>
          <w:tcPr>
            <w:tcW w:w="1803" w:type="dxa"/>
            <w:tcMar/>
          </w:tcPr>
          <w:p w:rsidR="1A27EF1D" w:rsidP="60E4BEB6" w:rsidRDefault="1A27EF1D" w14:paraId="0CF4E702" w14:textId="03674232">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1A27EF1D">
              <w:rPr>
                <w:rFonts w:ascii="Arial Nova" w:hAnsi="Arial Nova" w:eastAsia="Arial Nova" w:cs="Arial Nova" w:asciiTheme="minorAscii" w:hAnsiTheme="minorAscii" w:eastAsiaTheme="minorAscii" w:cstheme="minorAscii"/>
                <w:b w:val="1"/>
                <w:bCs w:val="1"/>
                <w:noProof w:val="0"/>
                <w:sz w:val="22"/>
                <w:szCs w:val="22"/>
                <w:lang w:val="en-GB"/>
              </w:rPr>
              <w:t xml:space="preserve">Older Adults &amp; Accessibility Groups </w:t>
            </w:r>
          </w:p>
        </w:tc>
        <w:tc>
          <w:tcPr>
            <w:tcW w:w="1803" w:type="dxa"/>
            <w:tcMar/>
          </w:tcPr>
          <w:p w:rsidR="5F124B6A" w:rsidP="60E4BEB6" w:rsidRDefault="5F124B6A" w14:paraId="6C418642" w14:textId="35BBC6A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803" w:type="dxa"/>
            <w:tcMar/>
          </w:tcPr>
          <w:p w:rsidR="5F124B6A" w:rsidP="60E4BEB6" w:rsidRDefault="5F124B6A" w14:paraId="382854B1" w14:textId="4F317D61">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803" w:type="dxa"/>
            <w:tcMar/>
          </w:tcPr>
          <w:p w:rsidR="5F124B6A" w:rsidP="60E4BEB6" w:rsidRDefault="5F124B6A" w14:paraId="1B8171A0" w14:textId="1F9AE84F">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928" w:type="dxa"/>
            <w:tcMar/>
          </w:tcPr>
          <w:p w:rsidR="5F124B6A" w:rsidP="60E4BEB6" w:rsidRDefault="5F124B6A" w14:paraId="24EAC90F" w14:textId="268E4204">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High interest relating to access and safety needs </w:t>
            </w:r>
          </w:p>
        </w:tc>
      </w:tr>
      <w:tr w:rsidR="60E4BEB6" w:rsidTr="60E4BEB6" w14:paraId="73394E19">
        <w:trPr>
          <w:trHeight w:val="1260"/>
        </w:trPr>
        <w:tc>
          <w:tcPr>
            <w:tcW w:w="1803" w:type="dxa"/>
            <w:tcMar/>
          </w:tcPr>
          <w:p w:rsidR="5F124B6A" w:rsidP="60E4BEB6" w:rsidRDefault="5F124B6A" w14:paraId="5CEE61C7" w14:textId="79729123">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Funders </w:t>
            </w:r>
          </w:p>
        </w:tc>
        <w:tc>
          <w:tcPr>
            <w:tcW w:w="1803" w:type="dxa"/>
            <w:tcMar/>
          </w:tcPr>
          <w:p w:rsidR="5F124B6A" w:rsidP="60E4BEB6" w:rsidRDefault="5F124B6A" w14:paraId="19EBB4C4" w14:textId="2DCD1B2A">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5F124B6A" w:rsidP="60E4BEB6" w:rsidRDefault="5F124B6A" w14:paraId="3945A7F9" w14:textId="6D62AD5B">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5F124B6A" w:rsidP="60E4BEB6" w:rsidRDefault="5F124B6A" w14:paraId="1C1DDF7A" w14:textId="074DCEB7">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928" w:type="dxa"/>
            <w:tcMar/>
          </w:tcPr>
          <w:p w:rsidR="5F124B6A" w:rsidP="60E4BEB6" w:rsidRDefault="5F124B6A" w14:paraId="2CD51713" w14:textId="50C9ADA6">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Control project financing and compliance expectations </w:t>
            </w:r>
          </w:p>
        </w:tc>
      </w:tr>
      <w:tr w:rsidR="60E4BEB6" w:rsidTr="60E4BEB6" w14:paraId="20FE79C0">
        <w:trPr>
          <w:trHeight w:val="1320"/>
        </w:trPr>
        <w:tc>
          <w:tcPr>
            <w:tcW w:w="1803" w:type="dxa"/>
            <w:tcMar/>
          </w:tcPr>
          <w:p w:rsidR="5F124B6A" w:rsidP="60E4BEB6" w:rsidRDefault="5F124B6A" w14:paraId="763AD28D" w14:textId="0F7FC6C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Contractors, Suppliers </w:t>
            </w:r>
          </w:p>
        </w:tc>
        <w:tc>
          <w:tcPr>
            <w:tcW w:w="1803" w:type="dxa"/>
            <w:tcMar/>
          </w:tcPr>
          <w:p w:rsidR="5F124B6A" w:rsidP="60E4BEB6" w:rsidRDefault="5F124B6A" w14:paraId="40705035" w14:textId="03D3E059">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Medium </w:t>
            </w:r>
          </w:p>
        </w:tc>
        <w:tc>
          <w:tcPr>
            <w:tcW w:w="1803" w:type="dxa"/>
            <w:tcMar/>
          </w:tcPr>
          <w:p w:rsidR="5F124B6A" w:rsidP="60E4BEB6" w:rsidRDefault="5F124B6A" w14:paraId="6617CAA0" w14:textId="10831668">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Medium</w:t>
            </w:r>
          </w:p>
        </w:tc>
        <w:tc>
          <w:tcPr>
            <w:tcW w:w="1803" w:type="dxa"/>
            <w:tcMar/>
          </w:tcPr>
          <w:p w:rsidR="5F124B6A" w:rsidP="60E4BEB6" w:rsidRDefault="5F124B6A" w14:paraId="5D5434F6" w14:textId="3EE1D6BA">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928" w:type="dxa"/>
            <w:tcMar/>
          </w:tcPr>
          <w:p w:rsidR="5F124B6A" w:rsidP="60E4BEB6" w:rsidRDefault="5F124B6A" w14:paraId="39747304" w14:textId="4EFFD73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Influence during constructions, compliance focused </w:t>
            </w:r>
          </w:p>
        </w:tc>
      </w:tr>
    </w:tbl>
    <w:p w:rsidR="60E4BEB6" w:rsidP="60E4BEB6" w:rsidRDefault="60E4BEB6" w14:paraId="41140DF3" w14:textId="70AFCE05">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715E7B2A" w:rsidP="3B3420D8" w:rsidRDefault="715E7B2A" w14:paraId="17EA3B98" w14:textId="2E1EA227">
      <w:pPr>
        <w:pStyle w:val="Normal"/>
        <w:spacing w:line="360" w:lineRule="auto"/>
        <w:jc w:val="left"/>
        <w:rPr>
          <w:rFonts w:ascii="Arial Nova" w:hAnsi="Arial Nova" w:eastAsia="Arial Nova" w:cs="Arial Nova"/>
          <w:b w:val="0"/>
          <w:bCs w:val="0"/>
          <w:i w:val="0"/>
          <w:iCs w:val="0"/>
          <w:caps w:val="0"/>
          <w:smallCaps w:val="0"/>
          <w:noProof w:val="0"/>
          <w:color w:val="222222"/>
          <w:sz w:val="22"/>
          <w:szCs w:val="22"/>
          <w:lang w:val="en-GB"/>
        </w:rPr>
      </w:pPr>
      <w:r w:rsidRPr="3B3420D8" w:rsidR="715E7B2A">
        <w:rPr>
          <w:rFonts w:ascii="Arial Nova" w:hAnsi="Arial Nova" w:eastAsia="Arial Nova" w:cs="Arial Nova"/>
          <w:noProof w:val="0"/>
          <w:sz w:val="22"/>
          <w:szCs w:val="22"/>
          <w:lang w:val="en-GB"/>
        </w:rPr>
        <w:t xml:space="preserve">The classification follows stakeholder salience theory, which argues that power, </w:t>
      </w:r>
      <w:r w:rsidRPr="3B3420D8" w:rsidR="715E7B2A">
        <w:rPr>
          <w:rFonts w:ascii="Arial Nova" w:hAnsi="Arial Nova" w:eastAsia="Arial Nova" w:cs="Arial Nova"/>
          <w:noProof w:val="0"/>
          <w:sz w:val="22"/>
          <w:szCs w:val="22"/>
          <w:lang w:val="en-GB"/>
        </w:rPr>
        <w:t>legitimacy</w:t>
      </w:r>
      <w:r w:rsidRPr="3B3420D8" w:rsidR="715E7B2A">
        <w:rPr>
          <w:rFonts w:ascii="Arial Nova" w:hAnsi="Arial Nova" w:eastAsia="Arial Nova" w:cs="Arial Nova"/>
          <w:noProof w:val="0"/>
          <w:sz w:val="22"/>
          <w:szCs w:val="22"/>
          <w:lang w:val="en-GB"/>
        </w:rPr>
        <w:t xml:space="preserve"> and urgency should guide prioritisation. Applied here, groups with high power and high interest</w:t>
      </w:r>
      <w:r w:rsidRPr="3B3420D8" w:rsidR="6A9CCE67">
        <w:rPr>
          <w:rFonts w:ascii="Arial Nova" w:hAnsi="Arial Nova" w:eastAsia="Arial Nova" w:cs="Arial Nova"/>
          <w:noProof w:val="0"/>
          <w:sz w:val="22"/>
          <w:szCs w:val="22"/>
          <w:lang w:val="en-GB"/>
        </w:rPr>
        <w:t xml:space="preserve"> </w:t>
      </w:r>
      <w:r w:rsidRPr="3B3420D8" w:rsidR="715E7B2A">
        <w:rPr>
          <w:rFonts w:ascii="Arial Nova" w:hAnsi="Arial Nova" w:eastAsia="Arial Nova" w:cs="Arial Nova"/>
          <w:noProof w:val="0"/>
          <w:sz w:val="22"/>
          <w:szCs w:val="22"/>
          <w:lang w:val="en-GB"/>
        </w:rPr>
        <w:t>particularly residents and the council</w:t>
      </w:r>
      <w:r w:rsidRPr="3B3420D8" w:rsidR="16BB4EA9">
        <w:rPr>
          <w:rFonts w:ascii="Arial Nova" w:hAnsi="Arial Nova" w:eastAsia="Arial Nova" w:cs="Arial Nova"/>
          <w:noProof w:val="0"/>
          <w:sz w:val="22"/>
          <w:szCs w:val="22"/>
          <w:lang w:val="en-GB"/>
        </w:rPr>
        <w:t xml:space="preserve"> </w:t>
      </w:r>
      <w:r w:rsidRPr="3B3420D8" w:rsidR="715E7B2A">
        <w:rPr>
          <w:rFonts w:ascii="Arial Nova" w:hAnsi="Arial Nova" w:eastAsia="Arial Nova" w:cs="Arial Nova"/>
          <w:noProof w:val="0"/>
          <w:sz w:val="22"/>
          <w:szCs w:val="22"/>
          <w:lang w:val="en-GB"/>
        </w:rPr>
        <w:t>require</w:t>
      </w:r>
      <w:r w:rsidRPr="3B3420D8" w:rsidR="715E7B2A">
        <w:rPr>
          <w:rFonts w:ascii="Arial Nova" w:hAnsi="Arial Nova" w:eastAsia="Arial Nova" w:cs="Arial Nova"/>
          <w:noProof w:val="0"/>
          <w:sz w:val="22"/>
          <w:szCs w:val="22"/>
          <w:lang w:val="en-GB"/>
        </w:rPr>
        <w:t xml:space="preserve"> intensive, proactive engagement.</w:t>
      </w:r>
      <w:r w:rsidRPr="3B3420D8" w:rsidR="3360E3DA">
        <w:rPr>
          <w:rFonts w:ascii="Arial Nova" w:hAnsi="Arial Nova" w:eastAsia="Arial Nova" w:cs="Arial Nova"/>
          <w:noProof w:val="0"/>
          <w:sz w:val="22"/>
          <w:szCs w:val="22"/>
          <w:lang w:val="en-GB"/>
        </w:rPr>
        <w:t xml:space="preserve"> </w:t>
      </w:r>
      <w:r w:rsidRPr="3B3420D8" w:rsidR="3360E3DA">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The relationship between stakeholder characteristics and management decisions is explicitly addressed in stakeholder salience theory, which has received considerable attention among scholars in the ‘strategic management’ field. (</w:t>
      </w:r>
      <w:r w:rsidRPr="3B3420D8" w:rsidR="3360E3DA">
        <w:rPr>
          <w:rFonts w:ascii="Arial Nova" w:hAnsi="Arial Nova" w:eastAsia="Arial Nova" w:cs="Arial Nova"/>
          <w:b w:val="0"/>
          <w:bCs w:val="0"/>
          <w:i w:val="0"/>
          <w:iCs w:val="0"/>
          <w:caps w:val="0"/>
          <w:smallCaps w:val="0"/>
          <w:noProof w:val="0"/>
          <w:color w:val="222222"/>
          <w:sz w:val="22"/>
          <w:szCs w:val="22"/>
          <w:lang w:val="en-GB"/>
        </w:rPr>
        <w:t>Thijssens T et al.,2015)</w:t>
      </w:r>
    </w:p>
    <w:p w:rsidR="4C79E0B8" w:rsidP="60E4BEB6" w:rsidRDefault="4C79E0B8" w14:paraId="556AF358" w14:textId="16A9728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4C79E0B8">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2.2 </w:t>
      </w:r>
      <w:r w:rsidRPr="60E4BEB6" w:rsidR="66DD6EA3">
        <w:rPr>
          <w:rFonts w:ascii="Arial Nova" w:hAnsi="Arial Nova" w:eastAsia="Arial Nova" w:cs="Arial Nova" w:asciiTheme="minorAscii" w:hAnsiTheme="minorAscii" w:eastAsiaTheme="minorAscii" w:cstheme="minorAscii"/>
          <w:b w:val="1"/>
          <w:bCs w:val="1"/>
          <w:noProof w:val="0"/>
          <w:sz w:val="22"/>
          <w:szCs w:val="22"/>
          <w:u w:val="single"/>
          <w:lang w:val="en-GB"/>
        </w:rPr>
        <w:t>S</w:t>
      </w:r>
      <w:r w:rsidRPr="60E4BEB6" w:rsidR="5A5A2C49">
        <w:rPr>
          <w:rFonts w:ascii="Arial Nova" w:hAnsi="Arial Nova" w:eastAsia="Arial Nova" w:cs="Arial Nova" w:asciiTheme="minorAscii" w:hAnsiTheme="minorAscii" w:eastAsiaTheme="minorAscii" w:cstheme="minorAscii"/>
          <w:b w:val="1"/>
          <w:bCs w:val="1"/>
          <w:noProof w:val="0"/>
          <w:sz w:val="22"/>
          <w:szCs w:val="22"/>
          <w:u w:val="single"/>
          <w:lang w:val="en-GB"/>
        </w:rPr>
        <w:t>TAKEHOLDERS MAP</w:t>
      </w:r>
    </w:p>
    <w:p w:rsidR="0B22A162" w:rsidP="3B3420D8" w:rsidRDefault="0B22A162" w14:paraId="0994DE77" w14:textId="64227494">
      <w:pPr>
        <w:pStyle w:val="Normal"/>
        <w:spacing w:line="360" w:lineRule="auto"/>
        <w:jc w:val="left"/>
        <w:rPr>
          <w:rFonts w:ascii="Arial Nova" w:hAnsi="Arial Nova" w:eastAsia="Arial Nova" w:cs="Arial Nova"/>
          <w:noProof w:val="0"/>
          <w:sz w:val="22"/>
          <w:szCs w:val="22"/>
          <w:lang w:val="en-GB"/>
        </w:rPr>
      </w:pPr>
      <w:r w:rsidRPr="3B3420D8" w:rsidR="0B22A162">
        <w:rPr>
          <w:rFonts w:ascii="Arial Nova" w:hAnsi="Arial Nova" w:eastAsia="Arial Nova" w:cs="Arial Nova"/>
          <w:noProof w:val="0"/>
          <w:sz w:val="22"/>
          <w:szCs w:val="22"/>
          <w:lang w:val="en-GB"/>
        </w:rPr>
        <w:t xml:space="preserve">The power–interest matrix provides a structured method for categorising stakeholders based on their level of influence and degree of concern </w:t>
      </w:r>
      <w:r w:rsidRPr="3B3420D8" w:rsidR="0B22A162">
        <w:rPr>
          <w:rFonts w:ascii="Arial Nova" w:hAnsi="Arial Nova" w:eastAsia="Arial Nova" w:cs="Arial Nova"/>
          <w:noProof w:val="0"/>
          <w:sz w:val="22"/>
          <w:szCs w:val="22"/>
          <w:lang w:val="en-GB"/>
        </w:rPr>
        <w:t>regarding</w:t>
      </w:r>
      <w:r w:rsidRPr="3B3420D8" w:rsidR="0B22A162">
        <w:rPr>
          <w:rFonts w:ascii="Arial Nova" w:hAnsi="Arial Nova" w:eastAsia="Arial Nova" w:cs="Arial Nova"/>
          <w:noProof w:val="0"/>
          <w:sz w:val="22"/>
          <w:szCs w:val="22"/>
          <w:lang w:val="en-GB"/>
        </w:rPr>
        <w:t xml:space="preserve"> a project’s outcomes. It is widely used in public-sector planning because it helps managers prioritise communication and engagement intensity. This is particularly important in community infrastructure projects where stakeholder expectations can shape project legitimacy, resource allocation, and long-term sustainability.</w:t>
      </w:r>
      <w:r w:rsidRPr="3B3420D8" w:rsidR="2D02DF02">
        <w:rPr>
          <w:rFonts w:ascii="Arial Nova" w:hAnsi="Arial Nova" w:eastAsia="Arial Nova" w:cs="Arial Nova"/>
          <w:noProof w:val="0"/>
          <w:sz w:val="22"/>
          <w:szCs w:val="22"/>
          <w:lang w:val="en-GB"/>
        </w:rPr>
        <w:t xml:space="preserve"> Stakeholder mapping is an effective method for addressing typical obstacles </w:t>
      </w:r>
      <w:r w:rsidRPr="3B3420D8" w:rsidR="2D02DF02">
        <w:rPr>
          <w:rFonts w:ascii="Arial Nova" w:hAnsi="Arial Nova" w:eastAsia="Arial Nova" w:cs="Arial Nova"/>
          <w:b w:val="0"/>
          <w:bCs w:val="0"/>
          <w:i w:val="0"/>
          <w:iCs w:val="0"/>
          <w:caps w:val="0"/>
          <w:smallCaps w:val="0"/>
          <w:noProof w:val="0"/>
          <w:color w:val="auto"/>
          <w:sz w:val="22"/>
          <w:szCs w:val="22"/>
          <w:lang w:val="en-GB"/>
        </w:rPr>
        <w:t>encountered</w:t>
      </w:r>
      <w:r w:rsidRPr="3B3420D8" w:rsidR="2D02DF02">
        <w:rPr>
          <w:rFonts w:ascii="Arial Nova" w:hAnsi="Arial Nova" w:eastAsia="Arial Nova" w:cs="Arial Nova"/>
          <w:b w:val="0"/>
          <w:bCs w:val="0"/>
          <w:i w:val="0"/>
          <w:iCs w:val="0"/>
          <w:caps w:val="0"/>
          <w:smallCaps w:val="0"/>
          <w:noProof w:val="0"/>
          <w:color w:val="auto"/>
          <w:sz w:val="22"/>
          <w:szCs w:val="22"/>
          <w:lang w:val="en-GB"/>
        </w:rPr>
        <w:t xml:space="preserve"> in stakeholder management. This tool </w:t>
      </w:r>
      <w:r w:rsidRPr="3B3420D8" w:rsidR="2D02DF02">
        <w:rPr>
          <w:rFonts w:ascii="Arial Nova" w:hAnsi="Arial Nova" w:eastAsia="Arial Nova" w:cs="Arial Nova"/>
          <w:b w:val="0"/>
          <w:bCs w:val="0"/>
          <w:i w:val="0"/>
          <w:iCs w:val="0"/>
          <w:caps w:val="0"/>
          <w:smallCaps w:val="0"/>
          <w:noProof w:val="0"/>
          <w:color w:val="auto"/>
          <w:sz w:val="22"/>
          <w:szCs w:val="22"/>
          <w:lang w:val="en-GB"/>
        </w:rPr>
        <w:t>facilitates</w:t>
      </w:r>
      <w:r w:rsidRPr="3B3420D8" w:rsidR="2D02DF02">
        <w:rPr>
          <w:rFonts w:ascii="Arial Nova" w:hAnsi="Arial Nova" w:eastAsia="Arial Nova" w:cs="Arial Nova"/>
          <w:b w:val="0"/>
          <w:bCs w:val="0"/>
          <w:i w:val="0"/>
          <w:iCs w:val="0"/>
          <w:caps w:val="0"/>
          <w:smallCaps w:val="0"/>
          <w:noProof w:val="0"/>
          <w:color w:val="auto"/>
          <w:sz w:val="22"/>
          <w:szCs w:val="22"/>
          <w:lang w:val="en-GB"/>
        </w:rPr>
        <w:t xml:space="preserve"> the classification of stakeholders according to their degrees of interest and power, hence enabling the development of customized engagement strategies. The successful execution of projects, particularly intricate </w:t>
      </w:r>
      <w:r w:rsidRPr="3B3420D8" w:rsidR="2D02DF02">
        <w:rPr>
          <w:rFonts w:ascii="Arial Nova" w:hAnsi="Arial Nova" w:eastAsia="Arial Nova" w:cs="Arial Nova"/>
          <w:b w:val="0"/>
          <w:bCs w:val="0"/>
          <w:i w:val="0"/>
          <w:iCs w:val="0"/>
          <w:caps w:val="0"/>
          <w:smallCaps w:val="0"/>
          <w:noProof w:val="0"/>
          <w:color w:val="auto"/>
          <w:sz w:val="22"/>
          <w:szCs w:val="22"/>
          <w:lang w:val="en-GB"/>
        </w:rPr>
        <w:t>endeavors</w:t>
      </w:r>
      <w:r w:rsidRPr="3B3420D8" w:rsidR="2D02DF02">
        <w:rPr>
          <w:rFonts w:ascii="Arial Nova" w:hAnsi="Arial Nova" w:eastAsia="Arial Nova" w:cs="Arial Nova"/>
          <w:b w:val="0"/>
          <w:bCs w:val="0"/>
          <w:i w:val="0"/>
          <w:iCs w:val="0"/>
          <w:caps w:val="0"/>
          <w:smallCaps w:val="0"/>
          <w:noProof w:val="0"/>
          <w:color w:val="auto"/>
          <w:sz w:val="22"/>
          <w:szCs w:val="22"/>
          <w:lang w:val="en-GB"/>
        </w:rPr>
        <w:t xml:space="preserve"> such as e-government, relies heavily on thorough stakeholder management and well-defined communication protocols. </w:t>
      </w:r>
      <w:r w:rsidRPr="3B3420D8" w:rsidR="4090DA08">
        <w:rPr>
          <w:rFonts w:ascii="Arial Nova" w:hAnsi="Arial Nova" w:eastAsia="Arial Nova" w:cs="Arial Nova"/>
          <w:b w:val="0"/>
          <w:bCs w:val="0"/>
          <w:i w:val="0"/>
          <w:iCs w:val="0"/>
          <w:caps w:val="0"/>
          <w:smallCaps w:val="0"/>
          <w:noProof w:val="0"/>
          <w:color w:val="auto"/>
          <w:sz w:val="22"/>
          <w:szCs w:val="22"/>
          <w:lang w:val="en-GB"/>
        </w:rPr>
        <w:t>(S. F. Azzahra et al., 2023)</w:t>
      </w:r>
    </w:p>
    <w:p w:rsidR="4E91A7EE" w:rsidP="60E4BEB6" w:rsidRDefault="4E91A7EE" w14:paraId="21C0FDAD" w14:textId="1025E18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r w:rsidRPr="3B3420D8" w:rsidR="4E91A7EE">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Quadrant 1: Manage Closely (High </w:t>
      </w:r>
      <w:r w:rsidRPr="3B3420D8" w:rsidR="60773659">
        <w:rPr>
          <w:rFonts w:ascii="Arial Nova" w:hAnsi="Arial Nova" w:eastAsia="Arial Nova" w:cs="Arial Nova" w:asciiTheme="minorAscii" w:hAnsiTheme="minorAscii" w:eastAsiaTheme="minorAscii" w:cstheme="minorAscii"/>
          <w:b w:val="1"/>
          <w:bCs w:val="1"/>
          <w:noProof w:val="0"/>
          <w:sz w:val="22"/>
          <w:szCs w:val="22"/>
          <w:u w:val="none"/>
          <w:lang w:val="en-GB"/>
        </w:rPr>
        <w:t>Influence</w:t>
      </w:r>
      <w:r w:rsidRPr="3B3420D8" w:rsidR="4E91A7EE">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 High Interest) </w:t>
      </w:r>
    </w:p>
    <w:p w:rsidR="5A98D825" w:rsidP="60E4BEB6" w:rsidRDefault="5A98D825" w14:paraId="10B49D55" w14:textId="4D1F6D69">
      <w:pPr>
        <w:pStyle w:val="ListParagraph"/>
        <w:numPr>
          <w:ilvl w:val="0"/>
          <w:numId w:val="15"/>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5A98D825">
        <w:rPr>
          <w:rFonts w:ascii="Arial Nova" w:hAnsi="Arial Nova" w:eastAsia="Arial Nova" w:cs="Arial Nova"/>
          <w:noProof w:val="0"/>
          <w:sz w:val="22"/>
          <w:szCs w:val="22"/>
          <w:lang w:val="en-GB"/>
        </w:rPr>
        <w:t>Residents</w:t>
      </w:r>
    </w:p>
    <w:p w:rsidR="4E91A7EE" w:rsidP="60E4BEB6" w:rsidRDefault="4E91A7EE" w14:paraId="6E16E0AB" w14:textId="2E757DBC">
      <w:pPr>
        <w:pStyle w:val="ListParagraph"/>
        <w:numPr>
          <w:ilvl w:val="0"/>
          <w:numId w:val="15"/>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Local authority</w:t>
      </w:r>
    </w:p>
    <w:p w:rsidR="4E91A7EE" w:rsidP="60E4BEB6" w:rsidRDefault="4E91A7EE" w14:paraId="5BEB11EE" w14:textId="5F1993CE">
      <w:pPr>
        <w:pStyle w:val="ListParagraph"/>
        <w:numPr>
          <w:ilvl w:val="0"/>
          <w:numId w:val="15"/>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Major funding partners</w:t>
      </w:r>
    </w:p>
    <w:p w:rsidR="428AA82E" w:rsidP="3B3420D8" w:rsidRDefault="428AA82E" w14:paraId="7B42CB2C" w14:textId="7FF0CB9C">
      <w:pPr>
        <w:pStyle w:val="Normal"/>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222222"/>
          <w:sz w:val="22"/>
          <w:szCs w:val="22"/>
          <w:lang w:val="en-GB"/>
        </w:rPr>
      </w:pPr>
      <w:r w:rsidRPr="3B3420D8" w:rsidR="428AA82E">
        <w:rPr>
          <w:rFonts w:ascii="Arial Nova" w:hAnsi="Arial Nova" w:eastAsia="Arial Nova" w:cs="Arial Nova"/>
          <w:noProof w:val="0"/>
          <w:sz w:val="22"/>
          <w:szCs w:val="22"/>
          <w:lang w:val="en-GB"/>
        </w:rPr>
        <w:t xml:space="preserve">Stakeholders positioned here </w:t>
      </w:r>
      <w:r w:rsidRPr="3B3420D8" w:rsidR="428AA82E">
        <w:rPr>
          <w:rFonts w:ascii="Arial Nova" w:hAnsi="Arial Nova" w:eastAsia="Arial Nova" w:cs="Arial Nova"/>
          <w:noProof w:val="0"/>
          <w:sz w:val="22"/>
          <w:szCs w:val="22"/>
          <w:lang w:val="en-GB"/>
        </w:rPr>
        <w:t>possess</w:t>
      </w:r>
      <w:r w:rsidRPr="3B3420D8" w:rsidR="428AA82E">
        <w:rPr>
          <w:rFonts w:ascii="Arial Nova" w:hAnsi="Arial Nova" w:eastAsia="Arial Nova" w:cs="Arial Nova"/>
          <w:noProof w:val="0"/>
          <w:sz w:val="22"/>
          <w:szCs w:val="22"/>
          <w:lang w:val="en-GB"/>
        </w:rPr>
        <w:t xml:space="preserve"> both formal and informal power to influence project approval, design, and implementation. </w:t>
      </w:r>
      <w:r w:rsidRPr="3B3420D8" w:rsidR="428AA82E">
        <w:rPr>
          <w:rFonts w:ascii="Arial Nova" w:hAnsi="Arial Nova" w:eastAsia="Arial Nova" w:cs="Arial Nova"/>
          <w:noProof w:val="0"/>
          <w:sz w:val="22"/>
          <w:szCs w:val="22"/>
          <w:lang w:val="en-GB"/>
        </w:rPr>
        <w:t>Local residents</w:t>
      </w:r>
      <w:r w:rsidRPr="3B3420D8" w:rsidR="428AA82E">
        <w:rPr>
          <w:rFonts w:ascii="Arial Nova" w:hAnsi="Arial Nova" w:eastAsia="Arial Nova" w:cs="Arial Nova"/>
          <w:noProof w:val="0"/>
          <w:sz w:val="22"/>
          <w:szCs w:val="22"/>
          <w:lang w:val="en-GB"/>
        </w:rPr>
        <w:t xml:space="preserve">, for example, hold high interest because the park directly affects their social environment, wellbeing, and property value. Their ability to influence political behaviour through community mobilisation also increases their power. Local authorities </w:t>
      </w:r>
      <w:r w:rsidRPr="3B3420D8" w:rsidR="428AA82E">
        <w:rPr>
          <w:rFonts w:ascii="Arial Nova" w:hAnsi="Arial Nova" w:eastAsia="Arial Nova" w:cs="Arial Nova"/>
          <w:noProof w:val="0"/>
          <w:sz w:val="22"/>
          <w:szCs w:val="22"/>
          <w:lang w:val="en-GB"/>
        </w:rPr>
        <w:t>retain</w:t>
      </w:r>
      <w:r w:rsidRPr="3B3420D8" w:rsidR="428AA82E">
        <w:rPr>
          <w:rFonts w:ascii="Arial Nova" w:hAnsi="Arial Nova" w:eastAsia="Arial Nova" w:cs="Arial Nova"/>
          <w:noProof w:val="0"/>
          <w:sz w:val="22"/>
          <w:szCs w:val="22"/>
          <w:lang w:val="en-GB"/>
        </w:rPr>
        <w:t xml:space="preserve"> statutory decision-making authority over planning, land use regulation, and environmental compliance, placing them squarely in this quadrant. Likewise, major funding partners</w:t>
      </w:r>
      <w:r w:rsidRPr="3B3420D8" w:rsidR="573917E7">
        <w:rPr>
          <w:rFonts w:ascii="Arial Nova" w:hAnsi="Arial Nova" w:eastAsia="Arial Nova" w:cs="Arial Nova"/>
          <w:noProof w:val="0"/>
          <w:sz w:val="22"/>
          <w:szCs w:val="22"/>
          <w:lang w:val="en-GB"/>
        </w:rPr>
        <w:t xml:space="preserve"> </w:t>
      </w:r>
      <w:r w:rsidRPr="3B3420D8" w:rsidR="428AA82E">
        <w:rPr>
          <w:rFonts w:ascii="Arial Nova" w:hAnsi="Arial Nova" w:eastAsia="Arial Nova" w:cs="Arial Nova"/>
          <w:noProof w:val="0"/>
          <w:sz w:val="22"/>
          <w:szCs w:val="22"/>
          <w:lang w:val="en-GB"/>
        </w:rPr>
        <w:t>whether public or private</w:t>
      </w:r>
      <w:r w:rsidRPr="3B3420D8" w:rsidR="4E61CD8D">
        <w:rPr>
          <w:rFonts w:ascii="Arial Nova" w:hAnsi="Arial Nova" w:eastAsia="Arial Nova" w:cs="Arial Nova"/>
          <w:noProof w:val="0"/>
          <w:sz w:val="22"/>
          <w:szCs w:val="22"/>
          <w:lang w:val="en-GB"/>
        </w:rPr>
        <w:t xml:space="preserve"> </w:t>
      </w:r>
      <w:r w:rsidRPr="3B3420D8" w:rsidR="428AA82E">
        <w:rPr>
          <w:rFonts w:ascii="Arial Nova" w:hAnsi="Arial Nova" w:eastAsia="Arial Nova" w:cs="Arial Nova"/>
          <w:noProof w:val="0"/>
          <w:sz w:val="22"/>
          <w:szCs w:val="22"/>
          <w:lang w:val="en-GB"/>
        </w:rPr>
        <w:t>exercise significant leverage through financial control, making their sustained support essential.</w:t>
      </w:r>
      <w:r w:rsidRPr="3B3420D8" w:rsidR="7AE29890">
        <w:rPr>
          <w:rFonts w:ascii="Arial Nova" w:hAnsi="Arial Nova" w:eastAsia="Arial Nova" w:cs="Arial Nova"/>
          <w:noProof w:val="0"/>
          <w:sz w:val="22"/>
          <w:szCs w:val="22"/>
          <w:lang w:val="en-GB"/>
        </w:rPr>
        <w:t xml:space="preserve"> </w:t>
      </w:r>
      <w:r w:rsidRPr="3B3420D8" w:rsidR="7AE29890">
        <w:rPr>
          <w:rFonts w:ascii="Arial Nova" w:hAnsi="Arial Nova" w:eastAsia="Arial Nova" w:cs="Arial Nova" w:asciiTheme="minorAscii" w:hAnsiTheme="minorAscii" w:eastAsiaTheme="minorAscii" w:cstheme="minorAscii"/>
          <w:noProof w:val="0"/>
          <w:color w:val="auto"/>
          <w:sz w:val="22"/>
          <w:szCs w:val="22"/>
          <w:lang w:val="en-GB"/>
        </w:rPr>
        <w:t>Environmental NGOs is motivated by the fact that, to fully understand the role of stakeholder salience in CSR disclosure, it is essential to understand not only the role of primary, but also the role of secondary stakeholders.</w:t>
      </w:r>
      <w:r w:rsidRPr="3B3420D8" w:rsidR="51B381A7">
        <w:rPr>
          <w:rFonts w:ascii="Arial Nova" w:hAnsi="Arial Nova" w:eastAsia="Arial Nova" w:cs="Arial Nova" w:asciiTheme="minorAscii" w:hAnsiTheme="minorAscii" w:eastAsiaTheme="minorAscii" w:cstheme="minorAscii"/>
          <w:noProof w:val="0"/>
          <w:color w:val="auto"/>
          <w:sz w:val="22"/>
          <w:szCs w:val="22"/>
          <w:lang w:val="en-GB"/>
        </w:rPr>
        <w:t xml:space="preserve"> </w:t>
      </w:r>
      <w:r w:rsidRPr="3B3420D8" w:rsidR="172BE1BC">
        <w:rPr>
          <w:rFonts w:ascii="Arial Nova" w:hAnsi="Arial Nova" w:eastAsia="Arial Nova" w:cs="Arial Nova" w:asciiTheme="minorAscii" w:hAnsiTheme="minorAscii" w:eastAsiaTheme="minorAscii" w:cstheme="minorAscii"/>
          <w:noProof w:val="0"/>
          <w:color w:val="auto"/>
          <w:sz w:val="22"/>
          <w:szCs w:val="22"/>
          <w:lang w:val="en-GB"/>
        </w:rPr>
        <w:t>(</w:t>
      </w:r>
      <w:r w:rsidRPr="3B3420D8" w:rsidR="172BE1BC">
        <w:rPr>
          <w:rFonts w:ascii="Arial Nova" w:hAnsi="Arial Nova" w:eastAsia="Arial Nova" w:cs="Arial Nova"/>
          <w:b w:val="0"/>
          <w:bCs w:val="0"/>
          <w:i w:val="0"/>
          <w:iCs w:val="0"/>
          <w:caps w:val="0"/>
          <w:smallCaps w:val="0"/>
          <w:noProof w:val="0"/>
          <w:color w:val="222222"/>
          <w:sz w:val="22"/>
          <w:szCs w:val="22"/>
          <w:lang w:val="en-GB"/>
        </w:rPr>
        <w:t>Thijssens</w:t>
      </w:r>
      <w:r w:rsidRPr="3B3420D8" w:rsidR="172BE1BC">
        <w:rPr>
          <w:rFonts w:ascii="Arial Nova" w:hAnsi="Arial Nova" w:eastAsia="Arial Nova" w:cs="Arial Nova"/>
          <w:b w:val="0"/>
          <w:bCs w:val="0"/>
          <w:i w:val="0"/>
          <w:iCs w:val="0"/>
          <w:caps w:val="0"/>
          <w:smallCaps w:val="0"/>
          <w:noProof w:val="0"/>
          <w:color w:val="222222"/>
          <w:sz w:val="22"/>
          <w:szCs w:val="22"/>
          <w:lang w:val="en-GB"/>
        </w:rPr>
        <w:t xml:space="preserve"> T et al.,2015)</w:t>
      </w:r>
    </w:p>
    <w:p w:rsidR="428AA82E" w:rsidP="60E4BEB6" w:rsidRDefault="428AA82E" w14:paraId="30F55671" w14:textId="6548578A">
      <w:pPr>
        <w:spacing w:before="240" w:beforeAutospacing="off" w:after="240" w:afterAutospacing="off" w:line="360" w:lineRule="auto"/>
        <w:jc w:val="left"/>
      </w:pPr>
      <w:r w:rsidRPr="3B3420D8" w:rsidR="428AA82E">
        <w:rPr>
          <w:rFonts w:ascii="Arial Nova" w:hAnsi="Arial Nova" w:eastAsia="Arial Nova" w:cs="Arial Nova"/>
          <w:noProof w:val="0"/>
          <w:sz w:val="22"/>
          <w:szCs w:val="22"/>
          <w:lang w:val="en-GB"/>
        </w:rPr>
        <w:t xml:space="preserve">Engagement with this group must be </w:t>
      </w:r>
      <w:r w:rsidRPr="3B3420D8" w:rsidR="428AA82E">
        <w:rPr>
          <w:rFonts w:ascii="Arial Nova" w:hAnsi="Arial Nova" w:eastAsia="Arial Nova" w:cs="Arial Nova"/>
          <w:b w:val="1"/>
          <w:bCs w:val="1"/>
          <w:noProof w:val="0"/>
          <w:sz w:val="22"/>
          <w:szCs w:val="22"/>
          <w:lang w:val="en-GB"/>
        </w:rPr>
        <w:t>proactive, participatory, and transparent</w:t>
      </w:r>
      <w:r w:rsidRPr="3B3420D8" w:rsidR="428AA82E">
        <w:rPr>
          <w:rFonts w:ascii="Arial Nova" w:hAnsi="Arial Nova" w:eastAsia="Arial Nova" w:cs="Arial Nova"/>
          <w:noProof w:val="0"/>
          <w:sz w:val="22"/>
          <w:szCs w:val="22"/>
          <w:lang w:val="en-GB"/>
        </w:rPr>
        <w:t>. Techniques such as co-design workshops, formal planning consultations, neighbourhood assemblies, and performance reporting build mutual trust and reduce the likelihood of conflict or delays. Research shows that co-production with high-power stakeholders enhances project legitimacy and generates more robust community outcomes. Failure to manage this quadrant effectively can result in planning objections, political resistance, or funding withdrawal.</w:t>
      </w:r>
    </w:p>
    <w:p w:rsidR="4E91A7EE" w:rsidP="60E4BEB6" w:rsidRDefault="4E91A7EE" w14:paraId="632C3186" w14:textId="5A341F4A">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3B3420D8" w:rsidR="4E91A7EE">
        <w:rPr>
          <w:rFonts w:ascii="Arial Nova" w:hAnsi="Arial Nova" w:eastAsia="Arial Nova" w:cs="Arial Nova"/>
          <w:b w:val="1"/>
          <w:bCs w:val="1"/>
          <w:noProof w:val="0"/>
          <w:sz w:val="22"/>
          <w:szCs w:val="22"/>
          <w:lang w:val="en-GB"/>
        </w:rPr>
        <w:t xml:space="preserve">Quadrant 2: Keep Satisfied (High </w:t>
      </w:r>
      <w:r w:rsidRPr="3B3420D8" w:rsidR="063D20A6">
        <w:rPr>
          <w:rFonts w:ascii="Arial Nova" w:hAnsi="Arial Nova" w:eastAsia="Arial Nova" w:cs="Arial Nova"/>
          <w:b w:val="1"/>
          <w:bCs w:val="1"/>
          <w:noProof w:val="0"/>
          <w:sz w:val="22"/>
          <w:szCs w:val="22"/>
          <w:lang w:val="en-GB"/>
        </w:rPr>
        <w:t>Influence</w:t>
      </w:r>
      <w:r w:rsidRPr="3B3420D8" w:rsidR="4E91A7EE">
        <w:rPr>
          <w:rFonts w:ascii="Arial Nova" w:hAnsi="Arial Nova" w:eastAsia="Arial Nova" w:cs="Arial Nova"/>
          <w:b w:val="1"/>
          <w:bCs w:val="1"/>
          <w:noProof w:val="0"/>
          <w:sz w:val="22"/>
          <w:szCs w:val="22"/>
          <w:lang w:val="en-GB"/>
        </w:rPr>
        <w:t>, Low Interest)</w:t>
      </w:r>
    </w:p>
    <w:p w:rsidR="4E91A7EE" w:rsidP="60E4BEB6" w:rsidRDefault="4E91A7EE" w14:paraId="09AC78D9" w14:textId="2EC8A563">
      <w:pPr>
        <w:pStyle w:val="ListParagraph"/>
        <w:numPr>
          <w:ilvl w:val="0"/>
          <w:numId w:val="16"/>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Grant-making bodies</w:t>
      </w:r>
    </w:p>
    <w:p w:rsidR="4E91A7EE" w:rsidP="60E4BEB6" w:rsidRDefault="4E91A7EE" w14:paraId="34D2EC66" w14:textId="37607ED0">
      <w:pPr>
        <w:pStyle w:val="ListParagraph"/>
        <w:numPr>
          <w:ilvl w:val="0"/>
          <w:numId w:val="16"/>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Regional statutory bodies</w:t>
      </w:r>
    </w:p>
    <w:p w:rsidR="7E69FFDA" w:rsidP="60E4BEB6" w:rsidRDefault="7E69FFDA" w14:paraId="4A14B232" w14:textId="20788B3C">
      <w:pPr>
        <w:spacing w:before="240" w:beforeAutospacing="off" w:after="240" w:afterAutospacing="off" w:line="360" w:lineRule="auto"/>
        <w:jc w:val="left"/>
      </w:pPr>
      <w:r w:rsidRPr="3B3420D8" w:rsidR="7E69FFDA">
        <w:rPr>
          <w:rFonts w:ascii="Arial Nova" w:hAnsi="Arial Nova" w:eastAsia="Arial Nova" w:cs="Arial Nova"/>
          <w:noProof w:val="0"/>
          <w:sz w:val="22"/>
          <w:szCs w:val="22"/>
          <w:lang w:val="en-GB"/>
        </w:rPr>
        <w:t xml:space="preserve">Although these stakeholders have high structural power, their interest tends to revolve around compliance rather than engagement with day-to-day design choices. Funding bodies require </w:t>
      </w:r>
      <w:r w:rsidRPr="3B3420D8" w:rsidR="7E69FFDA">
        <w:rPr>
          <w:rFonts w:ascii="Arial Nova" w:hAnsi="Arial Nova" w:eastAsia="Arial Nova" w:cs="Arial Nova"/>
          <w:noProof w:val="0"/>
          <w:sz w:val="22"/>
          <w:szCs w:val="22"/>
          <w:lang w:val="en-GB"/>
        </w:rPr>
        <w:t>accurate</w:t>
      </w:r>
      <w:r w:rsidRPr="3B3420D8" w:rsidR="7E69FFDA">
        <w:rPr>
          <w:rFonts w:ascii="Arial Nova" w:hAnsi="Arial Nova" w:eastAsia="Arial Nova" w:cs="Arial Nova"/>
          <w:noProof w:val="0"/>
          <w:sz w:val="22"/>
          <w:szCs w:val="22"/>
          <w:lang w:val="en-GB"/>
        </w:rPr>
        <w:t xml:space="preserve"> reporting, tra</w:t>
      </w:r>
      <w:r w:rsidRPr="3B3420D8" w:rsidR="7E69FFDA">
        <w:rPr>
          <w:rFonts w:ascii="Arial Nova" w:hAnsi="Arial Nova" w:eastAsia="Arial Nova" w:cs="Arial Nova"/>
          <w:noProof w:val="0"/>
          <w:sz w:val="22"/>
          <w:szCs w:val="22"/>
          <w:lang w:val="en-GB"/>
        </w:rPr>
        <w:t>nsparent</w:t>
      </w:r>
      <w:r w:rsidRPr="3B3420D8" w:rsidR="7E69FFDA">
        <w:rPr>
          <w:rFonts w:ascii="Arial Nova" w:hAnsi="Arial Nova" w:eastAsia="Arial Nova" w:cs="Arial Nova"/>
          <w:noProof w:val="0"/>
          <w:sz w:val="22"/>
          <w:szCs w:val="22"/>
          <w:lang w:val="en-GB"/>
        </w:rPr>
        <w:t xml:space="preserve"> governance, and assurance that public money is used </w:t>
      </w:r>
      <w:r w:rsidRPr="3B3420D8" w:rsidR="2536BDEA">
        <w:rPr>
          <w:rFonts w:ascii="Arial Nova" w:hAnsi="Arial Nova" w:eastAsia="Arial Nova" w:cs="Arial Nova"/>
          <w:noProof w:val="0"/>
          <w:sz w:val="22"/>
          <w:szCs w:val="22"/>
          <w:lang w:val="en-GB"/>
        </w:rPr>
        <w:t>responsibly consistent</w:t>
      </w:r>
      <w:r w:rsidRPr="3B3420D8" w:rsidR="7E69FFDA">
        <w:rPr>
          <w:rFonts w:ascii="Arial Nova" w:hAnsi="Arial Nova" w:eastAsia="Arial Nova" w:cs="Arial Nova"/>
          <w:noProof w:val="0"/>
          <w:sz w:val="22"/>
          <w:szCs w:val="22"/>
          <w:lang w:val="en-GB"/>
        </w:rPr>
        <w:t xml:space="preserve"> with broader quality and standards expectations for community projects. Regional statutory bodies, such as environmental regulators or transport authorities, may impose specific legal standards or design constraints but often adopt a more hands-off role once baseline compliance is </w:t>
      </w:r>
      <w:r w:rsidRPr="3B3420D8" w:rsidR="7E69FFDA">
        <w:rPr>
          <w:rFonts w:ascii="Arial Nova" w:hAnsi="Arial Nova" w:eastAsia="Arial Nova" w:cs="Arial Nova"/>
          <w:noProof w:val="0"/>
          <w:sz w:val="22"/>
          <w:szCs w:val="22"/>
          <w:lang w:val="en-GB"/>
        </w:rPr>
        <w:t>demonstrated</w:t>
      </w:r>
      <w:r w:rsidRPr="3B3420D8" w:rsidR="7E69FFDA">
        <w:rPr>
          <w:rFonts w:ascii="Arial Nova" w:hAnsi="Arial Nova" w:eastAsia="Arial Nova" w:cs="Arial Nova"/>
          <w:noProof w:val="0"/>
          <w:sz w:val="22"/>
          <w:szCs w:val="22"/>
          <w:lang w:val="en-GB"/>
        </w:rPr>
        <w:t>.</w:t>
      </w:r>
    </w:p>
    <w:p w:rsidR="7E69FFDA" w:rsidP="60E4BEB6" w:rsidRDefault="7E69FFDA" w14:paraId="5E51AFD1" w14:textId="00156F1A">
      <w:pPr>
        <w:spacing w:before="240" w:beforeAutospacing="off" w:after="240" w:afterAutospacing="off" w:line="360" w:lineRule="auto"/>
        <w:jc w:val="left"/>
      </w:pPr>
      <w:r w:rsidRPr="3B3420D8" w:rsidR="7E69FFDA">
        <w:rPr>
          <w:rFonts w:ascii="Arial Nova" w:hAnsi="Arial Nova" w:eastAsia="Arial Nova" w:cs="Arial Nova"/>
          <w:noProof w:val="0"/>
          <w:sz w:val="22"/>
          <w:szCs w:val="22"/>
          <w:lang w:val="en-GB"/>
        </w:rPr>
        <w:t>Maintaining</w:t>
      </w:r>
      <w:r w:rsidRPr="3B3420D8" w:rsidR="7E69FFDA">
        <w:rPr>
          <w:rFonts w:ascii="Arial Nova" w:hAnsi="Arial Nova" w:eastAsia="Arial Nova" w:cs="Arial Nova"/>
          <w:noProof w:val="0"/>
          <w:sz w:val="22"/>
          <w:szCs w:val="22"/>
          <w:lang w:val="en-GB"/>
        </w:rPr>
        <w:t xml:space="preserve"> satisfaction requires </w:t>
      </w:r>
      <w:r w:rsidRPr="3B3420D8" w:rsidR="7E69FFDA">
        <w:rPr>
          <w:rFonts w:ascii="Arial Nova" w:hAnsi="Arial Nova" w:eastAsia="Arial Nova" w:cs="Arial Nova"/>
          <w:b w:val="1"/>
          <w:bCs w:val="1"/>
          <w:noProof w:val="0"/>
          <w:sz w:val="22"/>
          <w:szCs w:val="22"/>
          <w:lang w:val="en-GB"/>
        </w:rPr>
        <w:t>targeted communication</w:t>
      </w:r>
      <w:r w:rsidRPr="3B3420D8" w:rsidR="7E69FFDA">
        <w:rPr>
          <w:rFonts w:ascii="Arial Nova" w:hAnsi="Arial Nova" w:eastAsia="Arial Nova" w:cs="Arial Nova"/>
          <w:noProof w:val="0"/>
          <w:sz w:val="22"/>
          <w:szCs w:val="22"/>
          <w:lang w:val="en-GB"/>
        </w:rPr>
        <w:t>, such as periodic progress reports, financial updates, and scheduled review meetings. This aligns with best practice guidance on stakeholder alignment and regulatory accountability in public infrastructure development. By keeping these actors satisfied</w:t>
      </w:r>
      <w:r w:rsidRPr="3B3420D8" w:rsidR="693B2122">
        <w:rPr>
          <w:rFonts w:ascii="Arial Nova" w:hAnsi="Arial Nova" w:eastAsia="Arial Nova" w:cs="Arial Nova"/>
          <w:noProof w:val="0"/>
          <w:sz w:val="22"/>
          <w:szCs w:val="22"/>
          <w:lang w:val="en-GB"/>
        </w:rPr>
        <w:t xml:space="preserve"> </w:t>
      </w:r>
      <w:r w:rsidRPr="3B3420D8" w:rsidR="7E69FFDA">
        <w:rPr>
          <w:rFonts w:ascii="Arial Nova" w:hAnsi="Arial Nova" w:eastAsia="Arial Nova" w:cs="Arial Nova"/>
          <w:noProof w:val="0"/>
          <w:sz w:val="22"/>
          <w:szCs w:val="22"/>
          <w:lang w:val="en-GB"/>
        </w:rPr>
        <w:t>without unnecessarily increasing their engagement workload</w:t>
      </w:r>
      <w:r w:rsidRPr="3B3420D8" w:rsidR="16F6B1E1">
        <w:rPr>
          <w:rFonts w:ascii="Arial Nova" w:hAnsi="Arial Nova" w:eastAsia="Arial Nova" w:cs="Arial Nova"/>
          <w:noProof w:val="0"/>
          <w:sz w:val="22"/>
          <w:szCs w:val="22"/>
          <w:lang w:val="en-GB"/>
        </w:rPr>
        <w:t xml:space="preserve"> </w:t>
      </w:r>
      <w:r w:rsidRPr="3B3420D8" w:rsidR="7E69FFDA">
        <w:rPr>
          <w:rFonts w:ascii="Arial Nova" w:hAnsi="Arial Nova" w:eastAsia="Arial Nova" w:cs="Arial Nova"/>
          <w:noProof w:val="0"/>
          <w:sz w:val="22"/>
          <w:szCs w:val="22"/>
          <w:lang w:val="en-GB"/>
        </w:rPr>
        <w:t xml:space="preserve">the project </w:t>
      </w:r>
      <w:r w:rsidRPr="3B3420D8" w:rsidR="7E69FFDA">
        <w:rPr>
          <w:rFonts w:ascii="Arial Nova" w:hAnsi="Arial Nova" w:eastAsia="Arial Nova" w:cs="Arial Nova"/>
          <w:noProof w:val="0"/>
          <w:sz w:val="22"/>
          <w:szCs w:val="22"/>
          <w:lang w:val="en-GB"/>
        </w:rPr>
        <w:t>maintains</w:t>
      </w:r>
      <w:r w:rsidRPr="3B3420D8" w:rsidR="7E69FFDA">
        <w:rPr>
          <w:rFonts w:ascii="Arial Nova" w:hAnsi="Arial Nova" w:eastAsia="Arial Nova" w:cs="Arial Nova"/>
          <w:noProof w:val="0"/>
          <w:sz w:val="22"/>
          <w:szCs w:val="22"/>
          <w:lang w:val="en-GB"/>
        </w:rPr>
        <w:t xml:space="preserve"> compliance and avoids costly delays.</w:t>
      </w:r>
    </w:p>
    <w:p w:rsidR="7E69FFDA" w:rsidP="3B3420D8" w:rsidRDefault="7E69FFDA" w14:paraId="6D877614" w14:textId="6170804C">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3B3420D8" w:rsidR="7E69FFDA">
        <w:rPr>
          <w:rFonts w:ascii="Arial Nova" w:hAnsi="Arial Nova" w:eastAsia="Arial Nova" w:cs="Arial Nova"/>
          <w:b w:val="1"/>
          <w:bCs w:val="1"/>
          <w:noProof w:val="0"/>
          <w:sz w:val="22"/>
          <w:szCs w:val="22"/>
          <w:lang w:val="en-GB"/>
        </w:rPr>
        <w:t xml:space="preserve">Quadrant 3: Keep Informed (Low </w:t>
      </w:r>
      <w:r w:rsidRPr="3B3420D8" w:rsidR="50B5B0E3">
        <w:rPr>
          <w:rFonts w:ascii="Arial Nova" w:hAnsi="Arial Nova" w:eastAsia="Arial Nova" w:cs="Arial Nova"/>
          <w:b w:val="1"/>
          <w:bCs w:val="1"/>
          <w:noProof w:val="0"/>
          <w:sz w:val="22"/>
          <w:szCs w:val="22"/>
          <w:lang w:val="en-GB"/>
        </w:rPr>
        <w:t>Influence</w:t>
      </w:r>
      <w:r w:rsidRPr="3B3420D8" w:rsidR="7E69FFDA">
        <w:rPr>
          <w:rFonts w:ascii="Arial Nova" w:hAnsi="Arial Nova" w:eastAsia="Arial Nova" w:cs="Arial Nova"/>
          <w:b w:val="1"/>
          <w:bCs w:val="1"/>
          <w:noProof w:val="0"/>
          <w:sz w:val="22"/>
          <w:szCs w:val="22"/>
          <w:lang w:val="en-GB"/>
        </w:rPr>
        <w:t xml:space="preserve">, High Interest) </w:t>
      </w:r>
    </w:p>
    <w:p w:rsidR="6F607B1C" w:rsidP="60E4BEB6" w:rsidRDefault="6F607B1C" w14:paraId="78FD214A" w14:textId="2CC1D8E9">
      <w:pPr>
        <w:spacing w:before="240" w:beforeAutospacing="off" w:after="240" w:afterAutospacing="off" w:line="360" w:lineRule="auto"/>
        <w:jc w:val="left"/>
      </w:pPr>
      <w:r w:rsidRPr="60E4BEB6" w:rsidR="6F607B1C">
        <w:rPr>
          <w:rFonts w:ascii="Arial Nova" w:hAnsi="Arial Nova" w:eastAsia="Arial Nova" w:cs="Arial Nova"/>
          <w:b w:val="1"/>
          <w:bCs w:val="1"/>
          <w:noProof w:val="0"/>
          <w:sz w:val="22"/>
          <w:szCs w:val="22"/>
          <w:lang w:val="en-GB"/>
        </w:rPr>
        <w:t>Families and children</w:t>
      </w:r>
      <w:r>
        <w:br/>
      </w:r>
      <w:r w:rsidRPr="60E4BEB6" w:rsidR="6F607B1C">
        <w:rPr>
          <w:rFonts w:ascii="Arial Nova" w:hAnsi="Arial Nova" w:eastAsia="Arial Nova" w:cs="Arial Nova"/>
          <w:b w:val="1"/>
          <w:bCs w:val="1"/>
          <w:noProof w:val="0"/>
          <w:sz w:val="22"/>
          <w:szCs w:val="22"/>
          <w:lang w:val="en-GB"/>
        </w:rPr>
        <w:t>Schools and youth groups</w:t>
      </w:r>
      <w:r>
        <w:br/>
      </w:r>
      <w:r w:rsidRPr="60E4BEB6" w:rsidR="6F607B1C">
        <w:rPr>
          <w:rFonts w:ascii="Arial Nova" w:hAnsi="Arial Nova" w:eastAsia="Arial Nova" w:cs="Arial Nova"/>
          <w:b w:val="1"/>
          <w:bCs w:val="1"/>
          <w:noProof w:val="0"/>
          <w:sz w:val="22"/>
          <w:szCs w:val="22"/>
          <w:lang w:val="en-GB"/>
        </w:rPr>
        <w:t>Environmental NGOs</w:t>
      </w:r>
      <w:r>
        <w:br/>
      </w:r>
      <w:r w:rsidRPr="60E4BEB6" w:rsidR="6F607B1C">
        <w:rPr>
          <w:rFonts w:ascii="Arial Nova" w:hAnsi="Arial Nova" w:eastAsia="Arial Nova" w:cs="Arial Nova"/>
          <w:b w:val="1"/>
          <w:bCs w:val="1"/>
          <w:noProof w:val="0"/>
          <w:sz w:val="22"/>
          <w:szCs w:val="22"/>
          <w:lang w:val="en-GB"/>
        </w:rPr>
        <w:t>Accessibility advocacy groups</w:t>
      </w:r>
    </w:p>
    <w:p w:rsidR="6F607B1C" w:rsidP="60E4BEB6" w:rsidRDefault="6F607B1C" w14:paraId="7B737C78" w14:textId="2F2D2954">
      <w:pPr>
        <w:spacing w:before="240" w:beforeAutospacing="off" w:after="240" w:afterAutospacing="off" w:line="360" w:lineRule="auto"/>
        <w:jc w:val="left"/>
      </w:pPr>
      <w:r w:rsidRPr="3B3420D8" w:rsidR="6F607B1C">
        <w:rPr>
          <w:rFonts w:ascii="Arial Nova" w:hAnsi="Arial Nova" w:eastAsia="Arial Nova" w:cs="Arial Nova"/>
          <w:noProof w:val="0"/>
          <w:sz w:val="22"/>
          <w:szCs w:val="22"/>
          <w:lang w:val="en-GB"/>
        </w:rPr>
        <w:t xml:space="preserve">These stakeholders have limited capacity to influence decisions independently but </w:t>
      </w:r>
      <w:r w:rsidRPr="3B3420D8" w:rsidR="6F607B1C">
        <w:rPr>
          <w:rFonts w:ascii="Arial Nova" w:hAnsi="Arial Nova" w:eastAsia="Arial Nova" w:cs="Arial Nova"/>
          <w:noProof w:val="0"/>
          <w:sz w:val="22"/>
          <w:szCs w:val="22"/>
          <w:lang w:val="en-GB"/>
        </w:rPr>
        <w:t>demonstrate</w:t>
      </w:r>
      <w:r w:rsidRPr="3B3420D8" w:rsidR="6F607B1C">
        <w:rPr>
          <w:rFonts w:ascii="Arial Nova" w:hAnsi="Arial Nova" w:eastAsia="Arial Nova" w:cs="Arial Nova"/>
          <w:noProof w:val="0"/>
          <w:sz w:val="22"/>
          <w:szCs w:val="22"/>
          <w:lang w:val="en-GB"/>
        </w:rPr>
        <w:t xml:space="preserve"> high interest due to their dependence on the park for recreation, education, environmental protection, and inclusive access. In community infrastructure, stakeholder groups with high interest but low power often experience unequal representation in formal decision-making processes. Ensuring their voices are heard aligns with principles of social equity and inclusive planning.</w:t>
      </w:r>
    </w:p>
    <w:p w:rsidR="6F607B1C" w:rsidP="3B3420D8" w:rsidRDefault="6F607B1C" w14:paraId="5EFA5BB4" w14:textId="1D9B85A9">
      <w:pPr>
        <w:spacing w:before="240" w:beforeAutospacing="off" w:after="240" w:afterAutospacing="off" w:line="360" w:lineRule="auto"/>
        <w:jc w:val="left"/>
        <w:rPr>
          <w:rFonts w:ascii="Arial Nova" w:hAnsi="Arial Nova" w:eastAsia="Arial Nova" w:cs="Arial Nova"/>
          <w:noProof w:val="0"/>
          <w:sz w:val="22"/>
          <w:szCs w:val="22"/>
          <w:lang w:val="en-GB"/>
        </w:rPr>
      </w:pPr>
      <w:r w:rsidRPr="3B3420D8" w:rsidR="6F607B1C">
        <w:rPr>
          <w:rFonts w:ascii="Arial Nova" w:hAnsi="Arial Nova" w:eastAsia="Arial Nova" w:cs="Arial Nova"/>
          <w:noProof w:val="0"/>
          <w:sz w:val="22"/>
          <w:szCs w:val="22"/>
          <w:lang w:val="en-GB"/>
        </w:rPr>
        <w:t xml:space="preserve">Effective methods for keeping these stakeholders informed include </w:t>
      </w:r>
      <w:r w:rsidRPr="3B3420D8" w:rsidR="6F607B1C">
        <w:rPr>
          <w:rFonts w:ascii="Arial Nova" w:hAnsi="Arial Nova" w:eastAsia="Arial Nova" w:cs="Arial Nova"/>
          <w:b w:val="1"/>
          <w:bCs w:val="1"/>
          <w:noProof w:val="0"/>
          <w:sz w:val="22"/>
          <w:szCs w:val="22"/>
          <w:lang w:val="en-GB"/>
        </w:rPr>
        <w:t>interactive workshops</w:t>
      </w:r>
      <w:r w:rsidRPr="3B3420D8" w:rsidR="6F607B1C">
        <w:rPr>
          <w:rFonts w:ascii="Arial Nova" w:hAnsi="Arial Nova" w:eastAsia="Arial Nova" w:cs="Arial Nova"/>
          <w:noProof w:val="0"/>
          <w:sz w:val="22"/>
          <w:szCs w:val="22"/>
          <w:lang w:val="en-GB"/>
        </w:rPr>
        <w:t>, school-led design activities, biodiversity walk-throughs with NGOs, and accessibility audits involving disability groups. These forms of engagement support shared learning and empower citizens through participatory knowledge exchang</w:t>
      </w:r>
      <w:r w:rsidRPr="3B3420D8" w:rsidR="2E14E55D">
        <w:rPr>
          <w:rFonts w:ascii="Arial Nova" w:hAnsi="Arial Nova" w:eastAsia="Arial Nova" w:cs="Arial Nova"/>
          <w:noProof w:val="0"/>
          <w:sz w:val="22"/>
          <w:szCs w:val="22"/>
          <w:lang w:val="en-GB"/>
        </w:rPr>
        <w:t>e</w:t>
      </w:r>
      <w:r w:rsidRPr="3B3420D8" w:rsidR="6F607B1C">
        <w:rPr>
          <w:rFonts w:ascii="Arial Nova" w:hAnsi="Arial Nova" w:eastAsia="Arial Nova" w:cs="Arial Nova"/>
          <w:noProof w:val="0"/>
          <w:sz w:val="22"/>
          <w:szCs w:val="22"/>
          <w:lang w:val="en-GB"/>
        </w:rPr>
        <w:t xml:space="preserve">. Evidence also </w:t>
      </w:r>
      <w:r w:rsidRPr="3B3420D8" w:rsidR="6F607B1C">
        <w:rPr>
          <w:rFonts w:ascii="Arial Nova" w:hAnsi="Arial Nova" w:eastAsia="Arial Nova" w:cs="Arial Nova"/>
          <w:noProof w:val="0"/>
          <w:sz w:val="22"/>
          <w:szCs w:val="22"/>
          <w:lang w:val="en-GB"/>
        </w:rPr>
        <w:t>indicates</w:t>
      </w:r>
      <w:r w:rsidRPr="3B3420D8" w:rsidR="6F607B1C">
        <w:rPr>
          <w:rFonts w:ascii="Arial Nova" w:hAnsi="Arial Nova" w:eastAsia="Arial Nova" w:cs="Arial Nova"/>
          <w:noProof w:val="0"/>
          <w:sz w:val="22"/>
          <w:szCs w:val="22"/>
          <w:lang w:val="en-GB"/>
        </w:rPr>
        <w:t xml:space="preserve"> that incorporating diverse knowledge systems strengthens overall project quality and enhances community acceptance</w:t>
      </w:r>
      <w:r w:rsidRPr="3B3420D8" w:rsidR="1DF14734">
        <w:rPr>
          <w:rFonts w:ascii="Arial Nova" w:hAnsi="Arial Nova" w:eastAsia="Arial Nova" w:cs="Arial Nova"/>
          <w:noProof w:val="0"/>
          <w:sz w:val="22"/>
          <w:szCs w:val="22"/>
          <w:lang w:val="en-GB"/>
        </w:rPr>
        <w:t>.</w:t>
      </w:r>
    </w:p>
    <w:p w:rsidR="4E91A7EE" w:rsidP="60E4BEB6" w:rsidRDefault="4E91A7EE" w14:paraId="1A897AA4" w14:textId="608E8FF4">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3B3420D8" w:rsidR="4E91A7EE">
        <w:rPr>
          <w:rFonts w:ascii="Arial Nova" w:hAnsi="Arial Nova" w:eastAsia="Arial Nova" w:cs="Arial Nova"/>
          <w:b w:val="1"/>
          <w:bCs w:val="1"/>
          <w:noProof w:val="0"/>
          <w:sz w:val="22"/>
          <w:szCs w:val="22"/>
          <w:lang w:val="en-GB"/>
        </w:rPr>
        <w:t xml:space="preserve">Quadrant 4: Monitor (Low </w:t>
      </w:r>
      <w:r w:rsidRPr="3B3420D8" w:rsidR="5B6F6B53">
        <w:rPr>
          <w:rFonts w:ascii="Arial Nova" w:hAnsi="Arial Nova" w:eastAsia="Arial Nova" w:cs="Arial Nova"/>
          <w:b w:val="1"/>
          <w:bCs w:val="1"/>
          <w:noProof w:val="0"/>
          <w:sz w:val="22"/>
          <w:szCs w:val="22"/>
          <w:lang w:val="en-GB"/>
        </w:rPr>
        <w:t>Influence</w:t>
      </w:r>
      <w:r w:rsidRPr="3B3420D8" w:rsidR="4E91A7EE">
        <w:rPr>
          <w:rFonts w:ascii="Arial Nova" w:hAnsi="Arial Nova" w:eastAsia="Arial Nova" w:cs="Arial Nova"/>
          <w:b w:val="1"/>
          <w:bCs w:val="1"/>
          <w:noProof w:val="0"/>
          <w:sz w:val="22"/>
          <w:szCs w:val="22"/>
          <w:lang w:val="en-GB"/>
        </w:rPr>
        <w:t>, Low Interest)</w:t>
      </w:r>
    </w:p>
    <w:p w:rsidR="4E91A7EE" w:rsidP="60E4BEB6" w:rsidRDefault="4E91A7EE" w14:paraId="44941B21" w14:textId="3E73CFC5">
      <w:pPr>
        <w:pStyle w:val="ListParagraph"/>
        <w:numPr>
          <w:ilvl w:val="0"/>
          <w:numId w:val="18"/>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Wider regional population</w:t>
      </w:r>
    </w:p>
    <w:p w:rsidR="4E91A7EE" w:rsidP="60E4BEB6" w:rsidRDefault="4E91A7EE" w14:paraId="20A25AA4" w14:textId="5C0FB450">
      <w:pPr>
        <w:pStyle w:val="ListParagraph"/>
        <w:numPr>
          <w:ilvl w:val="0"/>
          <w:numId w:val="18"/>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Small businesses not directly adjacent</w:t>
      </w:r>
    </w:p>
    <w:p w:rsidR="5568F130" w:rsidP="60E4BEB6" w:rsidRDefault="5568F130" w14:paraId="5FF7C7D4" w14:textId="3656B9FE">
      <w:pPr>
        <w:spacing w:before="240" w:beforeAutospacing="off" w:after="240" w:afterAutospacing="off" w:line="360" w:lineRule="auto"/>
        <w:jc w:val="left"/>
      </w:pPr>
      <w:r w:rsidRPr="3B3420D8" w:rsidR="5568F130">
        <w:rPr>
          <w:rFonts w:ascii="Arial Nova" w:hAnsi="Arial Nova" w:eastAsia="Arial Nova" w:cs="Arial Nova"/>
          <w:noProof w:val="0"/>
          <w:sz w:val="22"/>
          <w:szCs w:val="22"/>
          <w:lang w:val="en-GB"/>
        </w:rPr>
        <w:t>Stakeholders placed in this quadrant have minimal direct influence and limited stake in the park’s immediate outcomes. They may benefit casually from future use or aesthetic enhancements, but their involvement is peripheral</w:t>
      </w:r>
      <w:r w:rsidRPr="3B3420D8" w:rsidR="33B9CBF0">
        <w:rPr>
          <w:rFonts w:ascii="Arial Nova" w:hAnsi="Arial Nova" w:eastAsia="Arial Nova" w:cs="Arial Nova"/>
          <w:noProof w:val="0"/>
          <w:sz w:val="22"/>
          <w:szCs w:val="22"/>
          <w:lang w:val="en-GB"/>
        </w:rPr>
        <w:t>. S</w:t>
      </w:r>
      <w:r w:rsidRPr="3B3420D8" w:rsidR="5568F130">
        <w:rPr>
          <w:rFonts w:ascii="Arial Nova" w:hAnsi="Arial Nova" w:eastAsia="Arial Nova" w:cs="Arial Nova"/>
          <w:noProof w:val="0"/>
          <w:sz w:val="22"/>
          <w:szCs w:val="22"/>
          <w:lang w:val="en-GB"/>
        </w:rPr>
        <w:t xml:space="preserve">takeholders in this category should be </w:t>
      </w:r>
      <w:r w:rsidRPr="3B3420D8" w:rsidR="5568F130">
        <w:rPr>
          <w:rFonts w:ascii="Arial Nova" w:hAnsi="Arial Nova" w:eastAsia="Arial Nova" w:cs="Arial Nova"/>
          <w:noProof w:val="0"/>
          <w:sz w:val="22"/>
          <w:szCs w:val="22"/>
          <w:lang w:val="en-GB"/>
        </w:rPr>
        <w:t>monitored</w:t>
      </w:r>
      <w:r w:rsidRPr="3B3420D8" w:rsidR="5568F130">
        <w:rPr>
          <w:rFonts w:ascii="Arial Nova" w:hAnsi="Arial Nova" w:eastAsia="Arial Nova" w:cs="Arial Nova"/>
          <w:noProof w:val="0"/>
          <w:sz w:val="22"/>
          <w:szCs w:val="22"/>
          <w:lang w:val="en-GB"/>
        </w:rPr>
        <w:t xml:space="preserve"> for emerging concerns but not actively engaged in complex planning processes unless circumstances change.</w:t>
      </w:r>
    </w:p>
    <w:p w:rsidR="5568F130" w:rsidP="60E4BEB6" w:rsidRDefault="5568F130" w14:paraId="4D08E3D8" w14:textId="2899EA9F">
      <w:pPr>
        <w:spacing w:before="240" w:beforeAutospacing="off" w:after="240" w:afterAutospacing="off" w:line="360" w:lineRule="auto"/>
        <w:jc w:val="left"/>
      </w:pPr>
      <w:r w:rsidRPr="3B3420D8" w:rsidR="5568F130">
        <w:rPr>
          <w:rFonts w:ascii="Arial Nova" w:hAnsi="Arial Nova" w:eastAsia="Arial Nova" w:cs="Arial Nova"/>
          <w:noProof w:val="0"/>
          <w:sz w:val="22"/>
          <w:szCs w:val="22"/>
          <w:lang w:val="en-GB"/>
        </w:rPr>
        <w:t xml:space="preserve">Appropriate communication includes </w:t>
      </w:r>
      <w:r w:rsidRPr="3B3420D8" w:rsidR="5568F130">
        <w:rPr>
          <w:rFonts w:ascii="Arial Nova" w:hAnsi="Arial Nova" w:eastAsia="Arial Nova" w:cs="Arial Nova"/>
          <w:b w:val="1"/>
          <w:bCs w:val="1"/>
          <w:noProof w:val="0"/>
          <w:sz w:val="22"/>
          <w:szCs w:val="22"/>
          <w:lang w:val="en-GB"/>
        </w:rPr>
        <w:t>light-touch updates</w:t>
      </w:r>
      <w:r w:rsidRPr="3B3420D8" w:rsidR="5568F130">
        <w:rPr>
          <w:rFonts w:ascii="Arial Nova" w:hAnsi="Arial Nova" w:eastAsia="Arial Nova" w:cs="Arial Nova"/>
          <w:noProof w:val="0"/>
          <w:sz w:val="22"/>
          <w:szCs w:val="22"/>
          <w:lang w:val="en-GB"/>
        </w:rPr>
        <w:t xml:space="preserve"> such as newsletters, local media releases, community noticeboards, and website information. Maintaining minimal but consistent communication ensures transparency while preserving project resources for more influential stakeholders. Should interest levels shift</w:t>
      </w:r>
      <w:r w:rsidRPr="3B3420D8" w:rsidR="4964640C">
        <w:rPr>
          <w:rFonts w:ascii="Arial Nova" w:hAnsi="Arial Nova" w:eastAsia="Arial Nova" w:cs="Arial Nova"/>
          <w:noProof w:val="0"/>
          <w:sz w:val="22"/>
          <w:szCs w:val="22"/>
          <w:lang w:val="en-GB"/>
        </w:rPr>
        <w:t xml:space="preserve"> </w:t>
      </w:r>
      <w:r w:rsidRPr="3B3420D8" w:rsidR="5568F130">
        <w:rPr>
          <w:rFonts w:ascii="Arial Nova" w:hAnsi="Arial Nova" w:eastAsia="Arial Nova" w:cs="Arial Nova"/>
          <w:noProof w:val="0"/>
          <w:sz w:val="22"/>
          <w:szCs w:val="22"/>
          <w:lang w:val="en-GB"/>
        </w:rPr>
        <w:t>such as concerns about regional footfall, parking, or noise</w:t>
      </w:r>
      <w:r w:rsidRPr="3B3420D8" w:rsidR="5D74E09E">
        <w:rPr>
          <w:rFonts w:ascii="Arial Nova" w:hAnsi="Arial Nova" w:eastAsia="Arial Nova" w:cs="Arial Nova"/>
          <w:noProof w:val="0"/>
          <w:sz w:val="22"/>
          <w:szCs w:val="22"/>
          <w:lang w:val="en-GB"/>
        </w:rPr>
        <w:t xml:space="preserve"> </w:t>
      </w:r>
      <w:r w:rsidRPr="3B3420D8" w:rsidR="5568F130">
        <w:rPr>
          <w:rFonts w:ascii="Arial Nova" w:hAnsi="Arial Nova" w:eastAsia="Arial Nova" w:cs="Arial Nova"/>
          <w:noProof w:val="0"/>
          <w:sz w:val="22"/>
          <w:szCs w:val="22"/>
          <w:lang w:val="en-GB"/>
        </w:rPr>
        <w:t>these stakeholders can be repositioned accordingly.</w:t>
      </w:r>
    </w:p>
    <w:p w:rsidR="0C62F851" w:rsidP="60E4BEB6" w:rsidRDefault="0C62F851" w14:paraId="42C9C759" w14:textId="20A4E5B3">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0C62F851">
        <w:rPr>
          <w:rFonts w:ascii="Arial Nova" w:hAnsi="Arial Nova" w:eastAsia="Arial Nova" w:cs="Arial Nova" w:asciiTheme="minorAscii" w:hAnsiTheme="minorAscii" w:eastAsiaTheme="minorAscii" w:cstheme="minorAscii"/>
          <w:b w:val="1"/>
          <w:bCs w:val="1"/>
          <w:noProof w:val="0"/>
          <w:sz w:val="22"/>
          <w:szCs w:val="22"/>
          <w:u w:val="single"/>
          <w:lang w:val="en-GB"/>
        </w:rPr>
        <w:t>2.3 COMMUNICATION PLAN &amp; CONSULTATION STRATEGY</w:t>
      </w:r>
    </w:p>
    <w:p w:rsidR="4B6AE98B" w:rsidP="3B3420D8" w:rsidRDefault="4B6AE98B" w14:paraId="3AE90785" w14:textId="4A22FD9A">
      <w:pPr>
        <w:pStyle w:val="Normal"/>
        <w:spacing w:line="360" w:lineRule="auto"/>
        <w:jc w:val="left"/>
        <w:rPr>
          <w:rFonts w:ascii="Arial Nova" w:hAnsi="Arial Nova" w:eastAsia="Arial Nova" w:cs="Arial Nova"/>
          <w:b w:val="0"/>
          <w:bCs w:val="0"/>
          <w:i w:val="0"/>
          <w:iCs w:val="0"/>
          <w:caps w:val="0"/>
          <w:smallCaps w:val="0"/>
          <w:noProof w:val="0"/>
          <w:color w:val="auto"/>
          <w:sz w:val="22"/>
          <w:szCs w:val="22"/>
          <w:lang w:val="en-GB"/>
        </w:rPr>
      </w:pPr>
      <w:r w:rsidRPr="3B3420D8" w:rsidR="4B6AE98B">
        <w:rPr>
          <w:rFonts w:ascii="Arial Nova" w:hAnsi="Arial Nova" w:eastAsia="Arial Nova" w:cs="Arial Nova"/>
          <w:noProof w:val="0"/>
          <w:sz w:val="22"/>
          <w:szCs w:val="22"/>
          <w:lang w:val="en-GB"/>
        </w:rPr>
        <w:t>A structured communication plan enhances accountability and clarit</w:t>
      </w:r>
      <w:r w:rsidRPr="3B3420D8" w:rsidR="4C2AC790">
        <w:rPr>
          <w:rFonts w:ascii="Arial Nova" w:hAnsi="Arial Nova" w:eastAsia="Arial Nova" w:cs="Arial Nova"/>
          <w:noProof w:val="0"/>
          <w:sz w:val="22"/>
          <w:szCs w:val="22"/>
          <w:lang w:val="en-GB"/>
        </w:rPr>
        <w:t>y</w:t>
      </w:r>
      <w:r w:rsidRPr="3B3420D8" w:rsidR="4B6AE98B">
        <w:rPr>
          <w:rFonts w:ascii="Arial Nova" w:hAnsi="Arial Nova" w:eastAsia="Arial Nova" w:cs="Arial Nova"/>
          <w:noProof w:val="0"/>
          <w:sz w:val="22"/>
          <w:szCs w:val="22"/>
          <w:lang w:val="en-GB"/>
        </w:rPr>
        <w:t>.</w:t>
      </w:r>
      <w:r w:rsidRPr="3B3420D8" w:rsidR="4B6AE98B">
        <w:rPr>
          <w:rFonts w:ascii="Arial Nova" w:hAnsi="Arial Nova" w:eastAsia="Arial Nova" w:cs="Arial Nova" w:asciiTheme="minorAscii" w:hAnsiTheme="minorAscii" w:eastAsiaTheme="minorAscii" w:cstheme="minorAscii"/>
          <w:noProof w:val="0"/>
          <w:sz w:val="22"/>
          <w:szCs w:val="22"/>
          <w:lang w:val="en-GB"/>
        </w:rPr>
        <w:t xml:space="preserve"> </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primary communications function in planning is consultation: the process of engaging with a defined set of stakeholders (usually </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local residents</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politicians, special interest </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groups</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pre-defined statutory consultees) on a planning issue or proposal, encouraging their </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feedback</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utilising it constructively. (</w:t>
      </w:r>
      <w:r w:rsidRPr="3B3420D8" w:rsidR="161ADD8E">
        <w:rPr>
          <w:rFonts w:ascii="Arial Nova" w:hAnsi="Arial Nova" w:eastAsia="Arial Nova" w:cs="Arial Nova"/>
          <w:noProof w:val="0"/>
          <w:sz w:val="22"/>
          <w:szCs w:val="22"/>
          <w:lang w:val="en-GB"/>
        </w:rPr>
        <w:t>Norton, P., 2021</w:t>
      </w:r>
      <w:r w:rsidRPr="3B3420D8" w:rsidR="161ADD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B3420D8" w:rsidR="2786336E">
        <w:rPr>
          <w:rFonts w:ascii="Arial Nova" w:hAnsi="Arial Nova" w:eastAsia="Arial Nova" w:cs="Arial Nova" w:asciiTheme="minorAscii" w:hAnsiTheme="minorAscii" w:eastAsiaTheme="minorAscii" w:cstheme="minorAscii"/>
          <w:noProof w:val="0"/>
          <w:sz w:val="22"/>
          <w:szCs w:val="22"/>
          <w:lang w:val="en-GB"/>
        </w:rPr>
        <w:t xml:space="preserve"> </w:t>
      </w:r>
      <w:r w:rsidRPr="3B3420D8" w:rsidR="4B6AE98B">
        <w:rPr>
          <w:rFonts w:ascii="Arial Nova" w:hAnsi="Arial Nova" w:eastAsia="Arial Nova" w:cs="Arial Nova"/>
          <w:noProof w:val="0"/>
          <w:sz w:val="22"/>
          <w:szCs w:val="22"/>
          <w:lang w:val="en-GB"/>
        </w:rPr>
        <w:t>The</w:t>
      </w:r>
      <w:r w:rsidRPr="3B3420D8" w:rsidR="4B6AE98B">
        <w:rPr>
          <w:rFonts w:ascii="Arial Nova" w:hAnsi="Arial Nova" w:eastAsia="Arial Nova" w:cs="Arial Nova"/>
          <w:noProof w:val="0"/>
          <w:sz w:val="22"/>
          <w:szCs w:val="22"/>
          <w:lang w:val="en-GB"/>
        </w:rPr>
        <w:t xml:space="preserve"> table below summarises core communication strategies</w:t>
      </w:r>
      <w:r w:rsidRPr="3B3420D8" w:rsidR="4155B1F0">
        <w:rPr>
          <w:rFonts w:ascii="Arial Nova" w:hAnsi="Arial Nova" w:eastAsia="Arial Nova" w:cs="Arial Nova"/>
          <w:noProof w:val="0"/>
          <w:sz w:val="22"/>
          <w:szCs w:val="22"/>
          <w:lang w:val="en-GB"/>
        </w:rPr>
        <w:t xml:space="preserve">. Communication Management Plans are of utmost importance as they serve to ensure the implementation of effective communication methods that </w:t>
      </w:r>
      <w:r w:rsidRPr="3B3420D8" w:rsidR="4155B1F0">
        <w:rPr>
          <w:rFonts w:ascii="Arial Nova" w:hAnsi="Arial Nova" w:eastAsia="Arial Nova" w:cs="Arial Nova"/>
          <w:b w:val="0"/>
          <w:bCs w:val="0"/>
          <w:i w:val="0"/>
          <w:iCs w:val="0"/>
          <w:caps w:val="0"/>
          <w:smallCaps w:val="0"/>
          <w:noProof w:val="0"/>
          <w:color w:val="auto"/>
          <w:sz w:val="22"/>
          <w:szCs w:val="22"/>
          <w:lang w:val="en-GB"/>
        </w:rPr>
        <w:t>f</w:t>
      </w:r>
      <w:r w:rsidRPr="3B3420D8" w:rsidR="4155B1F0">
        <w:rPr>
          <w:rFonts w:ascii="Arial Nova" w:hAnsi="Arial Nova" w:eastAsia="Arial Nova" w:cs="Arial Nova"/>
          <w:b w:val="0"/>
          <w:bCs w:val="0"/>
          <w:i w:val="0"/>
          <w:iCs w:val="0"/>
          <w:caps w:val="0"/>
          <w:smallCaps w:val="0"/>
          <w:noProof w:val="0"/>
          <w:color w:val="auto"/>
          <w:sz w:val="22"/>
          <w:szCs w:val="22"/>
          <w:lang w:val="en-GB"/>
        </w:rPr>
        <w:t>acilitate</w:t>
      </w:r>
      <w:r w:rsidRPr="3B3420D8" w:rsidR="4155B1F0">
        <w:rPr>
          <w:rFonts w:ascii="Arial Nova" w:hAnsi="Arial Nova" w:eastAsia="Arial Nova" w:cs="Arial Nova"/>
          <w:b w:val="0"/>
          <w:bCs w:val="0"/>
          <w:i w:val="0"/>
          <w:iCs w:val="0"/>
          <w:caps w:val="0"/>
          <w:smallCaps w:val="0"/>
          <w:noProof w:val="0"/>
          <w:color w:val="auto"/>
          <w:sz w:val="22"/>
          <w:szCs w:val="22"/>
          <w:lang w:val="en-GB"/>
        </w:rPr>
        <w:t xml:space="preserve"> </w:t>
      </w:r>
      <w:r w:rsidRPr="3B3420D8" w:rsidR="4155B1F0">
        <w:rPr>
          <w:rFonts w:ascii="Arial Nova" w:hAnsi="Arial Nova" w:eastAsia="Arial Nova" w:cs="Arial Nova"/>
          <w:b w:val="0"/>
          <w:bCs w:val="0"/>
          <w:i w:val="0"/>
          <w:iCs w:val="0"/>
          <w:caps w:val="0"/>
          <w:smallCaps w:val="0"/>
          <w:noProof w:val="0"/>
          <w:color w:val="auto"/>
          <w:sz w:val="22"/>
          <w:szCs w:val="22"/>
          <w:lang w:val="en-GB"/>
        </w:rPr>
        <w:t xml:space="preserve">the alignment between stakeholders and project </w:t>
      </w:r>
      <w:r w:rsidRPr="3B3420D8" w:rsidR="4155B1F0">
        <w:rPr>
          <w:rFonts w:ascii="Arial Nova" w:hAnsi="Arial Nova" w:eastAsia="Arial Nova" w:cs="Arial Nova"/>
          <w:b w:val="0"/>
          <w:bCs w:val="0"/>
          <w:i w:val="0"/>
          <w:iCs w:val="0"/>
          <w:caps w:val="0"/>
          <w:smallCaps w:val="0"/>
          <w:noProof w:val="0"/>
          <w:color w:val="auto"/>
          <w:sz w:val="22"/>
          <w:szCs w:val="22"/>
          <w:lang w:val="en-GB"/>
        </w:rPr>
        <w:t>o</w:t>
      </w:r>
      <w:r w:rsidRPr="3B3420D8" w:rsidR="4155B1F0">
        <w:rPr>
          <w:rFonts w:ascii="Arial Nova" w:hAnsi="Arial Nova" w:eastAsia="Arial Nova" w:cs="Arial Nova"/>
          <w:b w:val="0"/>
          <w:bCs w:val="0"/>
          <w:i w:val="0"/>
          <w:iCs w:val="0"/>
          <w:caps w:val="0"/>
          <w:smallCaps w:val="0"/>
          <w:noProof w:val="0"/>
          <w:color w:val="auto"/>
          <w:sz w:val="22"/>
          <w:szCs w:val="22"/>
          <w:lang w:val="en-GB"/>
        </w:rPr>
        <w:t>bjectives</w:t>
      </w:r>
      <w:r w:rsidRPr="3B3420D8" w:rsidR="4155B1F0">
        <w:rPr>
          <w:rFonts w:ascii="Arial Nova" w:hAnsi="Arial Nova" w:eastAsia="Arial Nova" w:cs="Arial Nova"/>
          <w:b w:val="0"/>
          <w:bCs w:val="0"/>
          <w:i w:val="0"/>
          <w:iCs w:val="0"/>
          <w:caps w:val="0"/>
          <w:smallCaps w:val="0"/>
          <w:noProof w:val="0"/>
          <w:color w:val="auto"/>
          <w:sz w:val="22"/>
          <w:szCs w:val="22"/>
          <w:lang w:val="en-GB"/>
        </w:rPr>
        <w:t>.</w:t>
      </w:r>
      <w:r w:rsidRPr="3B3420D8" w:rsidR="3AC8A2A8">
        <w:rPr>
          <w:rFonts w:ascii="Arial Nova" w:hAnsi="Arial Nova" w:eastAsia="Arial Nova" w:cs="Arial Nova"/>
          <w:b w:val="0"/>
          <w:bCs w:val="0"/>
          <w:i w:val="0"/>
          <w:iCs w:val="0"/>
          <w:caps w:val="0"/>
          <w:smallCaps w:val="0"/>
          <w:noProof w:val="0"/>
          <w:color w:val="auto"/>
          <w:sz w:val="22"/>
          <w:szCs w:val="22"/>
          <w:lang w:val="en-GB"/>
        </w:rPr>
        <w:t xml:space="preserve"> </w:t>
      </w:r>
    </w:p>
    <w:p w:rsidR="4B6AE98B" w:rsidP="3B3420D8" w:rsidRDefault="4B6AE98B" w14:paraId="20EB2E16" w14:textId="48B6FA92">
      <w:pPr>
        <w:pStyle w:val="Normal"/>
        <w:spacing w:line="360" w:lineRule="auto"/>
        <w:jc w:val="left"/>
        <w:rPr>
          <w:rFonts w:ascii="Arial Nova" w:hAnsi="Arial Nova" w:eastAsia="Arial Nova" w:cs="Arial Nova"/>
          <w:noProof w:val="0"/>
          <w:color w:val="auto"/>
          <w:sz w:val="22"/>
          <w:szCs w:val="22"/>
          <w:lang w:val="en-GB"/>
        </w:rPr>
      </w:pPr>
    </w:p>
    <w:p w:rsidR="696515DC" w:rsidP="60E4BEB6" w:rsidRDefault="696515DC" w14:paraId="2505DCDF" w14:textId="2AA786F0">
      <w:pPr>
        <w:pStyle w:val="Normal"/>
        <w:spacing w:line="360" w:lineRule="auto"/>
        <w:jc w:val="left"/>
        <w:rPr>
          <w:rFonts w:ascii="Arial Nova" w:hAnsi="Arial Nova" w:eastAsia="Arial Nova" w:cs="Arial Nova"/>
          <w:b w:val="1"/>
          <w:bCs w:val="1"/>
          <w:noProof w:val="0"/>
          <w:sz w:val="22"/>
          <w:szCs w:val="22"/>
          <w:u w:val="single"/>
          <w:lang w:val="en-GB"/>
        </w:rPr>
      </w:pPr>
      <w:r w:rsidRPr="60E4BEB6" w:rsidR="696515DC">
        <w:rPr>
          <w:rFonts w:ascii="Arial Nova" w:hAnsi="Arial Nova" w:eastAsia="Arial Nova" w:cs="Arial Nova"/>
          <w:b w:val="1"/>
          <w:bCs w:val="1"/>
          <w:noProof w:val="0"/>
          <w:sz w:val="22"/>
          <w:szCs w:val="22"/>
          <w:u w:val="single"/>
          <w:lang w:val="en-GB"/>
        </w:rPr>
        <w:t xml:space="preserve">COMMUNICATION PLAN OVERVIEW </w:t>
      </w:r>
    </w:p>
    <w:p w:rsidR="60E4BEB6" w:rsidP="60E4BEB6" w:rsidRDefault="60E4BEB6" w14:paraId="5F4F596D" w14:textId="7681A0E2">
      <w:pPr>
        <w:pStyle w:val="Normal"/>
        <w:spacing w:line="360" w:lineRule="auto"/>
        <w:jc w:val="left"/>
        <w:rPr>
          <w:rFonts w:ascii="Arial Nova" w:hAnsi="Arial Nova" w:eastAsia="Arial Nova" w:cs="Arial Nova"/>
          <w:b w:val="1"/>
          <w:bCs w:val="1"/>
          <w:noProof w:val="0"/>
          <w:sz w:val="22"/>
          <w:szCs w:val="22"/>
          <w:u w:val="single"/>
          <w:lang w:val="en-GB"/>
        </w:rPr>
      </w:pPr>
    </w:p>
    <w:tbl>
      <w:tblPr>
        <w:tblStyle w:val="TableGrid"/>
        <w:tblW w:w="0" w:type="auto"/>
        <w:tblLook w:val="06A0" w:firstRow="1" w:lastRow="0" w:firstColumn="1" w:lastColumn="0" w:noHBand="1" w:noVBand="1"/>
      </w:tblPr>
      <w:tblGrid>
        <w:gridCol w:w="1361"/>
        <w:gridCol w:w="2082"/>
        <w:gridCol w:w="2295"/>
        <w:gridCol w:w="1695"/>
        <w:gridCol w:w="1731"/>
      </w:tblGrid>
      <w:tr w:rsidR="60E4BEB6" w:rsidTr="60E4BEB6" w14:paraId="1DC6D579">
        <w:trPr>
          <w:trHeight w:val="300"/>
        </w:trPr>
        <w:tc>
          <w:tcPr>
            <w:tcW w:w="1361" w:type="dxa"/>
            <w:shd w:val="clear" w:color="auto" w:fill="F6C5AC" w:themeFill="accent2" w:themeFillTint="66"/>
            <w:tcMar/>
          </w:tcPr>
          <w:p w:rsidR="0A8EE7AC" w:rsidP="60E4BEB6" w:rsidRDefault="0A8EE7AC" w14:paraId="457C412A" w14:textId="71536320">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Stakeholders</w:t>
            </w:r>
          </w:p>
        </w:tc>
        <w:tc>
          <w:tcPr>
            <w:tcW w:w="2082" w:type="dxa"/>
            <w:shd w:val="clear" w:color="auto" w:fill="F6C5AC" w:themeFill="accent2" w:themeFillTint="66"/>
            <w:tcMar/>
          </w:tcPr>
          <w:p w:rsidR="0A8EE7AC" w:rsidP="60E4BEB6" w:rsidRDefault="0A8EE7AC" w14:paraId="62396A3C" w14:textId="15C0A8CB">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Information</w:t>
            </w:r>
          </w:p>
        </w:tc>
        <w:tc>
          <w:tcPr>
            <w:tcW w:w="2295" w:type="dxa"/>
            <w:shd w:val="clear" w:color="auto" w:fill="F6C5AC" w:themeFill="accent2" w:themeFillTint="66"/>
            <w:tcMar/>
          </w:tcPr>
          <w:p w:rsidR="0A8EE7AC" w:rsidP="60E4BEB6" w:rsidRDefault="0A8EE7AC" w14:paraId="11E273A5" w14:textId="5BC47802">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When</w:t>
            </w: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 xml:space="preserve"> </w:t>
            </w:r>
          </w:p>
        </w:tc>
        <w:tc>
          <w:tcPr>
            <w:tcW w:w="1695" w:type="dxa"/>
            <w:shd w:val="clear" w:color="auto" w:fill="F6C5AC" w:themeFill="accent2" w:themeFillTint="66"/>
            <w:tcMar/>
          </w:tcPr>
          <w:p w:rsidR="0A8EE7AC" w:rsidP="60E4BEB6" w:rsidRDefault="0A8EE7AC" w14:paraId="31B86206" w14:textId="4D288798">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Med</w:t>
            </w: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ium</w:t>
            </w: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 xml:space="preserve"> </w:t>
            </w:r>
          </w:p>
        </w:tc>
        <w:tc>
          <w:tcPr>
            <w:tcW w:w="1731" w:type="dxa"/>
            <w:shd w:val="clear" w:color="auto" w:fill="F6C5AC" w:themeFill="accent2" w:themeFillTint="66"/>
            <w:tcMar/>
          </w:tcPr>
          <w:p w:rsidR="029B1B2D" w:rsidP="60E4BEB6" w:rsidRDefault="029B1B2D" w14:paraId="7FEFAC47" w14:textId="761AC74E">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29B1B2D">
              <w:rPr>
                <w:rFonts w:ascii="Arial Nova" w:hAnsi="Arial Nova" w:eastAsia="Arial Nova" w:cs="Arial Nova" w:asciiTheme="minorAscii" w:hAnsiTheme="minorAscii" w:eastAsiaTheme="minorAscii" w:cstheme="minorAscii"/>
                <w:b w:val="1"/>
                <w:bCs w:val="1"/>
                <w:noProof w:val="0"/>
                <w:color w:val="auto"/>
                <w:sz w:val="22"/>
                <w:szCs w:val="22"/>
                <w:u w:val="none"/>
                <w:lang w:val="en-GB"/>
              </w:rPr>
              <w:t>Justification</w:t>
            </w:r>
          </w:p>
        </w:tc>
      </w:tr>
      <w:tr w:rsidR="60E4BEB6" w:rsidTr="60E4BEB6" w14:paraId="3C728453">
        <w:trPr>
          <w:trHeight w:val="855"/>
        </w:trPr>
        <w:tc>
          <w:tcPr>
            <w:tcW w:w="1361" w:type="dxa"/>
            <w:tcMar/>
          </w:tcPr>
          <w:p w:rsidR="6955C896" w:rsidP="60E4BEB6" w:rsidRDefault="6955C896" w14:paraId="3A3B23F5" w14:textId="38041422">
            <w:pPr>
              <w:pStyle w:val="Normal"/>
              <w:rPr>
                <w:rFonts w:ascii="Arial Nova" w:hAnsi="Arial Nova" w:eastAsia="Arial Nova" w:cs="Arial Nova" w:asciiTheme="minorAscii" w:hAnsiTheme="minorAscii" w:eastAsiaTheme="minorAscii" w:cstheme="minorAscii"/>
                <w:b w:val="1"/>
                <w:bCs w:val="1"/>
                <w:noProof w:val="0"/>
                <w:sz w:val="22"/>
                <w:szCs w:val="22"/>
                <w:u w:val="non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Residents </w:t>
            </w:r>
          </w:p>
        </w:tc>
        <w:tc>
          <w:tcPr>
            <w:tcW w:w="2082" w:type="dxa"/>
            <w:tcMar/>
          </w:tcPr>
          <w:p w:rsidR="76812FC9" w:rsidP="60E4BEB6" w:rsidRDefault="76812FC9" w14:paraId="5BAE6E21" w14:textId="73D4A660">
            <w:pPr>
              <w:pStyle w:val="Normal"/>
            </w:pPr>
            <w:r w:rsidRPr="60E4BEB6" w:rsidR="76812FC9">
              <w:rPr>
                <w:rFonts w:ascii="Arial Nova" w:hAnsi="Arial Nova" w:eastAsia="Arial Nova" w:cs="Arial Nova"/>
                <w:noProof w:val="0"/>
                <w:sz w:val="22"/>
                <w:szCs w:val="22"/>
                <w:lang w:val="en-GB"/>
              </w:rPr>
              <w:t>P</w:t>
            </w:r>
            <w:r w:rsidRPr="60E4BEB6" w:rsidR="684E4A6E">
              <w:rPr>
                <w:rFonts w:ascii="Arial Nova" w:hAnsi="Arial Nova" w:eastAsia="Arial Nova" w:cs="Arial Nova"/>
                <w:noProof w:val="0"/>
                <w:sz w:val="22"/>
                <w:szCs w:val="22"/>
                <w:lang w:val="en-GB"/>
              </w:rPr>
              <w:t>roject updates, disruptions, design proposals</w:t>
            </w:r>
          </w:p>
        </w:tc>
        <w:tc>
          <w:tcPr>
            <w:tcW w:w="2295" w:type="dxa"/>
            <w:tcMar/>
          </w:tcPr>
          <w:p w:rsidR="28AE40B9" w:rsidP="60E4BEB6" w:rsidRDefault="28AE40B9" w14:paraId="7395BB24" w14:textId="175FCD5F">
            <w:pPr>
              <w:pStyle w:val="Normal"/>
            </w:pPr>
            <w:r w:rsidRPr="60E4BEB6" w:rsidR="28AE40B9">
              <w:rPr>
                <w:rFonts w:ascii="Arial Nova" w:hAnsi="Arial Nova" w:eastAsia="Arial Nova" w:cs="Arial Nova"/>
                <w:noProof w:val="0"/>
                <w:sz w:val="22"/>
                <w:szCs w:val="22"/>
                <w:lang w:val="en-GB"/>
              </w:rPr>
              <w:t>M</w:t>
            </w:r>
            <w:r w:rsidRPr="60E4BEB6" w:rsidR="684E4A6E">
              <w:rPr>
                <w:rFonts w:ascii="Arial Nova" w:hAnsi="Arial Nova" w:eastAsia="Arial Nova" w:cs="Arial Nova"/>
                <w:noProof w:val="0"/>
                <w:sz w:val="22"/>
                <w:szCs w:val="22"/>
                <w:lang w:val="en-GB"/>
              </w:rPr>
              <w:t>onthly during planning; weekly during construction</w:t>
            </w:r>
          </w:p>
        </w:tc>
        <w:tc>
          <w:tcPr>
            <w:tcW w:w="1695" w:type="dxa"/>
            <w:tcMar/>
          </w:tcPr>
          <w:p w:rsidR="23C3F7E6" w:rsidP="60E4BEB6" w:rsidRDefault="23C3F7E6" w14:paraId="794C38A2" w14:textId="6624D25E">
            <w:pPr>
              <w:pStyle w:val="Normal"/>
            </w:pPr>
            <w:r w:rsidRPr="60E4BEB6" w:rsidR="23C3F7E6">
              <w:rPr>
                <w:rFonts w:ascii="Arial Nova" w:hAnsi="Arial Nova" w:eastAsia="Arial Nova" w:cs="Arial Nova"/>
                <w:noProof w:val="0"/>
                <w:sz w:val="22"/>
                <w:szCs w:val="22"/>
                <w:lang w:val="en-GB"/>
              </w:rPr>
              <w:t>L</w:t>
            </w:r>
            <w:r w:rsidRPr="60E4BEB6" w:rsidR="684E4A6E">
              <w:rPr>
                <w:rFonts w:ascii="Arial Nova" w:hAnsi="Arial Nova" w:eastAsia="Arial Nova" w:cs="Arial Nova"/>
                <w:noProof w:val="0"/>
                <w:sz w:val="22"/>
                <w:szCs w:val="22"/>
                <w:lang w:val="en-GB"/>
              </w:rPr>
              <w:t>etters, community meetings, social media, local press</w:t>
            </w:r>
          </w:p>
        </w:tc>
        <w:tc>
          <w:tcPr>
            <w:tcW w:w="1731" w:type="dxa"/>
            <w:tcMar/>
          </w:tcPr>
          <w:p w:rsidR="7B2D07A9" w:rsidP="60E4BEB6" w:rsidRDefault="7B2D07A9" w14:paraId="01A04F76" w14:textId="07DCCFE1">
            <w:pPr>
              <w:pStyle w:val="Normal"/>
            </w:pPr>
            <w:r w:rsidRPr="60E4BEB6" w:rsidR="7B2D07A9">
              <w:rPr>
                <w:rFonts w:ascii="Arial Nova" w:hAnsi="Arial Nova" w:eastAsia="Arial Nova" w:cs="Arial Nova"/>
                <w:noProof w:val="0"/>
                <w:sz w:val="22"/>
                <w:szCs w:val="22"/>
                <w:lang w:val="en-GB"/>
              </w:rPr>
              <w:t>High power/interest requires frequent, accessible communication</w:t>
            </w:r>
          </w:p>
        </w:tc>
      </w:tr>
      <w:tr w:rsidR="60E4BEB6" w:rsidTr="60E4BEB6" w14:paraId="255C060A">
        <w:trPr>
          <w:trHeight w:val="870"/>
        </w:trPr>
        <w:tc>
          <w:tcPr>
            <w:tcW w:w="1361" w:type="dxa"/>
            <w:tcMar/>
          </w:tcPr>
          <w:p w:rsidR="6955C896" w:rsidP="60E4BEB6" w:rsidRDefault="6955C896" w14:paraId="608E1253" w14:textId="7E05306A">
            <w:pPr>
              <w:pStyle w:val="Normal"/>
              <w:rPr>
                <w:rFonts w:ascii="Arial Nova" w:hAnsi="Arial Nova" w:eastAsia="Arial Nova" w:cs="Arial Nova" w:asciiTheme="minorAscii" w:hAnsiTheme="minorAscii" w:eastAsiaTheme="minorAscii" w:cstheme="minorAscii"/>
                <w:b w:val="1"/>
                <w:bCs w:val="1"/>
                <w:noProof w:val="0"/>
                <w:sz w:val="22"/>
                <w:szCs w:val="22"/>
                <w:u w:val="non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Local Authority </w:t>
            </w:r>
          </w:p>
        </w:tc>
        <w:tc>
          <w:tcPr>
            <w:tcW w:w="2082" w:type="dxa"/>
            <w:tcMar/>
          </w:tcPr>
          <w:p w:rsidR="57BF5CAB" w:rsidP="60E4BEB6" w:rsidRDefault="57BF5CAB" w14:paraId="23BFFBE7" w14:textId="7CEC3A72">
            <w:pPr>
              <w:pStyle w:val="Normal"/>
            </w:pPr>
            <w:r w:rsidRPr="60E4BEB6" w:rsidR="57BF5CAB">
              <w:rPr>
                <w:rFonts w:ascii="Arial Nova" w:hAnsi="Arial Nova" w:eastAsia="Arial Nova" w:cs="Arial Nova"/>
                <w:noProof w:val="0"/>
                <w:sz w:val="22"/>
                <w:szCs w:val="22"/>
                <w:lang w:val="en-GB"/>
              </w:rPr>
              <w:t>P</w:t>
            </w:r>
            <w:r w:rsidRPr="60E4BEB6" w:rsidR="578064B6">
              <w:rPr>
                <w:rFonts w:ascii="Arial Nova" w:hAnsi="Arial Nova" w:eastAsia="Arial Nova" w:cs="Arial Nova"/>
                <w:noProof w:val="0"/>
                <w:sz w:val="22"/>
                <w:szCs w:val="22"/>
                <w:lang w:val="en-GB"/>
              </w:rPr>
              <w:t>lanning documents, risk assessments, financial reporting</w:t>
            </w:r>
            <w:r w:rsidRPr="60E4BEB6" w:rsidR="118C0267">
              <w:rPr>
                <w:rFonts w:ascii="Arial Nova" w:hAnsi="Arial Nova" w:eastAsia="Arial Nova" w:cs="Arial Nova"/>
                <w:noProof w:val="0"/>
                <w:sz w:val="22"/>
                <w:szCs w:val="22"/>
                <w:lang w:val="en-GB"/>
              </w:rPr>
              <w:t xml:space="preserve"> </w:t>
            </w:r>
          </w:p>
        </w:tc>
        <w:tc>
          <w:tcPr>
            <w:tcW w:w="2295" w:type="dxa"/>
            <w:tcMar/>
          </w:tcPr>
          <w:p w:rsidR="22A7AABD" w:rsidP="60E4BEB6" w:rsidRDefault="22A7AABD" w14:paraId="20137B25" w14:textId="4EB606C3">
            <w:pPr>
              <w:pStyle w:val="Normal"/>
            </w:pPr>
            <w:r w:rsidRPr="60E4BEB6" w:rsidR="22A7AABD">
              <w:rPr>
                <w:rFonts w:ascii="Arial Nova" w:hAnsi="Arial Nova" w:eastAsia="Arial Nova" w:cs="Arial Nova"/>
                <w:noProof w:val="0"/>
                <w:sz w:val="22"/>
                <w:szCs w:val="22"/>
                <w:lang w:val="en-GB"/>
              </w:rPr>
              <w:t>Regularly during design and approvals (weekly/biweekly meetings early on; formal submissions per planning timetable)</w:t>
            </w:r>
          </w:p>
        </w:tc>
        <w:tc>
          <w:tcPr>
            <w:tcW w:w="1695" w:type="dxa"/>
            <w:tcMar/>
          </w:tcPr>
          <w:p w:rsidR="1B50BF2E" w:rsidP="60E4BEB6" w:rsidRDefault="1B50BF2E" w14:paraId="2C1C0972" w14:textId="7077F796">
            <w:pPr>
              <w:pStyle w:val="Normal"/>
            </w:pPr>
            <w:r w:rsidRPr="60E4BEB6" w:rsidR="1B50BF2E">
              <w:rPr>
                <w:rFonts w:ascii="Arial Nova" w:hAnsi="Arial Nova" w:eastAsia="Arial Nova" w:cs="Arial Nova"/>
                <w:noProof w:val="0"/>
                <w:sz w:val="22"/>
                <w:szCs w:val="22"/>
                <w:lang w:val="en-GB"/>
              </w:rPr>
              <w:t>O</w:t>
            </w:r>
            <w:r w:rsidRPr="60E4BEB6" w:rsidR="14C1096F">
              <w:rPr>
                <w:rFonts w:ascii="Arial Nova" w:hAnsi="Arial Nova" w:eastAsia="Arial Nova" w:cs="Arial Nova"/>
                <w:noProof w:val="0"/>
                <w:sz w:val="22"/>
                <w:szCs w:val="22"/>
                <w:lang w:val="en-GB"/>
              </w:rPr>
              <w:t>fficial reports, formal consultations</w:t>
            </w:r>
          </w:p>
        </w:tc>
        <w:tc>
          <w:tcPr>
            <w:tcW w:w="1731" w:type="dxa"/>
            <w:tcMar/>
          </w:tcPr>
          <w:p w:rsidR="7DA9EF1B" w:rsidP="60E4BEB6" w:rsidRDefault="7DA9EF1B" w14:paraId="1395572B" w14:textId="5570B3A2">
            <w:pPr>
              <w:pStyle w:val="Normal"/>
              <w:rPr>
                <w:rFonts w:ascii="Arial Nova" w:hAnsi="Arial Nova" w:eastAsia="Arial Nova" w:cs="Arial Nova"/>
                <w:noProof w:val="0"/>
                <w:sz w:val="22"/>
                <w:szCs w:val="22"/>
                <w:lang w:val="en-GB"/>
              </w:rPr>
            </w:pPr>
            <w:r w:rsidRPr="60E4BEB6" w:rsidR="7DA9EF1B">
              <w:rPr>
                <w:rFonts w:ascii="Arial Nova" w:hAnsi="Arial Nova" w:eastAsia="Arial Nova" w:cs="Arial Nova"/>
                <w:noProof w:val="0"/>
                <w:sz w:val="22"/>
                <w:szCs w:val="22"/>
                <w:lang w:val="en-GB"/>
              </w:rPr>
              <w:t xml:space="preserve">Statutory planning role </w:t>
            </w:r>
            <w:r w:rsidRPr="60E4BEB6" w:rsidR="7DA9EF1B">
              <w:rPr>
                <w:rFonts w:ascii="Arial Nova" w:hAnsi="Arial Nova" w:eastAsia="Arial Nova" w:cs="Arial Nova"/>
                <w:noProof w:val="0"/>
                <w:sz w:val="22"/>
                <w:szCs w:val="22"/>
                <w:lang w:val="en-GB"/>
              </w:rPr>
              <w:t>necessitates</w:t>
            </w:r>
            <w:r w:rsidRPr="60E4BEB6" w:rsidR="7DA9EF1B">
              <w:rPr>
                <w:rFonts w:ascii="Arial Nova" w:hAnsi="Arial Nova" w:eastAsia="Arial Nova" w:cs="Arial Nova"/>
                <w:noProof w:val="0"/>
                <w:sz w:val="22"/>
                <w:szCs w:val="22"/>
                <w:lang w:val="en-GB"/>
              </w:rPr>
              <w:t xml:space="preserve"> evidence-based communication</w:t>
            </w:r>
          </w:p>
        </w:tc>
      </w:tr>
      <w:tr w:rsidR="60E4BEB6" w:rsidTr="60E4BEB6" w14:paraId="22FEBE78">
        <w:trPr>
          <w:trHeight w:val="915"/>
        </w:trPr>
        <w:tc>
          <w:tcPr>
            <w:tcW w:w="1361" w:type="dxa"/>
            <w:tcMar/>
          </w:tcPr>
          <w:p w:rsidR="6955C896" w:rsidP="60E4BEB6" w:rsidRDefault="6955C896" w14:paraId="3A7193ED" w14:textId="5A7ECDD9">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Environmental Groups </w:t>
            </w:r>
          </w:p>
        </w:tc>
        <w:tc>
          <w:tcPr>
            <w:tcW w:w="2082" w:type="dxa"/>
            <w:tcMar/>
          </w:tcPr>
          <w:p w:rsidR="3A24E3FC" w:rsidP="60E4BEB6" w:rsidRDefault="3A24E3FC" w14:paraId="71209157" w14:textId="20424F87">
            <w:pPr>
              <w:pStyle w:val="Normal"/>
            </w:pPr>
            <w:r w:rsidRPr="60E4BEB6" w:rsidR="3A24E3FC">
              <w:rPr>
                <w:rFonts w:ascii="Arial Nova" w:hAnsi="Arial Nova" w:eastAsia="Arial Nova" w:cs="Arial Nova"/>
                <w:noProof w:val="0"/>
                <w:sz w:val="22"/>
                <w:szCs w:val="22"/>
                <w:lang w:val="en-GB"/>
              </w:rPr>
              <w:t>B</w:t>
            </w:r>
            <w:r w:rsidRPr="60E4BEB6" w:rsidR="323D5F6D">
              <w:rPr>
                <w:rFonts w:ascii="Arial Nova" w:hAnsi="Arial Nova" w:eastAsia="Arial Nova" w:cs="Arial Nova"/>
                <w:noProof w:val="0"/>
                <w:sz w:val="22"/>
                <w:szCs w:val="22"/>
                <w:lang w:val="en-GB"/>
              </w:rPr>
              <w:t>iodiversity assessments, planting schemes</w:t>
            </w:r>
          </w:p>
        </w:tc>
        <w:tc>
          <w:tcPr>
            <w:tcW w:w="2295" w:type="dxa"/>
            <w:tcMar/>
          </w:tcPr>
          <w:p w:rsidR="3487495B" w:rsidP="60E4BEB6" w:rsidRDefault="3487495B" w14:paraId="0EB5C58C" w14:textId="63FDADEA">
            <w:pPr>
              <w:pStyle w:val="Normal"/>
            </w:pPr>
            <w:r w:rsidRPr="60E4BEB6" w:rsidR="3487495B">
              <w:rPr>
                <w:rFonts w:ascii="Arial Nova" w:hAnsi="Arial Nova" w:eastAsia="Arial Nova" w:cs="Arial Nova"/>
                <w:noProof w:val="0"/>
                <w:sz w:val="22"/>
                <w:szCs w:val="22"/>
                <w:lang w:val="en-GB"/>
              </w:rPr>
              <w:t>Early design (to influence planting and habitat), pre-construction, and ongoing habitat monitoring</w:t>
            </w:r>
          </w:p>
        </w:tc>
        <w:tc>
          <w:tcPr>
            <w:tcW w:w="1695" w:type="dxa"/>
            <w:tcMar/>
          </w:tcPr>
          <w:p w:rsidR="3A4107F0" w:rsidP="60E4BEB6" w:rsidRDefault="3A4107F0" w14:paraId="4BDBAA69" w14:textId="3CBE2D4F">
            <w:pPr>
              <w:pStyle w:val="Normal"/>
            </w:pPr>
            <w:r w:rsidRPr="60E4BEB6" w:rsidR="3A4107F0">
              <w:rPr>
                <w:rFonts w:ascii="Arial Nova" w:hAnsi="Arial Nova" w:eastAsia="Arial Nova" w:cs="Arial Nova"/>
                <w:noProof w:val="0"/>
                <w:sz w:val="22"/>
                <w:szCs w:val="22"/>
                <w:lang w:val="en-GB"/>
              </w:rPr>
              <w:t>T</w:t>
            </w:r>
            <w:r w:rsidRPr="60E4BEB6" w:rsidR="6E50EB00">
              <w:rPr>
                <w:rFonts w:ascii="Arial Nova" w:hAnsi="Arial Nova" w:eastAsia="Arial Nova" w:cs="Arial Nova"/>
                <w:noProof w:val="0"/>
                <w:sz w:val="22"/>
                <w:szCs w:val="22"/>
                <w:lang w:val="en-GB"/>
              </w:rPr>
              <w:t>echnical briefings, co-design sessions, ecological site visits</w:t>
            </w:r>
          </w:p>
        </w:tc>
        <w:tc>
          <w:tcPr>
            <w:tcW w:w="1731" w:type="dxa"/>
            <w:tcMar/>
          </w:tcPr>
          <w:p w:rsidR="30A32289" w:rsidP="60E4BEB6" w:rsidRDefault="30A32289" w14:paraId="228F6FFA" w14:textId="2B3B3053">
            <w:pPr>
              <w:pStyle w:val="Normal"/>
            </w:pPr>
            <w:r w:rsidRPr="60E4BEB6" w:rsidR="30A32289">
              <w:rPr>
                <w:rFonts w:ascii="Arial Nova" w:hAnsi="Arial Nova" w:eastAsia="Arial Nova" w:cs="Arial Nova"/>
                <w:noProof w:val="0"/>
                <w:sz w:val="22"/>
                <w:szCs w:val="22"/>
                <w:lang w:val="en-GB"/>
              </w:rPr>
              <w:t>S</w:t>
            </w:r>
            <w:r w:rsidRPr="60E4BEB6" w:rsidR="0FE3326B">
              <w:rPr>
                <w:rFonts w:ascii="Arial Nova" w:hAnsi="Arial Nova" w:eastAsia="Arial Nova" w:cs="Arial Nova"/>
                <w:noProof w:val="0"/>
                <w:sz w:val="22"/>
                <w:szCs w:val="22"/>
                <w:lang w:val="en-GB"/>
              </w:rPr>
              <w:t>trengthens environmental quality and compliance</w:t>
            </w:r>
          </w:p>
        </w:tc>
      </w:tr>
      <w:tr w:rsidR="60E4BEB6" w:rsidTr="60E4BEB6" w14:paraId="633B12C9">
        <w:trPr>
          <w:trHeight w:val="870"/>
        </w:trPr>
        <w:tc>
          <w:tcPr>
            <w:tcW w:w="1361" w:type="dxa"/>
            <w:tcMar/>
          </w:tcPr>
          <w:p w:rsidR="6955C896" w:rsidP="60E4BEB6" w:rsidRDefault="6955C896" w14:paraId="013E974D" w14:textId="70ADDEF1">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Schools &amp; Youth Groups </w:t>
            </w:r>
          </w:p>
        </w:tc>
        <w:tc>
          <w:tcPr>
            <w:tcW w:w="2082" w:type="dxa"/>
            <w:tcMar/>
          </w:tcPr>
          <w:p w:rsidR="7E5F1C70" w:rsidP="60E4BEB6" w:rsidRDefault="7E5F1C70" w14:paraId="56F32276" w14:textId="39CDFA39">
            <w:pPr>
              <w:pStyle w:val="Normal"/>
            </w:pPr>
            <w:r w:rsidRPr="60E4BEB6" w:rsidR="7E5F1C70">
              <w:rPr>
                <w:rFonts w:ascii="Arial Nova" w:hAnsi="Arial Nova" w:eastAsia="Arial Nova" w:cs="Arial Nova"/>
                <w:noProof w:val="0"/>
                <w:sz w:val="22"/>
                <w:szCs w:val="22"/>
                <w:lang w:val="en-GB"/>
              </w:rPr>
              <w:t>E</w:t>
            </w:r>
            <w:r w:rsidRPr="60E4BEB6" w:rsidR="3BE4FBA7">
              <w:rPr>
                <w:rFonts w:ascii="Arial Nova" w:hAnsi="Arial Nova" w:eastAsia="Arial Nova" w:cs="Arial Nova"/>
                <w:noProof w:val="0"/>
                <w:sz w:val="22"/>
                <w:szCs w:val="22"/>
                <w:lang w:val="en-GB"/>
              </w:rPr>
              <w:t>ducational use, safety information, co‑design opportunities</w:t>
            </w:r>
          </w:p>
        </w:tc>
        <w:tc>
          <w:tcPr>
            <w:tcW w:w="2295" w:type="dxa"/>
            <w:tcMar/>
          </w:tcPr>
          <w:p w:rsidR="462A8290" w:rsidP="60E4BEB6" w:rsidRDefault="462A8290" w14:paraId="0BDD45B9" w14:textId="115B31C8">
            <w:pPr>
              <w:pStyle w:val="Normal"/>
            </w:pPr>
            <w:r w:rsidRPr="60E4BEB6" w:rsidR="462A8290">
              <w:rPr>
                <w:rFonts w:ascii="Arial Nova" w:hAnsi="Arial Nova" w:eastAsia="Arial Nova" w:cs="Arial Nova"/>
                <w:noProof w:val="0"/>
                <w:sz w:val="22"/>
                <w:szCs w:val="22"/>
                <w:lang w:val="en-GB"/>
              </w:rPr>
              <w:t>Pre-design (co-creation sessions), during construction (education packs), post-opening (curriculum-linked activities)</w:t>
            </w:r>
          </w:p>
        </w:tc>
        <w:tc>
          <w:tcPr>
            <w:tcW w:w="1695" w:type="dxa"/>
            <w:tcMar/>
          </w:tcPr>
          <w:p w:rsidR="0C032245" w:rsidP="60E4BEB6" w:rsidRDefault="0C032245" w14:paraId="25F9A5F2" w14:textId="39922CED">
            <w:pPr>
              <w:pStyle w:val="Normal"/>
            </w:pPr>
            <w:r w:rsidRPr="60E4BEB6" w:rsidR="0C032245">
              <w:rPr>
                <w:rFonts w:ascii="Arial Nova" w:hAnsi="Arial Nova" w:eastAsia="Arial Nova" w:cs="Arial Nova"/>
                <w:noProof w:val="0"/>
                <w:sz w:val="22"/>
                <w:szCs w:val="22"/>
                <w:lang w:val="en-GB"/>
              </w:rPr>
              <w:t>A</w:t>
            </w:r>
            <w:r w:rsidRPr="60E4BEB6" w:rsidR="0A495DF9">
              <w:rPr>
                <w:rFonts w:ascii="Arial Nova" w:hAnsi="Arial Nova" w:eastAsia="Arial Nova" w:cs="Arial Nova"/>
                <w:noProof w:val="0"/>
                <w:sz w:val="22"/>
                <w:szCs w:val="22"/>
                <w:lang w:val="en-GB"/>
              </w:rPr>
              <w:t>ssemblies, workshops, teacher briefings</w:t>
            </w:r>
          </w:p>
        </w:tc>
        <w:tc>
          <w:tcPr>
            <w:tcW w:w="1731" w:type="dxa"/>
            <w:tcMar/>
          </w:tcPr>
          <w:p w:rsidR="5DA48FC8" w:rsidP="60E4BEB6" w:rsidRDefault="5DA48FC8" w14:paraId="4F27BF57" w14:textId="306DE22B">
            <w:pPr>
              <w:pStyle w:val="Normal"/>
            </w:pPr>
            <w:r w:rsidRPr="60E4BEB6" w:rsidR="5DA48FC8">
              <w:rPr>
                <w:rFonts w:ascii="Arial Nova" w:hAnsi="Arial Nova" w:eastAsia="Arial Nova" w:cs="Arial Nova"/>
                <w:noProof w:val="0"/>
                <w:sz w:val="22"/>
                <w:szCs w:val="22"/>
                <w:lang w:val="en-GB"/>
              </w:rPr>
              <w:t>H</w:t>
            </w:r>
            <w:r w:rsidRPr="60E4BEB6" w:rsidR="59FDE54A">
              <w:rPr>
                <w:rFonts w:ascii="Arial Nova" w:hAnsi="Arial Nova" w:eastAsia="Arial Nova" w:cs="Arial Nova"/>
                <w:noProof w:val="0"/>
                <w:sz w:val="22"/>
                <w:szCs w:val="22"/>
                <w:lang w:val="en-GB"/>
              </w:rPr>
              <w:t>elps integrate educational value into design</w:t>
            </w:r>
          </w:p>
        </w:tc>
      </w:tr>
      <w:tr w:rsidR="60E4BEB6" w:rsidTr="60E4BEB6" w14:paraId="32AB26E7">
        <w:trPr>
          <w:trHeight w:val="1185"/>
        </w:trPr>
        <w:tc>
          <w:tcPr>
            <w:tcW w:w="1361" w:type="dxa"/>
            <w:tcMar/>
          </w:tcPr>
          <w:p w:rsidR="6955C896" w:rsidP="60E4BEB6" w:rsidRDefault="6955C896" w14:paraId="379E5BEE" w14:textId="71818E90">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Local Businesses </w:t>
            </w:r>
          </w:p>
        </w:tc>
        <w:tc>
          <w:tcPr>
            <w:tcW w:w="2082" w:type="dxa"/>
            <w:tcMar/>
          </w:tcPr>
          <w:p w:rsidR="41209597" w:rsidP="60E4BEB6" w:rsidRDefault="41209597" w14:paraId="267C0BEB" w14:textId="4598BDC6">
            <w:pPr>
              <w:pStyle w:val="Normal"/>
            </w:pPr>
            <w:r w:rsidRPr="60E4BEB6" w:rsidR="41209597">
              <w:rPr>
                <w:rFonts w:ascii="Arial Nova" w:hAnsi="Arial Nova" w:eastAsia="Arial Nova" w:cs="Arial Nova"/>
                <w:noProof w:val="0"/>
                <w:sz w:val="22"/>
                <w:szCs w:val="22"/>
                <w:lang w:val="en-GB"/>
              </w:rPr>
              <w:t>C</w:t>
            </w:r>
            <w:r w:rsidRPr="60E4BEB6" w:rsidR="096D8168">
              <w:rPr>
                <w:rFonts w:ascii="Arial Nova" w:hAnsi="Arial Nova" w:eastAsia="Arial Nova" w:cs="Arial Nova"/>
                <w:noProof w:val="0"/>
                <w:sz w:val="22"/>
                <w:szCs w:val="22"/>
                <w:lang w:val="en-GB"/>
              </w:rPr>
              <w:t>onstruction impacts, event opportunities</w:t>
            </w:r>
          </w:p>
        </w:tc>
        <w:tc>
          <w:tcPr>
            <w:tcW w:w="2295" w:type="dxa"/>
            <w:tcMar/>
          </w:tcPr>
          <w:p w:rsidR="09DC5180" w:rsidP="60E4BEB6" w:rsidRDefault="09DC5180" w14:paraId="39976151" w14:textId="22707C41">
            <w:pPr>
              <w:pStyle w:val="Normal"/>
            </w:pPr>
            <w:r w:rsidRPr="60E4BEB6" w:rsidR="09DC5180">
              <w:rPr>
                <w:rFonts w:ascii="Arial Nova" w:hAnsi="Arial Nova" w:eastAsia="Arial Nova" w:cs="Arial Nova"/>
                <w:noProof w:val="0"/>
                <w:sz w:val="22"/>
                <w:szCs w:val="22"/>
                <w:lang w:val="en-GB"/>
              </w:rPr>
              <w:t>Pre-construction (impact mitigation), lead-up to opening (commercial opportunities)</w:t>
            </w:r>
          </w:p>
        </w:tc>
        <w:tc>
          <w:tcPr>
            <w:tcW w:w="1695" w:type="dxa"/>
            <w:tcMar/>
          </w:tcPr>
          <w:p w:rsidR="096D8168" w:rsidP="60E4BEB6" w:rsidRDefault="096D8168" w14:paraId="4AC119AA" w14:textId="4F6E2A1F">
            <w:pPr>
              <w:pStyle w:val="Normal"/>
            </w:pPr>
            <w:r w:rsidRPr="60E4BEB6" w:rsidR="096D8168">
              <w:rPr>
                <w:rFonts w:ascii="Arial Nova" w:hAnsi="Arial Nova" w:eastAsia="Arial Nova" w:cs="Arial Nova"/>
                <w:noProof w:val="0"/>
                <w:sz w:val="22"/>
                <w:szCs w:val="22"/>
                <w:lang w:val="en-GB"/>
              </w:rPr>
              <w:t>Business meetings, email bulletins</w:t>
            </w:r>
          </w:p>
        </w:tc>
        <w:tc>
          <w:tcPr>
            <w:tcW w:w="1731" w:type="dxa"/>
            <w:tcMar/>
          </w:tcPr>
          <w:p w:rsidR="007655C2" w:rsidP="60E4BEB6" w:rsidRDefault="007655C2" w14:paraId="616830A9" w14:textId="4B7ECD5E">
            <w:pPr>
              <w:pStyle w:val="Normal"/>
              <w:spacing w:before="240" w:beforeAutospacing="off" w:after="240" w:afterAutospacing="off"/>
              <w:ind w:left="0"/>
              <w:rPr>
                <w:rFonts w:ascii="Arial Nova" w:hAnsi="Arial Nova" w:eastAsia="Arial Nova" w:cs="Arial Nova"/>
                <w:noProof w:val="0"/>
                <w:sz w:val="22"/>
                <w:szCs w:val="22"/>
                <w:lang w:val="en-GB"/>
              </w:rPr>
            </w:pPr>
            <w:r w:rsidRPr="60E4BEB6" w:rsidR="007655C2">
              <w:rPr>
                <w:rFonts w:ascii="Arial Nova" w:hAnsi="Arial Nova" w:eastAsia="Arial Nova" w:cs="Arial Nova"/>
                <w:noProof w:val="0"/>
                <w:sz w:val="22"/>
                <w:szCs w:val="22"/>
                <w:lang w:val="en-GB"/>
              </w:rPr>
              <w:t>Ensures businesses can plan for changes in footfall and transport flow</w:t>
            </w:r>
          </w:p>
          <w:p w:rsidR="60E4BEB6" w:rsidP="60E4BEB6" w:rsidRDefault="60E4BEB6" w14:paraId="1C5B6146" w14:textId="0972DCFA">
            <w:pPr>
              <w:pStyle w:val="Normal"/>
              <w:rPr>
                <w:rFonts w:ascii="Arial Nova" w:hAnsi="Arial Nova" w:eastAsia="Arial Nova" w:cs="Arial Nova"/>
                <w:noProof w:val="0"/>
                <w:sz w:val="22"/>
                <w:szCs w:val="22"/>
                <w:lang w:val="en-GB"/>
              </w:rPr>
            </w:pPr>
          </w:p>
        </w:tc>
      </w:tr>
    </w:tbl>
    <w:p w:rsidR="60E4BEB6" w:rsidP="60E4BEB6" w:rsidRDefault="60E4BEB6" w14:paraId="282EF805" w14:textId="3CD4061D">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2C69AA26" w:rsidP="60E4BEB6" w:rsidRDefault="2C69AA26" w14:paraId="336B160D" w14:textId="02D2B46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2C69AA26">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2.4 </w:t>
      </w:r>
      <w:r w:rsidRPr="60E4BEB6" w:rsidR="2C2AB134">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Consultation </w:t>
      </w:r>
      <w:r w:rsidRPr="60E4BEB6" w:rsidR="3BED43DF">
        <w:rPr>
          <w:rFonts w:ascii="Arial Nova" w:hAnsi="Arial Nova" w:eastAsia="Arial Nova" w:cs="Arial Nova" w:asciiTheme="minorAscii" w:hAnsiTheme="minorAscii" w:eastAsiaTheme="minorAscii" w:cstheme="minorAscii"/>
          <w:b w:val="1"/>
          <w:bCs w:val="1"/>
          <w:noProof w:val="0"/>
          <w:sz w:val="22"/>
          <w:szCs w:val="22"/>
          <w:u w:val="single"/>
          <w:lang w:val="en-GB"/>
        </w:rPr>
        <w:t>Strategy</w:t>
      </w:r>
    </w:p>
    <w:p w:rsidR="3BED43DF" w:rsidP="60E4BEB6" w:rsidRDefault="3BED43DF" w14:paraId="18C36105" w14:textId="2C5A19F2">
      <w:pPr>
        <w:spacing w:before="240" w:beforeAutospacing="off" w:after="240" w:afterAutospacing="off" w:line="360" w:lineRule="auto"/>
        <w:jc w:val="left"/>
      </w:pPr>
      <w:r w:rsidRPr="3B3420D8" w:rsidR="3BED43DF">
        <w:rPr>
          <w:rFonts w:ascii="Arial Nova" w:hAnsi="Arial Nova" w:eastAsia="Arial Nova" w:cs="Arial Nova"/>
          <w:noProof w:val="0"/>
          <w:sz w:val="22"/>
          <w:szCs w:val="22"/>
          <w:lang w:val="en-GB"/>
        </w:rPr>
        <w:t>Best-practice consultation includes multiple methods to ensure inclusivity and diversity:</w:t>
      </w:r>
    </w:p>
    <w:p w:rsidR="3BED43DF" w:rsidP="60E4BEB6" w:rsidRDefault="3BED43DF" w14:paraId="00212B7B" w14:textId="1DAB3102">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Public Exhibitions and Drop-In Sessions</w:t>
      </w:r>
      <w:r>
        <w:br/>
      </w:r>
      <w:r w:rsidRPr="60E4BEB6" w:rsidR="3BED43DF">
        <w:rPr>
          <w:rFonts w:ascii="Arial Nova" w:hAnsi="Arial Nova" w:eastAsia="Arial Nova" w:cs="Arial Nova"/>
          <w:noProof w:val="0"/>
          <w:sz w:val="22"/>
          <w:szCs w:val="22"/>
          <w:lang w:val="en-GB"/>
        </w:rPr>
        <w:t xml:space="preserve"> Provide accessible platforms for feedback from broad demographics.</w:t>
      </w:r>
    </w:p>
    <w:p w:rsidR="3BED43DF" w:rsidP="60E4BEB6" w:rsidRDefault="3BED43DF" w14:paraId="60BA7415" w14:textId="02B240F1">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Online and Paper Surveys</w:t>
      </w:r>
      <w:r>
        <w:br/>
      </w:r>
      <w:r w:rsidRPr="60E4BEB6" w:rsidR="3BED43DF">
        <w:rPr>
          <w:rFonts w:ascii="Arial Nova" w:hAnsi="Arial Nova" w:eastAsia="Arial Nova" w:cs="Arial Nova"/>
          <w:noProof w:val="0"/>
          <w:sz w:val="22"/>
          <w:szCs w:val="22"/>
          <w:lang w:val="en-GB"/>
        </w:rPr>
        <w:t xml:space="preserve"> Capture wide-ranging perspectives; useful for statistical analysis and minimising non-response bias.</w:t>
      </w:r>
    </w:p>
    <w:p w:rsidR="3BED43DF" w:rsidP="60E4BEB6" w:rsidRDefault="3BED43DF" w14:paraId="1ED75D07" w14:textId="4B8B21C1">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Focus Groups</w:t>
      </w:r>
      <w:r>
        <w:br/>
      </w:r>
      <w:r w:rsidRPr="60E4BEB6" w:rsidR="3BED43DF">
        <w:rPr>
          <w:rFonts w:ascii="Arial Nova" w:hAnsi="Arial Nova" w:eastAsia="Arial Nova" w:cs="Arial Nova"/>
          <w:noProof w:val="0"/>
          <w:sz w:val="22"/>
          <w:szCs w:val="22"/>
          <w:lang w:val="en-GB"/>
        </w:rPr>
        <w:t xml:space="preserve"> Enable deeper engagement with priority groups such as older adults, parents, and young people.</w:t>
      </w:r>
    </w:p>
    <w:p w:rsidR="3BED43DF" w:rsidP="60E4BEB6" w:rsidRDefault="3BED43DF" w14:paraId="6414C67A" w14:textId="33755781">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3B3420D8" w:rsidR="3BED43DF">
        <w:rPr>
          <w:rFonts w:ascii="Arial Nova" w:hAnsi="Arial Nova" w:eastAsia="Arial Nova" w:cs="Arial Nova"/>
          <w:b w:val="1"/>
          <w:bCs w:val="1"/>
          <w:noProof w:val="0"/>
          <w:sz w:val="22"/>
          <w:szCs w:val="22"/>
          <w:lang w:val="en-GB"/>
        </w:rPr>
        <w:t>Participatory Design Workshops</w:t>
      </w:r>
      <w:r>
        <w:br/>
      </w:r>
      <w:r w:rsidRPr="3B3420D8" w:rsidR="3BED43DF">
        <w:rPr>
          <w:rFonts w:ascii="Arial Nova" w:hAnsi="Arial Nova" w:eastAsia="Arial Nova" w:cs="Arial Nova"/>
          <w:noProof w:val="0"/>
          <w:sz w:val="22"/>
          <w:szCs w:val="22"/>
          <w:lang w:val="en-GB"/>
        </w:rPr>
        <w:t xml:space="preserve"> Encourage stakeholders to shape layout, features, and aesthetics. Participatory methods increase ownership and long-term commitment.</w:t>
      </w:r>
    </w:p>
    <w:p w:rsidR="3BED43DF" w:rsidP="60E4BEB6" w:rsidRDefault="3BED43DF" w14:paraId="256AE651" w14:textId="5B0B33EF">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Ecological and Accessibility Walk-Throughs</w:t>
      </w:r>
      <w:r>
        <w:br/>
      </w:r>
      <w:r w:rsidRPr="60E4BEB6" w:rsidR="3BED43DF">
        <w:rPr>
          <w:rFonts w:ascii="Arial Nova" w:hAnsi="Arial Nova" w:eastAsia="Arial Nova" w:cs="Arial Nova"/>
          <w:noProof w:val="0"/>
          <w:sz w:val="22"/>
          <w:szCs w:val="22"/>
          <w:lang w:val="en-GB"/>
        </w:rPr>
        <w:t xml:space="preserve"> Provide grounded, site-specific feedback and help </w:t>
      </w:r>
      <w:r w:rsidRPr="60E4BEB6" w:rsidR="3BED43DF">
        <w:rPr>
          <w:rFonts w:ascii="Arial Nova" w:hAnsi="Arial Nova" w:eastAsia="Arial Nova" w:cs="Arial Nova"/>
          <w:noProof w:val="0"/>
          <w:sz w:val="22"/>
          <w:szCs w:val="22"/>
          <w:lang w:val="en-GB"/>
        </w:rPr>
        <w:t>identify</w:t>
      </w:r>
      <w:r w:rsidRPr="60E4BEB6" w:rsidR="3BED43DF">
        <w:rPr>
          <w:rFonts w:ascii="Arial Nova" w:hAnsi="Arial Nova" w:eastAsia="Arial Nova" w:cs="Arial Nova"/>
          <w:noProof w:val="0"/>
          <w:sz w:val="22"/>
          <w:szCs w:val="22"/>
          <w:lang w:val="en-GB"/>
        </w:rPr>
        <w:t xml:space="preserve"> physical design barriers.</w:t>
      </w:r>
    </w:p>
    <w:p w:rsidR="3BED43DF" w:rsidP="60E4BEB6" w:rsidRDefault="3BED43DF" w14:paraId="2FD01A00" w14:textId="42545B78">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Formal Planning Consultation</w:t>
      </w:r>
      <w:r>
        <w:br/>
      </w:r>
      <w:r w:rsidRPr="60E4BEB6" w:rsidR="3BED43DF">
        <w:rPr>
          <w:rFonts w:ascii="Arial Nova" w:hAnsi="Arial Nova" w:eastAsia="Arial Nova" w:cs="Arial Nova"/>
          <w:noProof w:val="0"/>
          <w:sz w:val="22"/>
          <w:szCs w:val="22"/>
          <w:lang w:val="en-GB"/>
        </w:rPr>
        <w:t xml:space="preserve"> Required by legislation; ensures transparency and compliance.</w:t>
      </w:r>
    </w:p>
    <w:p w:rsidR="679E4293" w:rsidP="60E4BEB6" w:rsidRDefault="679E4293" w14:paraId="4FD7D4AF" w14:textId="4FDAC2E5">
      <w:pPr>
        <w:pStyle w:val="Normal"/>
        <w:spacing w:line="360" w:lineRule="auto"/>
        <w:ind w:left="0"/>
        <w:jc w:val="left"/>
        <w:rPr>
          <w:rFonts w:ascii="Arial Nova" w:hAnsi="Arial Nova" w:eastAsia="Arial Nova" w:cs="Arial Nova"/>
          <w:b w:val="1"/>
          <w:bCs w:val="1"/>
          <w:noProof w:val="0"/>
          <w:sz w:val="22"/>
          <w:szCs w:val="22"/>
          <w:lang w:val="en-GB"/>
        </w:rPr>
      </w:pPr>
      <w:r w:rsidRPr="60E4BEB6" w:rsidR="679E4293">
        <w:rPr>
          <w:rFonts w:ascii="Arial Nova" w:hAnsi="Arial Nova" w:eastAsia="Arial Nova" w:cs="Arial Nova"/>
          <w:b w:val="1"/>
          <w:bCs w:val="1"/>
          <w:noProof w:val="0"/>
          <w:sz w:val="22"/>
          <w:szCs w:val="22"/>
          <w:lang w:val="en-GB"/>
        </w:rPr>
        <w:t xml:space="preserve">2.5 </w:t>
      </w:r>
      <w:r w:rsidRPr="60E4BEB6" w:rsidR="3BED43DF">
        <w:rPr>
          <w:rFonts w:ascii="Arial Nova" w:hAnsi="Arial Nova" w:eastAsia="Arial Nova" w:cs="Arial Nova"/>
          <w:b w:val="1"/>
          <w:bCs w:val="1"/>
          <w:noProof w:val="0"/>
          <w:sz w:val="22"/>
          <w:szCs w:val="22"/>
          <w:lang w:val="en-GB"/>
        </w:rPr>
        <w:t>Integration with Quality and Design Standards</w:t>
      </w:r>
    </w:p>
    <w:p w:rsidR="3BED43DF" w:rsidP="60E4BEB6" w:rsidRDefault="3BED43DF" w14:paraId="7E581DDE" w14:textId="462CCAB7">
      <w:pPr>
        <w:spacing w:before="240" w:beforeAutospacing="off" w:after="240" w:afterAutospacing="off" w:line="360" w:lineRule="auto"/>
        <w:jc w:val="left"/>
        <w:rPr>
          <w:rFonts w:ascii="Arial Nova" w:hAnsi="Arial Nova" w:eastAsia="Arial Nova" w:cs="Arial Nova"/>
          <w:i w:val="0"/>
          <w:iCs w:val="0"/>
          <w:noProof w:val="0"/>
          <w:sz w:val="22"/>
          <w:szCs w:val="22"/>
          <w:lang w:val="en-GB"/>
        </w:rPr>
      </w:pPr>
      <w:r w:rsidRPr="60E4BEB6" w:rsidR="3BED43DF">
        <w:rPr>
          <w:rFonts w:ascii="Arial Nova" w:hAnsi="Arial Nova" w:eastAsia="Arial Nova" w:cs="Arial Nova"/>
          <w:i w:val="0"/>
          <w:iCs w:val="0"/>
          <w:noProof w:val="0"/>
          <w:sz w:val="22"/>
          <w:szCs w:val="22"/>
          <w:lang w:val="en-GB"/>
        </w:rPr>
        <w:t>The consultation plan aligns with:</w:t>
      </w:r>
    </w:p>
    <w:p w:rsidR="3BED43DF" w:rsidP="3B3420D8" w:rsidRDefault="3BED43DF" w14:paraId="5BACA0E7" w14:textId="6C3E558F">
      <w:pPr>
        <w:pStyle w:val="ListParagraph"/>
        <w:numPr>
          <w:ilvl w:val="0"/>
          <w:numId w:val="20"/>
        </w:numPr>
        <w:spacing w:before="240" w:beforeAutospacing="off" w:after="240" w:afterAutospacing="off" w:line="360" w:lineRule="auto"/>
        <w:jc w:val="left"/>
        <w:rPr>
          <w:rFonts w:ascii="Arial Nova" w:hAnsi="Arial Nova" w:eastAsia="Arial Nova" w:cs="Arial Nova"/>
          <w:i w:val="0"/>
          <w:iCs w:val="0"/>
          <w:noProof w:val="0"/>
          <w:sz w:val="22"/>
          <w:szCs w:val="22"/>
          <w:lang w:val="en-GB"/>
        </w:rPr>
      </w:pPr>
      <w:r w:rsidRPr="3B3420D8" w:rsidR="3BED43DF">
        <w:rPr>
          <w:rFonts w:ascii="Arial Nova" w:hAnsi="Arial Nova" w:eastAsia="Arial Nova" w:cs="Arial Nova"/>
          <w:i w:val="0"/>
          <w:iCs w:val="0"/>
          <w:noProof w:val="0"/>
          <w:sz w:val="22"/>
          <w:szCs w:val="22"/>
          <w:lang w:val="en-GB"/>
        </w:rPr>
        <w:t>Green Infrastructure Standards</w:t>
      </w:r>
    </w:p>
    <w:p w:rsidR="3BED43DF" w:rsidP="60E4BEB6" w:rsidRDefault="3BED43DF" w14:paraId="4997EF8E" w14:textId="73EEA46A">
      <w:pPr>
        <w:pStyle w:val="ListParagraph"/>
        <w:numPr>
          <w:ilvl w:val="0"/>
          <w:numId w:val="20"/>
        </w:numPr>
        <w:spacing w:before="240" w:beforeAutospacing="off" w:after="240" w:afterAutospacing="off" w:line="360" w:lineRule="auto"/>
        <w:jc w:val="left"/>
        <w:rPr>
          <w:rFonts w:ascii="Arial Nova" w:hAnsi="Arial Nova" w:eastAsia="Arial Nova" w:cs="Arial Nova"/>
          <w:i w:val="0"/>
          <w:iCs w:val="0"/>
          <w:noProof w:val="0"/>
          <w:sz w:val="22"/>
          <w:szCs w:val="22"/>
          <w:lang w:val="en-GB"/>
        </w:rPr>
      </w:pPr>
      <w:r w:rsidRPr="60E4BEB6" w:rsidR="3BED43DF">
        <w:rPr>
          <w:rFonts w:ascii="Arial Nova" w:hAnsi="Arial Nova" w:eastAsia="Arial Nova" w:cs="Arial Nova"/>
          <w:i w:val="0"/>
          <w:iCs w:val="0"/>
          <w:noProof w:val="0"/>
          <w:sz w:val="22"/>
          <w:szCs w:val="22"/>
          <w:lang w:val="en-GB"/>
        </w:rPr>
        <w:t>Green Flag Award Criteria</w:t>
      </w:r>
      <w:r w:rsidRPr="60E4BEB6" w:rsidR="3BED43DF">
        <w:rPr>
          <w:rFonts w:ascii="Arial Nova" w:hAnsi="Arial Nova" w:eastAsia="Arial Nova" w:cs="Arial Nova"/>
          <w:i w:val="0"/>
          <w:iCs w:val="0"/>
          <w:noProof w:val="0"/>
          <w:sz w:val="22"/>
          <w:szCs w:val="22"/>
          <w:lang w:val="en-GB"/>
        </w:rPr>
        <w:t xml:space="preserve"> (Parks Management Standards)</w:t>
      </w:r>
    </w:p>
    <w:p w:rsidR="3BED43DF" w:rsidP="60E4BEB6" w:rsidRDefault="3BED43DF" w14:paraId="451A5B77" w14:textId="60FD611D">
      <w:pPr>
        <w:pStyle w:val="ListParagraph"/>
        <w:numPr>
          <w:ilvl w:val="0"/>
          <w:numId w:val="20"/>
        </w:numPr>
        <w:spacing w:before="240" w:beforeAutospacing="off" w:after="240" w:afterAutospacing="off" w:line="360" w:lineRule="auto"/>
        <w:jc w:val="left"/>
        <w:rPr>
          <w:rFonts w:ascii="Arial Nova" w:hAnsi="Arial Nova" w:eastAsia="Arial Nova" w:cs="Arial Nova"/>
          <w:i w:val="0"/>
          <w:iCs w:val="0"/>
          <w:noProof w:val="0"/>
          <w:sz w:val="22"/>
          <w:szCs w:val="22"/>
          <w:lang w:val="en-GB"/>
        </w:rPr>
      </w:pPr>
      <w:r w:rsidRPr="60E4BEB6" w:rsidR="3BED43DF">
        <w:rPr>
          <w:rFonts w:ascii="Arial Nova" w:hAnsi="Arial Nova" w:eastAsia="Arial Nova" w:cs="Arial Nova"/>
          <w:i w:val="0"/>
          <w:iCs w:val="0"/>
          <w:noProof w:val="0"/>
          <w:sz w:val="22"/>
          <w:szCs w:val="22"/>
          <w:lang w:val="en-GB"/>
        </w:rPr>
        <w:t>Town and Country Planning Association (TCPA) good practice guidelines</w:t>
      </w:r>
    </w:p>
    <w:p w:rsidR="3BED43DF" w:rsidP="60E4BEB6" w:rsidRDefault="3BED43DF" w14:paraId="1DFF8358" w14:textId="3A9B78E9">
      <w:pPr>
        <w:spacing w:before="240" w:beforeAutospacing="off" w:after="240" w:afterAutospacing="off" w:line="360" w:lineRule="auto"/>
        <w:jc w:val="left"/>
      </w:pPr>
      <w:r w:rsidRPr="3B3420D8" w:rsidR="3BED43DF">
        <w:rPr>
          <w:rFonts w:ascii="Arial Nova" w:hAnsi="Arial Nova" w:eastAsia="Arial Nova" w:cs="Arial Nova"/>
          <w:noProof w:val="0"/>
          <w:sz w:val="22"/>
          <w:szCs w:val="22"/>
          <w:lang w:val="en-GB"/>
        </w:rPr>
        <w:t>Such standards enhance ecological integrity, community engagement, and design quality, helping ensure the park is both functional and sustainable.</w:t>
      </w:r>
    </w:p>
    <w:p w:rsidR="781D89ED" w:rsidP="60E4BEB6" w:rsidRDefault="781D89ED" w14:paraId="20AD6664" w14:textId="27F49D22">
      <w:pPr>
        <w:pStyle w:val="Normal"/>
        <w:spacing w:line="360" w:lineRule="auto"/>
        <w:ind w:left="0"/>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781D89ED">
        <w:rPr>
          <w:rFonts w:ascii="Arial Nova" w:hAnsi="Arial Nova" w:eastAsia="Arial Nova" w:cs="Arial Nova" w:asciiTheme="minorAscii" w:hAnsiTheme="minorAscii" w:eastAsiaTheme="minorAscii" w:cstheme="minorAscii"/>
          <w:b w:val="1"/>
          <w:bCs w:val="1"/>
          <w:noProof w:val="0"/>
          <w:sz w:val="22"/>
          <w:szCs w:val="22"/>
          <w:lang w:val="en-GB"/>
        </w:rPr>
        <w:t>Element 3: Ethical Consideration in Stakeholders Consultation, Participation and Feedback</w:t>
      </w:r>
    </w:p>
    <w:p w:rsidR="7A84F11C" w:rsidP="60E4BEB6" w:rsidRDefault="7A84F11C" w14:paraId="033E18AE" w14:textId="477103A3">
      <w:pPr>
        <w:pStyle w:val="Normal"/>
        <w:spacing w:line="360" w:lineRule="auto"/>
        <w:ind w:left="0"/>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7A84F11C">
        <w:rPr>
          <w:rFonts w:ascii="Arial Nova" w:hAnsi="Arial Nova" w:eastAsia="Arial Nova" w:cs="Arial Nova" w:asciiTheme="minorAscii" w:hAnsiTheme="minorAscii" w:eastAsiaTheme="minorAscii" w:cstheme="minorAscii"/>
          <w:b w:val="1"/>
          <w:bCs w:val="1"/>
          <w:noProof w:val="0"/>
          <w:sz w:val="22"/>
          <w:szCs w:val="22"/>
          <w:lang w:val="en-GB"/>
        </w:rPr>
        <w:t>3.1</w:t>
      </w:r>
      <w:r w:rsidRPr="60E4BEB6" w:rsidR="7A84F11C">
        <w:rPr>
          <w:rFonts w:ascii="Arial Nova" w:hAnsi="Arial Nova" w:eastAsia="Arial Nova" w:cs="Arial Nova" w:asciiTheme="minorAscii" w:hAnsiTheme="minorAscii" w:eastAsiaTheme="minorAscii" w:cstheme="minorAscii"/>
          <w:b w:val="1"/>
          <w:bCs w:val="1"/>
          <w:noProof w:val="0"/>
          <w:sz w:val="22"/>
          <w:szCs w:val="22"/>
          <w:lang w:val="en-GB"/>
        </w:rPr>
        <w:t xml:space="preserve"> </w:t>
      </w:r>
      <w:r w:rsidRPr="60E4BEB6" w:rsidR="2E4702B2">
        <w:rPr>
          <w:rFonts w:ascii="Arial Nova" w:hAnsi="Arial Nova" w:eastAsia="Arial Nova" w:cs="Arial Nova" w:asciiTheme="minorAscii" w:hAnsiTheme="minorAscii" w:eastAsiaTheme="minorAscii" w:cstheme="minorAscii"/>
          <w:b w:val="1"/>
          <w:bCs w:val="1"/>
          <w:noProof w:val="0"/>
          <w:sz w:val="22"/>
          <w:szCs w:val="22"/>
          <w:lang w:val="en-GB"/>
        </w:rPr>
        <w:t xml:space="preserve">Ethical Foundations </w:t>
      </w:r>
    </w:p>
    <w:p w:rsidR="2E4702B2" w:rsidP="3B3420D8" w:rsidRDefault="2E4702B2" w14:paraId="757EEF42" w14:textId="168AF2DC">
      <w:pPr>
        <w:pStyle w:val="Normal"/>
        <w:spacing w:line="360" w:lineRule="auto"/>
        <w:ind w:left="0"/>
        <w:jc w:val="left"/>
        <w:rPr>
          <w:rFonts w:ascii="Arial Nova" w:hAnsi="Arial Nova" w:eastAsia="Arial Nova" w:cs="Arial Nova"/>
          <w:noProof w:val="0"/>
          <w:sz w:val="22"/>
          <w:szCs w:val="22"/>
          <w:lang w:val="en-GB"/>
        </w:rPr>
      </w:pPr>
      <w:r w:rsidRPr="3B3420D8" w:rsidR="2E4702B2">
        <w:rPr>
          <w:rFonts w:ascii="Arial Nova" w:hAnsi="Arial Nova" w:eastAsia="Arial Nova" w:cs="Arial Nova" w:asciiTheme="minorAscii" w:hAnsiTheme="minorAscii" w:eastAsiaTheme="minorAscii" w:cstheme="minorAscii"/>
          <w:noProof w:val="0"/>
          <w:sz w:val="22"/>
          <w:szCs w:val="22"/>
          <w:lang w:val="en-GB"/>
        </w:rPr>
        <w:t>Ethical consultation is essential to ensure stakeholder participation is voluntary, respectful, and representative. According to modern public engagement ethics, projects must prioritise transparency, fairness, and inclusivity to avoid tokenistic or extractive practices.</w:t>
      </w:r>
      <w:r w:rsidRPr="3B3420D8" w:rsidR="4E510C6E">
        <w:rPr>
          <w:rFonts w:ascii="Arial Nova" w:hAnsi="Arial Nova" w:eastAsia="Arial Nova" w:cs="Arial Nova" w:asciiTheme="minorAscii" w:hAnsiTheme="minorAscii" w:eastAsiaTheme="minorAscii" w:cstheme="minorAscii"/>
          <w:noProof w:val="0"/>
          <w:sz w:val="22"/>
          <w:szCs w:val="22"/>
          <w:lang w:val="en-GB"/>
        </w:rPr>
        <w:t xml:space="preserve"> </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 xml:space="preserve">One of the most critical and challenging phases of guideline development is </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determining</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 xml:space="preserve"> the guideline scope, and there is currently scant guidance for how stakeholders can be engaged in </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feasible</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 xml:space="preserve"> and ethical ways. (</w:t>
      </w:r>
      <w:r w:rsidRPr="3B3420D8" w:rsidR="33431E8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Anne Mette N. Adams et al., 2023)</w:t>
      </w:r>
    </w:p>
    <w:p w:rsidR="40B85B88" w:rsidP="60E4BEB6" w:rsidRDefault="40B85B88" w14:paraId="27D816AC" w14:textId="348E178A">
      <w:pPr>
        <w:pStyle w:val="Normal"/>
        <w:spacing w:line="360" w:lineRule="auto"/>
        <w:ind w:left="0"/>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0B85B88">
        <w:rPr>
          <w:rFonts w:ascii="Arial Nova" w:hAnsi="Arial Nova" w:eastAsia="Arial Nova" w:cs="Arial Nova" w:asciiTheme="minorAscii" w:hAnsiTheme="minorAscii" w:eastAsiaTheme="minorAscii" w:cstheme="minorAscii"/>
          <w:b w:val="1"/>
          <w:bCs w:val="1"/>
          <w:noProof w:val="0"/>
          <w:sz w:val="22"/>
          <w:szCs w:val="22"/>
          <w:lang w:val="en-GB"/>
        </w:rPr>
        <w:t xml:space="preserve">3.2 </w:t>
      </w:r>
      <w:r w:rsidRPr="60E4BEB6" w:rsidR="1D28814D">
        <w:rPr>
          <w:rFonts w:ascii="Arial Nova" w:hAnsi="Arial Nova" w:eastAsia="Arial Nova" w:cs="Arial Nova" w:asciiTheme="minorAscii" w:hAnsiTheme="minorAscii" w:eastAsiaTheme="minorAscii" w:cstheme="minorAscii"/>
          <w:b w:val="1"/>
          <w:bCs w:val="1"/>
          <w:noProof w:val="0"/>
          <w:sz w:val="22"/>
          <w:szCs w:val="22"/>
          <w:lang w:val="en-GB"/>
        </w:rPr>
        <w:t xml:space="preserve">Informed Consent </w:t>
      </w:r>
    </w:p>
    <w:p w:rsidR="1D28814D" w:rsidP="60E4BEB6" w:rsidRDefault="1D28814D" w14:paraId="368ABD2F" w14:textId="4A528348">
      <w:pPr>
        <w:pStyle w:val="ListParagraph"/>
        <w:numPr>
          <w:ilvl w:val="0"/>
          <w:numId w:val="2"/>
        </w:num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Participants must understand:</w:t>
      </w:r>
    </w:p>
    <w:p w:rsidR="1D28814D" w:rsidP="60E4BEB6" w:rsidRDefault="1D28814D" w14:paraId="0678F80F" w14:textId="27464111">
      <w:pPr>
        <w:pStyle w:val="ListParagraph"/>
        <w:numPr>
          <w:ilvl w:val="0"/>
          <w:numId w:val="2"/>
        </w:num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the purpose of data collection</w:t>
      </w:r>
    </w:p>
    <w:p w:rsidR="1D28814D" w:rsidP="60E4BEB6" w:rsidRDefault="1D28814D" w14:paraId="7C22BD96" w14:textId="09B75CC5">
      <w:pPr>
        <w:pStyle w:val="ListParagraph"/>
        <w:numPr>
          <w:ilvl w:val="0"/>
          <w:numId w:val="2"/>
        </w:num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how their information will be stored</w:t>
      </w:r>
    </w:p>
    <w:p w:rsidR="1D28814D" w:rsidP="60E4BEB6" w:rsidRDefault="1D28814D" w14:paraId="7598A84F" w14:textId="50C07D7D">
      <w:pPr>
        <w:pStyle w:val="ListParagraph"/>
        <w:numPr>
          <w:ilvl w:val="0"/>
          <w:numId w:val="2"/>
        </w:num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how results will be used</w:t>
      </w:r>
    </w:p>
    <w:p w:rsidR="1D28814D" w:rsidP="60E4BEB6" w:rsidRDefault="1D28814D" w14:paraId="33938851" w14:textId="6A775F95">
      <w:pPr>
        <w:pStyle w:val="ListParagraph"/>
        <w:numPr>
          <w:ilvl w:val="0"/>
          <w:numId w:val="2"/>
        </w:num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their right to withdraw</w:t>
      </w:r>
    </w:p>
    <w:p w:rsidR="1D28814D" w:rsidP="60E4BEB6" w:rsidRDefault="1D28814D" w14:paraId="14078C37" w14:textId="6004A1FC">
      <w:pPr>
        <w:pStyle w:val="ListParagraph"/>
        <w:numPr>
          <w:ilvl w:val="0"/>
          <w:numId w:val="2"/>
        </w:numPr>
        <w:spacing w:before="240" w:beforeAutospacing="off" w:after="240" w:afterAutospacing="off" w:line="360" w:lineRule="auto"/>
        <w:rPr>
          <w:noProof w:val="0"/>
          <w:lang w:val="en-GB"/>
        </w:rPr>
      </w:pPr>
      <w:r w:rsidRPr="3B3420D8" w:rsidR="1D28814D">
        <w:rPr>
          <w:noProof w:val="0"/>
          <w:lang w:val="en-GB"/>
        </w:rPr>
        <w:t>Clear consent forms and verbal explanations ensure ethical compliance and reduce the risk of misinterpretation.</w:t>
      </w:r>
    </w:p>
    <w:p w:rsidR="4D3E313C" w:rsidP="60E4BEB6" w:rsidRDefault="4D3E313C" w14:paraId="2E364C8D" w14:textId="5C0BDDF3">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60E4BEB6" w:rsidR="4D3E313C">
        <w:rPr>
          <w:rFonts w:ascii="Arial Nova" w:hAnsi="Arial Nova" w:eastAsia="Arial Nova" w:cs="Arial Nova"/>
          <w:b w:val="1"/>
          <w:bCs w:val="1"/>
          <w:noProof w:val="0"/>
          <w:sz w:val="22"/>
          <w:szCs w:val="22"/>
          <w:lang w:val="en-GB"/>
        </w:rPr>
        <w:t xml:space="preserve">3.3 </w:t>
      </w:r>
      <w:r w:rsidRPr="60E4BEB6" w:rsidR="1D28814D">
        <w:rPr>
          <w:rFonts w:ascii="Arial Nova" w:hAnsi="Arial Nova" w:eastAsia="Arial Nova" w:cs="Arial Nova"/>
          <w:b w:val="1"/>
          <w:bCs w:val="1"/>
          <w:noProof w:val="0"/>
          <w:sz w:val="22"/>
          <w:szCs w:val="22"/>
          <w:lang w:val="en-GB"/>
        </w:rPr>
        <w:t xml:space="preserve">Data protection and Confidentiality </w:t>
      </w:r>
    </w:p>
    <w:p w:rsidR="1D28814D" w:rsidP="60E4BEB6" w:rsidRDefault="1D28814D" w14:paraId="393BE929" w14:textId="7A886633">
      <w:pPr>
        <w:pStyle w:val="ListParagraph"/>
        <w:numPr>
          <w:ilvl w:val="0"/>
          <w:numId w:val="3"/>
        </w:numPr>
        <w:spacing w:before="240" w:beforeAutospacing="off" w:after="240" w:afterAutospacing="off" w:line="360" w:lineRule="auto"/>
        <w:jc w:val="left"/>
        <w:rPr>
          <w:noProof w:val="0"/>
          <w:sz w:val="22"/>
          <w:szCs w:val="22"/>
          <w:lang w:val="en-GB"/>
        </w:rPr>
      </w:pPr>
      <w:r w:rsidRPr="60E4BEB6" w:rsidR="1D28814D">
        <w:rPr>
          <w:noProof w:val="0"/>
          <w:sz w:val="22"/>
          <w:szCs w:val="22"/>
          <w:lang w:val="en-GB"/>
        </w:rPr>
        <w:t>Ethical obligations require adherence to GDPR principles. Key practices include:</w:t>
      </w:r>
    </w:p>
    <w:p w:rsidR="1D28814D" w:rsidP="60E4BEB6" w:rsidRDefault="1D28814D" w14:paraId="29D727C4" w14:textId="72A662CF">
      <w:pPr>
        <w:pStyle w:val="ListParagraph"/>
        <w:numPr>
          <w:ilvl w:val="0"/>
          <w:numId w:val="3"/>
        </w:numPr>
        <w:spacing w:before="240" w:beforeAutospacing="off" w:after="240" w:afterAutospacing="off" w:line="360" w:lineRule="auto"/>
        <w:rPr>
          <w:noProof w:val="0"/>
          <w:sz w:val="22"/>
          <w:szCs w:val="22"/>
          <w:lang w:val="en-GB"/>
        </w:rPr>
      </w:pPr>
      <w:r w:rsidRPr="60E4BEB6" w:rsidR="1D28814D">
        <w:rPr>
          <w:noProof w:val="0"/>
          <w:sz w:val="22"/>
          <w:szCs w:val="22"/>
          <w:lang w:val="en-GB"/>
        </w:rPr>
        <w:t>anonymising personal identifiers</w:t>
      </w:r>
    </w:p>
    <w:p w:rsidR="1D28814D" w:rsidP="60E4BEB6" w:rsidRDefault="1D28814D" w14:paraId="43CFA6D8" w14:textId="2D109C7D">
      <w:pPr>
        <w:pStyle w:val="ListParagraph"/>
        <w:numPr>
          <w:ilvl w:val="0"/>
          <w:numId w:val="3"/>
        </w:numPr>
        <w:spacing w:before="240" w:beforeAutospacing="off" w:after="240" w:afterAutospacing="off" w:line="360" w:lineRule="auto"/>
        <w:rPr>
          <w:noProof w:val="0"/>
          <w:sz w:val="22"/>
          <w:szCs w:val="22"/>
          <w:lang w:val="en-GB"/>
        </w:rPr>
      </w:pPr>
      <w:r w:rsidRPr="60E4BEB6" w:rsidR="1D28814D">
        <w:rPr>
          <w:noProof w:val="0"/>
          <w:sz w:val="22"/>
          <w:szCs w:val="22"/>
          <w:lang w:val="en-GB"/>
        </w:rPr>
        <w:t>restricting access to sensitive data</w:t>
      </w:r>
    </w:p>
    <w:p w:rsidR="1D28814D" w:rsidP="60E4BEB6" w:rsidRDefault="1D28814D" w14:paraId="2D266C35" w14:textId="7E92EDF1">
      <w:pPr>
        <w:pStyle w:val="ListParagraph"/>
        <w:numPr>
          <w:ilvl w:val="0"/>
          <w:numId w:val="3"/>
        </w:numPr>
        <w:spacing w:before="240" w:beforeAutospacing="off" w:after="240" w:afterAutospacing="off" w:line="360" w:lineRule="auto"/>
        <w:rPr>
          <w:noProof w:val="0"/>
          <w:sz w:val="22"/>
          <w:szCs w:val="22"/>
          <w:lang w:val="en-GB"/>
        </w:rPr>
      </w:pPr>
      <w:r w:rsidRPr="60E4BEB6" w:rsidR="1D28814D">
        <w:rPr>
          <w:noProof w:val="0"/>
          <w:sz w:val="22"/>
          <w:szCs w:val="22"/>
          <w:lang w:val="en-GB"/>
        </w:rPr>
        <w:t>secure digital storage</w:t>
      </w:r>
    </w:p>
    <w:p w:rsidR="1D28814D" w:rsidP="60E4BEB6" w:rsidRDefault="1D28814D" w14:paraId="3366BE17" w14:textId="6511ABAC">
      <w:pPr>
        <w:pStyle w:val="ListParagraph"/>
        <w:numPr>
          <w:ilvl w:val="0"/>
          <w:numId w:val="3"/>
        </w:numPr>
        <w:spacing w:before="240" w:beforeAutospacing="off" w:after="240" w:afterAutospacing="off" w:line="360" w:lineRule="auto"/>
        <w:rPr>
          <w:noProof w:val="0"/>
          <w:sz w:val="22"/>
          <w:szCs w:val="22"/>
          <w:lang w:val="en-GB"/>
        </w:rPr>
      </w:pPr>
      <w:r w:rsidRPr="60E4BEB6" w:rsidR="1D28814D">
        <w:rPr>
          <w:noProof w:val="0"/>
          <w:sz w:val="22"/>
          <w:szCs w:val="22"/>
          <w:lang w:val="en-GB"/>
        </w:rPr>
        <w:t>transparent privacy notices</w:t>
      </w:r>
    </w:p>
    <w:p w:rsidR="1D28814D" w:rsidP="60E4BEB6" w:rsidRDefault="1D28814D" w14:paraId="3D693667" w14:textId="3F9AD8D5">
      <w:pPr>
        <w:pStyle w:val="ListParagraph"/>
        <w:numPr>
          <w:ilvl w:val="0"/>
          <w:numId w:val="3"/>
        </w:numPr>
        <w:spacing w:before="240" w:beforeAutospacing="off" w:after="240" w:afterAutospacing="off" w:line="360" w:lineRule="auto"/>
        <w:rPr>
          <w:noProof w:val="0"/>
          <w:sz w:val="22"/>
          <w:szCs w:val="22"/>
          <w:lang w:val="en-GB"/>
        </w:rPr>
      </w:pPr>
      <w:r w:rsidRPr="3B3420D8" w:rsidR="1D28814D">
        <w:rPr>
          <w:noProof w:val="0"/>
          <w:sz w:val="22"/>
          <w:szCs w:val="22"/>
          <w:lang w:val="en-GB"/>
        </w:rPr>
        <w:t>These measures uphold trust and accountability, which are essential in public-sector engagement.</w:t>
      </w:r>
    </w:p>
    <w:p w:rsidR="1964AFC7" w:rsidP="60E4BEB6" w:rsidRDefault="1964AFC7" w14:paraId="6B4D5860" w14:textId="2C08F83B">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60E4BEB6" w:rsidR="1964AFC7">
        <w:rPr>
          <w:rFonts w:ascii="Arial Nova" w:hAnsi="Arial Nova" w:eastAsia="Arial Nova" w:cs="Arial Nova"/>
          <w:b w:val="1"/>
          <w:bCs w:val="1"/>
          <w:noProof w:val="0"/>
          <w:sz w:val="22"/>
          <w:szCs w:val="22"/>
          <w:lang w:val="en-GB"/>
        </w:rPr>
        <w:t xml:space="preserve">3.4 </w:t>
      </w:r>
      <w:r w:rsidRPr="60E4BEB6" w:rsidR="5B69D295">
        <w:rPr>
          <w:rFonts w:ascii="Arial Nova" w:hAnsi="Arial Nova" w:eastAsia="Arial Nova" w:cs="Arial Nova"/>
          <w:b w:val="1"/>
          <w:bCs w:val="1"/>
          <w:noProof w:val="0"/>
          <w:sz w:val="22"/>
          <w:szCs w:val="22"/>
          <w:lang w:val="en-GB"/>
        </w:rPr>
        <w:t xml:space="preserve">Minimising Bias </w:t>
      </w:r>
    </w:p>
    <w:p w:rsidR="5B69D295" w:rsidP="60E4BEB6" w:rsidRDefault="5B69D295" w14:paraId="7423C1B1" w14:textId="3FB85B60">
      <w:pPr>
        <w:spacing w:before="240" w:beforeAutospacing="off" w:after="240" w:afterAutospacing="off" w:line="360" w:lineRule="auto"/>
        <w:jc w:val="left"/>
      </w:pPr>
      <w:r w:rsidRPr="60E4BEB6" w:rsidR="5B69D295">
        <w:rPr>
          <w:rFonts w:ascii="Arial Nova" w:hAnsi="Arial Nova" w:eastAsia="Arial Nova" w:cs="Arial Nova"/>
          <w:noProof w:val="0"/>
          <w:sz w:val="22"/>
          <w:szCs w:val="22"/>
          <w:lang w:val="en-GB"/>
        </w:rPr>
        <w:t>Several strategies help mitigate potential bias:</w:t>
      </w:r>
    </w:p>
    <w:p w:rsidR="5B69D295" w:rsidP="60E4BEB6" w:rsidRDefault="5B69D295" w14:paraId="4CC84D12" w14:textId="64DF0CFE">
      <w:pPr>
        <w:pStyle w:val="ListParagraph"/>
        <w:numPr>
          <w:ilvl w:val="0"/>
          <w:numId w:val="23"/>
        </w:numPr>
        <w:spacing w:before="240" w:beforeAutospacing="off" w:after="240" w:afterAutospacing="off" w:line="360" w:lineRule="auto"/>
        <w:jc w:val="left"/>
        <w:rPr>
          <w:rFonts w:ascii="Arial Nova" w:hAnsi="Arial Nova" w:eastAsia="Arial Nova" w:cs="Arial Nova"/>
          <w:noProof w:val="0"/>
          <w:sz w:val="22"/>
          <w:szCs w:val="22"/>
          <w:lang w:val="en-GB"/>
        </w:rPr>
      </w:pPr>
      <w:r w:rsidRPr="3B3420D8" w:rsidR="5B69D295">
        <w:rPr>
          <w:rFonts w:ascii="Arial Nova" w:hAnsi="Arial Nova" w:eastAsia="Arial Nova" w:cs="Arial Nova"/>
          <w:b w:val="1"/>
          <w:bCs w:val="1"/>
          <w:noProof w:val="0"/>
          <w:sz w:val="22"/>
          <w:szCs w:val="22"/>
          <w:lang w:val="en-GB"/>
        </w:rPr>
        <w:t>Sampling Bias:</w:t>
      </w:r>
      <w:r>
        <w:br/>
      </w:r>
      <w:r w:rsidRPr="3B3420D8" w:rsidR="5B69D295">
        <w:rPr>
          <w:rFonts w:ascii="Arial Nova" w:hAnsi="Arial Nova" w:eastAsia="Arial Nova" w:cs="Arial Nova"/>
          <w:noProof w:val="0"/>
          <w:sz w:val="22"/>
          <w:szCs w:val="22"/>
          <w:lang w:val="en-GB"/>
        </w:rPr>
        <w:t xml:space="preserve"> Stratified sampling ensures balanced representation of demographics, particularly marginalised groups.</w:t>
      </w:r>
    </w:p>
    <w:p w:rsidR="5B69D295" w:rsidP="60E4BEB6" w:rsidRDefault="5B69D295" w14:paraId="31D85D0F" w14:textId="2907A4EB">
      <w:pPr>
        <w:pStyle w:val="ListParagraph"/>
        <w:numPr>
          <w:ilvl w:val="0"/>
          <w:numId w:val="23"/>
        </w:numPr>
        <w:spacing w:before="240" w:beforeAutospacing="off" w:after="240" w:afterAutospacing="off" w:line="360" w:lineRule="auto"/>
        <w:jc w:val="left"/>
        <w:rPr>
          <w:rFonts w:ascii="Arial Nova" w:hAnsi="Arial Nova" w:eastAsia="Arial Nova" w:cs="Arial Nova"/>
          <w:noProof w:val="0"/>
          <w:sz w:val="22"/>
          <w:szCs w:val="22"/>
          <w:lang w:val="en-GB"/>
        </w:rPr>
      </w:pPr>
      <w:r w:rsidRPr="3B3420D8" w:rsidR="5B69D295">
        <w:rPr>
          <w:rFonts w:ascii="Arial Nova" w:hAnsi="Arial Nova" w:eastAsia="Arial Nova" w:cs="Arial Nova"/>
          <w:b w:val="1"/>
          <w:bCs w:val="1"/>
          <w:noProof w:val="0"/>
          <w:sz w:val="22"/>
          <w:szCs w:val="22"/>
          <w:lang w:val="en-GB"/>
        </w:rPr>
        <w:t>Confirmation Bias:</w:t>
      </w:r>
      <w:r>
        <w:br/>
      </w:r>
      <w:r w:rsidRPr="3B3420D8" w:rsidR="5B69D295">
        <w:rPr>
          <w:rFonts w:ascii="Arial Nova" w:hAnsi="Arial Nova" w:eastAsia="Arial Nova" w:cs="Arial Nova"/>
          <w:noProof w:val="0"/>
          <w:sz w:val="22"/>
          <w:szCs w:val="22"/>
          <w:lang w:val="en-GB"/>
        </w:rPr>
        <w:t xml:space="preserve"> Triangulation</w:t>
      </w:r>
      <w:r w:rsidRPr="3B3420D8" w:rsidR="184970B4">
        <w:rPr>
          <w:rFonts w:ascii="Arial Nova" w:hAnsi="Arial Nova" w:eastAsia="Arial Nova" w:cs="Arial Nova"/>
          <w:noProof w:val="0"/>
          <w:sz w:val="22"/>
          <w:szCs w:val="22"/>
          <w:lang w:val="en-GB"/>
        </w:rPr>
        <w:t xml:space="preserve"> </w:t>
      </w:r>
      <w:r w:rsidRPr="3B3420D8" w:rsidR="5B69D295">
        <w:rPr>
          <w:rFonts w:ascii="Arial Nova" w:hAnsi="Arial Nova" w:eastAsia="Arial Nova" w:cs="Arial Nova"/>
          <w:noProof w:val="0"/>
          <w:sz w:val="22"/>
          <w:szCs w:val="22"/>
          <w:lang w:val="en-GB"/>
        </w:rPr>
        <w:t>using multiple data sources</w:t>
      </w:r>
      <w:r w:rsidRPr="3B3420D8" w:rsidR="4ABA0352">
        <w:rPr>
          <w:rFonts w:ascii="Arial Nova" w:hAnsi="Arial Nova" w:eastAsia="Arial Nova" w:cs="Arial Nova"/>
          <w:noProof w:val="0"/>
          <w:sz w:val="22"/>
          <w:szCs w:val="22"/>
          <w:lang w:val="en-GB"/>
        </w:rPr>
        <w:t xml:space="preserve"> </w:t>
      </w:r>
      <w:r w:rsidRPr="3B3420D8" w:rsidR="5B69D295">
        <w:rPr>
          <w:rFonts w:ascii="Arial Nova" w:hAnsi="Arial Nova" w:eastAsia="Arial Nova" w:cs="Arial Nova"/>
          <w:noProof w:val="0"/>
          <w:sz w:val="22"/>
          <w:szCs w:val="22"/>
          <w:lang w:val="en-GB"/>
        </w:rPr>
        <w:t>ensures interpretations are not skewed by a single viewpoint.</w:t>
      </w:r>
    </w:p>
    <w:p w:rsidR="5B69D295" w:rsidP="60E4BEB6" w:rsidRDefault="5B69D295" w14:paraId="6E448173" w14:textId="3E053FFD">
      <w:pPr>
        <w:pStyle w:val="ListParagraph"/>
        <w:numPr>
          <w:ilvl w:val="0"/>
          <w:numId w:val="23"/>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5B69D295">
        <w:rPr>
          <w:rFonts w:ascii="Arial Nova" w:hAnsi="Arial Nova" w:eastAsia="Arial Nova" w:cs="Arial Nova"/>
          <w:b w:val="1"/>
          <w:bCs w:val="1"/>
          <w:noProof w:val="0"/>
          <w:sz w:val="22"/>
          <w:szCs w:val="22"/>
          <w:lang w:val="en-GB"/>
        </w:rPr>
        <w:t>Design Bias:</w:t>
      </w:r>
      <w:r>
        <w:br/>
      </w:r>
      <w:r w:rsidRPr="60E4BEB6" w:rsidR="5B69D295">
        <w:rPr>
          <w:rFonts w:ascii="Arial Nova" w:hAnsi="Arial Nova" w:eastAsia="Arial Nova" w:cs="Arial Nova"/>
          <w:noProof w:val="0"/>
          <w:sz w:val="22"/>
          <w:szCs w:val="22"/>
          <w:lang w:val="en-GB"/>
        </w:rPr>
        <w:t xml:space="preserve"> Neutral, non-leading survey questions reduce response bias.</w:t>
      </w:r>
    </w:p>
    <w:p w:rsidR="5B69D295" w:rsidP="60E4BEB6" w:rsidRDefault="5B69D295" w14:paraId="08CE63BB" w14:textId="028B5DE3">
      <w:pPr>
        <w:pStyle w:val="ListParagraph"/>
        <w:numPr>
          <w:ilvl w:val="0"/>
          <w:numId w:val="23"/>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5B69D295">
        <w:rPr>
          <w:rFonts w:ascii="Arial Nova" w:hAnsi="Arial Nova" w:eastAsia="Arial Nova" w:cs="Arial Nova"/>
          <w:b w:val="1"/>
          <w:bCs w:val="1"/>
          <w:noProof w:val="0"/>
          <w:sz w:val="22"/>
          <w:szCs w:val="22"/>
          <w:lang w:val="en-GB"/>
        </w:rPr>
        <w:t>Facilitation Bias:</w:t>
      </w:r>
      <w:r>
        <w:br/>
      </w:r>
      <w:r w:rsidRPr="60E4BEB6" w:rsidR="5B69D295">
        <w:rPr>
          <w:rFonts w:ascii="Arial Nova" w:hAnsi="Arial Nova" w:eastAsia="Arial Nova" w:cs="Arial Nova"/>
          <w:noProof w:val="0"/>
          <w:sz w:val="22"/>
          <w:szCs w:val="22"/>
          <w:lang w:val="en-GB"/>
        </w:rPr>
        <w:t xml:space="preserve"> Trained facilitators ensure that dominant voices do not overshadow minority perspectives.</w:t>
      </w:r>
    </w:p>
    <w:p w:rsidR="1418DB66" w:rsidP="60E4BEB6" w:rsidRDefault="1418DB66" w14:paraId="398E03C4" w14:textId="6090050A">
      <w:pPr>
        <w:pStyle w:val="Normal"/>
        <w:suppressLineNumbers w:val="0"/>
        <w:bidi w:val="0"/>
        <w:spacing w:before="240" w:beforeAutospacing="off" w:after="240" w:afterAutospacing="off" w:line="360" w:lineRule="auto"/>
        <w:ind w:left="0" w:right="0"/>
        <w:jc w:val="left"/>
      </w:pPr>
      <w:r w:rsidRPr="60E4BEB6" w:rsidR="1418DB66">
        <w:rPr>
          <w:rFonts w:ascii="Arial Nova" w:hAnsi="Arial Nova" w:eastAsia="Arial Nova" w:cs="Arial Nova"/>
          <w:b w:val="1"/>
          <w:bCs w:val="1"/>
          <w:noProof w:val="0"/>
          <w:sz w:val="22"/>
          <w:szCs w:val="22"/>
          <w:lang w:val="en-GB"/>
        </w:rPr>
        <w:t xml:space="preserve">3.5 Diversity, </w:t>
      </w:r>
      <w:r w:rsidRPr="60E4BEB6" w:rsidR="1418DB66">
        <w:rPr>
          <w:rFonts w:ascii="Arial Nova" w:hAnsi="Arial Nova" w:eastAsia="Arial Nova" w:cs="Arial Nova"/>
          <w:b w:val="1"/>
          <w:bCs w:val="1"/>
          <w:noProof w:val="0"/>
          <w:sz w:val="22"/>
          <w:szCs w:val="22"/>
          <w:lang w:val="en-GB"/>
        </w:rPr>
        <w:t>Equity</w:t>
      </w:r>
      <w:r w:rsidRPr="60E4BEB6" w:rsidR="1418DB66">
        <w:rPr>
          <w:rFonts w:ascii="Arial Nova" w:hAnsi="Arial Nova" w:eastAsia="Arial Nova" w:cs="Arial Nova"/>
          <w:b w:val="1"/>
          <w:bCs w:val="1"/>
          <w:noProof w:val="0"/>
          <w:sz w:val="22"/>
          <w:szCs w:val="22"/>
          <w:lang w:val="en-GB"/>
        </w:rPr>
        <w:t xml:space="preserve"> and Inclusion (DEI) </w:t>
      </w:r>
    </w:p>
    <w:p w:rsidR="1418DB66" w:rsidP="3B3420D8" w:rsidRDefault="1418DB66" w14:paraId="41E152A1" w14:textId="5579B419">
      <w:pPr>
        <w:pStyle w:val="Normal"/>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3B3420D8" w:rsidR="1418DB66">
        <w:rPr>
          <w:rFonts w:ascii="Arial Nova" w:hAnsi="Arial Nova" w:eastAsia="Arial Nova" w:cs="Arial Nova"/>
          <w:noProof w:val="0"/>
          <w:sz w:val="22"/>
          <w:szCs w:val="22"/>
          <w:lang w:val="en-GB"/>
        </w:rPr>
        <w:t xml:space="preserve">DEI is critical for community infrastructure projects, ensuring </w:t>
      </w:r>
      <w:r w:rsidRPr="3B3420D8" w:rsidR="1418DB66">
        <w:rPr>
          <w:rFonts w:ascii="Arial Nova" w:hAnsi="Arial Nova" w:eastAsia="Arial Nova" w:cs="Arial Nova"/>
          <w:noProof w:val="0"/>
          <w:sz w:val="22"/>
          <w:szCs w:val="22"/>
          <w:lang w:val="en-GB"/>
        </w:rPr>
        <w:t>equitable</w:t>
      </w:r>
      <w:r w:rsidRPr="3B3420D8" w:rsidR="1418DB66">
        <w:rPr>
          <w:rFonts w:ascii="Arial Nova" w:hAnsi="Arial Nova" w:eastAsia="Arial Nova" w:cs="Arial Nova"/>
          <w:noProof w:val="0"/>
          <w:sz w:val="22"/>
          <w:szCs w:val="22"/>
          <w:lang w:val="en-GB"/>
        </w:rPr>
        <w:t xml:space="preserve"> access and meaningful participation. </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Diversity, Equity, and Inclusion (DEI) has become ubiquitous in public and academic discourse. This is despite ongoing contests over definitions and the lack of a clear consensus about the relative importance (and even the </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appropriate order</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of each </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component</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(Zeynep </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Arsel</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et al., </w:t>
      </w:r>
      <w:r w:rsidRPr="3B3420D8" w:rsidR="78C3B4CA">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2022)</w:t>
      </w:r>
    </w:p>
    <w:p w:rsidR="1418DB66" w:rsidP="3B3420D8" w:rsidRDefault="1418DB66" w14:paraId="59E41584" w14:textId="1851008B">
      <w:pPr>
        <w:pStyle w:val="Normal"/>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w:t>
      </w:r>
      <w:r w:rsidRPr="3B3420D8" w:rsidR="1418DB66">
        <w:rPr>
          <w:rFonts w:ascii="Arial Nova" w:hAnsi="Arial Nova" w:eastAsia="Arial Nova" w:cs="Arial Nova"/>
          <w:noProof w:val="0"/>
          <w:color w:val="auto"/>
          <w:sz w:val="22"/>
          <w:szCs w:val="22"/>
          <w:lang w:val="en-GB"/>
        </w:rPr>
        <w:t>Key commitments include:</w:t>
      </w:r>
    </w:p>
    <w:p w:rsidR="1418DB66" w:rsidP="60E4BEB6" w:rsidRDefault="1418DB66" w14:paraId="59E5CF55" w14:textId="2BCB4D1E">
      <w:pPr>
        <w:pStyle w:val="ListParagraph"/>
        <w:numPr>
          <w:ilvl w:val="0"/>
          <w:numId w:val="24"/>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1418DB66">
        <w:rPr>
          <w:rFonts w:ascii="Arial Nova" w:hAnsi="Arial Nova" w:eastAsia="Arial Nova" w:cs="Arial Nova"/>
          <w:b w:val="1"/>
          <w:bCs w:val="1"/>
          <w:noProof w:val="0"/>
          <w:sz w:val="22"/>
          <w:szCs w:val="22"/>
          <w:lang w:val="en-GB"/>
        </w:rPr>
        <w:t>Accessibility:</w:t>
      </w:r>
      <w:r>
        <w:br/>
      </w:r>
      <w:r w:rsidRPr="60E4BEB6" w:rsidR="1418DB66">
        <w:rPr>
          <w:rFonts w:ascii="Arial Nova" w:hAnsi="Arial Nova" w:eastAsia="Arial Nova" w:cs="Arial Nova"/>
          <w:noProof w:val="0"/>
          <w:sz w:val="22"/>
          <w:szCs w:val="22"/>
          <w:lang w:val="en-GB"/>
        </w:rPr>
        <w:t xml:space="preserve"> Providing wheelchair-accessible venues and pathways, clear signage, and accessible communication materials.</w:t>
      </w:r>
    </w:p>
    <w:p w:rsidR="1418DB66" w:rsidP="60E4BEB6" w:rsidRDefault="1418DB66" w14:paraId="1D921BEF" w14:textId="58041846">
      <w:pPr>
        <w:pStyle w:val="ListParagraph"/>
        <w:numPr>
          <w:ilvl w:val="0"/>
          <w:numId w:val="24"/>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1418DB66">
        <w:rPr>
          <w:rFonts w:ascii="Arial Nova" w:hAnsi="Arial Nova" w:eastAsia="Arial Nova" w:cs="Arial Nova"/>
          <w:b w:val="1"/>
          <w:bCs w:val="1"/>
          <w:noProof w:val="0"/>
          <w:sz w:val="22"/>
          <w:szCs w:val="22"/>
          <w:lang w:val="en-GB"/>
        </w:rPr>
        <w:t>Linguistic Inclusivity:</w:t>
      </w:r>
      <w:r>
        <w:br/>
      </w:r>
      <w:r w:rsidRPr="60E4BEB6" w:rsidR="1418DB66">
        <w:rPr>
          <w:rFonts w:ascii="Arial Nova" w:hAnsi="Arial Nova" w:eastAsia="Arial Nova" w:cs="Arial Nova"/>
          <w:noProof w:val="0"/>
          <w:sz w:val="22"/>
          <w:szCs w:val="22"/>
          <w:lang w:val="en-GB"/>
        </w:rPr>
        <w:t xml:space="preserve"> Translating materials into commonly spoken local languages.</w:t>
      </w:r>
    </w:p>
    <w:p w:rsidR="1418DB66" w:rsidP="60E4BEB6" w:rsidRDefault="1418DB66" w14:paraId="74DE848E" w14:textId="0AC52480">
      <w:pPr>
        <w:pStyle w:val="ListParagraph"/>
        <w:numPr>
          <w:ilvl w:val="0"/>
          <w:numId w:val="24"/>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1418DB66">
        <w:rPr>
          <w:rFonts w:ascii="Arial Nova" w:hAnsi="Arial Nova" w:eastAsia="Arial Nova" w:cs="Arial Nova"/>
          <w:b w:val="1"/>
          <w:bCs w:val="1"/>
          <w:noProof w:val="0"/>
          <w:sz w:val="22"/>
          <w:szCs w:val="22"/>
          <w:lang w:val="en-GB"/>
        </w:rPr>
        <w:t>Cultural Sensitivity:</w:t>
      </w:r>
      <w:r>
        <w:br/>
      </w:r>
      <w:r w:rsidRPr="60E4BEB6" w:rsidR="1418DB66">
        <w:rPr>
          <w:rFonts w:ascii="Arial Nova" w:hAnsi="Arial Nova" w:eastAsia="Arial Nova" w:cs="Arial Nova"/>
          <w:noProof w:val="0"/>
          <w:sz w:val="22"/>
          <w:szCs w:val="22"/>
          <w:lang w:val="en-GB"/>
        </w:rPr>
        <w:t xml:space="preserve"> Scheduling events at varied times to accommodate different working patterns, faith practices, and caregiving responsibilities.</w:t>
      </w:r>
    </w:p>
    <w:p w:rsidR="1418DB66" w:rsidP="60E4BEB6" w:rsidRDefault="1418DB66" w14:paraId="111F0A94" w14:textId="35C9FB93">
      <w:pPr>
        <w:pStyle w:val="ListParagraph"/>
        <w:numPr>
          <w:ilvl w:val="0"/>
          <w:numId w:val="24"/>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1418DB66">
        <w:rPr>
          <w:rFonts w:ascii="Arial Nova" w:hAnsi="Arial Nova" w:eastAsia="Arial Nova" w:cs="Arial Nova"/>
          <w:b w:val="1"/>
          <w:bCs w:val="1"/>
          <w:noProof w:val="0"/>
          <w:sz w:val="22"/>
          <w:szCs w:val="22"/>
          <w:lang w:val="en-GB"/>
        </w:rPr>
        <w:t>Safe Spaces:</w:t>
      </w:r>
      <w:r>
        <w:br/>
      </w:r>
      <w:r w:rsidRPr="60E4BEB6" w:rsidR="1418DB66">
        <w:rPr>
          <w:rFonts w:ascii="Arial Nova" w:hAnsi="Arial Nova" w:eastAsia="Arial Nova" w:cs="Arial Nova"/>
          <w:noProof w:val="0"/>
          <w:sz w:val="22"/>
          <w:szCs w:val="22"/>
          <w:lang w:val="en-GB"/>
        </w:rPr>
        <w:t xml:space="preserve"> Ensuring that focus groups for vulnerable populations, such as older adults or people with disabilities, are </w:t>
      </w:r>
      <w:r w:rsidRPr="60E4BEB6" w:rsidR="1418DB66">
        <w:rPr>
          <w:rFonts w:ascii="Arial Nova" w:hAnsi="Arial Nova" w:eastAsia="Arial Nova" w:cs="Arial Nova"/>
          <w:noProof w:val="0"/>
          <w:sz w:val="22"/>
          <w:szCs w:val="22"/>
          <w:lang w:val="en-GB"/>
        </w:rPr>
        <w:t>facilitated</w:t>
      </w:r>
      <w:r w:rsidRPr="60E4BEB6" w:rsidR="1418DB66">
        <w:rPr>
          <w:rFonts w:ascii="Arial Nova" w:hAnsi="Arial Nova" w:eastAsia="Arial Nova" w:cs="Arial Nova"/>
          <w:noProof w:val="0"/>
          <w:sz w:val="22"/>
          <w:szCs w:val="22"/>
          <w:lang w:val="en-GB"/>
        </w:rPr>
        <w:t xml:space="preserve"> safely and respectfully.</w:t>
      </w:r>
    </w:p>
    <w:p w:rsidR="1418DB66" w:rsidP="60E4BEB6" w:rsidRDefault="1418DB66" w14:paraId="30BFA286" w14:textId="5DE0D5C8">
      <w:pPr>
        <w:spacing w:before="240" w:beforeAutospacing="off" w:after="240" w:afterAutospacing="off" w:line="360" w:lineRule="auto"/>
        <w:jc w:val="left"/>
      </w:pPr>
      <w:r w:rsidRPr="3B3420D8" w:rsidR="1418DB66">
        <w:rPr>
          <w:rFonts w:ascii="Arial Nova" w:hAnsi="Arial Nova" w:eastAsia="Arial Nova" w:cs="Arial Nova"/>
          <w:noProof w:val="0"/>
          <w:sz w:val="22"/>
          <w:szCs w:val="22"/>
          <w:lang w:val="en-GB"/>
        </w:rPr>
        <w:t>Modern DEI frameworks highlight that meaningful engagement requires intentional resource allocation</w:t>
      </w:r>
      <w:r w:rsidRPr="3B3420D8" w:rsidR="1DD3E2D9">
        <w:rPr>
          <w:rFonts w:ascii="Arial Nova" w:hAnsi="Arial Nova" w:eastAsia="Arial Nova" w:cs="Arial Nova"/>
          <w:noProof w:val="0"/>
          <w:sz w:val="22"/>
          <w:szCs w:val="22"/>
          <w:lang w:val="en-GB"/>
        </w:rPr>
        <w:t xml:space="preserve"> </w:t>
      </w:r>
      <w:r w:rsidRPr="3B3420D8" w:rsidR="1418DB66">
        <w:rPr>
          <w:rFonts w:ascii="Arial Nova" w:hAnsi="Arial Nova" w:eastAsia="Arial Nova" w:cs="Arial Nova"/>
          <w:noProof w:val="0"/>
          <w:sz w:val="22"/>
          <w:szCs w:val="22"/>
          <w:lang w:val="en-GB"/>
        </w:rPr>
        <w:t>not mere rhetorical acknowledgment.</w:t>
      </w:r>
      <w:r w:rsidRPr="3B3420D8" w:rsidR="1418DB6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w:rsidR="1418DB66" w:rsidP="60E4BEB6" w:rsidRDefault="1418DB66" w14:paraId="2EF01190" w14:textId="2A756818">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1418DB66">
        <w:rPr>
          <w:rFonts w:ascii="Arial Nova" w:hAnsi="Arial Nova" w:eastAsia="Arial Nova" w:cs="Arial Nova" w:asciiTheme="minorAscii" w:hAnsiTheme="minorAscii" w:eastAsiaTheme="minorAscii" w:cstheme="minorAscii"/>
          <w:b w:val="1"/>
          <w:bCs w:val="1"/>
          <w:noProof w:val="0"/>
          <w:sz w:val="22"/>
          <w:szCs w:val="22"/>
          <w:lang w:val="en-GB"/>
        </w:rPr>
        <w:t xml:space="preserve">3.6 Feedback Review and Reporting </w:t>
      </w:r>
    </w:p>
    <w:p w:rsidR="1418DB66" w:rsidP="60E4BEB6" w:rsidRDefault="1418DB66" w14:paraId="5955BD63" w14:textId="0F54959D">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1418DB66">
        <w:rPr>
          <w:rFonts w:ascii="Arial Nova" w:hAnsi="Arial Nova" w:eastAsia="Arial Nova" w:cs="Arial Nova"/>
          <w:noProof w:val="0"/>
          <w:sz w:val="22"/>
          <w:szCs w:val="22"/>
          <w:lang w:val="en-GB"/>
        </w:rPr>
        <w:t>A transparent feedback loop includes:</w:t>
      </w:r>
    </w:p>
    <w:p w:rsidR="1418DB66" w:rsidP="60E4BEB6" w:rsidRDefault="1418DB66" w14:paraId="2D0305BC" w14:textId="7D196556">
      <w:pPr>
        <w:pStyle w:val="ListParagraph"/>
        <w:numPr>
          <w:ilvl w:val="0"/>
          <w:numId w:val="25"/>
        </w:num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0E4BEB6" w:rsidR="1418DB66">
        <w:rPr>
          <w:rFonts w:ascii="Arial Nova" w:hAnsi="Arial Nova" w:eastAsia="Arial Nova" w:cs="Arial Nova"/>
          <w:b w:val="0"/>
          <w:bCs w:val="0"/>
          <w:noProof w:val="0"/>
          <w:sz w:val="22"/>
          <w:szCs w:val="22"/>
          <w:lang w:val="en-GB"/>
        </w:rPr>
        <w:t>Documentation of all inputs</w:t>
      </w:r>
    </w:p>
    <w:p w:rsidR="1418DB66" w:rsidP="60E4BEB6" w:rsidRDefault="1418DB66" w14:paraId="3C48E9E9" w14:textId="316AC91F">
      <w:pPr>
        <w:pStyle w:val="ListParagraph"/>
        <w:numPr>
          <w:ilvl w:val="0"/>
          <w:numId w:val="25"/>
        </w:num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0E4BEB6" w:rsidR="1418DB66">
        <w:rPr>
          <w:rFonts w:ascii="Arial Nova" w:hAnsi="Arial Nova" w:eastAsia="Arial Nova" w:cs="Arial Nova"/>
          <w:b w:val="0"/>
          <w:bCs w:val="0"/>
          <w:noProof w:val="0"/>
          <w:sz w:val="22"/>
          <w:szCs w:val="22"/>
          <w:lang w:val="en-GB"/>
        </w:rPr>
        <w:t>Thematic analysis using clear coding frameworks</w:t>
      </w:r>
    </w:p>
    <w:p w:rsidR="1418DB66" w:rsidP="60E4BEB6" w:rsidRDefault="1418DB66" w14:paraId="436951CC" w14:textId="21F4B8A0">
      <w:pPr>
        <w:pStyle w:val="ListParagraph"/>
        <w:numPr>
          <w:ilvl w:val="0"/>
          <w:numId w:val="25"/>
        </w:num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0E4BEB6" w:rsidR="1418DB66">
        <w:rPr>
          <w:rFonts w:ascii="Arial Nova" w:hAnsi="Arial Nova" w:eastAsia="Arial Nova" w:cs="Arial Nova"/>
          <w:b w:val="0"/>
          <w:bCs w:val="0"/>
          <w:noProof w:val="0"/>
          <w:sz w:val="22"/>
          <w:szCs w:val="22"/>
          <w:lang w:val="en-GB"/>
        </w:rPr>
        <w:t>Feedback reports published as “You Said, We Did” summaries</w:t>
      </w:r>
    </w:p>
    <w:p w:rsidR="1418DB66" w:rsidP="60E4BEB6" w:rsidRDefault="1418DB66" w14:paraId="4DCE614A" w14:textId="3B5CFEBA">
      <w:pPr>
        <w:pStyle w:val="ListParagraph"/>
        <w:numPr>
          <w:ilvl w:val="0"/>
          <w:numId w:val="25"/>
        </w:num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0E4BEB6" w:rsidR="1418DB66">
        <w:rPr>
          <w:rFonts w:ascii="Arial Nova" w:hAnsi="Arial Nova" w:eastAsia="Arial Nova" w:cs="Arial Nova"/>
          <w:b w:val="0"/>
          <w:bCs w:val="0"/>
          <w:noProof w:val="0"/>
          <w:sz w:val="22"/>
          <w:szCs w:val="22"/>
          <w:lang w:val="en-GB"/>
        </w:rPr>
        <w:t>Clear explanation of which suggestions were implemented and why</w:t>
      </w:r>
    </w:p>
    <w:p w:rsidR="1418DB66" w:rsidP="60E4BEB6" w:rsidRDefault="1418DB66" w14:paraId="28984843" w14:textId="5C369DCA">
      <w:pPr>
        <w:spacing w:before="240" w:beforeAutospacing="off" w:after="240" w:afterAutospacing="off" w:line="360" w:lineRule="auto"/>
        <w:jc w:val="left"/>
      </w:pPr>
      <w:r w:rsidRPr="3B3420D8" w:rsidR="1418DB66">
        <w:rPr>
          <w:rFonts w:ascii="Arial Nova" w:hAnsi="Arial Nova" w:eastAsia="Arial Nova" w:cs="Arial Nova"/>
          <w:noProof w:val="0"/>
          <w:sz w:val="22"/>
          <w:szCs w:val="22"/>
          <w:lang w:val="en-GB"/>
        </w:rPr>
        <w:t xml:space="preserve">This process avoids the </w:t>
      </w:r>
      <w:r w:rsidRPr="3B3420D8" w:rsidR="1418DB66">
        <w:rPr>
          <w:rFonts w:ascii="Arial Nova" w:hAnsi="Arial Nova" w:eastAsia="Arial Nova" w:cs="Arial Nova"/>
          <w:noProof w:val="0"/>
          <w:sz w:val="22"/>
          <w:szCs w:val="22"/>
          <w:lang w:val="en-GB"/>
        </w:rPr>
        <w:t>perception</w:t>
      </w:r>
      <w:r w:rsidRPr="3B3420D8" w:rsidR="1418DB66">
        <w:rPr>
          <w:rFonts w:ascii="Arial Nova" w:hAnsi="Arial Nova" w:eastAsia="Arial Nova" w:cs="Arial Nova"/>
          <w:noProof w:val="0"/>
          <w:sz w:val="22"/>
          <w:szCs w:val="22"/>
          <w:lang w:val="en-GB"/>
        </w:rPr>
        <w:t xml:space="preserve"> of token consultation and builds stakeholder trust.</w:t>
      </w:r>
    </w:p>
    <w:p w:rsidR="27909F93" w:rsidP="60E4BEB6" w:rsidRDefault="27909F93" w14:paraId="6001EB76" w14:textId="7D282C4B">
      <w:pPr>
        <w:pStyle w:val="Normal"/>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27909F93">
        <w:rPr>
          <w:rFonts w:ascii="Arial Nova" w:hAnsi="Arial Nova" w:eastAsia="Arial Nova" w:cs="Arial Nova" w:asciiTheme="minorAscii" w:hAnsiTheme="minorAscii" w:eastAsiaTheme="minorAscii" w:cstheme="minorAscii"/>
          <w:b w:val="1"/>
          <w:bCs w:val="1"/>
          <w:noProof w:val="0"/>
          <w:sz w:val="22"/>
          <w:szCs w:val="22"/>
          <w:lang w:val="en-GB"/>
        </w:rPr>
        <w:t>Element 4: Conclusion and Reflection</w:t>
      </w:r>
    </w:p>
    <w:p w:rsidR="002E1883" w:rsidP="60E4BEB6" w:rsidRDefault="002E1883" w14:paraId="6AD4FD4E" w14:textId="7639455F">
      <w:pPr>
        <w:pStyle w:val="Normal"/>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002E1883">
        <w:rPr>
          <w:rFonts w:ascii="Arial Nova" w:hAnsi="Arial Nova" w:eastAsia="Arial Nova" w:cs="Arial Nova" w:asciiTheme="minorAscii" w:hAnsiTheme="minorAscii" w:eastAsiaTheme="minorAscii" w:cstheme="minorAscii"/>
          <w:b w:val="1"/>
          <w:bCs w:val="1"/>
          <w:noProof w:val="0"/>
          <w:sz w:val="22"/>
          <w:szCs w:val="22"/>
          <w:lang w:val="en-GB"/>
        </w:rPr>
        <w:t>Conclusion</w:t>
      </w:r>
    </w:p>
    <w:p w:rsidR="002E1883" w:rsidP="60E4BEB6" w:rsidRDefault="002E1883" w14:paraId="414CBA8F" w14:textId="31989ECF">
      <w:pPr>
        <w:spacing w:before="240" w:beforeAutospacing="off" w:after="240" w:afterAutospacing="off" w:line="360" w:lineRule="auto"/>
        <w:jc w:val="left"/>
      </w:pPr>
      <w:r w:rsidRPr="3B3420D8" w:rsidR="002E1883">
        <w:rPr>
          <w:rFonts w:ascii="Arial Nova" w:hAnsi="Arial Nova" w:eastAsia="Arial Nova" w:cs="Arial Nova"/>
          <w:noProof w:val="0"/>
          <w:sz w:val="22"/>
          <w:szCs w:val="22"/>
          <w:lang w:val="en-GB"/>
        </w:rPr>
        <w:t xml:space="preserve">The Suburban Community Park project </w:t>
      </w:r>
      <w:r w:rsidRPr="3B3420D8" w:rsidR="002E1883">
        <w:rPr>
          <w:rFonts w:ascii="Arial Nova" w:hAnsi="Arial Nova" w:eastAsia="Arial Nova" w:cs="Arial Nova"/>
          <w:noProof w:val="0"/>
          <w:sz w:val="22"/>
          <w:szCs w:val="22"/>
          <w:lang w:val="en-GB"/>
        </w:rPr>
        <w:t>represents</w:t>
      </w:r>
      <w:r w:rsidRPr="3B3420D8" w:rsidR="002E1883">
        <w:rPr>
          <w:rFonts w:ascii="Arial Nova" w:hAnsi="Arial Nova" w:eastAsia="Arial Nova" w:cs="Arial Nova"/>
          <w:noProof w:val="0"/>
          <w:sz w:val="22"/>
          <w:szCs w:val="22"/>
          <w:lang w:val="en-GB"/>
        </w:rPr>
        <w:t xml:space="preserve"> a significant opportunity to improve community wellbeing, enhance local biodiversity, and strengthen neighbourhood cohesion. However, this portfolio has </w:t>
      </w:r>
      <w:r w:rsidRPr="3B3420D8" w:rsidR="002E1883">
        <w:rPr>
          <w:rFonts w:ascii="Arial Nova" w:hAnsi="Arial Nova" w:eastAsia="Arial Nova" w:cs="Arial Nova"/>
          <w:noProof w:val="0"/>
          <w:sz w:val="22"/>
          <w:szCs w:val="22"/>
          <w:lang w:val="en-GB"/>
        </w:rPr>
        <w:t>demonstrated</w:t>
      </w:r>
      <w:r w:rsidRPr="3B3420D8" w:rsidR="002E1883">
        <w:rPr>
          <w:rFonts w:ascii="Arial Nova" w:hAnsi="Arial Nova" w:eastAsia="Arial Nova" w:cs="Arial Nova"/>
          <w:noProof w:val="0"/>
          <w:sz w:val="22"/>
          <w:szCs w:val="22"/>
          <w:lang w:val="en-GB"/>
        </w:rPr>
        <w:t xml:space="preserve"> that the benefits of such infrastructure can only be fully realised when </w:t>
      </w:r>
      <w:r w:rsidRPr="3B3420D8" w:rsidR="002E1883">
        <w:rPr>
          <w:rFonts w:ascii="Arial Nova" w:hAnsi="Arial Nova" w:eastAsia="Arial Nova" w:cs="Arial Nova"/>
          <w:b w:val="1"/>
          <w:bCs w:val="1"/>
          <w:noProof w:val="0"/>
          <w:sz w:val="22"/>
          <w:szCs w:val="22"/>
          <w:lang w:val="en-GB"/>
        </w:rPr>
        <w:t>robust, ethical, and evidence-based stakeholder engagement</w:t>
      </w:r>
      <w:r w:rsidRPr="3B3420D8" w:rsidR="002E1883">
        <w:rPr>
          <w:rFonts w:ascii="Arial Nova" w:hAnsi="Arial Nova" w:eastAsia="Arial Nova" w:cs="Arial Nova"/>
          <w:noProof w:val="0"/>
          <w:sz w:val="22"/>
          <w:szCs w:val="22"/>
          <w:lang w:val="en-GB"/>
        </w:rPr>
        <w:t xml:space="preserve"> underpins the planning and delivery process. Community parks, like many public realm developments, are inherently collective in nature their legitimacy and long-term viability are shaped by the </w:t>
      </w:r>
      <w:r w:rsidRPr="3B3420D8" w:rsidR="002E1883">
        <w:rPr>
          <w:rFonts w:ascii="Arial Nova" w:hAnsi="Arial Nova" w:eastAsia="Arial Nova" w:cs="Arial Nova"/>
          <w:noProof w:val="0"/>
          <w:sz w:val="22"/>
          <w:szCs w:val="22"/>
          <w:lang w:val="en-GB"/>
        </w:rPr>
        <w:t>perceptions</w:t>
      </w:r>
      <w:r w:rsidRPr="3B3420D8" w:rsidR="002E1883">
        <w:rPr>
          <w:rFonts w:ascii="Arial Nova" w:hAnsi="Arial Nova" w:eastAsia="Arial Nova" w:cs="Arial Nova"/>
          <w:noProof w:val="0"/>
          <w:sz w:val="22"/>
          <w:szCs w:val="22"/>
          <w:lang w:val="en-GB"/>
        </w:rPr>
        <w:t xml:space="preserve">, involvement, and support of diverse stakeholder groups. Therefore, the use of structured engagement frameworks such as stakeholder mapping, power–interest analysis, and communication planning is essential to align project </w:t>
      </w:r>
      <w:r w:rsidRPr="3B3420D8" w:rsidR="002E1883">
        <w:rPr>
          <w:rFonts w:ascii="Arial Nova" w:hAnsi="Arial Nova" w:eastAsia="Arial Nova" w:cs="Arial Nova"/>
          <w:noProof w:val="0"/>
          <w:sz w:val="22"/>
          <w:szCs w:val="22"/>
          <w:lang w:val="en-GB"/>
        </w:rPr>
        <w:t>objectives</w:t>
      </w:r>
      <w:r w:rsidRPr="3B3420D8" w:rsidR="002E1883">
        <w:rPr>
          <w:rFonts w:ascii="Arial Nova" w:hAnsi="Arial Nova" w:eastAsia="Arial Nova" w:cs="Arial Nova"/>
          <w:noProof w:val="0"/>
          <w:sz w:val="22"/>
          <w:szCs w:val="22"/>
          <w:lang w:val="en-GB"/>
        </w:rPr>
        <w:t xml:space="preserve"> with the expectations and needs of the surrounding population.</w:t>
      </w:r>
    </w:p>
    <w:p w:rsidR="002E1883" w:rsidP="60E4BEB6" w:rsidRDefault="002E1883" w14:paraId="590C7FC5" w14:textId="7055C06C">
      <w:pPr>
        <w:spacing w:before="240" w:beforeAutospacing="off" w:after="240" w:afterAutospacing="off" w:line="360" w:lineRule="auto"/>
        <w:jc w:val="left"/>
      </w:pPr>
      <w:r w:rsidRPr="3B3420D8" w:rsidR="002E1883">
        <w:rPr>
          <w:rFonts w:ascii="Arial Nova" w:hAnsi="Arial Nova" w:eastAsia="Arial Nova" w:cs="Arial Nova"/>
          <w:noProof w:val="0"/>
          <w:sz w:val="22"/>
          <w:szCs w:val="22"/>
          <w:lang w:val="en-GB"/>
        </w:rPr>
        <w:t xml:space="preserve">The analysis highlighted that engagement must be </w:t>
      </w:r>
      <w:r w:rsidRPr="3B3420D8" w:rsidR="002E1883">
        <w:rPr>
          <w:rFonts w:ascii="Arial Nova" w:hAnsi="Arial Nova" w:eastAsia="Arial Nova" w:cs="Arial Nova"/>
          <w:b w:val="1"/>
          <w:bCs w:val="1"/>
          <w:noProof w:val="0"/>
          <w:sz w:val="22"/>
          <w:szCs w:val="22"/>
          <w:lang w:val="en-GB"/>
        </w:rPr>
        <w:t>tailored to stakeholder salience</w:t>
      </w:r>
      <w:r w:rsidRPr="3B3420D8" w:rsidR="002E1883">
        <w:rPr>
          <w:rFonts w:ascii="Arial Nova" w:hAnsi="Arial Nova" w:eastAsia="Arial Nova" w:cs="Arial Nova"/>
          <w:noProof w:val="0"/>
          <w:sz w:val="22"/>
          <w:szCs w:val="22"/>
          <w:lang w:val="en-GB"/>
        </w:rPr>
        <w:t>, ensuring that high-power groups receive collaborative, in-depth consultation, while high-interest but low-power groups are provided with accessible channels for meaningful participation. This aligns with current research emphasising that differentiated engagement strengthens procedural fairness and reduces conflict in community planning. Ethical and DEI considerations</w:t>
      </w:r>
      <w:r w:rsidRPr="3B3420D8" w:rsidR="35EF1E9A">
        <w:rPr>
          <w:rFonts w:ascii="Arial Nova" w:hAnsi="Arial Nova" w:eastAsia="Arial Nova" w:cs="Arial Nova"/>
          <w:noProof w:val="0"/>
          <w:sz w:val="22"/>
          <w:szCs w:val="22"/>
          <w:lang w:val="en-GB"/>
        </w:rPr>
        <w:t xml:space="preserve"> </w:t>
      </w:r>
      <w:r w:rsidRPr="3B3420D8" w:rsidR="002E1883">
        <w:rPr>
          <w:rFonts w:ascii="Arial Nova" w:hAnsi="Arial Nova" w:eastAsia="Arial Nova" w:cs="Arial Nova"/>
          <w:noProof w:val="0"/>
          <w:sz w:val="22"/>
          <w:szCs w:val="22"/>
          <w:lang w:val="en-GB"/>
        </w:rPr>
        <w:t>such as transparent data collection, safeguarding against bias, and ensuring inclusive representation</w:t>
      </w:r>
      <w:r w:rsidRPr="3B3420D8" w:rsidR="6FBD9581">
        <w:rPr>
          <w:rFonts w:ascii="Arial Nova" w:hAnsi="Arial Nova" w:eastAsia="Arial Nova" w:cs="Arial Nova"/>
          <w:noProof w:val="0"/>
          <w:sz w:val="22"/>
          <w:szCs w:val="22"/>
          <w:lang w:val="en-GB"/>
        </w:rPr>
        <w:t xml:space="preserve"> </w:t>
      </w:r>
      <w:r w:rsidRPr="3B3420D8" w:rsidR="002E1883">
        <w:rPr>
          <w:rFonts w:ascii="Arial Nova" w:hAnsi="Arial Nova" w:eastAsia="Arial Nova" w:cs="Arial Nova"/>
          <w:noProof w:val="0"/>
          <w:sz w:val="22"/>
          <w:szCs w:val="22"/>
          <w:lang w:val="en-GB"/>
        </w:rPr>
        <w:t>further elevate the quality and integrity of project decisions.</w:t>
      </w:r>
    </w:p>
    <w:p w:rsidR="002E1883" w:rsidP="60E4BEB6" w:rsidRDefault="002E1883" w14:paraId="220329FB" w14:textId="5B383B60">
      <w:pPr>
        <w:spacing w:before="240" w:beforeAutospacing="off" w:after="240" w:afterAutospacing="off" w:line="360" w:lineRule="auto"/>
        <w:jc w:val="left"/>
      </w:pPr>
      <w:r w:rsidRPr="3B3420D8" w:rsidR="002E1883">
        <w:rPr>
          <w:rFonts w:ascii="Arial Nova" w:hAnsi="Arial Nova" w:eastAsia="Arial Nova" w:cs="Arial Nova"/>
          <w:noProof w:val="0"/>
          <w:sz w:val="22"/>
          <w:szCs w:val="22"/>
          <w:lang w:val="en-GB"/>
        </w:rPr>
        <w:t>In addition, applying recognised quality and planning standards supports consistency, accountability, and professional integrity in project delivery. Principles from sustainable urban design, inclusive planning, and environmental stewardship contribute to creating a park that is not only functional today but resilient to future social and ecological challenges</w:t>
      </w:r>
      <w:r w:rsidRPr="3B3420D8" w:rsidR="002E1883">
        <w:rPr>
          <w:rFonts w:ascii="Arial Nova" w:hAnsi="Arial Nova" w:eastAsia="Arial Nova" w:cs="Arial Nova"/>
          <w:noProof w:val="0"/>
          <w:sz w:val="22"/>
          <w:szCs w:val="22"/>
          <w:lang w:val="en-GB"/>
        </w:rPr>
        <w:t>. When engagement processes are well-structured and ethically grounded, the park becomes more than a physical space: it becomes a shared community asset with collective stewardship.</w:t>
      </w:r>
    </w:p>
    <w:p w:rsidR="002E1883" w:rsidP="60E4BEB6" w:rsidRDefault="002E1883" w14:paraId="0DA63F83" w14:textId="79525834">
      <w:pPr>
        <w:spacing w:before="240" w:beforeAutospacing="off" w:after="240" w:afterAutospacing="off" w:line="360" w:lineRule="auto"/>
        <w:jc w:val="left"/>
      </w:pPr>
      <w:r w:rsidRPr="3B3420D8" w:rsidR="002E1883">
        <w:rPr>
          <w:rFonts w:ascii="Arial Nova" w:hAnsi="Arial Nova" w:eastAsia="Arial Nova" w:cs="Arial Nova"/>
          <w:noProof w:val="0"/>
          <w:sz w:val="22"/>
          <w:szCs w:val="22"/>
          <w:lang w:val="en-GB"/>
        </w:rPr>
        <w:t>Ultimately, this</w:t>
      </w:r>
      <w:r w:rsidRPr="3B3420D8" w:rsidR="002E1883">
        <w:rPr>
          <w:rFonts w:ascii="Arial Nova" w:hAnsi="Arial Nova" w:eastAsia="Arial Nova" w:cs="Arial Nova"/>
          <w:noProof w:val="0"/>
          <w:sz w:val="22"/>
          <w:szCs w:val="22"/>
          <w:lang w:val="en-GB"/>
        </w:rPr>
        <w:t xml:space="preserve"> portfolio reinforces a key finding echoed across contemporary project management and public infrastructure literature: </w:t>
      </w:r>
      <w:r w:rsidRPr="3B3420D8" w:rsidR="002E1883">
        <w:rPr>
          <w:rFonts w:ascii="Arial Nova" w:hAnsi="Arial Nova" w:eastAsia="Arial Nova" w:cs="Arial Nova"/>
          <w:b w:val="1"/>
          <w:bCs w:val="1"/>
          <w:noProof w:val="0"/>
          <w:sz w:val="22"/>
          <w:szCs w:val="22"/>
          <w:lang w:val="en-GB"/>
        </w:rPr>
        <w:t>effective stakeholder engagement is not a procedural add-on but a critical determinant of long-term project success, legitimacy, and sustainability</w:t>
      </w:r>
      <w:r w:rsidRPr="3B3420D8" w:rsidR="002E1883">
        <w:rPr>
          <w:rFonts w:ascii="Arial Nova" w:hAnsi="Arial Nova" w:eastAsia="Arial Nova" w:cs="Arial Nova"/>
          <w:noProof w:val="0"/>
          <w:sz w:val="22"/>
          <w:szCs w:val="22"/>
          <w:lang w:val="en-GB"/>
        </w:rPr>
        <w:t>. A well-designed and inclusive engagement process increases trust, mitigates risk, enhances decision quality, and secures higher levels of public ownership</w:t>
      </w:r>
      <w:r w:rsidRPr="3B3420D8" w:rsidR="3F8611F7">
        <w:rPr>
          <w:rFonts w:ascii="Arial Nova" w:hAnsi="Arial Nova" w:eastAsia="Arial Nova" w:cs="Arial Nova"/>
          <w:noProof w:val="0"/>
          <w:sz w:val="22"/>
          <w:szCs w:val="22"/>
          <w:lang w:val="en-GB"/>
        </w:rPr>
        <w:t xml:space="preserve"> </w:t>
      </w:r>
      <w:r w:rsidRPr="3B3420D8" w:rsidR="002E1883">
        <w:rPr>
          <w:rFonts w:ascii="Arial Nova" w:hAnsi="Arial Nova" w:eastAsia="Arial Nova" w:cs="Arial Nova"/>
          <w:noProof w:val="0"/>
          <w:sz w:val="22"/>
          <w:szCs w:val="22"/>
          <w:lang w:val="en-GB"/>
        </w:rPr>
        <w:t>outcomes that are indispensable for a project aiming to serve generations of community members.</w:t>
      </w:r>
    </w:p>
    <w:p w:rsidR="60E4BEB6" w:rsidP="60E4BEB6" w:rsidRDefault="60E4BEB6" w14:paraId="609C18C0" w14:textId="66F0DBF4">
      <w:pPr>
        <w:pStyle w:val="Normal"/>
        <w:spacing w:line="360" w:lineRule="auto"/>
        <w:ind w:left="0"/>
        <w:jc w:val="left"/>
        <w:rPr>
          <w:rFonts w:ascii="Arial Nova" w:hAnsi="Arial Nova" w:eastAsia="Arial Nova" w:cs="Arial Nova"/>
          <w:noProof w:val="0"/>
          <w:sz w:val="22"/>
          <w:szCs w:val="22"/>
          <w:lang w:val="en-GB"/>
        </w:rPr>
      </w:pPr>
    </w:p>
    <w:p w:rsidR="7EAD4E54" w:rsidP="60E4BEB6" w:rsidRDefault="7EAD4E54" w14:paraId="69C25FA4" w14:textId="517E905E">
      <w:pPr>
        <w:pStyle w:val="Normal"/>
        <w:spacing w:line="360" w:lineRule="auto"/>
        <w:ind w:left="0"/>
        <w:jc w:val="left"/>
        <w:rPr>
          <w:rFonts w:ascii="Arial Nova" w:hAnsi="Arial Nova" w:eastAsia="Arial Nova" w:cs="Arial Nova"/>
          <w:b w:val="1"/>
          <w:bCs w:val="1"/>
          <w:noProof w:val="0"/>
          <w:sz w:val="22"/>
          <w:szCs w:val="22"/>
          <w:lang w:val="en-GB"/>
        </w:rPr>
      </w:pPr>
      <w:r w:rsidRPr="60E4BEB6" w:rsidR="7EAD4E54">
        <w:rPr>
          <w:rFonts w:ascii="Arial Nova" w:hAnsi="Arial Nova" w:eastAsia="Arial Nova" w:cs="Arial Nova"/>
          <w:b w:val="1"/>
          <w:bCs w:val="1"/>
          <w:noProof w:val="0"/>
          <w:sz w:val="22"/>
          <w:szCs w:val="22"/>
          <w:lang w:val="en-GB"/>
        </w:rPr>
        <w:t xml:space="preserve">Reflective account </w:t>
      </w:r>
    </w:p>
    <w:p w:rsidR="14378F8B" w:rsidP="60E4BEB6" w:rsidRDefault="14378F8B" w14:paraId="3D84FFCC" w14:textId="6B3FFD17">
      <w:pPr>
        <w:spacing w:before="240" w:beforeAutospacing="off" w:after="240" w:afterAutospacing="off" w:line="360" w:lineRule="auto"/>
        <w:jc w:val="left"/>
      </w:pPr>
      <w:r w:rsidRPr="60E4BEB6" w:rsidR="14378F8B">
        <w:rPr>
          <w:rFonts w:ascii="Arial Nova" w:hAnsi="Arial Nova" w:eastAsia="Arial Nova" w:cs="Arial Nova"/>
          <w:noProof w:val="0"/>
          <w:sz w:val="22"/>
          <w:szCs w:val="22"/>
          <w:lang w:val="en-GB"/>
        </w:rPr>
        <w:t xml:space="preserve">Developing this portfolio has strengthened my understanding of stakeholder management as a multidimensional practice requiring analytical, </w:t>
      </w:r>
      <w:r w:rsidRPr="60E4BEB6" w:rsidR="14378F8B">
        <w:rPr>
          <w:rFonts w:ascii="Arial Nova" w:hAnsi="Arial Nova" w:eastAsia="Arial Nova" w:cs="Arial Nova"/>
          <w:noProof w:val="0"/>
          <w:sz w:val="22"/>
          <w:szCs w:val="22"/>
          <w:lang w:val="en-GB"/>
        </w:rPr>
        <w:t>ethical</w:t>
      </w:r>
      <w:r w:rsidRPr="60E4BEB6" w:rsidR="14378F8B">
        <w:rPr>
          <w:rFonts w:ascii="Arial Nova" w:hAnsi="Arial Nova" w:eastAsia="Arial Nova" w:cs="Arial Nova"/>
          <w:noProof w:val="0"/>
          <w:sz w:val="22"/>
          <w:szCs w:val="22"/>
          <w:lang w:val="en-GB"/>
        </w:rPr>
        <w:t xml:space="preserve"> and interpersonal competencies. Several key reflections </w:t>
      </w:r>
      <w:r w:rsidRPr="60E4BEB6" w:rsidR="14378F8B">
        <w:rPr>
          <w:rFonts w:ascii="Arial Nova" w:hAnsi="Arial Nova" w:eastAsia="Arial Nova" w:cs="Arial Nova"/>
          <w:noProof w:val="0"/>
          <w:sz w:val="22"/>
          <w:szCs w:val="22"/>
          <w:lang w:val="en-GB"/>
        </w:rPr>
        <w:t>emerged</w:t>
      </w:r>
      <w:r w:rsidRPr="60E4BEB6" w:rsidR="14378F8B">
        <w:rPr>
          <w:rFonts w:ascii="Arial Nova" w:hAnsi="Arial Nova" w:eastAsia="Arial Nova" w:cs="Arial Nova"/>
          <w:noProof w:val="0"/>
          <w:sz w:val="22"/>
          <w:szCs w:val="22"/>
          <w:lang w:val="en-GB"/>
        </w:rPr>
        <w:t xml:space="preserve"> through this process:</w:t>
      </w:r>
    </w:p>
    <w:p w:rsidR="14378F8B" w:rsidP="60E4BEB6" w:rsidRDefault="14378F8B" w14:paraId="3209E21F" w14:textId="47DFB6CD">
      <w:pPr>
        <w:spacing w:before="240" w:beforeAutospacing="off" w:after="240" w:afterAutospacing="off" w:line="360" w:lineRule="auto"/>
        <w:jc w:val="left"/>
      </w:pPr>
      <w:r w:rsidRPr="3B3420D8" w:rsidR="14378F8B">
        <w:rPr>
          <w:rFonts w:ascii="Arial Nova" w:hAnsi="Arial Nova" w:eastAsia="Arial Nova" w:cs="Arial Nova"/>
          <w:b w:val="1"/>
          <w:bCs w:val="1"/>
          <w:noProof w:val="0"/>
          <w:sz w:val="22"/>
          <w:szCs w:val="22"/>
          <w:lang w:val="en-GB"/>
        </w:rPr>
        <w:t>1. Importance of Early and Continuous Engagement</w:t>
      </w:r>
      <w:r>
        <w:br/>
      </w:r>
      <w:r w:rsidRPr="3B3420D8" w:rsidR="14378F8B">
        <w:rPr>
          <w:rFonts w:ascii="Arial Nova" w:hAnsi="Arial Nova" w:eastAsia="Arial Nova" w:cs="Arial Nova"/>
          <w:noProof w:val="0"/>
          <w:sz w:val="22"/>
          <w:szCs w:val="22"/>
          <w:lang w:val="en-GB"/>
        </w:rPr>
        <w:t xml:space="preserve"> Early engagement reduces uncertainty and supports collaborative problem-solving. Literature consistently shows that early involvement increases community ownership and project success.</w:t>
      </w:r>
    </w:p>
    <w:p w:rsidR="14378F8B" w:rsidP="60E4BEB6" w:rsidRDefault="14378F8B" w14:paraId="3E4F01A7" w14:textId="27B6935F">
      <w:pPr>
        <w:spacing w:before="240" w:beforeAutospacing="off" w:after="240" w:afterAutospacing="off" w:line="360" w:lineRule="auto"/>
        <w:jc w:val="left"/>
      </w:pPr>
      <w:r w:rsidRPr="60E4BEB6" w:rsidR="14378F8B">
        <w:rPr>
          <w:rFonts w:ascii="Arial Nova" w:hAnsi="Arial Nova" w:eastAsia="Arial Nova" w:cs="Arial Nova"/>
          <w:b w:val="1"/>
          <w:bCs w:val="1"/>
          <w:noProof w:val="0"/>
          <w:sz w:val="22"/>
          <w:szCs w:val="22"/>
          <w:lang w:val="en-GB"/>
        </w:rPr>
        <w:t>2. Balancing Inclusivity with Practicality</w:t>
      </w:r>
      <w:r>
        <w:br/>
      </w:r>
      <w:r w:rsidRPr="60E4BEB6" w:rsidR="14378F8B">
        <w:rPr>
          <w:rFonts w:ascii="Arial Nova" w:hAnsi="Arial Nova" w:eastAsia="Arial Nova" w:cs="Arial Nova"/>
          <w:noProof w:val="0"/>
          <w:sz w:val="22"/>
          <w:szCs w:val="22"/>
          <w:lang w:val="en-GB"/>
        </w:rPr>
        <w:t xml:space="preserve"> Achieving representativeness is challenging. While broad engagement is desirable, depth is equally important. Balancing these competing needs requires a flexible consultation strategy.</w:t>
      </w:r>
    </w:p>
    <w:p w:rsidR="14378F8B" w:rsidP="60E4BEB6" w:rsidRDefault="14378F8B" w14:paraId="14FEBC53" w14:textId="32523F67">
      <w:pPr>
        <w:spacing w:before="240" w:beforeAutospacing="off" w:after="240" w:afterAutospacing="off" w:line="360" w:lineRule="auto"/>
        <w:jc w:val="left"/>
      </w:pPr>
      <w:r w:rsidRPr="60E4BEB6" w:rsidR="14378F8B">
        <w:rPr>
          <w:rFonts w:ascii="Arial Nova" w:hAnsi="Arial Nova" w:eastAsia="Arial Nova" w:cs="Arial Nova"/>
          <w:b w:val="1"/>
          <w:bCs w:val="1"/>
          <w:noProof w:val="0"/>
          <w:sz w:val="22"/>
          <w:szCs w:val="22"/>
          <w:lang w:val="en-GB"/>
        </w:rPr>
        <w:t>3. Ethical and DEI Considerations Are Foundational</w:t>
      </w:r>
      <w:r>
        <w:br/>
      </w:r>
      <w:r w:rsidRPr="60E4BEB6" w:rsidR="14378F8B">
        <w:rPr>
          <w:rFonts w:ascii="Arial Nova" w:hAnsi="Arial Nova" w:eastAsia="Arial Nova" w:cs="Arial Nova"/>
          <w:noProof w:val="0"/>
          <w:sz w:val="22"/>
          <w:szCs w:val="22"/>
          <w:lang w:val="en-GB"/>
        </w:rPr>
        <w:t xml:space="preserve"> Ethics are not optional. Without clear consent processes, accessible communication, and diverse representation, consultations risk reinforcing inequalities or producing biased outcomes.</w:t>
      </w:r>
    </w:p>
    <w:p w:rsidR="14378F8B" w:rsidP="60E4BEB6" w:rsidRDefault="14378F8B" w14:paraId="0D2E1666" w14:textId="2711D01D">
      <w:pPr>
        <w:spacing w:before="240" w:beforeAutospacing="off" w:after="240" w:afterAutospacing="off" w:line="360" w:lineRule="auto"/>
        <w:jc w:val="left"/>
      </w:pPr>
      <w:r w:rsidRPr="60E4BEB6" w:rsidR="14378F8B">
        <w:rPr>
          <w:rFonts w:ascii="Arial Nova" w:hAnsi="Arial Nova" w:eastAsia="Arial Nova" w:cs="Arial Nova"/>
          <w:b w:val="1"/>
          <w:bCs w:val="1"/>
          <w:noProof w:val="0"/>
          <w:sz w:val="22"/>
          <w:szCs w:val="22"/>
          <w:lang w:val="en-GB"/>
        </w:rPr>
        <w:t>4. Value of Evidence-Based Tools</w:t>
      </w:r>
      <w:r>
        <w:br/>
      </w:r>
      <w:r w:rsidRPr="60E4BEB6" w:rsidR="14378F8B">
        <w:rPr>
          <w:rFonts w:ascii="Arial Nova" w:hAnsi="Arial Nova" w:eastAsia="Arial Nova" w:cs="Arial Nova"/>
          <w:noProof w:val="0"/>
          <w:sz w:val="22"/>
          <w:szCs w:val="22"/>
          <w:lang w:val="en-GB"/>
        </w:rPr>
        <w:t xml:space="preserve"> Stakeholder maps, power–interest matrices, and communication plans provided structure to what could otherwise be a complex process. These tools help translate theory into practice.</w:t>
      </w:r>
    </w:p>
    <w:p w:rsidR="14378F8B" w:rsidP="60E4BEB6" w:rsidRDefault="14378F8B" w14:paraId="07B2AD86" w14:textId="6EC10AF7">
      <w:pPr>
        <w:spacing w:before="240" w:beforeAutospacing="off" w:after="240" w:afterAutospacing="off" w:line="360" w:lineRule="auto"/>
        <w:jc w:val="left"/>
      </w:pPr>
      <w:r w:rsidRPr="60E4BEB6" w:rsidR="14378F8B">
        <w:rPr>
          <w:rFonts w:ascii="Arial Nova" w:hAnsi="Arial Nova" w:eastAsia="Arial Nova" w:cs="Arial Nova"/>
          <w:b w:val="1"/>
          <w:bCs w:val="1"/>
          <w:noProof w:val="0"/>
          <w:sz w:val="22"/>
          <w:szCs w:val="22"/>
          <w:lang w:val="en-GB"/>
        </w:rPr>
        <w:t>5. Long-Term Sustainability Through Participation</w:t>
      </w:r>
      <w:r>
        <w:br/>
      </w:r>
      <w:r w:rsidRPr="60E4BEB6" w:rsidR="14378F8B">
        <w:rPr>
          <w:rFonts w:ascii="Arial Nova" w:hAnsi="Arial Nova" w:eastAsia="Arial Nova" w:cs="Arial Nova"/>
          <w:noProof w:val="0"/>
          <w:sz w:val="22"/>
          <w:szCs w:val="22"/>
          <w:lang w:val="en-GB"/>
        </w:rPr>
        <w:t xml:space="preserve"> Continued engagement beyond project completion contributes to stewardship and sustainability. Community involvement can support park maintenance, programming, and ecological care.</w:t>
      </w:r>
    </w:p>
    <w:p w:rsidR="64DA3B2E" w:rsidP="60E4BEB6" w:rsidRDefault="64DA3B2E" w14:paraId="4C0CF111" w14:textId="6E4EE220">
      <w:pPr>
        <w:pStyle w:val="Normal"/>
        <w:spacing w:before="240" w:beforeAutospacing="off" w:after="240" w:afterAutospacing="off" w:line="360" w:lineRule="auto"/>
        <w:jc w:val="left"/>
      </w:pPr>
      <w:r w:rsidRPr="60E4BEB6" w:rsidR="64DA3B2E">
        <w:rPr>
          <w:rFonts w:ascii="Arial Nova" w:hAnsi="Arial Nova" w:eastAsia="Arial Nova" w:cs="Arial Nova"/>
          <w:noProof w:val="0"/>
          <w:sz w:val="22"/>
          <w:szCs w:val="22"/>
          <w:lang w:val="en-GB"/>
        </w:rPr>
        <w:t>Overall, developing this portfolio has deepened my understanding of stakeholder engagement as a holistic, ethical, and community-centred practice. It requires analytical rigour, interpersonal skills, cultural awareness, and a commitment to democratic participation. More importantly, it reinforced the principle that public projects succeed not solely because of good design, but because people feel heard, respected, and represented throughout the process. This insight will significantly shape my professional approach to future stakeholder management tasks.</w:t>
      </w:r>
    </w:p>
    <w:p w:rsidR="60E4BEB6" w:rsidP="60E4BEB6" w:rsidRDefault="60E4BEB6" w14:paraId="6B5CAD3B" w14:textId="4CF23A59">
      <w:pPr>
        <w:pStyle w:val="Normal"/>
        <w:spacing w:line="360" w:lineRule="auto"/>
        <w:ind w:left="0"/>
        <w:jc w:val="left"/>
        <w:rPr>
          <w:rFonts w:ascii="Arial Nova" w:hAnsi="Arial Nova" w:eastAsia="Arial Nova" w:cs="Arial Nova"/>
          <w:noProof w:val="0"/>
          <w:sz w:val="22"/>
          <w:szCs w:val="22"/>
          <w:lang w:val="en-GB"/>
        </w:rPr>
      </w:pPr>
    </w:p>
    <w:p w:rsidR="60E4BEB6" w:rsidP="60E4BEB6" w:rsidRDefault="60E4BEB6" w14:paraId="076383DE" w14:textId="56D4BD6B">
      <w:pPr>
        <w:pStyle w:val="Normal"/>
        <w:spacing w:line="360" w:lineRule="auto"/>
        <w:ind w:left="0"/>
        <w:jc w:val="left"/>
        <w:rPr>
          <w:rFonts w:ascii="Arial Nova" w:hAnsi="Arial Nova" w:eastAsia="Arial Nova" w:cs="Arial Nova" w:asciiTheme="minorAscii" w:hAnsiTheme="minorAscii" w:eastAsiaTheme="minorAscii" w:cstheme="minorAscii"/>
          <w:b w:val="1"/>
          <w:bCs w:val="1"/>
          <w:noProof w:val="0"/>
          <w:sz w:val="22"/>
          <w:szCs w:val="22"/>
          <w:lang w:val="en-GB"/>
        </w:rPr>
      </w:pPr>
    </w:p>
    <w:p w:rsidR="60E4BEB6" w:rsidP="60E4BEB6" w:rsidRDefault="60E4BEB6" w14:paraId="3FF4CBCA" w14:textId="0CB7576C">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C89BA1E" w14:textId="712A575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37C3894A" w14:textId="3B03F21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36A604C8" w14:textId="7A387F09">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319AC307" w14:textId="1C4B998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14B45304" w14:textId="6B215BB3">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39203A38" w14:textId="5BC6DAEC">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393776F7" w14:textId="1984A487">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2BC5E896" w14:textId="455331BF">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43711698" w14:textId="5A54C9FE">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0E5D2E1C" w14:textId="4AA5EF89">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481E9915" w14:textId="77DAE31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1550E8EE" w14:textId="7EF6006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74ACFE05" w14:textId="742252B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2AEE0EA1" w14:textId="4E5C636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3420A52D" w14:textId="29F605A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3C8E8E29" w14:textId="3D4BC61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5C3441FC" w14:textId="5BD6F18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78C986C1" w14:textId="4B38D29E">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5C1573F0" w14:textId="7B9249F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6F60982C" w14:textId="2098BEE5">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60E4BEB6" w:rsidRDefault="4E17D431" w14:paraId="624F0634" w14:textId="2DF08347">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r w:rsidRPr="3B3420D8" w:rsidR="4E17D431">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Reference List </w:t>
      </w:r>
    </w:p>
    <w:p w:rsidR="60E4BEB6" w:rsidP="3B3420D8" w:rsidRDefault="60E4BEB6" w14:paraId="63E05752" w14:textId="3287FE55">
      <w:pPr>
        <w:pStyle w:val="Normal"/>
        <w:spacing w:line="360" w:lineRule="auto"/>
        <w:jc w:val="left"/>
        <w:rPr>
          <w:rFonts w:ascii="Arial Nova" w:hAnsi="Arial Nova" w:eastAsia="Arial Nova" w:cs="Arial Nova" w:asciiTheme="minorAscii" w:hAnsiTheme="minorAscii" w:eastAsiaTheme="minorAscii" w:cstheme="minorAscii"/>
          <w:b w:val="0"/>
          <w:bCs w:val="0"/>
          <w:noProof w:val="0"/>
          <w:sz w:val="22"/>
          <w:szCs w:val="22"/>
          <w:u w:val="none"/>
          <w:lang w:val="en-GB"/>
        </w:rPr>
      </w:pP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Anne Mette N. Adams, Diane Chamberlain, Charlotte Brun Thorup, Mette Grønkjær, Tiffany Conroy, Ethical and </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feasible</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stakeholder engagement in guideline development, Collegian, Volume 30, Issue 1, 2023, Pages 101-109, ISSN 1322-7696,</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https://doi.org/10.1016/j.colegn.2022.08.003</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https://www.sciencedirect.com/science/article/pii/S1322769622001184</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w:t>
      </w:r>
    </w:p>
    <w:p w:rsidR="60E4BEB6" w:rsidP="3B3420D8" w:rsidRDefault="60E4BEB6" w14:paraId="7387803A" w14:textId="0EE17B7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r w:rsidRPr="3B3420D8" w:rsidR="4CDB5B86">
        <w:rPr>
          <w:rFonts w:ascii="Arial Nova" w:hAnsi="Arial Nova" w:eastAsia="Arial Nova" w:cs="Arial Nova"/>
          <w:noProof w:val="0"/>
          <w:sz w:val="22"/>
          <w:szCs w:val="22"/>
          <w:lang w:val="en-GB"/>
        </w:rPr>
        <w:t>El-</w:t>
      </w:r>
      <w:r w:rsidRPr="3B3420D8" w:rsidR="4CDB5B86">
        <w:rPr>
          <w:rFonts w:ascii="Arial Nova" w:hAnsi="Arial Nova" w:eastAsia="Arial Nova" w:cs="Arial Nova"/>
          <w:noProof w:val="0"/>
          <w:sz w:val="22"/>
          <w:szCs w:val="22"/>
          <w:lang w:val="en-GB"/>
        </w:rPr>
        <w:t>Naway</w:t>
      </w:r>
      <w:r w:rsidRPr="3B3420D8" w:rsidR="4CDB5B86">
        <w:rPr>
          <w:rFonts w:ascii="Arial Nova" w:hAnsi="Arial Nova" w:eastAsia="Arial Nova" w:cs="Arial Nova"/>
          <w:noProof w:val="0"/>
          <w:sz w:val="22"/>
          <w:szCs w:val="22"/>
          <w:lang w:val="en-GB"/>
        </w:rPr>
        <w:t xml:space="preserve">, O., Mahdi, I., </w:t>
      </w:r>
      <w:r w:rsidRPr="3B3420D8" w:rsidR="4CDB5B86">
        <w:rPr>
          <w:rFonts w:ascii="Arial Nova" w:hAnsi="Arial Nova" w:eastAsia="Arial Nova" w:cs="Arial Nova"/>
          <w:noProof w:val="0"/>
          <w:sz w:val="22"/>
          <w:szCs w:val="22"/>
          <w:lang w:val="en-GB"/>
        </w:rPr>
        <w:t>Badwy</w:t>
      </w:r>
      <w:r w:rsidRPr="3B3420D8" w:rsidR="4CDB5B86">
        <w:rPr>
          <w:rFonts w:ascii="Arial Nova" w:hAnsi="Arial Nova" w:eastAsia="Arial Nova" w:cs="Arial Nova"/>
          <w:noProof w:val="0"/>
          <w:sz w:val="22"/>
          <w:szCs w:val="22"/>
          <w:lang w:val="en-GB"/>
        </w:rPr>
        <w:t xml:space="preserve">, M. &amp; </w:t>
      </w:r>
      <w:r w:rsidRPr="3B3420D8" w:rsidR="4CDB5B86">
        <w:rPr>
          <w:rFonts w:ascii="Arial Nova" w:hAnsi="Arial Nova" w:eastAsia="Arial Nova" w:cs="Arial Nova"/>
          <w:noProof w:val="0"/>
          <w:sz w:val="22"/>
          <w:szCs w:val="22"/>
          <w:lang w:val="en-GB"/>
        </w:rPr>
        <w:t>Al-Deen</w:t>
      </w:r>
      <w:r w:rsidRPr="3B3420D8" w:rsidR="4CDB5B86">
        <w:rPr>
          <w:rFonts w:ascii="Arial Nova" w:hAnsi="Arial Nova" w:eastAsia="Arial Nova" w:cs="Arial Nova"/>
          <w:noProof w:val="0"/>
          <w:sz w:val="22"/>
          <w:szCs w:val="22"/>
          <w:lang w:val="en-GB"/>
        </w:rPr>
        <w:t xml:space="preserve">, A.G., 2015. Developing </w:t>
      </w:r>
      <w:r w:rsidRPr="3B3420D8" w:rsidR="4CDB5B86">
        <w:rPr>
          <w:rFonts w:ascii="Arial Nova" w:hAnsi="Arial Nova" w:eastAsia="Arial Nova" w:cs="Arial Nova"/>
          <w:noProof w:val="0"/>
          <w:sz w:val="22"/>
          <w:szCs w:val="22"/>
          <w:lang w:val="en-GB"/>
        </w:rPr>
        <w:t>methodology</w:t>
      </w:r>
      <w:r w:rsidRPr="3B3420D8" w:rsidR="4CDB5B86">
        <w:rPr>
          <w:rFonts w:ascii="Arial Nova" w:hAnsi="Arial Nova" w:eastAsia="Arial Nova" w:cs="Arial Nova"/>
          <w:noProof w:val="0"/>
          <w:sz w:val="22"/>
          <w:szCs w:val="22"/>
          <w:lang w:val="en-GB"/>
        </w:rPr>
        <w:t xml:space="preserve"> for stakeholder management to achieve project success. </w:t>
      </w:r>
      <w:r w:rsidRPr="3B3420D8" w:rsidR="4CDB5B86">
        <w:rPr>
          <w:rFonts w:ascii="Arial Nova" w:hAnsi="Arial Nova" w:eastAsia="Arial Nova" w:cs="Arial Nova"/>
          <w:i w:val="1"/>
          <w:iCs w:val="1"/>
          <w:noProof w:val="0"/>
          <w:sz w:val="22"/>
          <w:szCs w:val="22"/>
          <w:lang w:val="en-GB"/>
        </w:rPr>
        <w:t>International Journal of Innovative Research in Science, Engineering and Technology</w:t>
      </w:r>
      <w:r w:rsidRPr="3B3420D8" w:rsidR="4CDB5B86">
        <w:rPr>
          <w:rFonts w:ascii="Arial Nova" w:hAnsi="Arial Nova" w:eastAsia="Arial Nova" w:cs="Arial Nova"/>
          <w:noProof w:val="0"/>
          <w:sz w:val="22"/>
          <w:szCs w:val="22"/>
          <w:lang w:val="en-GB"/>
        </w:rPr>
        <w:t>, 4(11).</w:t>
      </w:r>
    </w:p>
    <w:p w:rsidR="60E4BEB6" w:rsidP="3B3420D8" w:rsidRDefault="60E4BEB6" w14:paraId="14373125" w14:textId="24C7FB96">
      <w:pPr>
        <w:pStyle w:val="Normal"/>
        <w:spacing w:line="360" w:lineRule="auto"/>
        <w:jc w:val="left"/>
        <w:rPr>
          <w:rFonts w:ascii="Arial Nova" w:hAnsi="Arial Nova" w:eastAsia="Arial Nova" w:cs="Arial Nova" w:asciiTheme="minorAscii" w:hAnsiTheme="minorAscii" w:eastAsiaTheme="minorAscii" w:cstheme="minorAscii"/>
          <w:b w:val="0"/>
          <w:bCs w:val="0"/>
          <w:noProof w:val="0"/>
          <w:sz w:val="22"/>
          <w:szCs w:val="22"/>
          <w:u w:val="none"/>
          <w:lang w:val="en-GB"/>
        </w:rPr>
      </w:pPr>
      <w:r w:rsidRPr="3B3420D8" w:rsidR="4D464649">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Eskerod, P., &amp; Lund Jepsen, A. (2013). Project Stakeholder Management (1st ed.). Routledge. </w:t>
      </w:r>
      <w:hyperlink r:id="R4c1862599bda4c4c">
        <w:r w:rsidRPr="3B3420D8" w:rsidR="4D464649">
          <w:rPr>
            <w:rStyle w:val="Hyperlink"/>
            <w:rFonts w:ascii="Arial Nova" w:hAnsi="Arial Nova" w:eastAsia="Arial Nova" w:cs="Arial Nova" w:asciiTheme="minorAscii" w:hAnsiTheme="minorAscii" w:eastAsiaTheme="minorAscii" w:cstheme="minorAscii"/>
            <w:b w:val="0"/>
            <w:bCs w:val="0"/>
            <w:noProof w:val="0"/>
            <w:sz w:val="22"/>
            <w:szCs w:val="22"/>
            <w:lang w:val="en-GB"/>
          </w:rPr>
          <w:t>https://doi.org/10.4324/9781315245881</w:t>
        </w:r>
      </w:hyperlink>
    </w:p>
    <w:p w:rsidR="60E4BEB6" w:rsidP="3B3420D8" w:rsidRDefault="60E4BEB6" w14:paraId="65DDBF8E" w14:textId="5EBF359D">
      <w:pPr>
        <w:pStyle w:val="Normal"/>
        <w:spacing w:line="360" w:lineRule="auto"/>
        <w:jc w:val="left"/>
        <w:rPr>
          <w:rFonts w:ascii="Arial Nova" w:hAnsi="Arial Nova" w:eastAsia="Arial Nova" w:cs="Arial Nova" w:asciiTheme="minorAscii" w:hAnsiTheme="minorAscii" w:eastAsiaTheme="minorAscii" w:cstheme="minorAscii"/>
          <w:noProof w:val="0"/>
          <w:sz w:val="22"/>
          <w:szCs w:val="22"/>
          <w:lang w:val="en-GB"/>
        </w:rPr>
      </w:pPr>
      <w:r w:rsidRPr="3B3420D8" w:rsidR="45F41A7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Fagbohun</w:t>
      </w:r>
      <w:r w:rsidRPr="3B3420D8" w:rsidR="45F41A7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 E. (2022). Importance of Communicating Sustainability to the Entire Value Chain. In: Ogunyemi, K., Atanya, O., Burgal, V. (eds) Management and Leadership for a Sustainable Africa, Volume 3. Palgrave Studies in African Leadership. Palgrave Macmillan, Cham. https://doi.org/10.1007/978-3-031-05284-2_6</w:t>
      </w:r>
    </w:p>
    <w:p w:rsidR="60E4BEB6" w:rsidP="3B3420D8" w:rsidRDefault="60E4BEB6" w14:paraId="1285B679" w14:textId="43348818">
      <w:pPr>
        <w:pStyle w:val="Normal"/>
        <w:spacing w:line="360" w:lineRule="auto"/>
        <w:jc w:val="left"/>
        <w:rPr>
          <w:rFonts w:ascii="Arial Nova" w:hAnsi="Arial Nova" w:eastAsia="Arial Nova" w:cs="Arial Nova" w:asciiTheme="minorAscii" w:hAnsiTheme="minorAscii" w:eastAsiaTheme="minorAscii" w:cstheme="minorAscii"/>
          <w:b w:val="0"/>
          <w:bCs w:val="0"/>
          <w:noProof w:val="0"/>
          <w:sz w:val="22"/>
          <w:szCs w:val="22"/>
          <w:u w:val="none"/>
          <w:lang w:val="en-GB"/>
        </w:rPr>
      </w:pP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L. Seres, M. Maric, P. </w:t>
      </w: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Tumbas</w:t>
      </w: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V. </w:t>
      </w: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Pavlicevic</w:t>
      </w: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(2019) UNIVERSITY STAKEHOLDER MAPPING, ICERI2019 Proceedings, pp. 9054-9062.</w:t>
      </w:r>
    </w:p>
    <w:p w:rsidR="60E4BEB6" w:rsidP="60E4BEB6" w:rsidRDefault="60E4BEB6" w14:paraId="6255083C" w14:textId="55EB167B">
      <w:pPr>
        <w:pStyle w:val="Normal"/>
        <w:spacing w:line="360" w:lineRule="auto"/>
        <w:jc w:val="left"/>
      </w:pPr>
      <w:r w:rsidRPr="3B3420D8" w:rsidR="7C0C9466">
        <w:rPr>
          <w:rFonts w:ascii="Arial Nova" w:hAnsi="Arial Nova" w:eastAsia="Arial Nova" w:cs="Arial Nova"/>
          <w:noProof w:val="0"/>
          <w:sz w:val="22"/>
          <w:szCs w:val="22"/>
          <w:lang w:val="en-GB"/>
        </w:rPr>
        <w:t xml:space="preserve">Norton, P., 2021. Communications for planning: Effective communication through consultation. In: </w:t>
      </w:r>
      <w:r w:rsidRPr="3B3420D8" w:rsidR="7C0C9466">
        <w:rPr>
          <w:rFonts w:ascii="Arial Nova" w:hAnsi="Arial Nova" w:eastAsia="Arial Nova" w:cs="Arial Nova"/>
          <w:i w:val="1"/>
          <w:iCs w:val="1"/>
          <w:noProof w:val="0"/>
          <w:sz w:val="22"/>
          <w:szCs w:val="22"/>
          <w:lang w:val="en-GB"/>
        </w:rPr>
        <w:t>Communicating Construction</w:t>
      </w:r>
      <w:r w:rsidRPr="3B3420D8" w:rsidR="7C0C9466">
        <w:rPr>
          <w:rFonts w:ascii="Arial Nova" w:hAnsi="Arial Nova" w:eastAsia="Arial Nova" w:cs="Arial Nova"/>
          <w:noProof w:val="0"/>
          <w:sz w:val="22"/>
          <w:szCs w:val="22"/>
          <w:lang w:val="en-GB"/>
        </w:rPr>
        <w:t>. 1st ed. Routledge, p. 28.</w:t>
      </w:r>
    </w:p>
    <w:p w:rsidR="60E4BEB6" w:rsidP="3B3420D8" w:rsidRDefault="60E4BEB6" w14:paraId="1E98D914" w14:textId="48AEC760">
      <w:pPr>
        <w:pStyle w:val="Normal"/>
        <w:spacing w:line="360" w:lineRule="auto"/>
        <w:jc w:val="left"/>
        <w:rPr>
          <w:rFonts w:ascii="Arial Nova" w:hAnsi="Arial Nova" w:eastAsia="Arial Nova" w:cs="Arial Nova" w:asciiTheme="minorAscii" w:hAnsiTheme="minorAscii" w:eastAsiaTheme="minorAscii" w:cstheme="minorAscii"/>
          <w:b w:val="0"/>
          <w:bCs w:val="0"/>
          <w:noProof w:val="0"/>
          <w:sz w:val="22"/>
          <w:szCs w:val="22"/>
          <w:u w:val="none"/>
          <w:lang w:val="en-GB"/>
        </w:rPr>
      </w:pP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S. F. Azzahra, T.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Ramadhane</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M. F. Safitra, M. Lubis and S.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Suakanto</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"Stakeholder Management and Communication Management Plan on E-Government Project," 2023 11th International Conference on Cyber and IT Service Management (CITSM), Makassar, Indonesia, 2023, pp. 1-5,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doi</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10.1109/CITSM60085.2023.10455566. keywords: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Surveys;Protocols;Decision</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making;Organizations</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Solids;Stakeholders</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Interviews;communication</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management;E-Government;stakeholder</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management},</w:t>
      </w:r>
    </w:p>
    <w:p w:rsidR="60E4BEB6" w:rsidP="3B3420D8" w:rsidRDefault="60E4BEB6" w14:paraId="576AC6C4" w14:textId="1F1790E3">
      <w:pPr>
        <w:pStyle w:val="Normal"/>
        <w:spacing w:line="360" w:lineRule="auto"/>
        <w:jc w:val="left"/>
        <w:rPr>
          <w:color w:val="auto"/>
        </w:rPr>
      </w:pP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Thijssens</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 xml:space="preserve">, T., Bollen, L. &amp; </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Hassink</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 xml:space="preserve">, H. Secondary Stakeholder Influence on CSR Disclosure: </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An Application of Stakeholder Salience Theory. </w:t>
      </w:r>
      <w:r w:rsidRPr="3B3420D8" w:rsidR="4D98C095">
        <w:rPr>
          <w:rFonts w:ascii="Arial Nova" w:hAnsi="Arial Nova" w:eastAsia="Arial Nova" w:cs="Arial Nova" w:asciiTheme="minorAscii" w:hAnsiTheme="minorAscii" w:eastAsiaTheme="minorAscii" w:cstheme="minorAscii"/>
          <w:b w:val="0"/>
          <w:bCs w:val="0"/>
          <w:i w:val="1"/>
          <w:iCs w:val="1"/>
          <w:caps w:val="0"/>
          <w:smallCaps w:val="0"/>
          <w:noProof w:val="0"/>
          <w:color w:val="auto"/>
          <w:sz w:val="22"/>
          <w:szCs w:val="22"/>
          <w:lang w:val="en-GB"/>
        </w:rPr>
        <w:t>J Bus Ethics</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w:t>
      </w:r>
      <w:r w:rsidRPr="3B3420D8" w:rsidR="4D98C095">
        <w:rPr>
          <w:rFonts w:ascii="Arial Nova" w:hAnsi="Arial Nova" w:eastAsia="Arial Nova" w:cs="Arial Nova" w:asciiTheme="minorAscii" w:hAnsiTheme="minorAscii" w:eastAsiaTheme="minorAscii" w:cstheme="minorAscii"/>
          <w:b w:val="1"/>
          <w:bCs w:val="1"/>
          <w:i w:val="0"/>
          <w:iCs w:val="0"/>
          <w:caps w:val="0"/>
          <w:smallCaps w:val="0"/>
          <w:noProof w:val="0"/>
          <w:color w:val="auto"/>
          <w:sz w:val="22"/>
          <w:szCs w:val="22"/>
          <w:lang w:val="en-GB"/>
        </w:rPr>
        <w:t>132</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873–891 (2015). </w:t>
      </w:r>
      <w:hyperlink r:id="R34c98dc5863949b1">
        <w:r w:rsidRPr="3B3420D8" w:rsidR="4D98C095">
          <w:rPr>
            <w:rStyle w:val="Hyperlink"/>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https://doi.org/10.1007/s10551-015-2623-3</w:t>
        </w:r>
      </w:hyperlink>
    </w:p>
    <w:p w:rsidR="60E4BEB6" w:rsidP="3B3420D8" w:rsidRDefault="60E4BEB6" w14:paraId="3E4893F8" w14:textId="7E36E18E">
      <w:pPr>
        <w:pStyle w:val="Normal"/>
        <w:spacing w:line="360" w:lineRule="auto"/>
        <w:jc w:val="left"/>
        <w:rPr>
          <w:rFonts w:ascii="Arial Nova" w:hAnsi="Arial Nova" w:eastAsia="Arial Nova" w:cs="Arial Nova" w:asciiTheme="minorAscii" w:hAnsiTheme="minorAscii" w:eastAsiaTheme="minorAscii" w:cstheme="minorAscii"/>
          <w:noProof w:val="0"/>
          <w:color w:val="auto"/>
          <w:sz w:val="22"/>
          <w:szCs w:val="22"/>
          <w:lang w:val="en-GB"/>
        </w:rPr>
      </w:pP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Zeynep </w:t>
      </w: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Arsel</w:t>
      </w: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David Crockett, Maura L Scott, Diversity, Equity, and Inclusion (DEI) in the </w:t>
      </w:r>
      <w:r w:rsidRPr="3B3420D8" w:rsidR="194D83A2">
        <w:rPr>
          <w:rFonts w:ascii="Arial Nova" w:hAnsi="Arial Nova" w:eastAsia="Arial Nova" w:cs="Arial Nova" w:asciiTheme="minorAscii" w:hAnsiTheme="minorAscii" w:eastAsiaTheme="minorAscii" w:cstheme="minorAscii"/>
          <w:b w:val="0"/>
          <w:bCs w:val="0"/>
          <w:i w:val="1"/>
          <w:iCs w:val="1"/>
          <w:caps w:val="0"/>
          <w:smallCaps w:val="0"/>
          <w:noProof w:val="0"/>
          <w:color w:val="auto"/>
          <w:sz w:val="22"/>
          <w:szCs w:val="22"/>
          <w:lang w:val="en-GB"/>
        </w:rPr>
        <w:t>Journal of Consumer Research</w:t>
      </w: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A Curation and Research Agenda, </w:t>
      </w:r>
      <w:r w:rsidRPr="3B3420D8" w:rsidR="194D83A2">
        <w:rPr>
          <w:rFonts w:ascii="Arial Nova" w:hAnsi="Arial Nova" w:eastAsia="Arial Nova" w:cs="Arial Nova" w:asciiTheme="minorAscii" w:hAnsiTheme="minorAscii" w:eastAsiaTheme="minorAscii" w:cstheme="minorAscii"/>
          <w:b w:val="0"/>
          <w:bCs w:val="0"/>
          <w:i w:val="1"/>
          <w:iCs w:val="1"/>
          <w:caps w:val="0"/>
          <w:smallCaps w:val="0"/>
          <w:noProof w:val="0"/>
          <w:color w:val="auto"/>
          <w:sz w:val="22"/>
          <w:szCs w:val="22"/>
          <w:lang w:val="en-GB"/>
        </w:rPr>
        <w:t>Journal of Consumer Research</w:t>
      </w: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Volume 48, Issue 5, February 2022, Pages 920–933, </w:t>
      </w:r>
      <w:hyperlink r:id="R8a6443a0993c46cf">
        <w:r w:rsidRPr="3B3420D8" w:rsidR="194D83A2">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auto"/>
            <w:sz w:val="22"/>
            <w:szCs w:val="22"/>
            <w:u w:val="none"/>
            <w:lang w:val="en-GB"/>
          </w:rPr>
          <w:t>https://doi.org/10.1093/jcr/ucab057</w:t>
        </w:r>
      </w:hyperlink>
    </w:p>
    <w:p w:rsidR="60E4BEB6" w:rsidP="3B3420D8" w:rsidRDefault="60E4BEB6" w14:paraId="0F915FB5" w14:textId="0035A7E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51C3608A" w14:textId="5512352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5E8D3D40" w14:textId="20AF22E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10D5A680" w14:textId="686FE91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434B8D0B" w14:textId="256AF83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44EC5E58" w14:textId="2D0C4B2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718FAE5E" w14:textId="0FB64B1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4E0AED03" w14:textId="4498A7C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30314D30" w14:textId="1EADA888">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73519473" w14:textId="12506885">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698B4858" w14:textId="032C885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0506C363" w14:textId="235D108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30FE6733" w14:textId="3F4CD60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529D0FF" w14:textId="71C7D64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03E09D30" w14:textId="527B7183">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094A0A26" w14:textId="6691ACA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D2B4742" w14:textId="54EC945D">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613C0F8D" w14:textId="0AA3CE69">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34E480EE" w14:textId="79A16109">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769C3401" w14:textId="2EC63A28">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626D57BA" w14:textId="52C1A12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E0A2DEF" w14:textId="2E4CB95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00762AA5" w14:textId="5B2BB00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19910979" w14:textId="5730504E">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5AD9F4B" w14:textId="454961F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94135D4" w14:textId="30AF481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70341928" w14:textId="53316D8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6">
    <w:nsid w:val="6c4e4a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500a9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f729b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cc28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a8d9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3cff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030d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4cb6c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f680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84cb1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8d25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f34a5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e5b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854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eef9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bb8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f9d13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85cbd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1996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9883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d6f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ea39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2b6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96bb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91b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963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C1A80C"/>
    <w:rsid w:val="002E1883"/>
    <w:rsid w:val="007655C2"/>
    <w:rsid w:val="01D8D6FD"/>
    <w:rsid w:val="01E9513E"/>
    <w:rsid w:val="023BBB27"/>
    <w:rsid w:val="029B1B2D"/>
    <w:rsid w:val="03547016"/>
    <w:rsid w:val="043963FE"/>
    <w:rsid w:val="053B462F"/>
    <w:rsid w:val="0541599E"/>
    <w:rsid w:val="05B6DACD"/>
    <w:rsid w:val="05BE72F4"/>
    <w:rsid w:val="05D61E0D"/>
    <w:rsid w:val="063D20A6"/>
    <w:rsid w:val="06E9B04C"/>
    <w:rsid w:val="07550211"/>
    <w:rsid w:val="0769D96E"/>
    <w:rsid w:val="07A40293"/>
    <w:rsid w:val="092CBD7C"/>
    <w:rsid w:val="096D8168"/>
    <w:rsid w:val="09D874A9"/>
    <w:rsid w:val="09DC5180"/>
    <w:rsid w:val="0A1E4B5F"/>
    <w:rsid w:val="0A2FD17D"/>
    <w:rsid w:val="0A3B8D20"/>
    <w:rsid w:val="0A495DF9"/>
    <w:rsid w:val="0A665819"/>
    <w:rsid w:val="0A728F4C"/>
    <w:rsid w:val="0A8EE7AC"/>
    <w:rsid w:val="0AF50FBF"/>
    <w:rsid w:val="0B01A0A2"/>
    <w:rsid w:val="0B22A162"/>
    <w:rsid w:val="0B872555"/>
    <w:rsid w:val="0BB933D5"/>
    <w:rsid w:val="0C032245"/>
    <w:rsid w:val="0C2BAEEE"/>
    <w:rsid w:val="0C62F851"/>
    <w:rsid w:val="0E194C70"/>
    <w:rsid w:val="0EDE42AA"/>
    <w:rsid w:val="0F1FF7C8"/>
    <w:rsid w:val="0FC23A1F"/>
    <w:rsid w:val="0FE3326B"/>
    <w:rsid w:val="106AC7AF"/>
    <w:rsid w:val="10D8F082"/>
    <w:rsid w:val="10F60DF3"/>
    <w:rsid w:val="110DFB56"/>
    <w:rsid w:val="115C9D5E"/>
    <w:rsid w:val="118C0267"/>
    <w:rsid w:val="127C4E22"/>
    <w:rsid w:val="12DA0F4B"/>
    <w:rsid w:val="12DA92C4"/>
    <w:rsid w:val="132FEDB3"/>
    <w:rsid w:val="136128F3"/>
    <w:rsid w:val="13FFE62C"/>
    <w:rsid w:val="1418DB66"/>
    <w:rsid w:val="14378F8B"/>
    <w:rsid w:val="14C1096F"/>
    <w:rsid w:val="14E9D307"/>
    <w:rsid w:val="15B5EAE7"/>
    <w:rsid w:val="15BCBD3A"/>
    <w:rsid w:val="160556D4"/>
    <w:rsid w:val="161ADD8E"/>
    <w:rsid w:val="165A5543"/>
    <w:rsid w:val="1667720C"/>
    <w:rsid w:val="16BB4EA9"/>
    <w:rsid w:val="16BDA60D"/>
    <w:rsid w:val="16F6B1E1"/>
    <w:rsid w:val="172BE1BC"/>
    <w:rsid w:val="173E9E10"/>
    <w:rsid w:val="177EC09E"/>
    <w:rsid w:val="179ECE90"/>
    <w:rsid w:val="184970B4"/>
    <w:rsid w:val="18BA98CD"/>
    <w:rsid w:val="18CA2924"/>
    <w:rsid w:val="18EE9D41"/>
    <w:rsid w:val="1910BCA3"/>
    <w:rsid w:val="194D83A2"/>
    <w:rsid w:val="1964AFC7"/>
    <w:rsid w:val="199207DC"/>
    <w:rsid w:val="199C890C"/>
    <w:rsid w:val="1A27EF1D"/>
    <w:rsid w:val="1AB58B16"/>
    <w:rsid w:val="1B50BF2E"/>
    <w:rsid w:val="1B5C5251"/>
    <w:rsid w:val="1BC7BAAA"/>
    <w:rsid w:val="1BFE8895"/>
    <w:rsid w:val="1C369F07"/>
    <w:rsid w:val="1C906C1E"/>
    <w:rsid w:val="1D06FE7E"/>
    <w:rsid w:val="1D20615E"/>
    <w:rsid w:val="1D28814D"/>
    <w:rsid w:val="1D54D024"/>
    <w:rsid w:val="1DD3E2D9"/>
    <w:rsid w:val="1DF14734"/>
    <w:rsid w:val="1E31D2B7"/>
    <w:rsid w:val="1E44D84E"/>
    <w:rsid w:val="1EB6F4F6"/>
    <w:rsid w:val="1F277AD6"/>
    <w:rsid w:val="1FEE0BE2"/>
    <w:rsid w:val="20B6E708"/>
    <w:rsid w:val="21347788"/>
    <w:rsid w:val="21D320CB"/>
    <w:rsid w:val="220F8881"/>
    <w:rsid w:val="223B05A8"/>
    <w:rsid w:val="22A7AABD"/>
    <w:rsid w:val="2354D041"/>
    <w:rsid w:val="2362E5C6"/>
    <w:rsid w:val="23746978"/>
    <w:rsid w:val="23C3F7E6"/>
    <w:rsid w:val="23C84C02"/>
    <w:rsid w:val="2419CFE4"/>
    <w:rsid w:val="2536BDEA"/>
    <w:rsid w:val="2588A294"/>
    <w:rsid w:val="2589D620"/>
    <w:rsid w:val="25CBF3DE"/>
    <w:rsid w:val="2618334B"/>
    <w:rsid w:val="26BEC7D8"/>
    <w:rsid w:val="2729D502"/>
    <w:rsid w:val="2786336E"/>
    <w:rsid w:val="27909F93"/>
    <w:rsid w:val="27FE5705"/>
    <w:rsid w:val="28AE40B9"/>
    <w:rsid w:val="28E4E15D"/>
    <w:rsid w:val="29A23252"/>
    <w:rsid w:val="2AC4545C"/>
    <w:rsid w:val="2AFD879A"/>
    <w:rsid w:val="2B2080C2"/>
    <w:rsid w:val="2B94AAEE"/>
    <w:rsid w:val="2BE06E9D"/>
    <w:rsid w:val="2C2AB134"/>
    <w:rsid w:val="2C3180FF"/>
    <w:rsid w:val="2C69AA26"/>
    <w:rsid w:val="2D02DF02"/>
    <w:rsid w:val="2D789B02"/>
    <w:rsid w:val="2DA4A643"/>
    <w:rsid w:val="2E11C267"/>
    <w:rsid w:val="2E14E55D"/>
    <w:rsid w:val="2E4702B2"/>
    <w:rsid w:val="2E5DDFE2"/>
    <w:rsid w:val="2EB5C2B0"/>
    <w:rsid w:val="2FBB73D1"/>
    <w:rsid w:val="3043B25B"/>
    <w:rsid w:val="308352CB"/>
    <w:rsid w:val="30A32289"/>
    <w:rsid w:val="30C69E1F"/>
    <w:rsid w:val="30D690BF"/>
    <w:rsid w:val="30F5FE20"/>
    <w:rsid w:val="3188EB0D"/>
    <w:rsid w:val="31DC11BA"/>
    <w:rsid w:val="31F175B0"/>
    <w:rsid w:val="323D5F6D"/>
    <w:rsid w:val="32C32C8B"/>
    <w:rsid w:val="32E5240E"/>
    <w:rsid w:val="33431E80"/>
    <w:rsid w:val="3360E3DA"/>
    <w:rsid w:val="33B9CBF0"/>
    <w:rsid w:val="33C1A80C"/>
    <w:rsid w:val="33E10B70"/>
    <w:rsid w:val="34029571"/>
    <w:rsid w:val="347ECD71"/>
    <w:rsid w:val="3487495B"/>
    <w:rsid w:val="34A81365"/>
    <w:rsid w:val="35598EAE"/>
    <w:rsid w:val="35EF1E9A"/>
    <w:rsid w:val="36B2216B"/>
    <w:rsid w:val="36CB5761"/>
    <w:rsid w:val="3787B0D5"/>
    <w:rsid w:val="378EB3A9"/>
    <w:rsid w:val="380EDE4C"/>
    <w:rsid w:val="3996A792"/>
    <w:rsid w:val="3A24E3FC"/>
    <w:rsid w:val="3A4107F0"/>
    <w:rsid w:val="3A6F1E65"/>
    <w:rsid w:val="3AC8A2A8"/>
    <w:rsid w:val="3B3420D8"/>
    <w:rsid w:val="3BE4FBA7"/>
    <w:rsid w:val="3BED43DF"/>
    <w:rsid w:val="3C05E5F8"/>
    <w:rsid w:val="3CE16F75"/>
    <w:rsid w:val="3D5E01BA"/>
    <w:rsid w:val="3D85E01D"/>
    <w:rsid w:val="3E001F0A"/>
    <w:rsid w:val="3F8611F7"/>
    <w:rsid w:val="4090DA08"/>
    <w:rsid w:val="40B74750"/>
    <w:rsid w:val="40B85B88"/>
    <w:rsid w:val="40BB58C9"/>
    <w:rsid w:val="40D8AADC"/>
    <w:rsid w:val="41209597"/>
    <w:rsid w:val="4155B1F0"/>
    <w:rsid w:val="420B8E07"/>
    <w:rsid w:val="42109789"/>
    <w:rsid w:val="423EC6FD"/>
    <w:rsid w:val="426D2ABF"/>
    <w:rsid w:val="428AA82E"/>
    <w:rsid w:val="433A6750"/>
    <w:rsid w:val="43B0F740"/>
    <w:rsid w:val="43C54E21"/>
    <w:rsid w:val="44B32165"/>
    <w:rsid w:val="45351681"/>
    <w:rsid w:val="458B22C5"/>
    <w:rsid w:val="45F41A75"/>
    <w:rsid w:val="462A8290"/>
    <w:rsid w:val="46B04649"/>
    <w:rsid w:val="46CD2D07"/>
    <w:rsid w:val="470CE5CC"/>
    <w:rsid w:val="4729A399"/>
    <w:rsid w:val="479DA0FA"/>
    <w:rsid w:val="481231DA"/>
    <w:rsid w:val="48336E7F"/>
    <w:rsid w:val="484BE98B"/>
    <w:rsid w:val="489889FA"/>
    <w:rsid w:val="489ABD46"/>
    <w:rsid w:val="49162A2C"/>
    <w:rsid w:val="493BD814"/>
    <w:rsid w:val="49565E31"/>
    <w:rsid w:val="4964640C"/>
    <w:rsid w:val="4A12F957"/>
    <w:rsid w:val="4A3E4BD1"/>
    <w:rsid w:val="4AA2EC4B"/>
    <w:rsid w:val="4ABA0352"/>
    <w:rsid w:val="4B4EF1CF"/>
    <w:rsid w:val="4B6AE98B"/>
    <w:rsid w:val="4C1DE24C"/>
    <w:rsid w:val="4C2AC790"/>
    <w:rsid w:val="4C2E5F62"/>
    <w:rsid w:val="4C422D07"/>
    <w:rsid w:val="4C79E0B8"/>
    <w:rsid w:val="4CDB5B86"/>
    <w:rsid w:val="4D3E313C"/>
    <w:rsid w:val="4D3E59BC"/>
    <w:rsid w:val="4D464649"/>
    <w:rsid w:val="4D470FCE"/>
    <w:rsid w:val="4D6DC4D1"/>
    <w:rsid w:val="4D98C095"/>
    <w:rsid w:val="4DA6E530"/>
    <w:rsid w:val="4DE6D342"/>
    <w:rsid w:val="4DEBB596"/>
    <w:rsid w:val="4E17D431"/>
    <w:rsid w:val="4E510C6E"/>
    <w:rsid w:val="4E61CD8D"/>
    <w:rsid w:val="4E91A7EE"/>
    <w:rsid w:val="4EB5335F"/>
    <w:rsid w:val="4EBE606F"/>
    <w:rsid w:val="4ED3721C"/>
    <w:rsid w:val="4F5B5BA0"/>
    <w:rsid w:val="4F8D51B7"/>
    <w:rsid w:val="4F9CAA28"/>
    <w:rsid w:val="50B5B0E3"/>
    <w:rsid w:val="51B381A7"/>
    <w:rsid w:val="52108E81"/>
    <w:rsid w:val="52484221"/>
    <w:rsid w:val="52FE3591"/>
    <w:rsid w:val="539C464E"/>
    <w:rsid w:val="53E8195B"/>
    <w:rsid w:val="5401C29A"/>
    <w:rsid w:val="54129867"/>
    <w:rsid w:val="543B520B"/>
    <w:rsid w:val="54720BCD"/>
    <w:rsid w:val="54F398FE"/>
    <w:rsid w:val="5516322C"/>
    <w:rsid w:val="5568F130"/>
    <w:rsid w:val="55A61958"/>
    <w:rsid w:val="560A8D7B"/>
    <w:rsid w:val="56BB39A5"/>
    <w:rsid w:val="5721FDFE"/>
    <w:rsid w:val="573917E7"/>
    <w:rsid w:val="578064B6"/>
    <w:rsid w:val="57BF5CAB"/>
    <w:rsid w:val="5867AC90"/>
    <w:rsid w:val="588EBDCD"/>
    <w:rsid w:val="5935F422"/>
    <w:rsid w:val="59FDB56B"/>
    <w:rsid w:val="59FDE54A"/>
    <w:rsid w:val="5A525AD7"/>
    <w:rsid w:val="5A5A2C49"/>
    <w:rsid w:val="5A986C84"/>
    <w:rsid w:val="5A98D825"/>
    <w:rsid w:val="5ABEC4FE"/>
    <w:rsid w:val="5B1180FF"/>
    <w:rsid w:val="5B1EA002"/>
    <w:rsid w:val="5B69D295"/>
    <w:rsid w:val="5B6F6B53"/>
    <w:rsid w:val="5B91205A"/>
    <w:rsid w:val="5C3BCD82"/>
    <w:rsid w:val="5D41E059"/>
    <w:rsid w:val="5D74E09E"/>
    <w:rsid w:val="5D7FE987"/>
    <w:rsid w:val="5DA48FC8"/>
    <w:rsid w:val="5E5AB153"/>
    <w:rsid w:val="5EFCE245"/>
    <w:rsid w:val="5F124B6A"/>
    <w:rsid w:val="5FD2A4C3"/>
    <w:rsid w:val="60004B2A"/>
    <w:rsid w:val="60773659"/>
    <w:rsid w:val="60A943A8"/>
    <w:rsid w:val="60E4BEB6"/>
    <w:rsid w:val="60FF86D9"/>
    <w:rsid w:val="616BF0A3"/>
    <w:rsid w:val="6207055F"/>
    <w:rsid w:val="62B0B689"/>
    <w:rsid w:val="639B86D8"/>
    <w:rsid w:val="63DA5A17"/>
    <w:rsid w:val="63E32E7B"/>
    <w:rsid w:val="642AEFD8"/>
    <w:rsid w:val="6446B622"/>
    <w:rsid w:val="6459F5D5"/>
    <w:rsid w:val="64D0F808"/>
    <w:rsid w:val="64DA3B2E"/>
    <w:rsid w:val="6512C049"/>
    <w:rsid w:val="65CD9A1C"/>
    <w:rsid w:val="65EB31E9"/>
    <w:rsid w:val="66213478"/>
    <w:rsid w:val="66C09BAD"/>
    <w:rsid w:val="66DD6EA3"/>
    <w:rsid w:val="672568E9"/>
    <w:rsid w:val="67656D03"/>
    <w:rsid w:val="679E4293"/>
    <w:rsid w:val="680F9C34"/>
    <w:rsid w:val="684E4A6E"/>
    <w:rsid w:val="68BAC22B"/>
    <w:rsid w:val="693B2122"/>
    <w:rsid w:val="6955C896"/>
    <w:rsid w:val="696515DC"/>
    <w:rsid w:val="6980584A"/>
    <w:rsid w:val="69EA6C3D"/>
    <w:rsid w:val="6A3534F5"/>
    <w:rsid w:val="6A9CCE67"/>
    <w:rsid w:val="6AB63594"/>
    <w:rsid w:val="6C9A1C0C"/>
    <w:rsid w:val="6CA70442"/>
    <w:rsid w:val="6CAE2077"/>
    <w:rsid w:val="6DC6BCF9"/>
    <w:rsid w:val="6E03AC85"/>
    <w:rsid w:val="6E05BD58"/>
    <w:rsid w:val="6E32444E"/>
    <w:rsid w:val="6E50EB00"/>
    <w:rsid w:val="6F607B1C"/>
    <w:rsid w:val="6F9E93B9"/>
    <w:rsid w:val="6FBD9581"/>
    <w:rsid w:val="6FCF8472"/>
    <w:rsid w:val="7033CC59"/>
    <w:rsid w:val="71083EFE"/>
    <w:rsid w:val="715E7B2A"/>
    <w:rsid w:val="7188A681"/>
    <w:rsid w:val="718E1D89"/>
    <w:rsid w:val="730EEC87"/>
    <w:rsid w:val="73E2D9CE"/>
    <w:rsid w:val="746036C2"/>
    <w:rsid w:val="74889367"/>
    <w:rsid w:val="74FA2636"/>
    <w:rsid w:val="758F7F77"/>
    <w:rsid w:val="766E73CC"/>
    <w:rsid w:val="76812FC9"/>
    <w:rsid w:val="768F052F"/>
    <w:rsid w:val="76A8D35F"/>
    <w:rsid w:val="77DAB980"/>
    <w:rsid w:val="780A6042"/>
    <w:rsid w:val="7810314C"/>
    <w:rsid w:val="781D89ED"/>
    <w:rsid w:val="7873F43D"/>
    <w:rsid w:val="788EEFC0"/>
    <w:rsid w:val="78C3B4CA"/>
    <w:rsid w:val="7A63721A"/>
    <w:rsid w:val="7A84F11C"/>
    <w:rsid w:val="7AE29890"/>
    <w:rsid w:val="7B2D07A9"/>
    <w:rsid w:val="7C0C9466"/>
    <w:rsid w:val="7C6AB85B"/>
    <w:rsid w:val="7CCE6DA6"/>
    <w:rsid w:val="7D2DA955"/>
    <w:rsid w:val="7D6765E6"/>
    <w:rsid w:val="7D76195A"/>
    <w:rsid w:val="7DA9EF1B"/>
    <w:rsid w:val="7E570523"/>
    <w:rsid w:val="7E5F1C70"/>
    <w:rsid w:val="7E691F23"/>
    <w:rsid w:val="7E69FFDA"/>
    <w:rsid w:val="7EAD4E54"/>
    <w:rsid w:val="7F457A13"/>
    <w:rsid w:val="7F7B3EDE"/>
    <w:rsid w:val="7FAF7A71"/>
    <w:rsid w:val="7FED4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02599"/>
  <w15:chartTrackingRefBased/>
  <w15:docId w15:val="{5949F23B-E39A-44E3-A25A-5E712ABF31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0E4BEB6"/>
    <w:pPr>
      <w:spacing/>
      <w:ind w:left="720"/>
      <w:contextualSpacing/>
    </w:pPr>
  </w:style>
  <w:style w:type="character" w:styleId="Hyperlink">
    <w:uiPriority w:val="99"/>
    <w:name w:val="Hyperlink"/>
    <w:basedOn w:val="DefaultParagraphFont"/>
    <w:unhideWhenUsed/>
    <w:rsid w:val="60E4BEB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9c4607307f4458" /><Relationship Type="http://schemas.openxmlformats.org/officeDocument/2006/relationships/hyperlink" Target="https://doi.org/10.4324/9781315245881" TargetMode="External" Id="R4c1862599bda4c4c" /><Relationship Type="http://schemas.openxmlformats.org/officeDocument/2006/relationships/hyperlink" Target="https://doi.org/10.1007/s10551-015-2623-3" TargetMode="External" Id="R34c98dc5863949b1" /><Relationship Type="http://schemas.openxmlformats.org/officeDocument/2006/relationships/hyperlink" Target="https://doi.org/10.1093/jcr/ucab057" TargetMode="External" Id="R8a6443a0993c46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Timea Beata Putz (2321020)</dc:creator>
  <keywords/>
  <dc:description/>
  <lastModifiedBy>Timea Beata Putz (2321020)</lastModifiedBy>
  <revision>3</revision>
  <dcterms:created xsi:type="dcterms:W3CDTF">2025-11-20T21:42:40.3937928Z</dcterms:created>
  <dcterms:modified xsi:type="dcterms:W3CDTF">2025-11-21T12:30:02.8100569Z</dcterms:modified>
</coreProperties>
</file>