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D050C" w:rsidRDefault="000D050C" w:rsidP="000D050C">
      <w:pPr>
        <w:jc w:val="center"/>
        <w:rPr>
          <w:rFonts w:ascii="Times New Roman" w:hAnsi="Times New Roman" w:cs="Times New Roman"/>
          <w:color w:val="000000" w:themeColor="text1"/>
          <w:sz w:val="24"/>
          <w:szCs w:val="24"/>
        </w:rPr>
      </w:pPr>
      <w:r w:rsidRPr="00ED4DA7">
        <w:rPr>
          <w:rFonts w:ascii="Times New Roman" w:hAnsi="Times New Roman" w:cs="Times New Roman"/>
          <w:color w:val="000000" w:themeColor="text1"/>
          <w:sz w:val="24"/>
          <w:szCs w:val="24"/>
        </w:rPr>
        <w:t>“Man is born free but everywhere he is in chains” (Rousseau, 1913, p</w:t>
      </w:r>
      <w:r>
        <w:rPr>
          <w:rFonts w:ascii="Times New Roman" w:hAnsi="Times New Roman" w:cs="Times New Roman"/>
          <w:color w:val="000000" w:themeColor="text1"/>
          <w:sz w:val="24"/>
          <w:szCs w:val="24"/>
        </w:rPr>
        <w:t>p</w:t>
      </w:r>
      <w:r w:rsidRPr="00ED4DA7">
        <w:rPr>
          <w:rFonts w:ascii="Times New Roman" w:hAnsi="Times New Roman" w:cs="Times New Roman"/>
          <w:color w:val="000000" w:themeColor="text1"/>
          <w:sz w:val="24"/>
          <w:szCs w:val="24"/>
        </w:rPr>
        <w:t>. 1)</w:t>
      </w:r>
    </w:p>
    <w:p w:rsidR="000D050C" w:rsidRPr="00ED4DA7" w:rsidRDefault="000D050C" w:rsidP="000D050C">
      <w:pPr>
        <w:jc w:val="center"/>
        <w:rPr>
          <w:rFonts w:ascii="Times New Roman" w:hAnsi="Times New Roman" w:cs="Times New Roman"/>
          <w:color w:val="000000" w:themeColor="text1"/>
          <w:sz w:val="24"/>
          <w:szCs w:val="24"/>
        </w:rPr>
      </w:pPr>
    </w:p>
    <w:p w:rsidR="000D050C" w:rsidRDefault="000D050C" w:rsidP="000D050C">
      <w:pPr>
        <w:spacing w:line="360" w:lineRule="auto"/>
        <w:jc w:val="both"/>
        <w:rPr>
          <w:rFonts w:ascii="Times New Roman" w:hAnsi="Times New Roman" w:cs="Times New Roman"/>
          <w:color w:val="000000" w:themeColor="text1"/>
          <w:sz w:val="24"/>
          <w:szCs w:val="24"/>
        </w:rPr>
      </w:pPr>
      <w:r w:rsidRPr="00ED4DA7">
        <w:rPr>
          <w:rFonts w:ascii="Times New Roman" w:hAnsi="Times New Roman" w:cs="Times New Roman"/>
          <w:color w:val="000000" w:themeColor="text1"/>
          <w:sz w:val="24"/>
          <w:szCs w:val="24"/>
        </w:rPr>
        <w:t xml:space="preserve">When Rousseau </w:t>
      </w:r>
      <w:r>
        <w:rPr>
          <w:rFonts w:ascii="Times New Roman" w:hAnsi="Times New Roman" w:cs="Times New Roman"/>
          <w:color w:val="000000" w:themeColor="text1"/>
          <w:sz w:val="24"/>
          <w:szCs w:val="24"/>
        </w:rPr>
        <w:t>wrote</w:t>
      </w:r>
      <w:r w:rsidRPr="00ED4DA7">
        <w:rPr>
          <w:rFonts w:ascii="Times New Roman" w:hAnsi="Times New Roman" w:cs="Times New Roman"/>
          <w:color w:val="000000" w:themeColor="text1"/>
          <w:sz w:val="24"/>
          <w:szCs w:val="24"/>
        </w:rPr>
        <w:t xml:space="preserve"> th</w:t>
      </w:r>
      <w:r>
        <w:rPr>
          <w:rFonts w:ascii="Times New Roman" w:hAnsi="Times New Roman" w:cs="Times New Roman"/>
          <w:color w:val="000000" w:themeColor="text1"/>
          <w:sz w:val="24"/>
          <w:szCs w:val="24"/>
        </w:rPr>
        <w:t>is</w:t>
      </w:r>
      <w:r w:rsidRPr="00ED4DA7">
        <w:rPr>
          <w:rFonts w:ascii="Times New Roman" w:hAnsi="Times New Roman" w:cs="Times New Roman"/>
          <w:color w:val="000000" w:themeColor="text1"/>
          <w:sz w:val="24"/>
          <w:szCs w:val="24"/>
        </w:rPr>
        <w:t xml:space="preserve">, he was not specifically </w:t>
      </w:r>
      <w:r>
        <w:rPr>
          <w:rFonts w:ascii="Times New Roman" w:hAnsi="Times New Roman" w:cs="Times New Roman"/>
          <w:color w:val="000000" w:themeColor="text1"/>
          <w:sz w:val="24"/>
          <w:szCs w:val="24"/>
        </w:rPr>
        <w:t>referring to</w:t>
      </w:r>
      <w:r w:rsidRPr="00ED4DA7">
        <w:rPr>
          <w:rFonts w:ascii="Times New Roman" w:hAnsi="Times New Roman" w:cs="Times New Roman"/>
          <w:color w:val="000000" w:themeColor="text1"/>
          <w:sz w:val="24"/>
          <w:szCs w:val="24"/>
        </w:rPr>
        <w:t xml:space="preserve"> children in school, it was more </w:t>
      </w:r>
      <w:r>
        <w:rPr>
          <w:rFonts w:ascii="Times New Roman" w:hAnsi="Times New Roman" w:cs="Times New Roman"/>
          <w:color w:val="000000" w:themeColor="text1"/>
          <w:sz w:val="24"/>
          <w:szCs w:val="24"/>
        </w:rPr>
        <w:t>an</w:t>
      </w:r>
      <w:r w:rsidRPr="00ED4DA7">
        <w:rPr>
          <w:rFonts w:ascii="Times New Roman" w:hAnsi="Times New Roman" w:cs="Times New Roman"/>
          <w:color w:val="000000" w:themeColor="text1"/>
          <w:sz w:val="24"/>
          <w:szCs w:val="24"/>
        </w:rPr>
        <w:t xml:space="preserve"> observation of society in general. However, during my professional teaching experience (PTE), I observed how children’s learning can be </w:t>
      </w:r>
      <w:r>
        <w:rPr>
          <w:rFonts w:ascii="Times New Roman" w:hAnsi="Times New Roman" w:cs="Times New Roman"/>
          <w:color w:val="000000" w:themeColor="text1"/>
          <w:sz w:val="24"/>
          <w:szCs w:val="24"/>
        </w:rPr>
        <w:t xml:space="preserve">metaphorically </w:t>
      </w:r>
      <w:r w:rsidRPr="00ED4DA7">
        <w:rPr>
          <w:rFonts w:ascii="Times New Roman" w:hAnsi="Times New Roman" w:cs="Times New Roman"/>
          <w:color w:val="000000" w:themeColor="text1"/>
          <w:sz w:val="24"/>
          <w:szCs w:val="24"/>
        </w:rPr>
        <w:t>shackled</w:t>
      </w:r>
      <w:r>
        <w:rPr>
          <w:rFonts w:ascii="Times New Roman" w:hAnsi="Times New Roman" w:cs="Times New Roman"/>
          <w:color w:val="000000" w:themeColor="text1"/>
          <w:sz w:val="24"/>
          <w:szCs w:val="24"/>
        </w:rPr>
        <w:t>,</w:t>
      </w:r>
      <w:r w:rsidRPr="00ED4DA7">
        <w:rPr>
          <w:rFonts w:ascii="Times New Roman" w:hAnsi="Times New Roman" w:cs="Times New Roman"/>
          <w:color w:val="000000" w:themeColor="text1"/>
          <w:sz w:val="24"/>
          <w:szCs w:val="24"/>
        </w:rPr>
        <w:t xml:space="preserve"> when a culture of discrete subjects and timetabled lessons is strictly adhered to. </w:t>
      </w:r>
      <w:r>
        <w:rPr>
          <w:rFonts w:ascii="Times New Roman" w:hAnsi="Times New Roman" w:cs="Times New Roman"/>
          <w:color w:val="000000" w:themeColor="text1"/>
          <w:sz w:val="24"/>
          <w:szCs w:val="24"/>
        </w:rPr>
        <w:t>In</w:t>
      </w:r>
      <w:r w:rsidRPr="00ED4DA7">
        <w:rPr>
          <w:rFonts w:ascii="Times New Roman" w:hAnsi="Times New Roman" w:cs="Times New Roman"/>
          <w:color w:val="000000" w:themeColor="text1"/>
          <w:sz w:val="24"/>
          <w:szCs w:val="24"/>
        </w:rPr>
        <w:t xml:space="preserve"> contrast, I have witnessed </w:t>
      </w:r>
      <w:r>
        <w:rPr>
          <w:rFonts w:ascii="Times New Roman" w:hAnsi="Times New Roman" w:cs="Times New Roman"/>
          <w:color w:val="000000" w:themeColor="text1"/>
          <w:sz w:val="24"/>
          <w:szCs w:val="24"/>
        </w:rPr>
        <w:t>t</w:t>
      </w:r>
      <w:r w:rsidRPr="00ED4DA7">
        <w:rPr>
          <w:rFonts w:ascii="Times New Roman" w:hAnsi="Times New Roman" w:cs="Times New Roman"/>
          <w:color w:val="000000" w:themeColor="text1"/>
          <w:sz w:val="24"/>
          <w:szCs w:val="24"/>
        </w:rPr>
        <w:t>he free flowing and authentic learning that can occur when subject boundaries are removed and a cross-curricular approach is adopted.</w:t>
      </w:r>
      <w:r>
        <w:rPr>
          <w:rFonts w:ascii="Times New Roman" w:hAnsi="Times New Roman" w:cs="Times New Roman"/>
          <w:color w:val="000000" w:themeColor="text1"/>
          <w:sz w:val="24"/>
          <w:szCs w:val="24"/>
        </w:rPr>
        <w:t xml:space="preserve"> </w:t>
      </w:r>
    </w:p>
    <w:p w:rsidR="000D050C" w:rsidRDefault="000D050C" w:rsidP="000D050C">
      <w:pPr>
        <w:spacing w:line="360" w:lineRule="auto"/>
        <w:jc w:val="both"/>
        <w:rPr>
          <w:rFonts w:ascii="Times New Roman" w:hAnsi="Times New Roman" w:cs="Times New Roman"/>
          <w:color w:val="000000" w:themeColor="text1"/>
          <w:sz w:val="24"/>
          <w:szCs w:val="24"/>
        </w:rPr>
      </w:pPr>
    </w:p>
    <w:p w:rsidR="000D050C" w:rsidRDefault="000D050C" w:rsidP="000D05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Wales, we are about to embrace a progressive curriculum which has been developed to ensure “the vital contribution of disciplinary learning is preserved but is supplemented by other aspects that relate directly to the needs of today… and challenges of tomorrow” (Donaldson, 2015, pp. 36). One of Donaldson’s strategies for ensuring learners develop the necessary skills to thrive in the modern world, is to make the teaching of literacy, numeracy and digital competence cross-curricular responsibilities. </w:t>
      </w:r>
    </w:p>
    <w:p w:rsidR="000D050C" w:rsidRDefault="000D050C" w:rsidP="000D050C">
      <w:pPr>
        <w:spacing w:line="360" w:lineRule="auto"/>
        <w:jc w:val="both"/>
        <w:rPr>
          <w:rFonts w:ascii="Times New Roman" w:hAnsi="Times New Roman" w:cs="Times New Roman"/>
          <w:color w:val="000000" w:themeColor="text1"/>
          <w:sz w:val="24"/>
          <w:szCs w:val="24"/>
        </w:rPr>
      </w:pPr>
    </w:p>
    <w:p w:rsidR="000D050C" w:rsidRDefault="000D050C" w:rsidP="000D05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Cross-curricular learning is when skills and knowledge transcend subject boundaries and are applied to interconnected topics or stimuli (Barnes, 2015). Since the late 19</w:t>
      </w:r>
      <w:r w:rsidRPr="00741836">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century, many eminent educational theorists have favoured the idea of a holistic and contextual approach to learning. An approach where thinking is not restricted to subject categories and children have the freedom to make authentic connections that cross subject boundaries (Dewey 1897; Steiner, 1919 and Piaget 1954). Support for a cross-curricular pedagogy, gained traction in the UK following The </w:t>
      </w:r>
      <w:proofErr w:type="spellStart"/>
      <w:r>
        <w:rPr>
          <w:rFonts w:ascii="Times New Roman" w:hAnsi="Times New Roman" w:cs="Times New Roman"/>
          <w:color w:val="000000" w:themeColor="text1"/>
          <w:sz w:val="24"/>
          <w:szCs w:val="24"/>
        </w:rPr>
        <w:t>Hadow</w:t>
      </w:r>
      <w:proofErr w:type="spellEnd"/>
      <w:r>
        <w:rPr>
          <w:rFonts w:ascii="Times New Roman" w:hAnsi="Times New Roman" w:cs="Times New Roman"/>
          <w:color w:val="000000" w:themeColor="text1"/>
          <w:sz w:val="24"/>
          <w:szCs w:val="24"/>
        </w:rPr>
        <w:t xml:space="preserve"> Report (1931) and The Plowden Report (1967). Plowden stressed “that children’s learning does not fit into subject categories” (Central Advisory Council for Education, 1967, pp. 203). </w:t>
      </w:r>
      <w:proofErr w:type="spellStart"/>
      <w:r>
        <w:rPr>
          <w:rFonts w:ascii="Times New Roman" w:hAnsi="Times New Roman" w:cs="Times New Roman"/>
          <w:color w:val="000000" w:themeColor="text1"/>
          <w:sz w:val="24"/>
          <w:szCs w:val="24"/>
        </w:rPr>
        <w:t>Voogt</w:t>
      </w:r>
      <w:proofErr w:type="spellEnd"/>
      <w:r>
        <w:rPr>
          <w:rFonts w:ascii="Times New Roman" w:hAnsi="Times New Roman" w:cs="Times New Roman"/>
          <w:color w:val="000000" w:themeColor="text1"/>
          <w:sz w:val="24"/>
          <w:szCs w:val="24"/>
        </w:rPr>
        <w:t xml:space="preserve"> and Roblin (2012) and </w:t>
      </w:r>
      <w:r w:rsidRPr="00ED4DA7">
        <w:rPr>
          <w:rFonts w:ascii="Times New Roman" w:hAnsi="Times New Roman" w:cs="Times New Roman"/>
          <w:color w:val="000000" w:themeColor="text1"/>
          <w:sz w:val="24"/>
          <w:szCs w:val="24"/>
        </w:rPr>
        <w:t>Robinson (2015)</w:t>
      </w:r>
      <w:r>
        <w:rPr>
          <w:rFonts w:ascii="Times New Roman" w:hAnsi="Times New Roman" w:cs="Times New Roman"/>
          <w:color w:val="000000" w:themeColor="text1"/>
          <w:sz w:val="24"/>
          <w:szCs w:val="24"/>
        </w:rPr>
        <w:t xml:space="preserve"> also support a cross-curricular approach, arguing that</w:t>
      </w:r>
      <w:r w:rsidRPr="00ED4DA7">
        <w:rPr>
          <w:rFonts w:ascii="Times New Roman" w:hAnsi="Times New Roman" w:cs="Times New Roman"/>
          <w:color w:val="000000" w:themeColor="text1"/>
          <w:sz w:val="24"/>
          <w:szCs w:val="24"/>
        </w:rPr>
        <w:t xml:space="preserve"> teaching purely through subjects</w:t>
      </w:r>
      <w:r>
        <w:rPr>
          <w:rFonts w:ascii="Times New Roman" w:hAnsi="Times New Roman" w:cs="Times New Roman"/>
          <w:color w:val="000000" w:themeColor="text1"/>
          <w:sz w:val="24"/>
          <w:szCs w:val="24"/>
        </w:rPr>
        <w:t xml:space="preserve">, </w:t>
      </w:r>
      <w:r w:rsidRPr="00ED4DA7">
        <w:rPr>
          <w:rFonts w:ascii="Times New Roman" w:hAnsi="Times New Roman" w:cs="Times New Roman"/>
          <w:color w:val="000000" w:themeColor="text1"/>
          <w:sz w:val="24"/>
          <w:szCs w:val="24"/>
        </w:rPr>
        <w:t xml:space="preserve">does </w:t>
      </w:r>
      <w:r>
        <w:rPr>
          <w:rFonts w:ascii="Times New Roman" w:hAnsi="Times New Roman" w:cs="Times New Roman"/>
          <w:color w:val="000000" w:themeColor="text1"/>
          <w:sz w:val="24"/>
          <w:szCs w:val="24"/>
        </w:rPr>
        <w:t>not allow children to develop the 21</w:t>
      </w:r>
      <w:r w:rsidRPr="00D873AF">
        <w:rPr>
          <w:rFonts w:ascii="Times New Roman" w:hAnsi="Times New Roman" w:cs="Times New Roman"/>
          <w:color w:val="000000" w:themeColor="text1"/>
          <w:sz w:val="24"/>
          <w:szCs w:val="24"/>
          <w:vertAlign w:val="superscript"/>
        </w:rPr>
        <w:t>st</w:t>
      </w:r>
      <w:r>
        <w:rPr>
          <w:rFonts w:ascii="Times New Roman" w:hAnsi="Times New Roman" w:cs="Times New Roman"/>
          <w:color w:val="000000" w:themeColor="text1"/>
          <w:sz w:val="24"/>
          <w:szCs w:val="24"/>
        </w:rPr>
        <w:t xml:space="preserve"> Century competencies needed</w:t>
      </w:r>
      <w:r w:rsidRPr="00ED4DA7">
        <w:rPr>
          <w:rFonts w:ascii="Times New Roman" w:hAnsi="Times New Roman" w:cs="Times New Roman"/>
          <w:color w:val="000000" w:themeColor="text1"/>
          <w:sz w:val="24"/>
          <w:szCs w:val="24"/>
        </w:rPr>
        <w:t xml:space="preserve"> for life outside the classroom.</w:t>
      </w:r>
      <w:r>
        <w:rPr>
          <w:rFonts w:ascii="Times New Roman" w:hAnsi="Times New Roman" w:cs="Times New Roman"/>
          <w:color w:val="000000" w:themeColor="text1"/>
          <w:sz w:val="24"/>
          <w:szCs w:val="24"/>
        </w:rPr>
        <w:t xml:space="preserve"> </w:t>
      </w:r>
      <w:r w:rsidRPr="00ED4DA7">
        <w:rPr>
          <w:rFonts w:ascii="Times New Roman" w:hAnsi="Times New Roman" w:cs="Times New Roman"/>
          <w:color w:val="000000" w:themeColor="text1"/>
          <w:sz w:val="24"/>
          <w:szCs w:val="24"/>
        </w:rPr>
        <w:t xml:space="preserve">Despite strong </w:t>
      </w:r>
      <w:r>
        <w:rPr>
          <w:rFonts w:ascii="Times New Roman" w:hAnsi="Times New Roman" w:cs="Times New Roman"/>
          <w:color w:val="000000" w:themeColor="text1"/>
          <w:sz w:val="24"/>
          <w:szCs w:val="24"/>
        </w:rPr>
        <w:t xml:space="preserve">arguments in favour of </w:t>
      </w:r>
      <w:r w:rsidRPr="00ED4DA7">
        <w:rPr>
          <w:rFonts w:ascii="Times New Roman" w:hAnsi="Times New Roman" w:cs="Times New Roman"/>
          <w:color w:val="000000" w:themeColor="text1"/>
          <w:sz w:val="24"/>
          <w:szCs w:val="24"/>
        </w:rPr>
        <w:t xml:space="preserve">a cross-curricular methodology, </w:t>
      </w:r>
      <w:r>
        <w:rPr>
          <w:rFonts w:ascii="Times New Roman" w:hAnsi="Times New Roman" w:cs="Times New Roman"/>
          <w:color w:val="000000" w:themeColor="text1"/>
          <w:sz w:val="24"/>
          <w:szCs w:val="24"/>
        </w:rPr>
        <w:t>many theorists and researchers highlight the benefits of a discrete</w:t>
      </w:r>
      <w:r w:rsidRPr="00ED4DA7">
        <w:rPr>
          <w:rFonts w:ascii="Times New Roman" w:hAnsi="Times New Roman" w:cs="Times New Roman"/>
          <w:color w:val="000000" w:themeColor="text1"/>
          <w:sz w:val="24"/>
          <w:szCs w:val="24"/>
        </w:rPr>
        <w:t xml:space="preserve"> subject based approach. Alexander, Rose and Woodhead </w:t>
      </w:r>
      <w:r>
        <w:rPr>
          <w:rFonts w:ascii="Times New Roman" w:hAnsi="Times New Roman" w:cs="Times New Roman"/>
          <w:color w:val="000000" w:themeColor="text1"/>
          <w:sz w:val="24"/>
          <w:szCs w:val="24"/>
        </w:rPr>
        <w:t xml:space="preserve">argue that subjects give children access to </w:t>
      </w:r>
      <w:r>
        <w:rPr>
          <w:rFonts w:ascii="Times New Roman" w:eastAsia="Times New Roman" w:hAnsi="Times New Roman" w:cs="Times New Roman"/>
          <w:color w:val="000000"/>
          <w:sz w:val="24"/>
          <w:szCs w:val="24"/>
          <w:lang w:eastAsia="en-GB"/>
        </w:rPr>
        <w:t>“</w:t>
      </w:r>
      <w:r w:rsidRPr="00ED4DA7">
        <w:rPr>
          <w:rFonts w:ascii="Times New Roman" w:hAnsi="Times New Roman" w:cs="Times New Roman"/>
          <w:color w:val="000000"/>
          <w:sz w:val="24"/>
          <w:szCs w:val="24"/>
        </w:rPr>
        <w:t>some of the most powerful tools for making sense of the world which human beings have ever devised</w:t>
      </w:r>
      <w:r>
        <w:rPr>
          <w:rFonts w:ascii="Times New Roman" w:hAnsi="Times New Roman" w:cs="Times New Roman"/>
          <w:color w:val="000000"/>
          <w:sz w:val="24"/>
          <w:szCs w:val="24"/>
        </w:rPr>
        <w:t>”</w:t>
      </w:r>
      <w:r w:rsidRPr="00ED4DA7">
        <w:rPr>
          <w:rFonts w:ascii="Times New Roman" w:hAnsi="Times New Roman" w:cs="Times New Roman"/>
          <w:color w:val="000000"/>
          <w:sz w:val="24"/>
          <w:szCs w:val="24"/>
        </w:rPr>
        <w:t xml:space="preserve"> </w:t>
      </w:r>
      <w:r w:rsidRPr="00ED4DA7">
        <w:rPr>
          <w:rFonts w:ascii="Times New Roman" w:hAnsi="Times New Roman" w:cs="Times New Roman"/>
          <w:color w:val="000000" w:themeColor="text1"/>
          <w:sz w:val="24"/>
          <w:szCs w:val="24"/>
        </w:rPr>
        <w:t>(1992, p</w:t>
      </w:r>
      <w:r>
        <w:rPr>
          <w:rFonts w:ascii="Times New Roman" w:hAnsi="Times New Roman" w:cs="Times New Roman"/>
          <w:color w:val="000000" w:themeColor="text1"/>
          <w:sz w:val="24"/>
          <w:szCs w:val="24"/>
        </w:rPr>
        <w:t>p</w:t>
      </w:r>
      <w:r w:rsidRPr="00ED4DA7">
        <w:rPr>
          <w:rFonts w:ascii="Times New Roman" w:hAnsi="Times New Roman" w:cs="Times New Roman"/>
          <w:color w:val="000000" w:themeColor="text1"/>
          <w:sz w:val="24"/>
          <w:szCs w:val="24"/>
        </w:rPr>
        <w:t>. 21).</w:t>
      </w:r>
      <w:r>
        <w:rPr>
          <w:rFonts w:ascii="Times New Roman" w:hAnsi="Times New Roman" w:cs="Times New Roman"/>
          <w:color w:val="000000" w:themeColor="text1"/>
          <w:sz w:val="24"/>
          <w:szCs w:val="24"/>
        </w:rPr>
        <w:t xml:space="preserve"> Jacobs (2004) agrees, </w:t>
      </w:r>
      <w:r>
        <w:rPr>
          <w:rFonts w:ascii="Times New Roman" w:hAnsi="Times New Roman" w:cs="Times New Roman"/>
          <w:color w:val="000000" w:themeColor="text1"/>
          <w:sz w:val="24"/>
          <w:szCs w:val="24"/>
        </w:rPr>
        <w:lastRenderedPageBreak/>
        <w:t xml:space="preserve">arguing that without a solid grounding in subject disciplines, students cannot fully benefit from a cross-curricular approach. </w:t>
      </w:r>
    </w:p>
    <w:p w:rsidR="000D050C" w:rsidRDefault="000D050C" w:rsidP="000D050C">
      <w:pPr>
        <w:spacing w:line="360" w:lineRule="auto"/>
        <w:jc w:val="both"/>
        <w:rPr>
          <w:rFonts w:ascii="Times New Roman" w:hAnsi="Times New Roman" w:cs="Times New Roman"/>
          <w:color w:val="000000" w:themeColor="text1"/>
          <w:sz w:val="24"/>
          <w:szCs w:val="24"/>
        </w:rPr>
      </w:pPr>
    </w:p>
    <w:p w:rsidR="000D050C" w:rsidRDefault="000D050C" w:rsidP="000D05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Savage (2011) believes the focus of debate should not be about pitting subject based teaching against cross-curricular teaching. The focus should be on developing a curriculum where subjects and cross-curricular teaching work together to develop an augmented pedagogy, which delivers more powerful learning outcomes. Donaldson (2015) appears to support this view by acknowledging the importance of subjects and disciplines, whilst also emphasising the importance of teachers and children engaging in rich tasks which cross subject boundaries. </w:t>
      </w:r>
    </w:p>
    <w:p w:rsidR="000D050C" w:rsidRDefault="000D050C" w:rsidP="000D050C">
      <w:pPr>
        <w:spacing w:line="360" w:lineRule="auto"/>
        <w:jc w:val="both"/>
        <w:rPr>
          <w:rFonts w:ascii="Times New Roman" w:hAnsi="Times New Roman" w:cs="Times New Roman"/>
          <w:color w:val="000000" w:themeColor="text1"/>
          <w:sz w:val="24"/>
          <w:szCs w:val="24"/>
        </w:rPr>
      </w:pPr>
    </w:p>
    <w:p w:rsidR="000D050C" w:rsidRDefault="000D050C" w:rsidP="000D05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Literacy and numeracy have been cemented as cross-curricular responsibilities since the introduction of the Literacy and Numeracy Framework (LNF), 2013. The LNF was introduced in response to growing evidence that standards of literacy and numeracy in Wales were not adequate (Estyn, 2011; PISA, 2011). Developing skills in literacy and numeracy, are considered by many to be fundamental components of a successful education and a successful life. The National Literacy Trust (2017) wrote that, “lacking vital literacy skills holds a person back at every stage of their life” and the OECD (quoted in National Numeracy, 2018) stated “good numeracy is the best protection against unemployment, low wages and poor health”. </w:t>
      </w:r>
    </w:p>
    <w:p w:rsidR="000D050C" w:rsidRDefault="000D050C" w:rsidP="000D050C">
      <w:pPr>
        <w:spacing w:line="360" w:lineRule="auto"/>
        <w:jc w:val="both"/>
        <w:rPr>
          <w:rFonts w:ascii="Times New Roman" w:hAnsi="Times New Roman" w:cs="Times New Roman"/>
          <w:color w:val="FF0000"/>
          <w:sz w:val="24"/>
          <w:szCs w:val="24"/>
        </w:rPr>
      </w:pPr>
    </w:p>
    <w:p w:rsidR="000D050C" w:rsidRDefault="000D050C" w:rsidP="000D05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addition to literacy and numeracy, Donaldson (2015) identifies the fundamental importance of developing skills in digital competence. In September 2016, schools in Wales implemented the Digital Competence Framework (DCF). The aim of the framework is to help learners develop their digital literacy. Crockett, Jukes and Churches (2011) also identify the importance of digital literacy, arguing that schools must recognise the new digital landscape and teach digital skills as well as traditional literacies. </w:t>
      </w:r>
      <w:r w:rsidRPr="002638BE">
        <w:rPr>
          <w:rFonts w:ascii="Times New Roman" w:hAnsi="Times New Roman" w:cs="Times New Roman"/>
          <w:sz w:val="24"/>
          <w:szCs w:val="24"/>
        </w:rPr>
        <w:t>They</w:t>
      </w:r>
      <w:r>
        <w:rPr>
          <w:rFonts w:ascii="Times New Roman" w:hAnsi="Times New Roman" w:cs="Times New Roman"/>
          <w:color w:val="000000" w:themeColor="text1"/>
          <w:sz w:val="24"/>
          <w:szCs w:val="24"/>
        </w:rPr>
        <w:t xml:space="preserve"> also argue that for children to develop digital competence that has practical real-life value, we as educators, “must elevate the connection between instruction in school and the world outside” (2011, pp.5). Despite the widespread focus on developing digital literacy, Healy (1999) and Greenfield (2011) advocate a cautious approach to digital technology, arguing that frequent use could have a negative impact on aspects of child development. </w:t>
      </w:r>
    </w:p>
    <w:p w:rsidR="000D050C" w:rsidRDefault="000D050C" w:rsidP="000D050C">
      <w:pPr>
        <w:spacing w:line="360" w:lineRule="auto"/>
        <w:jc w:val="both"/>
        <w:rPr>
          <w:rFonts w:ascii="Times New Roman" w:hAnsi="Times New Roman" w:cs="Times New Roman"/>
          <w:color w:val="000000" w:themeColor="text1"/>
          <w:sz w:val="24"/>
          <w:szCs w:val="24"/>
        </w:rPr>
      </w:pPr>
    </w:p>
    <w:p w:rsidR="000D050C" w:rsidRDefault="000D050C" w:rsidP="000D05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Meaningful connections between learning in the class and life outside the classroom is a key principle behind cross-curricular learning and is applicable to literacy and numeracy, as well as digital competence. </w:t>
      </w:r>
      <w:proofErr w:type="spellStart"/>
      <w:r>
        <w:rPr>
          <w:rFonts w:ascii="Times New Roman" w:hAnsi="Times New Roman" w:cs="Times New Roman"/>
          <w:color w:val="000000" w:themeColor="text1"/>
          <w:sz w:val="24"/>
          <w:szCs w:val="24"/>
        </w:rPr>
        <w:t>Cremin</w:t>
      </w:r>
      <w:proofErr w:type="spellEnd"/>
      <w:r>
        <w:rPr>
          <w:rFonts w:ascii="Times New Roman" w:hAnsi="Times New Roman" w:cs="Times New Roman"/>
          <w:color w:val="000000" w:themeColor="text1"/>
          <w:sz w:val="24"/>
          <w:szCs w:val="24"/>
        </w:rPr>
        <w:t xml:space="preserve"> (2009) and Aslan (2016) believe progress in literacy is made when children make connections between areas of learning and with life outside the classroom. Pound and Lee (2015), Haylock and Cockburn (2015) and </w:t>
      </w:r>
      <w:proofErr w:type="spellStart"/>
      <w:r>
        <w:rPr>
          <w:rFonts w:ascii="Times New Roman" w:hAnsi="Times New Roman" w:cs="Times New Roman"/>
          <w:color w:val="000000" w:themeColor="text1"/>
          <w:sz w:val="24"/>
          <w:szCs w:val="24"/>
        </w:rPr>
        <w:t>Boaler</w:t>
      </w:r>
      <w:proofErr w:type="spellEnd"/>
      <w:r>
        <w:rPr>
          <w:rFonts w:ascii="Times New Roman" w:hAnsi="Times New Roman" w:cs="Times New Roman"/>
          <w:color w:val="000000" w:themeColor="text1"/>
          <w:sz w:val="24"/>
          <w:szCs w:val="24"/>
        </w:rPr>
        <w:t xml:space="preserve"> (2015) believe mathematical and numeracy skills are most effectively developed when children can apply them in purposeful cross curricular activities, which allow natural connections to their life outside the class. </w:t>
      </w:r>
    </w:p>
    <w:p w:rsidR="000D050C" w:rsidRDefault="000D050C" w:rsidP="000D050C">
      <w:pPr>
        <w:spacing w:line="360" w:lineRule="auto"/>
        <w:jc w:val="both"/>
        <w:rPr>
          <w:rFonts w:ascii="Times New Roman" w:hAnsi="Times New Roman" w:cs="Times New Roman"/>
          <w:color w:val="000000" w:themeColor="text1"/>
          <w:sz w:val="24"/>
          <w:szCs w:val="24"/>
        </w:rPr>
      </w:pPr>
    </w:p>
    <w:p w:rsidR="000D050C" w:rsidRDefault="000D050C" w:rsidP="000D050C">
      <w:pPr>
        <w:spacing w:line="360" w:lineRule="auto"/>
        <w:jc w:val="both"/>
        <w:rPr>
          <w:rFonts w:ascii="Times New Roman" w:hAnsi="Times New Roman" w:cs="Times New Roman"/>
          <w:sz w:val="24"/>
          <w:szCs w:val="24"/>
          <w:shd w:val="clear" w:color="auto" w:fill="FFFFFF"/>
        </w:rPr>
      </w:pPr>
      <w:r>
        <w:rPr>
          <w:rFonts w:ascii="Times New Roman" w:hAnsi="Times New Roman" w:cs="Times New Roman"/>
          <w:color w:val="000000" w:themeColor="text1"/>
          <w:sz w:val="24"/>
          <w:szCs w:val="24"/>
        </w:rPr>
        <w:t>Despite supporting a cross-curricular approach, Estyn does not have an expectation that literacy, numeracy and digital competence feature in all lessons. Rather, Estyn believe teachers should “</w:t>
      </w:r>
      <w:r w:rsidRPr="00583ADA">
        <w:rPr>
          <w:rFonts w:ascii="Times New Roman" w:hAnsi="Times New Roman" w:cs="Times New Roman"/>
          <w:sz w:val="24"/>
          <w:szCs w:val="24"/>
          <w:shd w:val="clear" w:color="auto" w:fill="FFFFFF"/>
        </w:rPr>
        <w:t>take advantage of opportunities that occur naturally in the curriculum to reinforce learning</w:t>
      </w:r>
      <w:r>
        <w:rPr>
          <w:rFonts w:ascii="Times New Roman" w:hAnsi="Times New Roman" w:cs="Times New Roman"/>
          <w:sz w:val="24"/>
          <w:szCs w:val="24"/>
          <w:shd w:val="clear" w:color="auto" w:fill="FFFFFF"/>
        </w:rPr>
        <w:t>” in these areas (2015, pp. 3)</w:t>
      </w:r>
      <w:r w:rsidRPr="00583ADA">
        <w:rPr>
          <w:rFonts w:ascii="Times New Roman" w:hAnsi="Times New Roman" w:cs="Times New Roman"/>
          <w:sz w:val="24"/>
          <w:szCs w:val="24"/>
          <w:shd w:val="clear" w:color="auto" w:fill="FFFFFF"/>
        </w:rPr>
        <w:t>.</w:t>
      </w:r>
      <w:r w:rsidRPr="00583ADA">
        <w:rPr>
          <w:rFonts w:ascii="Helvetica" w:hAnsi="Helvetica"/>
          <w:sz w:val="27"/>
          <w:szCs w:val="27"/>
          <w:shd w:val="clear" w:color="auto" w:fill="FFFFFF"/>
        </w:rPr>
        <w:t xml:space="preserve"> </w:t>
      </w:r>
      <w:r>
        <w:rPr>
          <w:rFonts w:ascii="Times New Roman" w:hAnsi="Times New Roman" w:cs="Times New Roman"/>
          <w:sz w:val="24"/>
          <w:szCs w:val="24"/>
          <w:shd w:val="clear" w:color="auto" w:fill="FFFFFF"/>
        </w:rPr>
        <w:t xml:space="preserve">As a trainee teacher, this is a particularly pertinent point. During PTE, I was guilty of making unnatural connections, </w:t>
      </w:r>
      <w:proofErr w:type="gramStart"/>
      <w:r>
        <w:rPr>
          <w:rFonts w:ascii="Times New Roman" w:hAnsi="Times New Roman" w:cs="Times New Roman"/>
          <w:sz w:val="24"/>
          <w:szCs w:val="24"/>
          <w:shd w:val="clear" w:color="auto" w:fill="FFFFFF"/>
        </w:rPr>
        <w:t>in an attempt to</w:t>
      </w:r>
      <w:proofErr w:type="gramEnd"/>
      <w:r>
        <w:rPr>
          <w:rFonts w:ascii="Times New Roman" w:hAnsi="Times New Roman" w:cs="Times New Roman"/>
          <w:sz w:val="24"/>
          <w:szCs w:val="24"/>
          <w:shd w:val="clear" w:color="auto" w:fill="FFFFFF"/>
        </w:rPr>
        <w:t xml:space="preserve"> include cross-curricular links in every lesson. During a conversation with a Year 4 teacher about an upcoming Geography lesson, the teacher made the remark “how can we get some numeracy into the lesson”. Instead of considering whether introducing numeracy would enhance the learning in Geography or whether the Geography topic could provide an authentic opportunity to apply numeracy skills, we were blinded by a desire to simply incorporate numeracy into the planning. </w:t>
      </w:r>
      <w:r w:rsidRPr="006731F8">
        <w:rPr>
          <w:rFonts w:ascii="Times New Roman" w:hAnsi="Times New Roman" w:cs="Times New Roman"/>
          <w:sz w:val="24"/>
          <w:szCs w:val="24"/>
          <w:shd w:val="clear" w:color="auto" w:fill="FFFFFF"/>
        </w:rPr>
        <w:t>Rowley and Cooper (2009)</w:t>
      </w:r>
      <w:r>
        <w:rPr>
          <w:rFonts w:ascii="Times New Roman" w:hAnsi="Times New Roman" w:cs="Times New Roman"/>
          <w:sz w:val="24"/>
          <w:szCs w:val="24"/>
          <w:shd w:val="clear" w:color="auto" w:fill="FFFFFF"/>
        </w:rPr>
        <w:t xml:space="preserve"> believe that t</w:t>
      </w:r>
      <w:r w:rsidRPr="006731F8">
        <w:rPr>
          <w:rFonts w:ascii="Times New Roman" w:hAnsi="Times New Roman" w:cs="Times New Roman"/>
          <w:sz w:val="24"/>
          <w:szCs w:val="24"/>
          <w:shd w:val="clear" w:color="auto" w:fill="FFFFFF"/>
        </w:rPr>
        <w:t xml:space="preserve">o realise the full learning potential of </w:t>
      </w:r>
      <w:r>
        <w:rPr>
          <w:rFonts w:ascii="Times New Roman" w:hAnsi="Times New Roman" w:cs="Times New Roman"/>
          <w:sz w:val="24"/>
          <w:szCs w:val="24"/>
          <w:shd w:val="clear" w:color="auto" w:fill="FFFFFF"/>
        </w:rPr>
        <w:t>a cross-curricular approach</w:t>
      </w:r>
      <w:r w:rsidRPr="006731F8">
        <w:rPr>
          <w:rFonts w:ascii="Times New Roman" w:hAnsi="Times New Roman" w:cs="Times New Roman"/>
          <w:sz w:val="24"/>
          <w:szCs w:val="24"/>
          <w:shd w:val="clear" w:color="auto" w:fill="FFFFFF"/>
        </w:rPr>
        <w:t>, teachers need to in</w:t>
      </w:r>
      <w:r>
        <w:rPr>
          <w:rFonts w:ascii="Times New Roman" w:hAnsi="Times New Roman" w:cs="Times New Roman"/>
          <w:sz w:val="24"/>
          <w:szCs w:val="24"/>
          <w:shd w:val="clear" w:color="auto" w:fill="FFFFFF"/>
        </w:rPr>
        <w:t>tegrate disciplines</w:t>
      </w:r>
      <w:r w:rsidRPr="006731F8">
        <w:rPr>
          <w:rFonts w:ascii="Times New Roman" w:hAnsi="Times New Roman" w:cs="Times New Roman"/>
          <w:sz w:val="24"/>
          <w:szCs w:val="24"/>
          <w:shd w:val="clear" w:color="auto" w:fill="FFFFFF"/>
        </w:rPr>
        <w:t xml:space="preserve"> in a</w:t>
      </w:r>
      <w:r>
        <w:rPr>
          <w:rFonts w:ascii="Times New Roman" w:hAnsi="Times New Roman" w:cs="Times New Roman"/>
          <w:sz w:val="24"/>
          <w:szCs w:val="24"/>
          <w:shd w:val="clear" w:color="auto" w:fill="FFFFFF"/>
        </w:rPr>
        <w:t xml:space="preserve"> way</w:t>
      </w:r>
      <w:r w:rsidRPr="006731F8">
        <w:rPr>
          <w:rFonts w:ascii="Times New Roman" w:hAnsi="Times New Roman" w:cs="Times New Roman"/>
          <w:sz w:val="24"/>
          <w:szCs w:val="24"/>
          <w:shd w:val="clear" w:color="auto" w:fill="FFFFFF"/>
        </w:rPr>
        <w:t xml:space="preserve"> which is purposeful and relatable for the children</w:t>
      </w:r>
      <w:r>
        <w:rPr>
          <w:rFonts w:ascii="Times New Roman" w:hAnsi="Times New Roman" w:cs="Times New Roman"/>
          <w:sz w:val="24"/>
          <w:szCs w:val="24"/>
          <w:shd w:val="clear" w:color="auto" w:fill="FFFFFF"/>
        </w:rPr>
        <w:t xml:space="preserve">. A recommendation I would make to Welsh Government, is to ensure that all teachers have a clear understanding that literacy, numeracy and digital competence do not have to appear in every lesson. At present, there is such a strong focus on including these disciplines, they are often applied in an unnatural or tokenistic manner. </w:t>
      </w:r>
    </w:p>
    <w:p w:rsidR="000D050C" w:rsidRPr="005D4905" w:rsidRDefault="000D050C" w:rsidP="000D050C">
      <w:pPr>
        <w:spacing w:line="360" w:lineRule="auto"/>
        <w:jc w:val="both"/>
        <w:rPr>
          <w:rFonts w:ascii="Times New Roman" w:hAnsi="Times New Roman" w:cs="Times New Roman"/>
          <w:sz w:val="24"/>
          <w:szCs w:val="24"/>
          <w:shd w:val="clear" w:color="auto" w:fill="FFFFFF"/>
        </w:rPr>
      </w:pPr>
    </w:p>
    <w:p w:rsidR="000D050C" w:rsidRDefault="000D050C" w:rsidP="000D05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addition to applying literacy, numeracy and digital competence in an appropriate and effective manner, another important consideration for teachers, is to think about how skills in these areas can be developed and extended when using a cross-curricular approach.  Throughout PTE, I integrated literacy, numeracy and digital competence into many of my lesson plans. At the time, I believed I was using effective cross-curricular methods to enhance the children’s learning. However, when I revisited my lessons and reflected on the learning, it became apparent, that whilst my planning created opportunities for the children to apply their </w:t>
      </w:r>
      <w:r>
        <w:rPr>
          <w:rFonts w:ascii="Times New Roman" w:hAnsi="Times New Roman" w:cs="Times New Roman"/>
          <w:color w:val="000000" w:themeColor="text1"/>
          <w:sz w:val="24"/>
          <w:szCs w:val="24"/>
        </w:rPr>
        <w:lastRenderedPageBreak/>
        <w:t xml:space="preserve">skills, I had not given enough consideration to how the skills could be developed and extended. Giving children the opportunity to apply and practice their skills in a different context is a positive. However, with better planning, I could have also created opportunities for the children to develop and extend these skills.  </w:t>
      </w:r>
    </w:p>
    <w:p w:rsidR="000D050C" w:rsidRDefault="000D050C" w:rsidP="000D050C">
      <w:pPr>
        <w:spacing w:line="360" w:lineRule="auto"/>
        <w:jc w:val="both"/>
        <w:rPr>
          <w:rFonts w:ascii="Times New Roman" w:hAnsi="Times New Roman" w:cs="Times New Roman"/>
          <w:color w:val="000000" w:themeColor="text1"/>
          <w:sz w:val="24"/>
          <w:szCs w:val="24"/>
        </w:rPr>
      </w:pPr>
    </w:p>
    <w:p w:rsidR="000D050C" w:rsidRDefault="000D050C" w:rsidP="000D05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As part of a World War 2 History lesson I taught, the children were asked to discuss ‘what it was like for the children living during World War 2’. On the lesson plan under the heading </w:t>
      </w:r>
      <w:r w:rsidRPr="000A1335">
        <w:rPr>
          <w:rFonts w:ascii="Times New Roman" w:hAnsi="Times New Roman" w:cs="Times New Roman"/>
          <w:i/>
          <w:color w:val="000000" w:themeColor="text1"/>
          <w:sz w:val="24"/>
          <w:szCs w:val="24"/>
        </w:rPr>
        <w:t>Literacy</w:t>
      </w:r>
      <w:r>
        <w:rPr>
          <w:rFonts w:ascii="Times New Roman" w:hAnsi="Times New Roman" w:cs="Times New Roman"/>
          <w:color w:val="000000" w:themeColor="text1"/>
          <w:sz w:val="24"/>
          <w:szCs w:val="24"/>
        </w:rPr>
        <w:t xml:space="preserve">, I had written “after listening, respond, giving views on what the speaker has said” (DfES. 2015, pp. 4). Many of the children already had the skills to meet this literacy objective. Whilst this lesson gave learners the opportunity to apply this literacy skill, I failed to think about how it could be developed and extended. Kerry (2015, pp. 182) highlights that effective cross-curricular planning, can allow learning to develop beyond the confines of subject boundaries. From observations during PTE and through discussions with both trainee teachers and experienced teachers, it is apparent that many practitioners use cross-curricular approaches to enable children to apply skills in literacy, numeracy and digital competence. However, often less consideration is given to how the skills will be developed and extended. This could be due to a lack of confidence, lack of experience or lack of subject knowledge. </w:t>
      </w:r>
    </w:p>
    <w:p w:rsidR="000D050C" w:rsidRDefault="000D050C" w:rsidP="000D050C">
      <w:pPr>
        <w:spacing w:line="360" w:lineRule="auto"/>
        <w:jc w:val="both"/>
        <w:rPr>
          <w:rFonts w:ascii="Times New Roman" w:hAnsi="Times New Roman" w:cs="Times New Roman"/>
          <w:color w:val="000000" w:themeColor="text1"/>
          <w:sz w:val="24"/>
          <w:szCs w:val="24"/>
        </w:rPr>
      </w:pPr>
    </w:p>
    <w:p w:rsidR="000D050C" w:rsidRDefault="000D050C" w:rsidP="000D05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Barnes and Shirley (2007), highlighted that many current teachers were not themselves taught in a cross-curricular environment. This lack of familiarity could impact confidence levels and result in a reluctance to embrace a cross-curricular approach. In contrast, trainee teachers currently studying in Wales, have enjoyed the benefit of being immersed in a learning environment which promotes and embraces a cross-curricular philosophy. Therefore, when entering the teaching profession, the current cohort of students have an opportunity to bring fresh perspectives and drive best practice for using a cross-curricular approach to integrate literacy, numeracy and digital competence. </w:t>
      </w:r>
    </w:p>
    <w:p w:rsidR="000D050C" w:rsidRDefault="000D050C" w:rsidP="000D050C">
      <w:pPr>
        <w:spacing w:line="360" w:lineRule="auto"/>
        <w:jc w:val="both"/>
        <w:rPr>
          <w:rFonts w:ascii="Times New Roman" w:hAnsi="Times New Roman" w:cs="Times New Roman"/>
          <w:color w:val="000000" w:themeColor="text1"/>
          <w:sz w:val="24"/>
          <w:szCs w:val="24"/>
        </w:rPr>
      </w:pPr>
    </w:p>
    <w:p w:rsidR="000D050C" w:rsidRDefault="000D050C" w:rsidP="000D05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However, confidence and willingness to embrace a cross-curricular approach, are not the only factors. Teacher subject knowledge is also a critical consideration. </w:t>
      </w:r>
      <w:r w:rsidRPr="004D2F7D">
        <w:rPr>
          <w:rFonts w:ascii="Times New Roman" w:hAnsi="Times New Roman" w:cs="Times New Roman"/>
          <w:sz w:val="24"/>
          <w:szCs w:val="24"/>
        </w:rPr>
        <w:t xml:space="preserve">In his Ruskin College speech, then Prime Minister James Callaghan, expressed concerns about a more relaxed approach to subject disciplines and argued </w:t>
      </w:r>
      <w:r>
        <w:rPr>
          <w:rFonts w:ascii="Times New Roman" w:hAnsi="Times New Roman" w:cs="Times New Roman"/>
          <w:sz w:val="24"/>
          <w:szCs w:val="24"/>
        </w:rPr>
        <w:t>that</w:t>
      </w:r>
      <w:r w:rsidRPr="004D2F7D">
        <w:rPr>
          <w:rFonts w:ascii="Times New Roman" w:hAnsi="Times New Roman" w:cs="Times New Roman"/>
          <w:sz w:val="24"/>
          <w:szCs w:val="24"/>
        </w:rPr>
        <w:t xml:space="preserve"> holistic or cross-curricular </w:t>
      </w:r>
      <w:r>
        <w:rPr>
          <w:rFonts w:ascii="Times New Roman" w:hAnsi="Times New Roman" w:cs="Times New Roman"/>
          <w:sz w:val="24"/>
          <w:szCs w:val="24"/>
        </w:rPr>
        <w:t xml:space="preserve">teaching </w:t>
      </w:r>
      <w:r w:rsidRPr="004D2F7D">
        <w:rPr>
          <w:rFonts w:ascii="Times New Roman" w:hAnsi="Times New Roman" w:cs="Times New Roman"/>
          <w:sz w:val="24"/>
          <w:szCs w:val="24"/>
        </w:rPr>
        <w:t>approach</w:t>
      </w:r>
      <w:r>
        <w:rPr>
          <w:rFonts w:ascii="Times New Roman" w:hAnsi="Times New Roman" w:cs="Times New Roman"/>
          <w:sz w:val="24"/>
          <w:szCs w:val="24"/>
        </w:rPr>
        <w:t>es</w:t>
      </w:r>
      <w:r w:rsidRPr="004D2F7D">
        <w:rPr>
          <w:rFonts w:ascii="Times New Roman" w:hAnsi="Times New Roman" w:cs="Times New Roman"/>
          <w:sz w:val="24"/>
          <w:szCs w:val="24"/>
        </w:rPr>
        <w:t xml:space="preserve"> </w:t>
      </w:r>
      <w:r w:rsidRPr="004D2F7D">
        <w:rPr>
          <w:rFonts w:ascii="Times New Roman" w:hAnsi="Times New Roman" w:cs="Times New Roman"/>
          <w:sz w:val="24"/>
          <w:szCs w:val="24"/>
        </w:rPr>
        <w:lastRenderedPageBreak/>
        <w:t>seemed to “produce excellent results when they are in well-qualified hands but are much more dubious when they are not” (Callaghan, 1976, quoted in Gillard, 2010).</w:t>
      </w:r>
      <w:r>
        <w:rPr>
          <w:rFonts w:ascii="Times New Roman" w:hAnsi="Times New Roman" w:cs="Times New Roman"/>
          <w:color w:val="000000" w:themeColor="text1"/>
          <w:sz w:val="24"/>
          <w:szCs w:val="24"/>
        </w:rPr>
        <w:t xml:space="preserve"> Savage (2011) and Barnes (2015) also emphasise the importance of teacher competence and subject knowledge as vital ingredients when using a cross-curricular approach to develop skills across the curriculum. In addition to the class teacher, the subject knowledge of support staff is also a key consideration. Kerry (2015) identifies this concern, highlighting that support staff typically have fewer qualifications and less subject knowledge. </w:t>
      </w:r>
    </w:p>
    <w:p w:rsidR="000D050C" w:rsidRDefault="000D050C" w:rsidP="000D050C">
      <w:pPr>
        <w:spacing w:line="360" w:lineRule="auto"/>
        <w:jc w:val="both"/>
        <w:rPr>
          <w:rFonts w:ascii="Times New Roman" w:hAnsi="Times New Roman" w:cs="Times New Roman"/>
          <w:color w:val="000000" w:themeColor="text1"/>
          <w:sz w:val="24"/>
          <w:szCs w:val="24"/>
        </w:rPr>
      </w:pPr>
    </w:p>
    <w:p w:rsidR="000D050C" w:rsidRDefault="000D050C" w:rsidP="000D05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Although good subject knowledge is an important aspect of cross-curricular teaching, it would be impractical to expect primary teachers to be experts in all subject disciplines or areas of learning. Barnes wrote that teachers do not need to be masters of each subject but “they should be familiar with the distinctive lens each subject provides on the same reality” (2015, pp. 63). Despite general acceptance that teachers cannot be experts in all subjects, I have observed a teacher adopting a hierarchical cross-curricular approach to mask a self-perceived lack of subject knowledge. The teacher expressed the fact that ICT and digital competence were areas of weakness for her. During a Welsh lesson, she asked the children to play a game which required them to match Welsh words to corresponding pictures. As the game was played on iPads, the teacher felt she had introduced an element of digital competence. In this instance the teachers limited knowledge of the DCF, resulted in a lesson that did not develop the </w:t>
      </w:r>
      <w:r w:rsidRPr="003E4A49">
        <w:rPr>
          <w:rFonts w:ascii="Times New Roman" w:hAnsi="Times New Roman" w:cs="Times New Roman"/>
          <w:sz w:val="24"/>
          <w:szCs w:val="24"/>
        </w:rPr>
        <w:t>children’s digital competence and the introduction of the technology did little to advance the children’s Welsh</w:t>
      </w:r>
      <w:r>
        <w:rPr>
          <w:rFonts w:ascii="Times New Roman" w:hAnsi="Times New Roman" w:cs="Times New Roman"/>
          <w:color w:val="FF0000"/>
          <w:sz w:val="24"/>
          <w:szCs w:val="24"/>
        </w:rPr>
        <w:t xml:space="preserve">. </w:t>
      </w:r>
    </w:p>
    <w:p w:rsidR="000D050C" w:rsidRDefault="000D050C" w:rsidP="000D050C">
      <w:pPr>
        <w:spacing w:line="360" w:lineRule="auto"/>
        <w:jc w:val="both"/>
        <w:rPr>
          <w:rFonts w:ascii="Times New Roman" w:hAnsi="Times New Roman" w:cs="Times New Roman"/>
          <w:color w:val="000000" w:themeColor="text1"/>
          <w:sz w:val="24"/>
          <w:szCs w:val="24"/>
        </w:rPr>
      </w:pPr>
    </w:p>
    <w:p w:rsidR="000D050C" w:rsidRDefault="000D050C" w:rsidP="000D05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TES (2015) reported that over half of teachers believe they do not possess the knowledge needed to progress children’s literacy. </w:t>
      </w:r>
      <w:proofErr w:type="spellStart"/>
      <w:r>
        <w:rPr>
          <w:rFonts w:ascii="Times New Roman" w:hAnsi="Times New Roman" w:cs="Times New Roman"/>
          <w:color w:val="000000" w:themeColor="text1"/>
          <w:sz w:val="24"/>
          <w:szCs w:val="24"/>
        </w:rPr>
        <w:t>Boaler</w:t>
      </w:r>
      <w:proofErr w:type="spellEnd"/>
      <w:r>
        <w:rPr>
          <w:rFonts w:ascii="Times New Roman" w:hAnsi="Times New Roman" w:cs="Times New Roman"/>
          <w:color w:val="000000" w:themeColor="text1"/>
          <w:sz w:val="24"/>
          <w:szCs w:val="24"/>
        </w:rPr>
        <w:t xml:space="preserve"> believes primary teachers have a ‘broken relationship with maths” (2018, cited in </w:t>
      </w:r>
      <w:proofErr w:type="spellStart"/>
      <w:r>
        <w:rPr>
          <w:rFonts w:ascii="Times New Roman" w:hAnsi="Times New Roman" w:cs="Times New Roman"/>
          <w:color w:val="000000" w:themeColor="text1"/>
          <w:sz w:val="24"/>
          <w:szCs w:val="24"/>
        </w:rPr>
        <w:t>Seith</w:t>
      </w:r>
      <w:proofErr w:type="spellEnd"/>
      <w:r>
        <w:rPr>
          <w:rFonts w:ascii="Times New Roman" w:hAnsi="Times New Roman" w:cs="Times New Roman"/>
          <w:color w:val="000000" w:themeColor="text1"/>
          <w:sz w:val="24"/>
          <w:szCs w:val="24"/>
        </w:rPr>
        <w:t xml:space="preserve">) and need to think differently about how they teach numeracy. Teacher confidence is a particularly significant factor in the teaching of digital competence and ICT. The World Economic Forum (2016a) highlight a “digital age gap” and think educators need more support to understand the best methods of developing digital competence. Estyn (2018) report that ICT and digital competence is weak in around 40% of schools. OECD (2015) found that schools and teachers are not yet ready to maximise the potential of digital technology and often use technology without a real purpose. </w:t>
      </w:r>
    </w:p>
    <w:p w:rsidR="000D050C" w:rsidRDefault="000D050C" w:rsidP="000D050C">
      <w:pPr>
        <w:spacing w:line="360" w:lineRule="auto"/>
        <w:jc w:val="both"/>
        <w:rPr>
          <w:rFonts w:ascii="Times New Roman" w:hAnsi="Times New Roman" w:cs="Times New Roman"/>
          <w:color w:val="000000" w:themeColor="text1"/>
          <w:sz w:val="24"/>
          <w:szCs w:val="24"/>
        </w:rPr>
      </w:pPr>
    </w:p>
    <w:p w:rsidR="000D050C" w:rsidRPr="004810E4" w:rsidRDefault="000D050C" w:rsidP="000D050C">
      <w:pPr>
        <w:spacing w:line="360" w:lineRule="auto"/>
        <w:jc w:val="both"/>
        <w:rPr>
          <w:rFonts w:ascii="Times New Roman" w:hAnsi="Times New Roman" w:cs="Times New Roman"/>
          <w:sz w:val="24"/>
          <w:szCs w:val="24"/>
        </w:rPr>
      </w:pPr>
      <w:r w:rsidRPr="004810E4">
        <w:rPr>
          <w:rFonts w:ascii="Times New Roman" w:hAnsi="Times New Roman" w:cs="Times New Roman"/>
          <w:sz w:val="24"/>
          <w:szCs w:val="24"/>
        </w:rPr>
        <w:lastRenderedPageBreak/>
        <w:t xml:space="preserve">Developing skills in numeracy, literacy and digital competence is vital to future success. Therefore, Welsh Government needs to develop further strategies to ensure gaps in subject knowledge and confidence around cross-curricular approaches are addressed. Schools can mitigate against this risk by encouraging collaboration between teachers and subject leads and through better school to school collaboration.  </w:t>
      </w:r>
    </w:p>
    <w:p w:rsidR="000D050C" w:rsidRDefault="000D050C" w:rsidP="000D050C">
      <w:pPr>
        <w:spacing w:line="360" w:lineRule="auto"/>
        <w:jc w:val="both"/>
        <w:rPr>
          <w:rFonts w:ascii="Times New Roman" w:hAnsi="Times New Roman" w:cs="Times New Roman"/>
          <w:color w:val="000000" w:themeColor="text1"/>
          <w:sz w:val="24"/>
          <w:szCs w:val="24"/>
        </w:rPr>
      </w:pPr>
    </w:p>
    <w:p w:rsidR="000D050C" w:rsidRDefault="000D050C" w:rsidP="000D05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Despite the challenges, with good planning and subject knowledge, it is possible to integrate literacy, numeracy and digital competence in such a way that enables learners to simultaneously develop skills in these areas, while also making progress in other areas of the curriculum. A project run by </w:t>
      </w:r>
      <w:proofErr w:type="spellStart"/>
      <w:r>
        <w:rPr>
          <w:rFonts w:ascii="Times New Roman" w:hAnsi="Times New Roman" w:cs="Times New Roman"/>
          <w:color w:val="000000" w:themeColor="text1"/>
          <w:sz w:val="24"/>
          <w:szCs w:val="24"/>
        </w:rPr>
        <w:t>Futurelab</w:t>
      </w:r>
      <w:proofErr w:type="spellEnd"/>
      <w:r>
        <w:rPr>
          <w:rFonts w:ascii="Times New Roman" w:hAnsi="Times New Roman" w:cs="Times New Roman"/>
          <w:color w:val="000000" w:themeColor="text1"/>
          <w:sz w:val="24"/>
          <w:szCs w:val="24"/>
        </w:rPr>
        <w:t xml:space="preserve">, found that with good planning and teacher subject knowledge, digital competence can “be developed alongside subject knowledge in all classrooms at both primary and secondary level” (Hague, C. </w:t>
      </w:r>
      <w:r w:rsidRPr="00494829">
        <w:rPr>
          <w:rFonts w:ascii="Times New Roman" w:hAnsi="Times New Roman" w:cs="Times New Roman"/>
          <w:sz w:val="24"/>
          <w:szCs w:val="24"/>
        </w:rPr>
        <w:t xml:space="preserve">and Payton, S. 2010, pp. </w:t>
      </w:r>
      <w:r>
        <w:rPr>
          <w:rFonts w:ascii="Times New Roman" w:hAnsi="Times New Roman" w:cs="Times New Roman"/>
          <w:color w:val="000000" w:themeColor="text1"/>
          <w:sz w:val="24"/>
          <w:szCs w:val="24"/>
        </w:rPr>
        <w:t>59). Estyn (</w:t>
      </w:r>
      <w:r w:rsidRPr="004C2022">
        <w:rPr>
          <w:rFonts w:ascii="Times New Roman" w:hAnsi="Times New Roman" w:cs="Times New Roman"/>
          <w:sz w:val="24"/>
          <w:szCs w:val="24"/>
        </w:rPr>
        <w:t>2016b</w:t>
      </w:r>
      <w:r>
        <w:rPr>
          <w:rFonts w:ascii="Times New Roman" w:hAnsi="Times New Roman" w:cs="Times New Roman"/>
          <w:color w:val="000000" w:themeColor="text1"/>
          <w:sz w:val="24"/>
          <w:szCs w:val="24"/>
        </w:rPr>
        <w:t xml:space="preserve">) highlight good practice at </w:t>
      </w:r>
      <w:proofErr w:type="spellStart"/>
      <w:r w:rsidRPr="003A77BB">
        <w:rPr>
          <w:rFonts w:ascii="Times New Roman" w:hAnsi="Times New Roman" w:cs="Times New Roman"/>
          <w:sz w:val="24"/>
          <w:szCs w:val="24"/>
          <w:shd w:val="clear" w:color="auto" w:fill="FFFFFF"/>
        </w:rPr>
        <w:t>Ty’n</w:t>
      </w:r>
      <w:proofErr w:type="spellEnd"/>
      <w:r w:rsidRPr="003A77BB">
        <w:rPr>
          <w:rFonts w:ascii="Times New Roman" w:hAnsi="Times New Roman" w:cs="Times New Roman"/>
          <w:sz w:val="24"/>
          <w:szCs w:val="24"/>
          <w:shd w:val="clear" w:color="auto" w:fill="FFFFFF"/>
        </w:rPr>
        <w:t xml:space="preserve"> y </w:t>
      </w:r>
      <w:proofErr w:type="spellStart"/>
      <w:r w:rsidRPr="003A77BB">
        <w:rPr>
          <w:rFonts w:ascii="Times New Roman" w:hAnsi="Times New Roman" w:cs="Times New Roman"/>
          <w:sz w:val="24"/>
          <w:szCs w:val="24"/>
          <w:shd w:val="clear" w:color="auto" w:fill="FFFFFF"/>
        </w:rPr>
        <w:t>Wern</w:t>
      </w:r>
      <w:proofErr w:type="spellEnd"/>
      <w:r w:rsidRPr="003A77BB">
        <w:rPr>
          <w:rFonts w:ascii="Times New Roman" w:hAnsi="Times New Roman" w:cs="Times New Roman"/>
          <w:sz w:val="24"/>
          <w:szCs w:val="24"/>
          <w:shd w:val="clear" w:color="auto" w:fill="FFFFFF"/>
        </w:rPr>
        <w:t xml:space="preserve"> Primary School</w:t>
      </w:r>
      <w:r>
        <w:rPr>
          <w:rFonts w:ascii="Times New Roman" w:hAnsi="Times New Roman" w:cs="Times New Roman"/>
          <w:sz w:val="24"/>
          <w:szCs w:val="24"/>
          <w:shd w:val="clear" w:color="auto" w:fill="FFFFFF"/>
        </w:rPr>
        <w:t xml:space="preserve">. </w:t>
      </w:r>
      <w:proofErr w:type="spellStart"/>
      <w:r>
        <w:rPr>
          <w:rFonts w:ascii="Times New Roman" w:hAnsi="Times New Roman" w:cs="Times New Roman"/>
          <w:sz w:val="24"/>
          <w:szCs w:val="24"/>
          <w:shd w:val="clear" w:color="auto" w:fill="FFFFFF"/>
        </w:rPr>
        <w:t>Ty’n</w:t>
      </w:r>
      <w:proofErr w:type="spellEnd"/>
      <w:r>
        <w:rPr>
          <w:rFonts w:ascii="Times New Roman" w:hAnsi="Times New Roman" w:cs="Times New Roman"/>
          <w:sz w:val="24"/>
          <w:szCs w:val="24"/>
          <w:shd w:val="clear" w:color="auto" w:fill="FFFFFF"/>
        </w:rPr>
        <w:t xml:space="preserve"> y </w:t>
      </w:r>
      <w:proofErr w:type="spellStart"/>
      <w:r>
        <w:rPr>
          <w:rFonts w:ascii="Times New Roman" w:hAnsi="Times New Roman" w:cs="Times New Roman"/>
          <w:sz w:val="24"/>
          <w:szCs w:val="24"/>
          <w:shd w:val="clear" w:color="auto" w:fill="FFFFFF"/>
        </w:rPr>
        <w:t>Wern</w:t>
      </w:r>
      <w:proofErr w:type="spellEnd"/>
      <w:r>
        <w:rPr>
          <w:rFonts w:ascii="Times New Roman" w:hAnsi="Times New Roman" w:cs="Times New Roman"/>
          <w:sz w:val="24"/>
          <w:szCs w:val="24"/>
          <w:shd w:val="clear" w:color="auto" w:fill="FFFFFF"/>
        </w:rPr>
        <w:t xml:space="preserve"> used </w:t>
      </w:r>
      <w:r w:rsidRPr="003A77BB">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 xml:space="preserve">Welsh heritage </w:t>
      </w:r>
      <w:r w:rsidRPr="003A77BB">
        <w:rPr>
          <w:rFonts w:ascii="Times New Roman" w:hAnsi="Times New Roman" w:cs="Times New Roman"/>
          <w:sz w:val="24"/>
          <w:szCs w:val="24"/>
          <w:shd w:val="clear" w:color="auto" w:fill="FFFFFF"/>
        </w:rPr>
        <w:t>themat</w:t>
      </w:r>
      <w:r>
        <w:rPr>
          <w:rFonts w:ascii="Times New Roman" w:hAnsi="Times New Roman" w:cs="Times New Roman"/>
          <w:sz w:val="24"/>
          <w:szCs w:val="24"/>
          <w:shd w:val="clear" w:color="auto" w:fill="FFFFFF"/>
        </w:rPr>
        <w:t>ic</w:t>
      </w:r>
      <w:r w:rsidRPr="003A77BB">
        <w:rPr>
          <w:rFonts w:ascii="Times New Roman" w:hAnsi="Times New Roman" w:cs="Times New Roman"/>
          <w:sz w:val="24"/>
          <w:szCs w:val="24"/>
          <w:shd w:val="clear" w:color="auto" w:fill="FFFFFF"/>
        </w:rPr>
        <w:t xml:space="preserve"> cross-curricular approach</w:t>
      </w:r>
      <w:r>
        <w:rPr>
          <w:rFonts w:ascii="Times New Roman" w:hAnsi="Times New Roman" w:cs="Times New Roman"/>
          <w:sz w:val="24"/>
          <w:szCs w:val="24"/>
          <w:shd w:val="clear" w:color="auto" w:fill="FFFFFF"/>
        </w:rPr>
        <w:t>, which allowed children to develop their skills across the curriculum,</w:t>
      </w:r>
      <w:r w:rsidRPr="003A77BB">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whilst simultaneously </w:t>
      </w:r>
      <w:r w:rsidRPr="003A77BB">
        <w:rPr>
          <w:rFonts w:ascii="Times New Roman" w:hAnsi="Times New Roman" w:cs="Times New Roman"/>
          <w:sz w:val="24"/>
          <w:szCs w:val="24"/>
          <w:shd w:val="clear" w:color="auto" w:fill="FFFFFF"/>
        </w:rPr>
        <w:t>progress</w:t>
      </w:r>
      <w:r>
        <w:rPr>
          <w:rFonts w:ascii="Times New Roman" w:hAnsi="Times New Roman" w:cs="Times New Roman"/>
          <w:sz w:val="24"/>
          <w:szCs w:val="24"/>
          <w:shd w:val="clear" w:color="auto" w:fill="FFFFFF"/>
        </w:rPr>
        <w:t>ing their skills</w:t>
      </w:r>
      <w:r w:rsidRPr="003A77BB">
        <w:rPr>
          <w:rFonts w:ascii="Times New Roman" w:hAnsi="Times New Roman" w:cs="Times New Roman"/>
          <w:sz w:val="24"/>
          <w:szCs w:val="24"/>
          <w:shd w:val="clear" w:color="auto" w:fill="FFFFFF"/>
        </w:rPr>
        <w:t xml:space="preserve"> in literacy, numeracy and digital competence</w:t>
      </w:r>
      <w:r>
        <w:rPr>
          <w:rFonts w:ascii="Times New Roman" w:hAnsi="Times New Roman" w:cs="Times New Roman"/>
          <w:sz w:val="24"/>
          <w:szCs w:val="24"/>
          <w:shd w:val="clear" w:color="auto" w:fill="FFFFFF"/>
        </w:rPr>
        <w:t xml:space="preserve">. </w:t>
      </w:r>
      <w:r w:rsidRPr="00DA07EE">
        <w:rPr>
          <w:rFonts w:ascii="Times New Roman" w:hAnsi="Times New Roman" w:cs="Times New Roman"/>
          <w:color w:val="FF0000"/>
          <w:sz w:val="24"/>
          <w:szCs w:val="24"/>
          <w:shd w:val="clear" w:color="auto" w:fill="FFFFFF"/>
        </w:rPr>
        <w:t xml:space="preserve">They also developed a formative assessment process, which allowed them to assess learner progress. </w:t>
      </w:r>
      <w:proofErr w:type="spellStart"/>
      <w:r w:rsidRPr="00DA07EE">
        <w:rPr>
          <w:rFonts w:ascii="Times New Roman" w:hAnsi="Times New Roman" w:cs="Times New Roman"/>
          <w:color w:val="FF0000"/>
          <w:sz w:val="24"/>
          <w:szCs w:val="24"/>
          <w:shd w:val="clear" w:color="auto" w:fill="FFFFFF"/>
        </w:rPr>
        <w:t>Dilek</w:t>
      </w:r>
      <w:proofErr w:type="spellEnd"/>
      <w:r w:rsidRPr="00DA07EE">
        <w:rPr>
          <w:rFonts w:ascii="Times New Roman" w:hAnsi="Times New Roman" w:cs="Times New Roman"/>
          <w:color w:val="FF0000"/>
          <w:sz w:val="24"/>
          <w:szCs w:val="24"/>
          <w:shd w:val="clear" w:color="auto" w:fill="FFFFFF"/>
        </w:rPr>
        <w:t xml:space="preserve"> (2008) outlines that standard performance tests are not adequate for assessing knowledge in a cross-curricular setting. </w:t>
      </w:r>
    </w:p>
    <w:p w:rsidR="000D050C" w:rsidRDefault="000D050C" w:rsidP="000D050C">
      <w:pPr>
        <w:spacing w:line="360" w:lineRule="auto"/>
        <w:jc w:val="both"/>
        <w:rPr>
          <w:rFonts w:ascii="Times New Roman" w:hAnsi="Times New Roman" w:cs="Times New Roman"/>
          <w:color w:val="000000" w:themeColor="text1"/>
          <w:sz w:val="24"/>
          <w:szCs w:val="24"/>
        </w:rPr>
      </w:pPr>
    </w:p>
    <w:p w:rsidR="000D050C" w:rsidRDefault="000D050C" w:rsidP="000D050C">
      <w:pPr>
        <w:spacing w:line="360" w:lineRule="auto"/>
        <w:jc w:val="both"/>
        <w:rPr>
          <w:rFonts w:ascii="Times New Roman" w:hAnsi="Times New Roman" w:cs="Times New Roman"/>
          <w:color w:val="000000" w:themeColor="text1"/>
          <w:sz w:val="24"/>
          <w:szCs w:val="24"/>
        </w:rPr>
      </w:pPr>
      <w:r w:rsidRPr="00555611">
        <w:rPr>
          <w:rFonts w:ascii="Times New Roman" w:hAnsi="Times New Roman" w:cs="Times New Roman"/>
          <w:sz w:val="24"/>
          <w:szCs w:val="24"/>
        </w:rPr>
        <w:t xml:space="preserve">The world is changing at an unprecedented rate. As teachers we need to </w:t>
      </w:r>
      <w:r>
        <w:rPr>
          <w:rFonts w:ascii="Times New Roman" w:hAnsi="Times New Roman" w:cs="Times New Roman"/>
          <w:sz w:val="24"/>
          <w:szCs w:val="24"/>
        </w:rPr>
        <w:t>embrace</w:t>
      </w:r>
      <w:r w:rsidRPr="00555611">
        <w:rPr>
          <w:rFonts w:ascii="Times New Roman" w:hAnsi="Times New Roman" w:cs="Times New Roman"/>
          <w:sz w:val="24"/>
          <w:szCs w:val="24"/>
        </w:rPr>
        <w:t xml:space="preserve"> this and work collaborati</w:t>
      </w:r>
      <w:r>
        <w:rPr>
          <w:rFonts w:ascii="Times New Roman" w:hAnsi="Times New Roman" w:cs="Times New Roman"/>
          <w:sz w:val="24"/>
          <w:szCs w:val="24"/>
        </w:rPr>
        <w:t>vely</w:t>
      </w:r>
      <w:r w:rsidRPr="00555611">
        <w:rPr>
          <w:rFonts w:ascii="Times New Roman" w:hAnsi="Times New Roman" w:cs="Times New Roman"/>
          <w:sz w:val="24"/>
          <w:szCs w:val="24"/>
        </w:rPr>
        <w:t xml:space="preserve"> with learners</w:t>
      </w:r>
      <w:r>
        <w:rPr>
          <w:rFonts w:ascii="Times New Roman" w:hAnsi="Times New Roman" w:cs="Times New Roman"/>
          <w:sz w:val="24"/>
          <w:szCs w:val="24"/>
        </w:rPr>
        <w:t>,</w:t>
      </w:r>
      <w:r w:rsidRPr="00555611">
        <w:rPr>
          <w:rFonts w:ascii="Times New Roman" w:hAnsi="Times New Roman" w:cs="Times New Roman"/>
          <w:sz w:val="24"/>
          <w:szCs w:val="24"/>
        </w:rPr>
        <w:t xml:space="preserve"> to </w:t>
      </w:r>
      <w:r>
        <w:rPr>
          <w:rFonts w:ascii="Times New Roman" w:hAnsi="Times New Roman" w:cs="Times New Roman"/>
          <w:sz w:val="24"/>
          <w:szCs w:val="24"/>
        </w:rPr>
        <w:t>enable</w:t>
      </w:r>
      <w:r w:rsidRPr="00555611">
        <w:rPr>
          <w:rFonts w:ascii="Times New Roman" w:hAnsi="Times New Roman" w:cs="Times New Roman"/>
          <w:sz w:val="24"/>
          <w:szCs w:val="24"/>
        </w:rPr>
        <w:t xml:space="preserve"> them </w:t>
      </w:r>
      <w:r>
        <w:rPr>
          <w:rFonts w:ascii="Times New Roman" w:hAnsi="Times New Roman" w:cs="Times New Roman"/>
          <w:sz w:val="24"/>
          <w:szCs w:val="24"/>
        </w:rPr>
        <w:t xml:space="preserve">to </w:t>
      </w:r>
      <w:r w:rsidRPr="00555611">
        <w:rPr>
          <w:rFonts w:ascii="Times New Roman" w:hAnsi="Times New Roman" w:cs="Times New Roman"/>
          <w:sz w:val="24"/>
          <w:szCs w:val="24"/>
        </w:rPr>
        <w:t>develop the skills and competencies needed to prosper</w:t>
      </w:r>
      <w:r>
        <w:rPr>
          <w:rFonts w:ascii="Times New Roman" w:hAnsi="Times New Roman" w:cs="Times New Roman"/>
          <w:sz w:val="24"/>
          <w:szCs w:val="24"/>
        </w:rPr>
        <w:t xml:space="preserve">. </w:t>
      </w:r>
      <w:r>
        <w:rPr>
          <w:rFonts w:ascii="Times New Roman" w:hAnsi="Times New Roman" w:cs="Times New Roman"/>
          <w:color w:val="000000" w:themeColor="text1"/>
          <w:sz w:val="24"/>
          <w:szCs w:val="24"/>
        </w:rPr>
        <w:t xml:space="preserve">The World Economic Forum (2016b) identified six foundational literacies that all children require: literacy, numeracy, scientific literacy, ICT literacy, financial literacy, and cultural and civic literacy. In addition, they identified four competencies: critical thinking / problem solving, creativity, communication and collaboration. Sill (2001) and Ofsted (2010) believe well-planned cross-curricular teaching can provide an environment and culture where these important competences can be developed. </w:t>
      </w:r>
    </w:p>
    <w:p w:rsidR="000D050C" w:rsidRDefault="000D050C" w:rsidP="000D050C">
      <w:pPr>
        <w:spacing w:line="360" w:lineRule="auto"/>
        <w:jc w:val="both"/>
        <w:rPr>
          <w:rFonts w:ascii="Times New Roman" w:hAnsi="Times New Roman" w:cs="Times New Roman"/>
          <w:color w:val="000000" w:themeColor="text1"/>
          <w:sz w:val="24"/>
          <w:szCs w:val="24"/>
        </w:rPr>
      </w:pPr>
    </w:p>
    <w:p w:rsidR="000D050C" w:rsidRDefault="000D050C" w:rsidP="000D050C">
      <w:pPr>
        <w:spacing w:line="360" w:lineRule="auto"/>
        <w:jc w:val="both"/>
        <w:rPr>
          <w:rFonts w:ascii="Times New Roman" w:hAnsi="Times New Roman" w:cs="Times New Roman"/>
          <w:color w:val="4472C4" w:themeColor="accent1"/>
          <w:sz w:val="32"/>
          <w:szCs w:val="32"/>
        </w:rPr>
      </w:pPr>
      <w:r w:rsidRPr="00B85F9C">
        <w:rPr>
          <w:rFonts w:ascii="Times New Roman" w:hAnsi="Times New Roman" w:cs="Times New Roman"/>
          <w:color w:val="4472C4" w:themeColor="accent1"/>
          <w:sz w:val="32"/>
          <w:szCs w:val="32"/>
        </w:rPr>
        <w:t>Conclusion</w:t>
      </w:r>
    </w:p>
    <w:p w:rsidR="000D050C" w:rsidRDefault="000D050C" w:rsidP="000D050C">
      <w:pPr>
        <w:spacing w:line="360" w:lineRule="auto"/>
        <w:jc w:val="both"/>
        <w:rPr>
          <w:rFonts w:ascii="Times New Roman" w:hAnsi="Times New Roman" w:cs="Times New Roman"/>
          <w:color w:val="000000" w:themeColor="text1"/>
          <w:sz w:val="24"/>
          <w:szCs w:val="24"/>
        </w:rPr>
      </w:pPr>
      <w:r w:rsidRPr="00555611">
        <w:rPr>
          <w:rFonts w:ascii="Times New Roman" w:hAnsi="Times New Roman" w:cs="Times New Roman"/>
          <w:sz w:val="24"/>
          <w:szCs w:val="24"/>
        </w:rPr>
        <w:t xml:space="preserve">In agreement with Donaldson (2015), I believe that </w:t>
      </w:r>
      <w:r>
        <w:rPr>
          <w:rFonts w:ascii="Times New Roman" w:hAnsi="Times New Roman" w:cs="Times New Roman"/>
          <w:sz w:val="24"/>
          <w:szCs w:val="24"/>
        </w:rPr>
        <w:t xml:space="preserve">if children </w:t>
      </w:r>
      <w:r w:rsidRPr="00555611">
        <w:rPr>
          <w:rFonts w:ascii="Times New Roman" w:hAnsi="Times New Roman" w:cs="Times New Roman"/>
          <w:sz w:val="24"/>
          <w:szCs w:val="24"/>
        </w:rPr>
        <w:t>develop</w:t>
      </w:r>
      <w:r>
        <w:rPr>
          <w:rFonts w:ascii="Times New Roman" w:hAnsi="Times New Roman" w:cs="Times New Roman"/>
          <w:sz w:val="24"/>
          <w:szCs w:val="24"/>
        </w:rPr>
        <w:t xml:space="preserve"> their skills in </w:t>
      </w:r>
      <w:r w:rsidRPr="00555611">
        <w:rPr>
          <w:rFonts w:ascii="Times New Roman" w:hAnsi="Times New Roman" w:cs="Times New Roman"/>
          <w:sz w:val="24"/>
          <w:szCs w:val="24"/>
        </w:rPr>
        <w:t xml:space="preserve">literacy, numeracy and digital competence, </w:t>
      </w:r>
      <w:r>
        <w:rPr>
          <w:rFonts w:ascii="Times New Roman" w:hAnsi="Times New Roman" w:cs="Times New Roman"/>
          <w:sz w:val="24"/>
          <w:szCs w:val="24"/>
        </w:rPr>
        <w:t xml:space="preserve">it will provide them with </w:t>
      </w:r>
      <w:r w:rsidRPr="00555611">
        <w:rPr>
          <w:rFonts w:ascii="Times New Roman" w:hAnsi="Times New Roman" w:cs="Times New Roman"/>
          <w:sz w:val="24"/>
          <w:szCs w:val="24"/>
        </w:rPr>
        <w:t>a strong foundation for success</w:t>
      </w:r>
      <w:r>
        <w:rPr>
          <w:rFonts w:ascii="Times New Roman" w:hAnsi="Times New Roman" w:cs="Times New Roman"/>
          <w:sz w:val="24"/>
          <w:szCs w:val="24"/>
        </w:rPr>
        <w:t xml:space="preserve"> </w:t>
      </w:r>
      <w:r>
        <w:rPr>
          <w:rFonts w:ascii="Times New Roman" w:hAnsi="Times New Roman" w:cs="Times New Roman"/>
          <w:sz w:val="24"/>
          <w:szCs w:val="24"/>
        </w:rPr>
        <w:lastRenderedPageBreak/>
        <w:t>both</w:t>
      </w:r>
      <w:r w:rsidRPr="00555611">
        <w:rPr>
          <w:rFonts w:ascii="Times New Roman" w:hAnsi="Times New Roman" w:cs="Times New Roman"/>
          <w:sz w:val="24"/>
          <w:szCs w:val="24"/>
        </w:rPr>
        <w:t xml:space="preserve"> in</w:t>
      </w:r>
      <w:r>
        <w:rPr>
          <w:rFonts w:ascii="Times New Roman" w:hAnsi="Times New Roman" w:cs="Times New Roman"/>
          <w:sz w:val="24"/>
          <w:szCs w:val="24"/>
        </w:rPr>
        <w:t>side</w:t>
      </w:r>
      <w:r w:rsidRPr="00555611">
        <w:rPr>
          <w:rFonts w:ascii="Times New Roman" w:hAnsi="Times New Roman" w:cs="Times New Roman"/>
          <w:sz w:val="24"/>
          <w:szCs w:val="24"/>
        </w:rPr>
        <w:t xml:space="preserve"> and outside the class</w:t>
      </w:r>
      <w:r>
        <w:rPr>
          <w:rFonts w:ascii="Times New Roman" w:hAnsi="Times New Roman" w:cs="Times New Roman"/>
          <w:sz w:val="24"/>
          <w:szCs w:val="24"/>
        </w:rPr>
        <w:t>room</w:t>
      </w:r>
      <w:r w:rsidRPr="00555611">
        <w:rPr>
          <w:rFonts w:ascii="Times New Roman" w:hAnsi="Times New Roman" w:cs="Times New Roman"/>
          <w:sz w:val="24"/>
          <w:szCs w:val="24"/>
        </w:rPr>
        <w:t xml:space="preserve">. I also agree that literacy, numeracy and digital competence should be cross-curricular responsibilities. During PTE, I witnessed the deep understanding </w:t>
      </w:r>
      <w:r>
        <w:rPr>
          <w:rFonts w:ascii="Times New Roman" w:hAnsi="Times New Roman" w:cs="Times New Roman"/>
          <w:sz w:val="24"/>
          <w:szCs w:val="24"/>
        </w:rPr>
        <w:t xml:space="preserve">and independent learning </w:t>
      </w:r>
      <w:r w:rsidRPr="00555611">
        <w:rPr>
          <w:rFonts w:ascii="Times New Roman" w:hAnsi="Times New Roman" w:cs="Times New Roman"/>
          <w:sz w:val="24"/>
          <w:szCs w:val="24"/>
        </w:rPr>
        <w:t xml:space="preserve">that </w:t>
      </w:r>
      <w:r>
        <w:rPr>
          <w:rFonts w:ascii="Times New Roman" w:hAnsi="Times New Roman" w:cs="Times New Roman"/>
          <w:sz w:val="24"/>
          <w:szCs w:val="24"/>
        </w:rPr>
        <w:t>occurs</w:t>
      </w:r>
      <w:r w:rsidRPr="00555611">
        <w:rPr>
          <w:rFonts w:ascii="Times New Roman" w:hAnsi="Times New Roman" w:cs="Times New Roman"/>
          <w:sz w:val="24"/>
          <w:szCs w:val="24"/>
        </w:rPr>
        <w:t xml:space="preserve"> when children </w:t>
      </w:r>
      <w:r>
        <w:rPr>
          <w:rFonts w:ascii="Times New Roman" w:hAnsi="Times New Roman" w:cs="Times New Roman"/>
          <w:sz w:val="24"/>
          <w:szCs w:val="24"/>
        </w:rPr>
        <w:t xml:space="preserve">can </w:t>
      </w:r>
      <w:r w:rsidRPr="00555611">
        <w:rPr>
          <w:rFonts w:ascii="Times New Roman" w:hAnsi="Times New Roman" w:cs="Times New Roman"/>
          <w:sz w:val="24"/>
          <w:szCs w:val="24"/>
        </w:rPr>
        <w:t>make connection</w:t>
      </w:r>
      <w:r>
        <w:rPr>
          <w:rFonts w:ascii="Times New Roman" w:hAnsi="Times New Roman" w:cs="Times New Roman"/>
          <w:sz w:val="24"/>
          <w:szCs w:val="24"/>
        </w:rPr>
        <w:t>s</w:t>
      </w:r>
      <w:r w:rsidRPr="00555611">
        <w:rPr>
          <w:rFonts w:ascii="Times New Roman" w:hAnsi="Times New Roman" w:cs="Times New Roman"/>
          <w:sz w:val="24"/>
          <w:szCs w:val="24"/>
        </w:rPr>
        <w:t xml:space="preserve"> across traditional subject boundaries and think from different perspectives. </w:t>
      </w:r>
      <w:r>
        <w:rPr>
          <w:rFonts w:ascii="Times New Roman" w:hAnsi="Times New Roman" w:cs="Times New Roman"/>
          <w:sz w:val="24"/>
          <w:szCs w:val="24"/>
        </w:rPr>
        <w:t xml:space="preserve">Despite these observations, I maintain that some curriculum topics require lessons with a discrete subject based approach. Alexander (2009) argued that while some aspects of the curriculum lend themselves to a cross-curricular approach, the integrity of subject disciplines remained important for other aspects. </w:t>
      </w:r>
      <w:r>
        <w:rPr>
          <w:rFonts w:ascii="Times New Roman" w:hAnsi="Times New Roman" w:cs="Times New Roman"/>
          <w:color w:val="000000" w:themeColor="text1"/>
          <w:sz w:val="24"/>
          <w:szCs w:val="24"/>
        </w:rPr>
        <w:t xml:space="preserve">Toulmin wrote, “only within a world of disciplines can one be interdisciplinary” (2001, p. 1). I agree with this sentiment and believe that certain numeracy, literacy and digital competence skills are best developed in lessons focused on the disciplines of mathematics, English or ICT. However, consistent with the views of Rose (2009) and </w:t>
      </w:r>
      <w:proofErr w:type="spellStart"/>
      <w:r>
        <w:rPr>
          <w:rFonts w:ascii="Times New Roman" w:hAnsi="Times New Roman" w:cs="Times New Roman"/>
          <w:color w:val="000000" w:themeColor="text1"/>
          <w:sz w:val="24"/>
          <w:szCs w:val="24"/>
        </w:rPr>
        <w:t>Didau</w:t>
      </w:r>
      <w:proofErr w:type="spellEnd"/>
      <w:r>
        <w:rPr>
          <w:rFonts w:ascii="Times New Roman" w:hAnsi="Times New Roman" w:cs="Times New Roman"/>
          <w:color w:val="000000" w:themeColor="text1"/>
          <w:sz w:val="24"/>
          <w:szCs w:val="24"/>
        </w:rPr>
        <w:t xml:space="preserve"> (2014), my experience and observation have highlighted how skills learned in discrete subject based lessons are often better understood by children when they can apply them across the curriculum. From evaluating a broad range of academic content and considering my own experiences and observations, I concur with Savage (2011), Kerry (2015) and Drake and Reid (2018), the most powerful learning is achieved through an integrated approach, which combines discrete subject teaching and cross-curricular teaching. Restricting numeracy to mathematics lessons, literacy to English lessons and digital competence to ICT lessons, ignores the powerful and authentic learning opportunities that can exist</w:t>
      </w:r>
      <w:r w:rsidRPr="00A45617">
        <w:rPr>
          <w:rFonts w:ascii="Times New Roman" w:hAnsi="Times New Roman" w:cs="Times New Roman"/>
          <w:color w:val="000000" w:themeColor="text1"/>
          <w:sz w:val="24"/>
          <w:szCs w:val="24"/>
        </w:rPr>
        <w:t xml:space="preserve"> when they are integrated </w:t>
      </w:r>
      <w:r>
        <w:rPr>
          <w:rFonts w:ascii="Times New Roman" w:hAnsi="Times New Roman" w:cs="Times New Roman"/>
          <w:color w:val="000000" w:themeColor="text1"/>
          <w:sz w:val="24"/>
          <w:szCs w:val="24"/>
        </w:rPr>
        <w:t>across the curriculum</w:t>
      </w:r>
      <w:r w:rsidRPr="00A45617">
        <w:rPr>
          <w:rFonts w:ascii="Times New Roman" w:hAnsi="Times New Roman" w:cs="Times New Roman"/>
          <w:color w:val="000000" w:themeColor="text1"/>
          <w:sz w:val="24"/>
          <w:szCs w:val="24"/>
        </w:rPr>
        <w:t xml:space="preserve">. </w:t>
      </w:r>
    </w:p>
    <w:p w:rsidR="000D050C" w:rsidRDefault="000D050C" w:rsidP="000D050C">
      <w:pPr>
        <w:spacing w:line="360" w:lineRule="auto"/>
        <w:jc w:val="both"/>
        <w:rPr>
          <w:rFonts w:ascii="Times New Roman" w:hAnsi="Times New Roman" w:cs="Times New Roman"/>
          <w:color w:val="000000" w:themeColor="text1"/>
          <w:sz w:val="24"/>
          <w:szCs w:val="24"/>
        </w:rPr>
      </w:pPr>
    </w:p>
    <w:p w:rsidR="000D050C" w:rsidRDefault="000D050C" w:rsidP="000D05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Moving forward, a target for myself, is to ensure that my cross-curricular planning incorporates ideas that are not restricted to applying skills in literacy, numeracy and digital competence, but also create opportunities for these skills to be developed and extended. To achieve this aim, I need to continue expanding my subject knowledge and develop a clearer understanding of progression steps in each area. </w:t>
      </w:r>
    </w:p>
    <w:p w:rsidR="000D050C" w:rsidRDefault="000D050C" w:rsidP="000D050C">
      <w:pPr>
        <w:spacing w:line="360" w:lineRule="auto"/>
        <w:jc w:val="both"/>
        <w:rPr>
          <w:rFonts w:ascii="Times New Roman" w:hAnsi="Times New Roman" w:cs="Times New Roman"/>
          <w:color w:val="000000" w:themeColor="text1"/>
          <w:sz w:val="24"/>
          <w:szCs w:val="24"/>
        </w:rPr>
      </w:pPr>
    </w:p>
    <w:p w:rsidR="000D050C" w:rsidRDefault="000D050C" w:rsidP="000D050C">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Another target is to be bold and ignore the temptation to force literacy, numeracy and digital competence into lessons where authentic connections do not exist. Forcing connections into a lesson, to satisfy a figurative cross-curricular tick-box, fails to enhance the leaning for the children and fails to meet Donaldson’s rationale for including them as cross curricular responsibilities. </w:t>
      </w:r>
    </w:p>
    <w:p w:rsidR="000D050C" w:rsidRDefault="000D050C" w:rsidP="000D050C">
      <w:pPr>
        <w:spacing w:line="360" w:lineRule="auto"/>
        <w:jc w:val="both"/>
        <w:rPr>
          <w:rFonts w:ascii="Times New Roman" w:hAnsi="Times New Roman" w:cs="Times New Roman"/>
          <w:color w:val="000000" w:themeColor="text1"/>
          <w:sz w:val="24"/>
          <w:szCs w:val="24"/>
        </w:rPr>
      </w:pPr>
    </w:p>
    <w:p w:rsidR="000D050C" w:rsidRDefault="000D050C" w:rsidP="000D050C">
      <w:pPr>
        <w:spacing w:line="360" w:lineRule="auto"/>
        <w:jc w:val="both"/>
        <w:rPr>
          <w:rFonts w:ascii="Times New Roman" w:hAnsi="Times New Roman" w:cs="Times New Roman"/>
          <w:sz w:val="24"/>
          <w:szCs w:val="24"/>
        </w:rPr>
      </w:pPr>
      <w:r w:rsidRPr="00EB5C9F">
        <w:rPr>
          <w:rFonts w:ascii="Times New Roman" w:hAnsi="Times New Roman" w:cs="Times New Roman"/>
          <w:sz w:val="24"/>
          <w:szCs w:val="24"/>
        </w:rPr>
        <w:t xml:space="preserve">The world is changing rapidly, economically, technologically and culturally. Children growing up today are facing unique challenges and we need an education system that recognises this fact. Kirsty Williams believes, </w:t>
      </w:r>
      <w:r w:rsidRPr="00236317">
        <w:rPr>
          <w:rFonts w:ascii="Times New Roman" w:hAnsi="Times New Roman" w:cs="Times New Roman"/>
          <w:sz w:val="24"/>
          <w:szCs w:val="24"/>
        </w:rPr>
        <w:t xml:space="preserve">“Schools are having to prepare our young people for jobs that have not yet been created and challenges that we are yet to encounter” (2017, quoted in Education in Wales: Our national mission, 2017, pp. 3). </w:t>
      </w:r>
      <w:r>
        <w:rPr>
          <w:rFonts w:ascii="Times New Roman" w:hAnsi="Times New Roman" w:cs="Times New Roman"/>
          <w:sz w:val="24"/>
          <w:szCs w:val="24"/>
        </w:rPr>
        <w:t xml:space="preserve">A </w:t>
      </w:r>
      <w:r w:rsidRPr="000B2A25">
        <w:rPr>
          <w:rFonts w:ascii="Times New Roman" w:hAnsi="Times New Roman" w:cs="Times New Roman"/>
          <w:sz w:val="24"/>
          <w:szCs w:val="24"/>
        </w:rPr>
        <w:t>cross-curricular approach better prepares children for the uncertainties of tomorrow</w:t>
      </w:r>
      <w:r>
        <w:rPr>
          <w:rFonts w:ascii="Times New Roman" w:hAnsi="Times New Roman" w:cs="Times New Roman"/>
          <w:sz w:val="24"/>
          <w:szCs w:val="24"/>
        </w:rPr>
        <w:t xml:space="preserve"> (Dewey, 1902; Rose, 2009; Alexander, 2010)</w:t>
      </w:r>
      <w:r w:rsidRPr="000B2A25">
        <w:rPr>
          <w:rFonts w:ascii="Times New Roman" w:hAnsi="Times New Roman" w:cs="Times New Roman"/>
          <w:sz w:val="24"/>
          <w:szCs w:val="24"/>
        </w:rPr>
        <w:t>.</w:t>
      </w:r>
      <w:r>
        <w:t xml:space="preserve"> </w:t>
      </w:r>
      <w:r w:rsidRPr="00EB5C9F">
        <w:rPr>
          <w:rFonts w:ascii="Times New Roman" w:hAnsi="Times New Roman" w:cs="Times New Roman"/>
          <w:sz w:val="24"/>
          <w:szCs w:val="24"/>
        </w:rPr>
        <w:t xml:space="preserve">Looking to the future, I believe the new curriculum and our ability to embed literacy, numeracy and digital competence across the </w:t>
      </w:r>
      <w:r>
        <w:rPr>
          <w:rFonts w:ascii="Times New Roman" w:hAnsi="Times New Roman" w:cs="Times New Roman"/>
          <w:sz w:val="24"/>
          <w:szCs w:val="24"/>
        </w:rPr>
        <w:t>Areas of Learning and Experience</w:t>
      </w:r>
      <w:r w:rsidRPr="00EB5C9F">
        <w:rPr>
          <w:rFonts w:ascii="Times New Roman" w:hAnsi="Times New Roman" w:cs="Times New Roman"/>
          <w:sz w:val="24"/>
          <w:szCs w:val="24"/>
        </w:rPr>
        <w:t xml:space="preserve">, gives teachers in Wales an exciting opportunity </w:t>
      </w:r>
      <w:r>
        <w:rPr>
          <w:rFonts w:ascii="Times New Roman" w:hAnsi="Times New Roman" w:cs="Times New Roman"/>
          <w:sz w:val="24"/>
          <w:szCs w:val="24"/>
        </w:rPr>
        <w:t>which we need to grasp. Through</w:t>
      </w:r>
      <w:r w:rsidRPr="00EB5C9F">
        <w:rPr>
          <w:rFonts w:ascii="Times New Roman" w:hAnsi="Times New Roman" w:cs="Times New Roman"/>
          <w:sz w:val="24"/>
          <w:szCs w:val="24"/>
        </w:rPr>
        <w:t xml:space="preserve"> well-planned cross-curricular approach</w:t>
      </w:r>
      <w:r>
        <w:rPr>
          <w:rFonts w:ascii="Times New Roman" w:hAnsi="Times New Roman" w:cs="Times New Roman"/>
          <w:sz w:val="24"/>
          <w:szCs w:val="24"/>
        </w:rPr>
        <w:t>es,</w:t>
      </w:r>
      <w:r w:rsidRPr="00EB5C9F">
        <w:rPr>
          <w:rFonts w:ascii="Times New Roman" w:hAnsi="Times New Roman" w:cs="Times New Roman"/>
          <w:sz w:val="24"/>
          <w:szCs w:val="24"/>
        </w:rPr>
        <w:t xml:space="preserve"> we can</w:t>
      </w:r>
      <w:r>
        <w:rPr>
          <w:rFonts w:ascii="Times New Roman" w:hAnsi="Times New Roman" w:cs="Times New Roman"/>
          <w:sz w:val="24"/>
          <w:szCs w:val="24"/>
        </w:rPr>
        <w:t xml:space="preserve"> develop a generation of capable leaners who have the literacy, numeracy and digital competence skills and competencies needed to secure successful futures. </w:t>
      </w:r>
    </w:p>
    <w:p w:rsidR="000D050C" w:rsidRDefault="000D050C">
      <w:bookmarkStart w:id="0" w:name="_GoBack"/>
      <w:bookmarkEnd w:id="0"/>
    </w:p>
    <w:sectPr w:rsidR="000D05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50C"/>
    <w:rsid w:val="000D05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1FB6559-D868-4E93-A0A7-2C5878E59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D050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2768</Words>
  <Characters>15782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Evans</dc:creator>
  <cp:keywords/>
  <dc:description/>
  <cp:lastModifiedBy>Ross Evans</cp:lastModifiedBy>
  <cp:revision>1</cp:revision>
  <dcterms:created xsi:type="dcterms:W3CDTF">2018-12-13T22:05:00Z</dcterms:created>
  <dcterms:modified xsi:type="dcterms:W3CDTF">2018-12-13T22:06:00Z</dcterms:modified>
</cp:coreProperties>
</file>