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180" w:right="-334" w:firstLine="0"/>
        <w:rPr>
          <w:rFonts w:ascii="Georgia" w:cs="Georgia" w:eastAsia="Georgia" w:hAnsi="Georgia"/>
          <w:sz w:val="21"/>
          <w:szCs w:val="21"/>
        </w:rPr>
      </w:pPr>
      <w:r w:rsidDel="00000000" w:rsidR="00000000" w:rsidRPr="00000000">
        <w:rPr>
          <w:rFonts w:ascii="Georgia" w:cs="Georgia" w:eastAsia="Georgia" w:hAnsi="Georgia"/>
          <w:sz w:val="21"/>
          <w:szCs w:val="21"/>
        </w:rPr>
        <w:drawing>
          <wp:inline distB="0" distT="0" distL="114300" distR="114300">
            <wp:extent cx="1908175" cy="63563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8175"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ind w:left="-180" w:right="-334" w:firstLine="0"/>
        <w:rPr>
          <w:rFonts w:ascii="Georgia" w:cs="Georgia" w:eastAsia="Georgia" w:hAnsi="Georgia"/>
          <w:sz w:val="21"/>
          <w:szCs w:val="21"/>
        </w:rPr>
      </w:pPr>
      <w:r w:rsidDel="00000000" w:rsidR="00000000" w:rsidRPr="00000000">
        <w:rPr>
          <w:rtl w:val="0"/>
        </w:rPr>
      </w:r>
    </w:p>
    <w:p w:rsidR="00000000" w:rsidDel="00000000" w:rsidP="00000000" w:rsidRDefault="00000000" w:rsidRPr="00000000" w14:paraId="00000003">
      <w:pPr>
        <w:spacing w:line="240" w:lineRule="auto"/>
        <w:ind w:left="-180" w:right="-334" w:firstLine="0"/>
        <w:rPr>
          <w:rFonts w:ascii="Georgia" w:cs="Georgia" w:eastAsia="Georgia" w:hAnsi="Georgia"/>
          <w:sz w:val="21"/>
          <w:szCs w:val="21"/>
        </w:rPr>
      </w:pPr>
      <w:r w:rsidDel="00000000" w:rsidR="00000000" w:rsidRPr="00000000">
        <w:rPr>
          <w:rtl w:val="0"/>
        </w:rPr>
      </w:r>
    </w:p>
    <w:p w:rsidR="00000000" w:rsidDel="00000000" w:rsidP="00000000" w:rsidRDefault="00000000" w:rsidRPr="00000000" w14:paraId="00000004">
      <w:pPr>
        <w:spacing w:line="240" w:lineRule="auto"/>
        <w:ind w:left="-180" w:right="-334" w:firstLine="0"/>
        <w:jc w:val="center"/>
        <w:rPr>
          <w:sz w:val="28"/>
          <w:szCs w:val="28"/>
        </w:rPr>
      </w:pPr>
      <w:r w:rsidDel="00000000" w:rsidR="00000000" w:rsidRPr="00000000">
        <w:rPr>
          <w:b w:val="1"/>
          <w:sz w:val="28"/>
          <w:szCs w:val="28"/>
          <w:rtl w:val="0"/>
        </w:rPr>
        <w:t xml:space="preserve">Postgraduate/Distance Learning </w:t>
      </w:r>
      <w:r w:rsidDel="00000000" w:rsidR="00000000" w:rsidRPr="00000000">
        <w:rPr>
          <w:rtl w:val="0"/>
        </w:rPr>
      </w:r>
    </w:p>
    <w:p w:rsidR="00000000" w:rsidDel="00000000" w:rsidP="00000000" w:rsidRDefault="00000000" w:rsidRPr="00000000" w14:paraId="00000005">
      <w:pPr>
        <w:spacing w:line="240" w:lineRule="auto"/>
        <w:ind w:left="-180" w:right="-334" w:firstLine="0"/>
        <w:jc w:val="center"/>
        <w:rPr>
          <w:sz w:val="28"/>
          <w:szCs w:val="28"/>
        </w:rPr>
      </w:pPr>
      <w:r w:rsidDel="00000000" w:rsidR="00000000" w:rsidRPr="00000000">
        <w:rPr>
          <w:b w:val="1"/>
          <w:sz w:val="28"/>
          <w:szCs w:val="28"/>
          <w:rtl w:val="0"/>
        </w:rPr>
        <w:t xml:space="preserve">Assignment coversheet &amp; feedback form</w:t>
      </w:r>
      <w:r w:rsidDel="00000000" w:rsidR="00000000" w:rsidRPr="00000000">
        <w:rPr>
          <w:rtl w:val="0"/>
        </w:rPr>
      </w:r>
    </w:p>
    <w:p w:rsidR="00000000" w:rsidDel="00000000" w:rsidP="00000000" w:rsidRDefault="00000000" w:rsidRPr="00000000" w14:paraId="00000006">
      <w:pPr>
        <w:spacing w:line="240" w:lineRule="auto"/>
        <w:rPr>
          <w:sz w:val="28"/>
          <w:szCs w:val="28"/>
        </w:rPr>
      </w:pPr>
      <w:r w:rsidDel="00000000" w:rsidR="00000000" w:rsidRPr="00000000">
        <w:rPr>
          <w:rtl w:val="0"/>
        </w:rPr>
      </w:r>
    </w:p>
    <w:p w:rsidR="00000000" w:rsidDel="00000000" w:rsidP="00000000" w:rsidRDefault="00000000" w:rsidRPr="00000000" w14:paraId="00000007">
      <w:pPr>
        <w:pStyle w:val="Heading3"/>
        <w:keepLines w:val="0"/>
        <w:spacing w:after="0" w:before="0" w:line="240" w:lineRule="auto"/>
        <w:ind w:left="720" w:firstLine="0"/>
        <w:jc w:val="center"/>
        <w:rPr>
          <w:rFonts w:ascii="Tahoma" w:cs="Tahoma" w:eastAsia="Tahoma" w:hAnsi="Tahoma"/>
          <w:b w:val="1"/>
          <w:color w:val="000000"/>
          <w:sz w:val="20"/>
          <w:szCs w:val="20"/>
        </w:rPr>
      </w:pPr>
      <w:r w:rsidDel="00000000" w:rsidR="00000000" w:rsidRPr="00000000">
        <w:rPr>
          <w:rFonts w:ascii="Tahoma" w:cs="Tahoma" w:eastAsia="Tahoma" w:hAnsi="Tahoma"/>
          <w:b w:val="1"/>
          <w:color w:val="000000"/>
          <w:sz w:val="20"/>
          <w:szCs w:val="20"/>
          <w:rtl w:val="0"/>
        </w:rPr>
        <w:t xml:space="preserve">THIS SHEET MUST BE THE FIRST PAGE OF THE ASSIGNMENT YOU ARE SUBMITTING  (DO NOT SEND AS A SEPARATE FILE)</w:t>
      </w:r>
    </w:p>
    <w:p w:rsidR="00000000" w:rsidDel="00000000" w:rsidP="00000000" w:rsidRDefault="00000000" w:rsidRPr="00000000" w14:paraId="00000008">
      <w:pPr>
        <w:pStyle w:val="Heading3"/>
        <w:keepLines w:val="0"/>
        <w:spacing w:after="0" w:before="0" w:line="240" w:lineRule="auto"/>
        <w:ind w:left="720" w:firstLine="0"/>
        <w:jc w:val="center"/>
        <w:rPr>
          <w:rFonts w:ascii="Trebuchet MS" w:cs="Trebuchet MS" w:eastAsia="Trebuchet MS" w:hAnsi="Trebuchet MS"/>
          <w:b w:val="1"/>
          <w:color w:val="000000"/>
          <w:sz w:val="20"/>
          <w:szCs w:val="20"/>
        </w:rPr>
      </w:pPr>
      <w:r w:rsidDel="00000000" w:rsidR="00000000" w:rsidRPr="00000000">
        <w:rPr>
          <w:rtl w:val="0"/>
        </w:rPr>
      </w:r>
    </w:p>
    <w:tbl>
      <w:tblPr>
        <w:tblStyle w:val="Table1"/>
        <w:tblW w:w="885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9">
            <w:pPr>
              <w:spacing w:line="240" w:lineRule="auto"/>
              <w:ind w:right="34"/>
              <w:rPr/>
            </w:pPr>
            <w:r w:rsidDel="00000000" w:rsidR="00000000" w:rsidRPr="00000000">
              <w:rPr>
                <w:b w:val="1"/>
                <w:rtl w:val="0"/>
              </w:rPr>
              <w:t xml:space="preserve">For completion by the student</w:t>
            </w:r>
            <w:r w:rsidDel="00000000" w:rsidR="00000000" w:rsidRPr="00000000">
              <w:rPr>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E">
            <w:pPr>
              <w:spacing w:line="240" w:lineRule="auto"/>
              <w:ind w:right="34"/>
              <w:rPr/>
            </w:pPr>
            <w:r w:rsidDel="00000000" w:rsidR="00000000" w:rsidRPr="00000000">
              <w:rPr>
                <w:rtl w:val="0"/>
              </w:rPr>
              <w:t xml:space="preserve">Student Name: Katherine Azima</w:t>
            </w:r>
          </w:p>
          <w:p w:rsidR="00000000" w:rsidDel="00000000" w:rsidP="00000000" w:rsidRDefault="00000000" w:rsidRPr="00000000" w14:paraId="0000000F">
            <w:pPr>
              <w:spacing w:line="240" w:lineRule="auto"/>
              <w:ind w:right="34"/>
              <w:rPr/>
            </w:pPr>
            <w:r w:rsidDel="00000000" w:rsidR="00000000" w:rsidRPr="00000000">
              <w:rPr>
                <w:rtl w:val="0"/>
              </w:rPr>
            </w:r>
          </w:p>
          <w:p w:rsidR="00000000" w:rsidDel="00000000" w:rsidP="00000000" w:rsidRDefault="00000000" w:rsidRPr="00000000" w14:paraId="00000010">
            <w:pPr>
              <w:spacing w:line="240" w:lineRule="auto"/>
              <w:ind w:right="34"/>
              <w:rPr/>
            </w:pPr>
            <w:r w:rsidDel="00000000" w:rsidR="00000000" w:rsidRPr="00000000">
              <w:rPr>
                <w:rtl w:val="0"/>
              </w:rPr>
              <w:t xml:space="preserve">Student </w:t>
            </w:r>
            <w:r w:rsidDel="00000000" w:rsidR="00000000" w:rsidRPr="00000000">
              <w:rPr>
                <w:b w:val="1"/>
                <w:u w:val="single"/>
                <w:rtl w:val="0"/>
              </w:rPr>
              <w:t xml:space="preserve">University</w:t>
            </w:r>
            <w:r w:rsidDel="00000000" w:rsidR="00000000" w:rsidRPr="00000000">
              <w:rPr>
                <w:u w:val="single"/>
                <w:rtl w:val="0"/>
              </w:rPr>
              <w:t xml:space="preserve"> </w:t>
            </w:r>
            <w:r w:rsidDel="00000000" w:rsidR="00000000" w:rsidRPr="00000000">
              <w:rPr>
                <w:rtl w:val="0"/>
              </w:rPr>
              <w:t xml:space="preserve">Email:</w:t>
            </w:r>
            <w:r w:rsidDel="00000000" w:rsidR="00000000" w:rsidRPr="00000000">
              <w:rPr>
                <w:b w:val="1"/>
                <w:rtl w:val="0"/>
              </w:rPr>
              <w:t xml:space="preserve"> </w:t>
            </w:r>
            <w:r w:rsidDel="00000000" w:rsidR="00000000" w:rsidRPr="00000000">
              <w:rPr>
                <w:rtl w:val="0"/>
              </w:rPr>
              <w:t xml:space="preserve">2219013@student.uwtsd.ac.uk</w:t>
            </w:r>
            <w:r w:rsidDel="00000000" w:rsidR="00000000" w:rsidRPr="00000000">
              <w:rPr>
                <w:rtl w:val="0"/>
              </w:rPr>
            </w:r>
          </w:p>
        </w:tc>
      </w:tr>
      <w:tr>
        <w:trPr>
          <w:cantSplit w:val="0"/>
          <w:trHeight w:val="849" w:hRule="atLeast"/>
          <w:tblHeader w:val="0"/>
        </w:trPr>
        <w:tc>
          <w:tcPr>
            <w:vAlign w:val="top"/>
          </w:tcPr>
          <w:p w:rsidR="00000000" w:rsidDel="00000000" w:rsidP="00000000" w:rsidRDefault="00000000" w:rsidRPr="00000000" w14:paraId="00000015">
            <w:pPr>
              <w:spacing w:line="240" w:lineRule="auto"/>
              <w:ind w:right="34"/>
              <w:rPr>
                <w:b w:val="1"/>
              </w:rPr>
            </w:pPr>
            <w:r w:rsidDel="00000000" w:rsidR="00000000" w:rsidRPr="00000000">
              <w:rPr>
                <w:b w:val="1"/>
                <w:rtl w:val="0"/>
              </w:rPr>
              <w:t xml:space="preserve">Module code: </w:t>
            </w:r>
          </w:p>
          <w:p w:rsidR="00000000" w:rsidDel="00000000" w:rsidP="00000000" w:rsidRDefault="00000000" w:rsidRPr="00000000" w14:paraId="00000016">
            <w:pPr>
              <w:jc w:val="left"/>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HPCA7008</w:t>
            </w:r>
          </w:p>
          <w:p w:rsidR="00000000" w:rsidDel="00000000" w:rsidP="00000000" w:rsidRDefault="00000000" w:rsidRPr="00000000" w14:paraId="00000017">
            <w:pPr>
              <w:spacing w:line="240" w:lineRule="auto"/>
              <w:ind w:right="34"/>
              <w:rPr>
                <w:b w:val="1"/>
              </w:rPr>
            </w:pPr>
            <w:r w:rsidDel="00000000" w:rsidR="00000000" w:rsidRPr="00000000">
              <w:rPr>
                <w:b w:val="1"/>
                <w:rtl w:val="0"/>
              </w:rPr>
              <w:t xml:space="preserve">Module title:</w:t>
            </w:r>
          </w:p>
          <w:p w:rsidR="00000000" w:rsidDel="00000000" w:rsidP="00000000" w:rsidRDefault="00000000" w:rsidRPr="00000000" w14:paraId="00000018">
            <w:pPr>
              <w:jc w:val="left"/>
              <w:rPr/>
            </w:pPr>
            <w:r w:rsidDel="00000000" w:rsidR="00000000" w:rsidRPr="00000000">
              <w:rPr>
                <w:rFonts w:ascii="Calibri" w:cs="Calibri" w:eastAsia="Calibri" w:hAnsi="Calibri"/>
                <w:sz w:val="24"/>
                <w:szCs w:val="24"/>
                <w:highlight w:val="white"/>
                <w:rtl w:val="0"/>
              </w:rPr>
              <w:t xml:space="preserve">Foundations of Cultural </w:t>
              <w:br w:type="textWrapping"/>
              <w:t xml:space="preserve">Astronomy and Astrology</w:t>
            </w:r>
            <w:r w:rsidDel="00000000" w:rsidR="00000000" w:rsidRPr="00000000">
              <w:rPr>
                <w:rtl w:val="0"/>
              </w:rPr>
            </w:r>
          </w:p>
          <w:p w:rsidR="00000000" w:rsidDel="00000000" w:rsidP="00000000" w:rsidRDefault="00000000" w:rsidRPr="00000000" w14:paraId="00000019">
            <w:pPr>
              <w:spacing w:line="240" w:lineRule="auto"/>
              <w:ind w:right="34"/>
              <w:rPr>
                <w:b w:val="1"/>
              </w:rPr>
            </w:pPr>
            <w:r w:rsidDel="00000000" w:rsidR="00000000" w:rsidRPr="00000000">
              <w:rPr>
                <w:rtl w:val="0"/>
              </w:rPr>
            </w:r>
          </w:p>
        </w:tc>
        <w:tc>
          <w:tcPr>
            <w:gridSpan w:val="3"/>
            <w:vAlign w:val="top"/>
          </w:tcPr>
          <w:p w:rsidR="00000000" w:rsidDel="00000000" w:rsidP="00000000" w:rsidRDefault="00000000" w:rsidRPr="00000000" w14:paraId="0000001A">
            <w:pPr>
              <w:spacing w:line="240" w:lineRule="auto"/>
              <w:ind w:right="34"/>
              <w:rPr>
                <w:b w:val="1"/>
              </w:rPr>
            </w:pPr>
            <w:r w:rsidDel="00000000" w:rsidR="00000000" w:rsidRPr="00000000">
              <w:rPr>
                <w:b w:val="1"/>
                <w:rtl w:val="0"/>
              </w:rPr>
              <w:t xml:space="preserve">Student ID number:</w:t>
            </w:r>
          </w:p>
          <w:p w:rsidR="00000000" w:rsidDel="00000000" w:rsidP="00000000" w:rsidRDefault="00000000" w:rsidRPr="00000000" w14:paraId="0000001B">
            <w:pPr>
              <w:spacing w:line="240" w:lineRule="auto"/>
              <w:ind w:right="34"/>
              <w:rPr>
                <w:b w:val="1"/>
              </w:rPr>
            </w:pPr>
            <w:r w:rsidDel="00000000" w:rsidR="00000000" w:rsidRPr="00000000">
              <w:rPr>
                <w:rtl w:val="0"/>
              </w:rPr>
            </w:r>
          </w:p>
          <w:p w:rsidR="00000000" w:rsidDel="00000000" w:rsidP="00000000" w:rsidRDefault="00000000" w:rsidRPr="00000000" w14:paraId="0000001C">
            <w:pPr>
              <w:spacing w:line="240" w:lineRule="auto"/>
              <w:ind w:right="34"/>
              <w:rPr>
                <w:b w:val="1"/>
              </w:rPr>
            </w:pPr>
            <w:r w:rsidDel="00000000" w:rsidR="00000000" w:rsidRPr="00000000">
              <w:rPr>
                <w:rtl w:val="0"/>
              </w:rPr>
            </w:r>
          </w:p>
          <w:p w:rsidR="00000000" w:rsidDel="00000000" w:rsidP="00000000" w:rsidRDefault="00000000" w:rsidRPr="00000000" w14:paraId="0000001D">
            <w:pPr>
              <w:spacing w:line="240" w:lineRule="auto"/>
              <w:ind w:right="34"/>
              <w:rPr/>
            </w:pPr>
            <w:r w:rsidDel="00000000" w:rsidR="00000000" w:rsidRPr="00000000">
              <w:rPr>
                <w:rtl w:val="0"/>
              </w:rPr>
              <w:t xml:space="preserve">2219013</w:t>
            </w:r>
          </w:p>
        </w:tc>
        <w:tc>
          <w:tcPr>
            <w:vAlign w:val="top"/>
          </w:tcPr>
          <w:p w:rsidR="00000000" w:rsidDel="00000000" w:rsidP="00000000" w:rsidRDefault="00000000" w:rsidRPr="00000000" w14:paraId="00000020">
            <w:pPr>
              <w:spacing w:line="240" w:lineRule="auto"/>
              <w:ind w:right="34"/>
              <w:rPr/>
            </w:pPr>
            <w:r w:rsidDel="00000000" w:rsidR="00000000" w:rsidRPr="00000000">
              <w:rPr>
                <w:rtl w:val="0"/>
              </w:rPr>
              <w:t xml:space="preserve">Educational support needs:</w:t>
            </w:r>
          </w:p>
          <w:p w:rsidR="00000000" w:rsidDel="00000000" w:rsidP="00000000" w:rsidRDefault="00000000" w:rsidRPr="00000000" w14:paraId="00000021">
            <w:pPr>
              <w:spacing w:line="240" w:lineRule="auto"/>
              <w:ind w:right="34"/>
              <w:rPr/>
            </w:pPr>
            <w:r w:rsidDel="00000000" w:rsidR="00000000" w:rsidRPr="00000000">
              <w:rPr>
                <w:rtl w:val="0"/>
              </w:rPr>
              <w:t xml:space="preserve">Yes/No</w:t>
            </w:r>
          </w:p>
          <w:p w:rsidR="00000000" w:rsidDel="00000000" w:rsidP="00000000" w:rsidRDefault="00000000" w:rsidRPr="00000000" w14:paraId="00000022">
            <w:pPr>
              <w:spacing w:line="240" w:lineRule="auto"/>
              <w:ind w:right="34"/>
              <w:rPr/>
            </w:pPr>
            <w:r w:rsidDel="00000000" w:rsidR="00000000" w:rsidRPr="00000000">
              <w:rPr>
                <w:rtl w:val="0"/>
              </w:rPr>
            </w:r>
          </w:p>
          <w:p w:rsidR="00000000" w:rsidDel="00000000" w:rsidP="00000000" w:rsidRDefault="00000000" w:rsidRPr="00000000" w14:paraId="00000023">
            <w:pPr>
              <w:spacing w:line="240" w:lineRule="auto"/>
              <w:ind w:right="34"/>
              <w:rPr/>
            </w:pPr>
            <w:r w:rsidDel="00000000" w:rsidR="00000000" w:rsidRPr="00000000">
              <w:rPr>
                <w:rtl w:val="0"/>
              </w:rPr>
              <w:t xml:space="preserve">NO</w:t>
            </w:r>
          </w:p>
        </w:tc>
      </w:tr>
      <w:tr>
        <w:trPr>
          <w:cantSplit w:val="0"/>
          <w:trHeight w:val="1139" w:hRule="atLeast"/>
          <w:tblHeader w:val="0"/>
        </w:trPr>
        <w:tc>
          <w:tcPr>
            <w:gridSpan w:val="5"/>
            <w:vAlign w:val="top"/>
          </w:tcPr>
          <w:p w:rsidR="00000000" w:rsidDel="00000000" w:rsidP="00000000" w:rsidRDefault="00000000" w:rsidRPr="00000000" w14:paraId="00000024">
            <w:pPr>
              <w:spacing w:line="240" w:lineRule="auto"/>
              <w:ind w:right="34"/>
              <w:rPr>
                <w:rFonts w:ascii="Calibri" w:cs="Calibri" w:eastAsia="Calibri" w:hAnsi="Calibri"/>
                <w:i w:val="1"/>
                <w:color w:val="202122"/>
                <w:sz w:val="24"/>
                <w:szCs w:val="24"/>
                <w:highlight w:val="white"/>
              </w:rPr>
            </w:pPr>
            <w:r w:rsidDel="00000000" w:rsidR="00000000" w:rsidRPr="00000000">
              <w:rPr>
                <w:b w:val="1"/>
                <w:rtl w:val="0"/>
              </w:rPr>
              <w:t xml:space="preserve">Assignment title:</w:t>
            </w:r>
            <w:r w:rsidDel="00000000" w:rsidR="00000000" w:rsidRPr="00000000">
              <w:rPr>
                <w:rtl w:val="0"/>
              </w:rPr>
              <w:t xml:space="preserve"> </w:t>
            </w:r>
            <w:r w:rsidDel="00000000" w:rsidR="00000000" w:rsidRPr="00000000">
              <w:rPr>
                <w:rFonts w:ascii="Calibri" w:cs="Calibri" w:eastAsia="Calibri" w:hAnsi="Calibri"/>
                <w:sz w:val="24"/>
                <w:szCs w:val="24"/>
                <w:highlight w:val="white"/>
                <w:rtl w:val="0"/>
              </w:rPr>
              <w:t xml:space="preserve">A Critical Comparison of Two JSTOR Papers</w:t>
            </w:r>
            <w:r w:rsidDel="00000000" w:rsidR="00000000" w:rsidRPr="00000000">
              <w:rPr>
                <w:rtl w:val="0"/>
              </w:rPr>
            </w:r>
          </w:p>
          <w:p w:rsidR="00000000" w:rsidDel="00000000" w:rsidP="00000000" w:rsidRDefault="00000000" w:rsidRPr="00000000" w14:paraId="00000025">
            <w:pPr>
              <w:spacing w:line="240" w:lineRule="auto"/>
              <w:ind w:right="34"/>
              <w:rPr/>
            </w:pPr>
            <w:r w:rsidDel="00000000" w:rsidR="00000000" w:rsidRPr="00000000">
              <w:rPr>
                <w:rtl w:val="0"/>
              </w:rPr>
            </w:r>
          </w:p>
          <w:p w:rsidR="00000000" w:rsidDel="00000000" w:rsidP="00000000" w:rsidRDefault="00000000" w:rsidRPr="00000000" w14:paraId="00000026">
            <w:pPr>
              <w:spacing w:line="240" w:lineRule="auto"/>
              <w:ind w:right="34"/>
              <w:rPr/>
            </w:pPr>
            <w:r w:rsidDel="00000000" w:rsidR="00000000" w:rsidRPr="00000000">
              <w:rPr>
                <w:rtl w:val="0"/>
              </w:rPr>
            </w:r>
          </w:p>
          <w:p w:rsidR="00000000" w:rsidDel="00000000" w:rsidP="00000000" w:rsidRDefault="00000000" w:rsidRPr="00000000" w14:paraId="00000027">
            <w:pPr>
              <w:spacing w:line="240" w:lineRule="auto"/>
              <w:ind w:right="34"/>
              <w:rPr/>
            </w:pPr>
            <w:r w:rsidDel="00000000" w:rsidR="00000000" w:rsidRPr="00000000">
              <w:rPr>
                <w:b w:val="1"/>
                <w:rtl w:val="0"/>
              </w:rPr>
              <w:t xml:space="preserve">Assignment due date:</w:t>
            </w:r>
            <w:r w:rsidDel="00000000" w:rsidR="00000000" w:rsidRPr="00000000">
              <w:rPr>
                <w:rtl w:val="0"/>
              </w:rPr>
              <w:t xml:space="preserve"> November 7th, 2022</w:t>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C">
            <w:pPr>
              <w:spacing w:line="240" w:lineRule="auto"/>
              <w:rPr/>
            </w:pPr>
            <w:r w:rsidDel="00000000" w:rsidR="00000000" w:rsidRPr="00000000">
              <w:rPr>
                <w:rtl w:val="0"/>
              </w:rPr>
              <w:t xml:space="preserve">This assignment is for the       1</w:t>
            </w:r>
            <w:r w:rsidDel="00000000" w:rsidR="00000000" w:rsidRPr="00000000">
              <w:rPr>
                <w:vertAlign w:val="superscript"/>
                <w:rtl w:val="0"/>
              </w:rPr>
              <w:t xml:space="preserve">st </w:t>
            </w:r>
            <w:bookmarkStart w:colFirst="0" w:colLast="0" w:name="kix.mfvpnu066aa" w:id="0"/>
            <w:bookmarkEnd w:id="0"/>
            <w:r w:rsidDel="00000000" w:rsidR="00000000" w:rsidRPr="00000000">
              <w:rPr>
                <w:rtl w:val="0"/>
              </w:rPr>
              <w:t xml:space="preserve">☐   </w:t>
            </w:r>
            <w:r w:rsidDel="00000000" w:rsidR="00000000" w:rsidRPr="00000000">
              <w:rPr>
                <w:b w:val="1"/>
                <w:rtl w:val="0"/>
              </w:rPr>
              <w:t xml:space="preserve">  </w:t>
            </w:r>
            <w:r w:rsidDel="00000000" w:rsidR="00000000" w:rsidRPr="00000000">
              <w:rPr>
                <w:rtl w:val="0"/>
              </w:rPr>
              <w:t xml:space="preserve">module of the degree</w:t>
            </w:r>
          </w:p>
        </w:tc>
      </w:tr>
      <w:tr>
        <w:trPr>
          <w:cantSplit w:val="0"/>
          <w:trHeight w:val="978" w:hRule="atLeast"/>
          <w:tblHeader w:val="0"/>
        </w:trPr>
        <w:tc>
          <w:tcPr>
            <w:gridSpan w:val="5"/>
            <w:shd w:fill="d9d9d9" w:val="clear"/>
            <w:vAlign w:val="top"/>
          </w:tcPr>
          <w:p w:rsidR="00000000" w:rsidDel="00000000" w:rsidP="00000000" w:rsidRDefault="00000000" w:rsidRPr="00000000" w14:paraId="00000031">
            <w:pPr>
              <w:spacing w:line="240" w:lineRule="auto"/>
              <w:ind w:right="34"/>
              <w:rPr/>
            </w:pPr>
            <w:r w:rsidDel="00000000" w:rsidR="00000000" w:rsidRPr="00000000">
              <w:rPr>
                <w:rtl w:val="0"/>
              </w:rPr>
              <w:t xml:space="preserve">I confirm that this is my original work and that I have adhered to the University policy on plagiarism.</w:t>
            </w:r>
          </w:p>
          <w:p w:rsidR="00000000" w:rsidDel="00000000" w:rsidP="00000000" w:rsidRDefault="00000000" w:rsidRPr="00000000" w14:paraId="00000032">
            <w:pPr>
              <w:spacing w:line="240" w:lineRule="auto"/>
              <w:ind w:right="34"/>
              <w:rPr>
                <w:rFonts w:ascii="Caveat" w:cs="Caveat" w:eastAsia="Caveat" w:hAnsi="Caveat"/>
              </w:rPr>
            </w:pPr>
            <w:r w:rsidDel="00000000" w:rsidR="00000000" w:rsidRPr="00000000">
              <w:rPr>
                <w:rtl w:val="0"/>
              </w:rPr>
              <w:t xml:space="preserve">Signed:</w:t>
            </w:r>
            <w:r w:rsidDel="00000000" w:rsidR="00000000" w:rsidRPr="00000000">
              <w:rPr>
                <w:rFonts w:ascii="Caveat" w:cs="Caveat" w:eastAsia="Caveat" w:hAnsi="Caveat"/>
                <w:rtl w:val="0"/>
              </w:rPr>
              <w:t xml:space="preserve">  Kat Azima</w:t>
            </w:r>
          </w:p>
          <w:p w:rsidR="00000000" w:rsidDel="00000000" w:rsidP="00000000" w:rsidRDefault="00000000" w:rsidRPr="00000000" w14:paraId="00000033">
            <w:pPr>
              <w:spacing w:line="240" w:lineRule="auto"/>
              <w:ind w:right="34"/>
              <w:rPr>
                <w:rFonts w:ascii="Calibri" w:cs="Calibri" w:eastAsia="Calibri" w:hAnsi="Calibri"/>
                <w:sz w:val="44"/>
                <w:szCs w:val="44"/>
              </w:rPr>
            </w:pPr>
            <w:r w:rsidDel="00000000" w:rsidR="00000000" w:rsidRPr="00000000">
              <w:rPr>
                <w:rFonts w:ascii="Calibri" w:cs="Calibri" w:eastAsia="Calibri" w:hAnsi="Calibri"/>
                <w:b w:val="1"/>
                <w:sz w:val="24"/>
                <w:szCs w:val="24"/>
                <w:rtl w:val="0"/>
              </w:rPr>
              <w:t xml:space="preserve">Email submission:if you are submitting this form via email, please tick this box </w:t>
            </w:r>
            <w:r w:rsidDel="00000000" w:rsidR="00000000" w:rsidRPr="00000000">
              <w:rPr>
                <w:rFonts w:ascii="Calibri" w:cs="Calibri" w:eastAsia="Calibri" w:hAnsi="Calibri"/>
                <w:b w:val="1"/>
                <w:sz w:val="44"/>
                <w:szCs w:val="44"/>
                <w:rtl w:val="0"/>
              </w:rPr>
              <w:t xml:space="preserve">□</w:t>
            </w:r>
            <w:r w:rsidDel="00000000" w:rsidR="00000000" w:rsidRPr="00000000">
              <w:rPr>
                <w:rtl w:val="0"/>
              </w:rPr>
            </w:r>
          </w:p>
          <w:p w:rsidR="00000000" w:rsidDel="00000000" w:rsidP="00000000" w:rsidRDefault="00000000" w:rsidRPr="00000000" w14:paraId="00000034">
            <w:pPr>
              <w:spacing w:line="240" w:lineRule="auto"/>
              <w:ind w:right="34"/>
              <w:rPr/>
            </w:pPr>
            <w:r w:rsidDel="00000000" w:rsidR="00000000" w:rsidRPr="00000000">
              <w:rPr>
                <w:rFonts w:ascii="Calibri" w:cs="Calibri" w:eastAsia="Calibri" w:hAnsi="Calibri"/>
                <w:b w:val="1"/>
                <w:sz w:val="24"/>
                <w:szCs w:val="24"/>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9">
            <w:pPr>
              <w:spacing w:line="240" w:lineRule="auto"/>
              <w:rPr>
                <w:sz w:val="24"/>
                <w:szCs w:val="24"/>
              </w:rPr>
            </w:pPr>
            <w:r w:rsidDel="00000000" w:rsidR="00000000" w:rsidRPr="00000000">
              <w:rPr>
                <w:rtl w:val="0"/>
              </w:rPr>
            </w:r>
          </w:p>
          <w:p w:rsidR="00000000" w:rsidDel="00000000" w:rsidP="00000000" w:rsidRDefault="00000000" w:rsidRPr="00000000" w14:paraId="0000003A">
            <w:pPr>
              <w:spacing w:line="240" w:lineRule="auto"/>
              <w:rPr>
                <w:sz w:val="24"/>
                <w:szCs w:val="24"/>
              </w:rPr>
            </w:pPr>
            <w:r w:rsidDel="00000000" w:rsidR="00000000" w:rsidRPr="00000000">
              <w:rPr>
                <w:b w:val="1"/>
                <w:sz w:val="24"/>
                <w:szCs w:val="24"/>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B">
                  <w:pPr>
                    <w:spacing w:line="240" w:lineRule="auto"/>
                    <w:rPr>
                      <w:sz w:val="20"/>
                      <w:szCs w:val="20"/>
                    </w:rPr>
                  </w:pPr>
                  <w:r w:rsidDel="00000000" w:rsidR="00000000" w:rsidRPr="00000000">
                    <w:rPr>
                      <w:rtl w:val="0"/>
                    </w:rPr>
                  </w:r>
                </w:p>
                <w:p w:rsidR="00000000" w:rsidDel="00000000" w:rsidP="00000000" w:rsidRDefault="00000000" w:rsidRPr="00000000" w14:paraId="0000003C">
                  <w:pPr>
                    <w:spacing w:line="240" w:lineRule="auto"/>
                    <w:rPr>
                      <w:sz w:val="20"/>
                      <w:szCs w:val="20"/>
                    </w:rPr>
                  </w:pPr>
                  <w:r w:rsidDel="00000000" w:rsidR="00000000" w:rsidRPr="00000000">
                    <w:rPr>
                      <w:sz w:val="20"/>
                      <w:szCs w:val="20"/>
                      <w:rtl w:val="0"/>
                    </w:rPr>
                    <w:t xml:space="preserve">1</w:t>
                  </w:r>
                  <w:r w:rsidDel="00000000" w:rsidR="00000000" w:rsidRPr="00000000">
                    <w:rPr>
                      <w:sz w:val="20"/>
                      <w:szCs w:val="20"/>
                      <w:vertAlign w:val="superscript"/>
                      <w:rtl w:val="0"/>
                    </w:rPr>
                    <w:t xml:space="preserve">st</w:t>
                  </w:r>
                  <w:r w:rsidDel="00000000" w:rsidR="00000000" w:rsidRPr="00000000">
                    <w:rPr>
                      <w:sz w:val="20"/>
                      <w:szCs w:val="20"/>
                      <w:rtl w:val="0"/>
                    </w:rPr>
                    <w:t xml:space="preserve"> Marker’s Provisional mark</w:t>
                  </w:r>
                </w:p>
              </w:tc>
              <w:tc>
                <w:tcPr>
                  <w:vAlign w:val="top"/>
                </w:tcPr>
                <w:p w:rsidR="00000000" w:rsidDel="00000000" w:rsidP="00000000" w:rsidRDefault="00000000" w:rsidRPr="00000000" w14:paraId="0000003D">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E">
                  <w:pPr>
                    <w:spacing w:line="240" w:lineRule="auto"/>
                    <w:rPr>
                      <w:sz w:val="20"/>
                      <w:szCs w:val="20"/>
                    </w:rPr>
                  </w:pPr>
                  <w:r w:rsidDel="00000000" w:rsidR="00000000" w:rsidRPr="00000000">
                    <w:rPr>
                      <w:rtl w:val="0"/>
                    </w:rPr>
                  </w:r>
                </w:p>
                <w:p w:rsidR="00000000" w:rsidDel="00000000" w:rsidP="00000000" w:rsidRDefault="00000000" w:rsidRPr="00000000" w14:paraId="0000003F">
                  <w:pPr>
                    <w:spacing w:line="240" w:lineRule="auto"/>
                    <w:rPr>
                      <w:sz w:val="20"/>
                      <w:szCs w:val="20"/>
                    </w:rPr>
                  </w:pPr>
                  <w:r w:rsidDel="00000000" w:rsidR="00000000" w:rsidRPr="00000000">
                    <w:rPr>
                      <w:sz w:val="20"/>
                      <w:szCs w:val="20"/>
                      <w:rtl w:val="0"/>
                    </w:rPr>
                    <w:t xml:space="preserve">2</w:t>
                  </w:r>
                  <w:r w:rsidDel="00000000" w:rsidR="00000000" w:rsidRPr="00000000">
                    <w:rPr>
                      <w:sz w:val="20"/>
                      <w:szCs w:val="20"/>
                      <w:vertAlign w:val="superscript"/>
                      <w:rtl w:val="0"/>
                    </w:rPr>
                    <w:t xml:space="preserve">nd</w:t>
                  </w:r>
                  <w:r w:rsidDel="00000000" w:rsidR="00000000" w:rsidRPr="00000000">
                    <w:rPr>
                      <w:sz w:val="20"/>
                      <w:szCs w:val="20"/>
                      <w:rtl w:val="0"/>
                    </w:rPr>
                    <w:t xml:space="preserve"> Marker’s/Moderator’s provisional mark</w:t>
                  </w:r>
                </w:p>
              </w:tc>
              <w:tc>
                <w:tcPr>
                  <w:vAlign w:val="top"/>
                </w:tcPr>
                <w:p w:rsidR="00000000" w:rsidDel="00000000" w:rsidP="00000000" w:rsidRDefault="00000000" w:rsidRPr="00000000" w14:paraId="00000040">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1">
                  <w:pPr>
                    <w:spacing w:line="240" w:lineRule="auto"/>
                    <w:rPr>
                      <w:sz w:val="20"/>
                      <w:szCs w:val="20"/>
                    </w:rPr>
                  </w:pPr>
                  <w:r w:rsidDel="00000000" w:rsidR="00000000" w:rsidRPr="00000000">
                    <w:rPr>
                      <w:rtl w:val="0"/>
                    </w:rPr>
                  </w:r>
                </w:p>
                <w:p w:rsidR="00000000" w:rsidDel="00000000" w:rsidP="00000000" w:rsidRDefault="00000000" w:rsidRPr="00000000" w14:paraId="00000042">
                  <w:pPr>
                    <w:spacing w:line="240" w:lineRule="auto"/>
                    <w:rPr>
                      <w:sz w:val="20"/>
                      <w:szCs w:val="20"/>
                    </w:rPr>
                  </w:pPr>
                  <w:r w:rsidDel="00000000" w:rsidR="00000000" w:rsidRPr="00000000">
                    <w:rPr>
                      <w:sz w:val="20"/>
                      <w:szCs w:val="20"/>
                      <w:rtl w:val="0"/>
                    </w:rPr>
                    <w:t xml:space="preserve">External Examiner’s mark (if relevant)</w:t>
                  </w:r>
                </w:p>
              </w:tc>
              <w:tc>
                <w:tcPr>
                  <w:vAlign w:val="top"/>
                </w:tcPr>
                <w:p w:rsidR="00000000" w:rsidDel="00000000" w:rsidP="00000000" w:rsidRDefault="00000000" w:rsidRPr="00000000" w14:paraId="00000043">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4">
                  <w:pPr>
                    <w:spacing w:line="240" w:lineRule="auto"/>
                    <w:rPr>
                      <w:sz w:val="20"/>
                      <w:szCs w:val="20"/>
                    </w:rPr>
                  </w:pPr>
                  <w:r w:rsidDel="00000000" w:rsidR="00000000" w:rsidRPr="00000000">
                    <w:rPr>
                      <w:rtl w:val="0"/>
                    </w:rPr>
                  </w:r>
                </w:p>
                <w:p w:rsidR="00000000" w:rsidDel="00000000" w:rsidP="00000000" w:rsidRDefault="00000000" w:rsidRPr="00000000" w14:paraId="00000045">
                  <w:pPr>
                    <w:spacing w:line="240" w:lineRule="auto"/>
                    <w:rPr>
                      <w:sz w:val="20"/>
                      <w:szCs w:val="20"/>
                    </w:rPr>
                  </w:pPr>
                  <w:r w:rsidDel="00000000" w:rsidR="00000000" w:rsidRPr="00000000">
                    <w:rPr>
                      <w:b w:val="1"/>
                      <w:sz w:val="20"/>
                      <w:szCs w:val="20"/>
                      <w:rtl w:val="0"/>
                    </w:rPr>
                    <w:t xml:space="preserve">Final Mark</w:t>
                  </w:r>
                  <w:r w:rsidDel="00000000" w:rsidR="00000000" w:rsidRPr="00000000">
                    <w:rPr>
                      <w:rtl w:val="0"/>
                    </w:rPr>
                  </w:r>
                </w:p>
                <w:p w:rsidR="00000000" w:rsidDel="00000000" w:rsidP="00000000" w:rsidRDefault="00000000" w:rsidRPr="00000000" w14:paraId="00000046">
                  <w:pPr>
                    <w:spacing w:line="240" w:lineRule="auto"/>
                    <w:rPr>
                      <w:sz w:val="20"/>
                      <w:szCs w:val="20"/>
                    </w:rPr>
                  </w:pPr>
                  <w:r w:rsidDel="00000000" w:rsidR="00000000" w:rsidRPr="00000000">
                    <w:rPr>
                      <w:rtl w:val="0"/>
                    </w:rPr>
                  </w:r>
                </w:p>
              </w:tc>
              <w:tc>
                <w:tcPr>
                  <w:vAlign w:val="top"/>
                </w:tcPr>
                <w:p w:rsidR="00000000" w:rsidDel="00000000" w:rsidP="00000000" w:rsidRDefault="00000000" w:rsidRPr="00000000" w14:paraId="00000047">
                  <w:pPr>
                    <w:spacing w:line="240" w:lineRule="auto"/>
                    <w:rPr>
                      <w:sz w:val="20"/>
                      <w:szCs w:val="20"/>
                    </w:rPr>
                  </w:pPr>
                  <w:r w:rsidDel="00000000" w:rsidR="00000000" w:rsidRPr="00000000">
                    <w:rPr>
                      <w:rtl w:val="0"/>
                    </w:rPr>
                  </w:r>
                </w:p>
              </w:tc>
            </w:tr>
          </w:tbl>
          <w:p w:rsidR="00000000" w:rsidDel="00000000" w:rsidP="00000000" w:rsidRDefault="00000000" w:rsidRPr="00000000" w14:paraId="00000048">
            <w:pPr>
              <w:spacing w:line="240" w:lineRule="auto"/>
              <w:ind w:left="142" w:right="34" w:firstLine="0"/>
              <w:rPr/>
            </w:pPr>
            <w:r w:rsidDel="00000000" w:rsidR="00000000" w:rsidRPr="00000000">
              <w:rPr>
                <w:rtl w:val="0"/>
              </w:rPr>
            </w:r>
          </w:p>
          <w:p w:rsidR="00000000" w:rsidDel="00000000" w:rsidP="00000000" w:rsidRDefault="00000000" w:rsidRPr="00000000" w14:paraId="00000049">
            <w:pPr>
              <w:spacing w:line="240" w:lineRule="auto"/>
              <w:ind w:left="142" w:right="34" w:firstLine="0"/>
              <w:rPr/>
            </w:pPr>
            <w:r w:rsidDel="00000000" w:rsidR="00000000" w:rsidRPr="00000000">
              <w:rPr>
                <w:b w:val="1"/>
                <w:rtl w:val="0"/>
              </w:rPr>
              <w:t xml:space="preserve">NB.</w:t>
            </w:r>
            <w:r w:rsidDel="00000000" w:rsidR="00000000" w:rsidRPr="00000000">
              <w:rPr>
                <w:rtl w:val="0"/>
              </w:rPr>
              <w:t xml:space="preserve">  All marks are provisional until confirmed by the Final Examination Board.</w:t>
            </w:r>
          </w:p>
          <w:p w:rsidR="00000000" w:rsidDel="00000000" w:rsidP="00000000" w:rsidRDefault="00000000" w:rsidRPr="00000000" w14:paraId="0000004A">
            <w:pPr>
              <w:spacing w:line="240" w:lineRule="auto"/>
              <w:rPr/>
            </w:pPr>
            <w:r w:rsidDel="00000000" w:rsidR="00000000" w:rsidRPr="00000000">
              <w:rPr>
                <w:rtl w:val="0"/>
              </w:rPr>
            </w:r>
          </w:p>
          <w:p w:rsidR="00000000" w:rsidDel="00000000" w:rsidP="00000000" w:rsidRDefault="00000000" w:rsidRPr="00000000" w14:paraId="0000004B">
            <w:pPr>
              <w:spacing w:line="240" w:lineRule="auto"/>
              <w:rPr/>
            </w:pPr>
            <w:r w:rsidDel="00000000" w:rsidR="00000000" w:rsidRPr="00000000">
              <w:rPr>
                <w:rtl w:val="0"/>
              </w:rPr>
            </w:r>
          </w:p>
          <w:p w:rsidR="00000000" w:rsidDel="00000000" w:rsidP="00000000" w:rsidRDefault="00000000" w:rsidRPr="00000000" w14:paraId="0000004C">
            <w:pPr>
              <w:spacing w:line="240" w:lineRule="auto"/>
              <w:rPr/>
            </w:pPr>
            <w:r w:rsidDel="00000000" w:rsidR="00000000" w:rsidRPr="00000000">
              <w:rPr>
                <w:rtl w:val="0"/>
              </w:rPr>
            </w:r>
          </w:p>
          <w:p w:rsidR="00000000" w:rsidDel="00000000" w:rsidP="00000000" w:rsidRDefault="00000000" w:rsidRPr="00000000" w14:paraId="0000004D">
            <w:pPr>
              <w:spacing w:line="240" w:lineRule="auto"/>
              <w:rPr/>
            </w:pPr>
            <w:r w:rsidDel="00000000" w:rsidR="00000000" w:rsidRPr="00000000">
              <w:rPr>
                <w:rtl w:val="0"/>
              </w:rPr>
            </w:r>
          </w:p>
          <w:p w:rsidR="00000000" w:rsidDel="00000000" w:rsidP="00000000" w:rsidRDefault="00000000" w:rsidRPr="00000000" w14:paraId="0000004E">
            <w:pPr>
              <w:spacing w:line="240" w:lineRule="auto"/>
              <w:rPr/>
            </w:pPr>
            <w:r w:rsidDel="00000000" w:rsidR="00000000" w:rsidRPr="00000000">
              <w:rPr>
                <w:rtl w:val="0"/>
              </w:rPr>
            </w:r>
          </w:p>
          <w:p w:rsidR="00000000" w:rsidDel="00000000" w:rsidP="00000000" w:rsidRDefault="00000000" w:rsidRPr="00000000" w14:paraId="0000004F">
            <w:pPr>
              <w:spacing w:line="240" w:lineRule="auto"/>
              <w:rPr/>
            </w:pPr>
            <w:r w:rsidDel="00000000" w:rsidR="00000000" w:rsidRPr="00000000">
              <w:rPr>
                <w:b w:val="1"/>
                <w:rtl w:val="0"/>
              </w:rPr>
              <w:t xml:space="preserve">For completion by Marker 1 :</w:t>
            </w:r>
            <w:r w:rsidDel="00000000" w:rsidR="00000000" w:rsidRPr="00000000">
              <w:rPr>
                <w:rtl w:val="0"/>
              </w:rPr>
            </w:r>
          </w:p>
          <w:p w:rsidR="00000000" w:rsidDel="00000000" w:rsidP="00000000" w:rsidRDefault="00000000" w:rsidRPr="00000000" w14:paraId="00000050">
            <w:pPr>
              <w:spacing w:after="280" w:before="280" w:line="240" w:lineRule="auto"/>
              <w:rPr/>
            </w:pPr>
            <w:r w:rsidDel="00000000" w:rsidR="00000000" w:rsidRPr="00000000">
              <w:rPr>
                <w:rtl w:val="0"/>
              </w:rPr>
              <w:t xml:space="preserve">Comments:</w:t>
            </w:r>
          </w:p>
          <w:p w:rsidR="00000000" w:rsidDel="00000000" w:rsidP="00000000" w:rsidRDefault="00000000" w:rsidRPr="00000000" w14:paraId="00000051">
            <w:pPr>
              <w:spacing w:before="280" w:line="240" w:lineRule="auto"/>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6">
            <w:pPr>
              <w:spacing w:line="240" w:lineRule="auto"/>
              <w:ind w:left="142" w:right="34" w:firstLine="0"/>
              <w:rPr/>
            </w:pPr>
            <w:r w:rsidDel="00000000" w:rsidR="00000000" w:rsidRPr="00000000">
              <w:rPr>
                <w:rtl w:val="0"/>
              </w:rPr>
              <w:t xml:space="preserve">Marker’s signature:</w:t>
            </w:r>
          </w:p>
        </w:tc>
        <w:tc>
          <w:tcPr>
            <w:gridSpan w:val="2"/>
            <w:vAlign w:val="top"/>
          </w:tcPr>
          <w:p w:rsidR="00000000" w:rsidDel="00000000" w:rsidP="00000000" w:rsidRDefault="00000000" w:rsidRPr="00000000" w14:paraId="00000059">
            <w:pPr>
              <w:spacing w:line="240" w:lineRule="auto"/>
              <w:ind w:left="142" w:right="34" w:firstLine="0"/>
              <w:rPr/>
            </w:pPr>
            <w:r w:rsidDel="00000000" w:rsidR="00000000" w:rsidRPr="00000000">
              <w:rPr>
                <w:rtl w:val="0"/>
              </w:rPr>
              <w:t xml:space="preserve">Date:</w:t>
            </w:r>
          </w:p>
        </w:tc>
      </w:tr>
      <w:tr>
        <w:trPr>
          <w:cantSplit w:val="0"/>
          <w:tblHeader w:val="0"/>
        </w:trPr>
        <w:tc>
          <w:tcPr>
            <w:gridSpan w:val="5"/>
            <w:vAlign w:val="top"/>
          </w:tcPr>
          <w:p w:rsidR="00000000" w:rsidDel="00000000" w:rsidP="00000000" w:rsidRDefault="00000000" w:rsidRPr="00000000" w14:paraId="0000005B">
            <w:pPr>
              <w:spacing w:line="240" w:lineRule="auto"/>
              <w:ind w:right="-334"/>
              <w:rPr/>
            </w:pPr>
            <w:r w:rsidDel="00000000" w:rsidR="00000000" w:rsidRPr="00000000">
              <w:rPr>
                <w:rtl w:val="0"/>
              </w:rPr>
            </w:r>
          </w:p>
          <w:p w:rsidR="00000000" w:rsidDel="00000000" w:rsidP="00000000" w:rsidRDefault="00000000" w:rsidRPr="00000000" w14:paraId="0000005C">
            <w:pPr>
              <w:spacing w:line="240" w:lineRule="auto"/>
              <w:ind w:right="-334"/>
              <w:rPr/>
            </w:pPr>
            <w:r w:rsidDel="00000000" w:rsidR="00000000" w:rsidRPr="00000000">
              <w:rPr>
                <w:b w:val="1"/>
                <w:rtl w:val="0"/>
              </w:rPr>
              <w:t xml:space="preserve">For completion by Marker 2/Moderator:</w:t>
            </w:r>
            <w:r w:rsidDel="00000000" w:rsidR="00000000" w:rsidRPr="00000000">
              <w:rPr>
                <w:rtl w:val="0"/>
              </w:rPr>
            </w:r>
          </w:p>
          <w:p w:rsidR="00000000" w:rsidDel="00000000" w:rsidP="00000000" w:rsidRDefault="00000000" w:rsidRPr="00000000" w14:paraId="0000005D">
            <w:pPr>
              <w:spacing w:line="240" w:lineRule="auto"/>
              <w:ind w:right="-334"/>
              <w:rPr/>
            </w:pPr>
            <w:r w:rsidDel="00000000" w:rsidR="00000000" w:rsidRPr="00000000">
              <w:rPr>
                <w:rtl w:val="0"/>
              </w:rPr>
            </w:r>
          </w:p>
          <w:p w:rsidR="00000000" w:rsidDel="00000000" w:rsidP="00000000" w:rsidRDefault="00000000" w:rsidRPr="00000000" w14:paraId="0000005E">
            <w:pPr>
              <w:spacing w:line="240" w:lineRule="auto"/>
              <w:ind w:right="-334"/>
              <w:rPr/>
            </w:pPr>
            <w:r w:rsidDel="00000000" w:rsidR="00000000" w:rsidRPr="00000000">
              <w:rPr>
                <w:rtl w:val="0"/>
              </w:rPr>
              <w:t xml:space="preserve">Comments:</w:t>
            </w:r>
          </w:p>
          <w:p w:rsidR="00000000" w:rsidDel="00000000" w:rsidP="00000000" w:rsidRDefault="00000000" w:rsidRPr="00000000" w14:paraId="0000005F">
            <w:pPr>
              <w:spacing w:line="240" w:lineRule="auto"/>
              <w:ind w:right="-334"/>
              <w:rPr/>
            </w:pPr>
            <w:r w:rsidDel="00000000" w:rsidR="00000000" w:rsidRPr="00000000">
              <w:rPr>
                <w:rtl w:val="0"/>
              </w:rPr>
            </w:r>
          </w:p>
          <w:p w:rsidR="00000000" w:rsidDel="00000000" w:rsidP="00000000" w:rsidRDefault="00000000" w:rsidRPr="00000000" w14:paraId="00000060">
            <w:pPr>
              <w:spacing w:line="240" w:lineRule="auto"/>
              <w:ind w:right="-334"/>
              <w:rPr/>
            </w:pPr>
            <w:r w:rsidDel="00000000" w:rsidR="00000000" w:rsidRPr="00000000">
              <w:rPr>
                <w:rtl w:val="0"/>
              </w:rPr>
            </w:r>
          </w:p>
          <w:p w:rsidR="00000000" w:rsidDel="00000000" w:rsidP="00000000" w:rsidRDefault="00000000" w:rsidRPr="00000000" w14:paraId="00000061">
            <w:pPr>
              <w:spacing w:line="240" w:lineRule="auto"/>
              <w:ind w:right="-334"/>
              <w:rPr/>
            </w:pPr>
            <w:r w:rsidDel="00000000" w:rsidR="00000000" w:rsidRPr="00000000">
              <w:rPr>
                <w:rtl w:val="0"/>
              </w:rPr>
            </w:r>
          </w:p>
          <w:p w:rsidR="00000000" w:rsidDel="00000000" w:rsidP="00000000" w:rsidRDefault="00000000" w:rsidRPr="00000000" w14:paraId="00000062">
            <w:pPr>
              <w:spacing w:line="240" w:lineRule="auto"/>
              <w:ind w:right="-334"/>
              <w:rPr/>
            </w:pPr>
            <w:r w:rsidDel="00000000" w:rsidR="00000000" w:rsidRPr="00000000">
              <w:rPr>
                <w:rtl w:val="0"/>
              </w:rPr>
            </w:r>
          </w:p>
          <w:p w:rsidR="00000000" w:rsidDel="00000000" w:rsidP="00000000" w:rsidRDefault="00000000" w:rsidRPr="00000000" w14:paraId="00000063">
            <w:pPr>
              <w:spacing w:line="240" w:lineRule="auto"/>
              <w:ind w:right="-334"/>
              <w:rPr/>
            </w:pPr>
            <w:r w:rsidDel="00000000" w:rsidR="00000000" w:rsidRPr="00000000">
              <w:rPr>
                <w:rtl w:val="0"/>
              </w:rPr>
            </w:r>
          </w:p>
          <w:p w:rsidR="00000000" w:rsidDel="00000000" w:rsidP="00000000" w:rsidRDefault="00000000" w:rsidRPr="00000000" w14:paraId="00000064">
            <w:pPr>
              <w:spacing w:line="240" w:lineRule="auto"/>
              <w:ind w:right="-334"/>
              <w:rPr/>
            </w:pPr>
            <w:r w:rsidDel="00000000" w:rsidR="00000000" w:rsidRPr="00000000">
              <w:rPr>
                <w:rtl w:val="0"/>
              </w:rPr>
            </w:r>
          </w:p>
          <w:p w:rsidR="00000000" w:rsidDel="00000000" w:rsidP="00000000" w:rsidRDefault="00000000" w:rsidRPr="00000000" w14:paraId="00000065">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A">
            <w:pPr>
              <w:spacing w:line="240" w:lineRule="auto"/>
              <w:ind w:right="-334"/>
              <w:rPr/>
            </w:pPr>
            <w:r w:rsidDel="00000000" w:rsidR="00000000" w:rsidRPr="00000000">
              <w:rPr>
                <w:rtl w:val="0"/>
              </w:rPr>
              <w:t xml:space="preserve">Marker’s Signature:</w:t>
            </w:r>
          </w:p>
        </w:tc>
        <w:tc>
          <w:tcPr>
            <w:gridSpan w:val="3"/>
            <w:vAlign w:val="top"/>
          </w:tcPr>
          <w:p w:rsidR="00000000" w:rsidDel="00000000" w:rsidP="00000000" w:rsidRDefault="00000000" w:rsidRPr="00000000" w14:paraId="0000006C">
            <w:pPr>
              <w:spacing w:line="240" w:lineRule="auto"/>
              <w:ind w:right="-334"/>
              <w:rPr/>
            </w:pPr>
            <w:r w:rsidDel="00000000" w:rsidR="00000000" w:rsidRPr="00000000">
              <w:rPr>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6F">
            <w:pPr>
              <w:spacing w:line="240" w:lineRule="auto"/>
              <w:rPr/>
            </w:pPr>
            <w:r w:rsidDel="00000000" w:rsidR="00000000" w:rsidRPr="00000000">
              <w:rPr>
                <w:b w:val="1"/>
                <w:rtl w:val="0"/>
              </w:rPr>
              <w:t xml:space="preserve">External Examiner’s comments (if relevant)</w:t>
            </w:r>
            <w:r w:rsidDel="00000000" w:rsidR="00000000" w:rsidRPr="00000000">
              <w:rPr>
                <w:rtl w:val="0"/>
              </w:rPr>
            </w:r>
          </w:p>
          <w:p w:rsidR="00000000" w:rsidDel="00000000" w:rsidP="00000000" w:rsidRDefault="00000000" w:rsidRPr="00000000" w14:paraId="00000070">
            <w:pPr>
              <w:spacing w:line="240" w:lineRule="auto"/>
              <w:ind w:right="-334"/>
              <w:rPr/>
            </w:pPr>
            <w:r w:rsidDel="00000000" w:rsidR="00000000" w:rsidRPr="00000000">
              <w:rPr>
                <w:rtl w:val="0"/>
              </w:rPr>
            </w:r>
          </w:p>
          <w:p w:rsidR="00000000" w:rsidDel="00000000" w:rsidP="00000000" w:rsidRDefault="00000000" w:rsidRPr="00000000" w14:paraId="00000071">
            <w:pPr>
              <w:spacing w:line="240" w:lineRule="auto"/>
              <w:ind w:right="-334"/>
              <w:rPr/>
            </w:pPr>
            <w:r w:rsidDel="00000000" w:rsidR="00000000" w:rsidRPr="00000000">
              <w:rPr>
                <w:rtl w:val="0"/>
              </w:rPr>
            </w:r>
          </w:p>
          <w:p w:rsidR="00000000" w:rsidDel="00000000" w:rsidP="00000000" w:rsidRDefault="00000000" w:rsidRPr="00000000" w14:paraId="00000072">
            <w:pPr>
              <w:spacing w:line="240" w:lineRule="auto"/>
              <w:ind w:right="-334"/>
              <w:rPr/>
            </w:pPr>
            <w:r w:rsidDel="00000000" w:rsidR="00000000" w:rsidRPr="00000000">
              <w:rPr>
                <w:rtl w:val="0"/>
              </w:rPr>
            </w:r>
          </w:p>
          <w:p w:rsidR="00000000" w:rsidDel="00000000" w:rsidP="00000000" w:rsidRDefault="00000000" w:rsidRPr="00000000" w14:paraId="00000073">
            <w:pPr>
              <w:spacing w:line="240" w:lineRule="auto"/>
              <w:ind w:right="-334"/>
              <w:rPr/>
            </w:pPr>
            <w:r w:rsidDel="00000000" w:rsidR="00000000" w:rsidRPr="00000000">
              <w:rPr>
                <w:rtl w:val="0"/>
              </w:rPr>
            </w:r>
          </w:p>
          <w:p w:rsidR="00000000" w:rsidDel="00000000" w:rsidP="00000000" w:rsidRDefault="00000000" w:rsidRPr="00000000" w14:paraId="00000074">
            <w:pPr>
              <w:spacing w:line="240" w:lineRule="auto"/>
              <w:ind w:right="-334"/>
              <w:rPr/>
            </w:pPr>
            <w:r w:rsidDel="00000000" w:rsidR="00000000" w:rsidRPr="00000000">
              <w:rPr>
                <w:rtl w:val="0"/>
              </w:rPr>
            </w:r>
          </w:p>
          <w:p w:rsidR="00000000" w:rsidDel="00000000" w:rsidP="00000000" w:rsidRDefault="00000000" w:rsidRPr="00000000" w14:paraId="00000075">
            <w:pPr>
              <w:spacing w:line="240" w:lineRule="auto"/>
              <w:ind w:right="-334"/>
              <w:rPr/>
            </w:pPr>
            <w:r w:rsidDel="00000000" w:rsidR="00000000" w:rsidRPr="00000000">
              <w:rPr>
                <w:rtl w:val="0"/>
              </w:rPr>
            </w:r>
          </w:p>
          <w:p w:rsidR="00000000" w:rsidDel="00000000" w:rsidP="00000000" w:rsidRDefault="00000000" w:rsidRPr="00000000" w14:paraId="00000076">
            <w:pPr>
              <w:spacing w:line="240" w:lineRule="auto"/>
              <w:ind w:right="-334"/>
              <w:rPr/>
            </w:pPr>
            <w:r w:rsidDel="00000000" w:rsidR="00000000" w:rsidRPr="00000000">
              <w:rPr>
                <w:rtl w:val="0"/>
              </w:rPr>
            </w:r>
          </w:p>
          <w:p w:rsidR="00000000" w:rsidDel="00000000" w:rsidP="00000000" w:rsidRDefault="00000000" w:rsidRPr="00000000" w14:paraId="00000077">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7C">
            <w:pPr>
              <w:spacing w:line="240" w:lineRule="auto"/>
              <w:rPr/>
            </w:pPr>
            <w:r w:rsidDel="00000000" w:rsidR="00000000" w:rsidRPr="00000000">
              <w:rPr>
                <w:rtl w:val="0"/>
              </w:rPr>
              <w:t xml:space="preserve">External Examiner’s Signature:</w:t>
            </w:r>
          </w:p>
        </w:tc>
        <w:tc>
          <w:tcPr>
            <w:gridSpan w:val="3"/>
            <w:vAlign w:val="top"/>
          </w:tcPr>
          <w:p w:rsidR="00000000" w:rsidDel="00000000" w:rsidP="00000000" w:rsidRDefault="00000000" w:rsidRPr="00000000" w14:paraId="0000007E">
            <w:pPr>
              <w:spacing w:line="240" w:lineRule="auto"/>
              <w:rPr/>
            </w:pPr>
            <w:r w:rsidDel="00000000" w:rsidR="00000000" w:rsidRPr="00000000">
              <w:rPr>
                <w:rtl w:val="0"/>
              </w:rPr>
              <w:t xml:space="preserve">Date:</w:t>
            </w:r>
          </w:p>
        </w:tc>
      </w:tr>
    </w:tbl>
    <w:p w:rsidR="00000000" w:rsidDel="00000000" w:rsidP="00000000" w:rsidRDefault="00000000" w:rsidRPr="00000000" w14:paraId="00000081">
      <w:pPr>
        <w:ind w:left="2160" w:firstLine="720"/>
        <w:jc w:val="left"/>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highlight w:val="white"/>
          <w:rtl w:val="0"/>
        </w:rPr>
        <w:t xml:space="preserve">Katherine Azima – HPCA7008– Essay 1</w:t>
      </w:r>
    </w:p>
    <w:p w:rsidR="00000000" w:rsidDel="00000000" w:rsidP="00000000" w:rsidRDefault="00000000" w:rsidRPr="00000000" w14:paraId="00000082">
      <w:pPr>
        <w:jc w:val="center"/>
        <w:rPr>
          <w:rFonts w:ascii="Calibri" w:cs="Calibri" w:eastAsia="Calibri" w:hAnsi="Calibri"/>
          <w:b w:val="1"/>
          <w:sz w:val="24"/>
          <w:szCs w:val="24"/>
          <w:highlight w:val="white"/>
        </w:rPr>
      </w:pPr>
      <w:r w:rsidDel="00000000" w:rsidR="00000000" w:rsidRPr="00000000">
        <w:rPr>
          <w:rtl w:val="0"/>
        </w:rPr>
      </w:r>
    </w:p>
    <w:p w:rsidR="00000000" w:rsidDel="00000000" w:rsidP="00000000" w:rsidRDefault="00000000" w:rsidRPr="00000000" w14:paraId="00000083">
      <w:pPr>
        <w:jc w:val="center"/>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highlight w:val="white"/>
          <w:rtl w:val="0"/>
        </w:rPr>
        <w:t xml:space="preserve">A Critical Comparison of Two JSTOR Papers’</w:t>
      </w:r>
    </w:p>
    <w:p w:rsidR="00000000" w:rsidDel="00000000" w:rsidP="00000000" w:rsidRDefault="00000000" w:rsidRPr="00000000" w14:paraId="00000084">
      <w:pPr>
        <w:jc w:val="center"/>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highlight w:val="white"/>
          <w:rtl w:val="0"/>
        </w:rPr>
        <w:t xml:space="preserve">Word Count: 1879</w:t>
      </w:r>
    </w:p>
    <w:p w:rsidR="00000000" w:rsidDel="00000000" w:rsidP="00000000" w:rsidRDefault="00000000" w:rsidRPr="00000000" w14:paraId="00000085">
      <w:pPr>
        <w:jc w:val="center"/>
        <w:rPr>
          <w:rFonts w:ascii="Calibri" w:cs="Calibri" w:eastAsia="Calibri" w:hAnsi="Calibri"/>
          <w:i w:val="1"/>
          <w:color w:val="202122"/>
          <w:sz w:val="24"/>
          <w:szCs w:val="24"/>
          <w:highlight w:val="white"/>
        </w:rPr>
      </w:pPr>
      <w:r w:rsidDel="00000000" w:rsidR="00000000" w:rsidRPr="00000000">
        <w:rPr>
          <w:rtl w:val="0"/>
        </w:rPr>
      </w:r>
    </w:p>
    <w:p w:rsidR="00000000" w:rsidDel="00000000" w:rsidP="00000000" w:rsidRDefault="00000000" w:rsidRPr="00000000" w14:paraId="00000086">
      <w:pPr>
        <w:ind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essay critically compares and contrasts two JSTOR papers. The two papers chosen are Raymond Head, ‘Holst - Astrology and Modernism in ‘The Planets’, Tempo, New Series, nº187 (Dec. 1993), pp.15-22</w:t>
      </w:r>
      <w:r w:rsidDel="00000000" w:rsidR="00000000" w:rsidRPr="00000000">
        <w:rPr>
          <w:rFonts w:ascii="Calibri" w:cs="Calibri" w:eastAsia="Calibri" w:hAnsi="Calibri"/>
          <w:i w:val="1"/>
          <w:sz w:val="24"/>
          <w:szCs w:val="24"/>
          <w:rtl w:val="0"/>
        </w:rPr>
        <w:t xml:space="preserve"> </w:t>
      </w:r>
      <w:r w:rsidDel="00000000" w:rsidR="00000000" w:rsidRPr="00000000">
        <w:rPr>
          <w:rFonts w:ascii="Calibri" w:cs="Calibri" w:eastAsia="Calibri" w:hAnsi="Calibri"/>
          <w:sz w:val="24"/>
          <w:szCs w:val="24"/>
          <w:rtl w:val="0"/>
        </w:rPr>
        <w:t xml:space="preserve">and of Eleanor R. Long, ‘How the Dog Got Its Days: A Skeptical Inquiry into Traditional Star and Weather Lore’, Western Folklore, 43 (1984), pp.256-264. </w:t>
      </w:r>
    </w:p>
    <w:p w:rsidR="00000000" w:rsidDel="00000000" w:rsidP="00000000" w:rsidRDefault="00000000" w:rsidRPr="00000000" w14:paraId="00000087">
      <w:pPr>
        <w:ind w:firstLine="720"/>
        <w:rPr>
          <w:rFonts w:ascii="Calibri" w:cs="Calibri" w:eastAsia="Calibri" w:hAnsi="Calibri"/>
          <w:color w:val="202122"/>
          <w:sz w:val="24"/>
          <w:szCs w:val="24"/>
          <w:highlight w:val="white"/>
        </w:rPr>
      </w:pPr>
      <w:r w:rsidDel="00000000" w:rsidR="00000000" w:rsidRPr="00000000">
        <w:rPr>
          <w:rFonts w:ascii="Calibri" w:cs="Calibri" w:eastAsia="Calibri" w:hAnsi="Calibri"/>
          <w:sz w:val="24"/>
          <w:szCs w:val="24"/>
          <w:rtl w:val="0"/>
        </w:rPr>
        <w:t xml:space="preserve">From a macro perspective both papers are an investigation into cultural astronomy. As British astronomer and scholar Clive Ruggles explains, ‘the study of cultural astronomies is concerned with the diversities of ways in which cultures, both ancient and modern, perceive celestial objects and integrate them into their view of the world.’</w:t>
      </w:r>
      <w:r w:rsidDel="00000000" w:rsidR="00000000" w:rsidRPr="00000000">
        <w:rPr>
          <w:rFonts w:ascii="Calibri" w:cs="Calibri" w:eastAsia="Calibri" w:hAnsi="Calibri"/>
          <w:sz w:val="24"/>
          <w:szCs w:val="24"/>
          <w:vertAlign w:val="superscript"/>
        </w:rPr>
        <w:footnoteReference w:customMarkFollows="0" w:id="0"/>
      </w:r>
      <w:r w:rsidDel="00000000" w:rsidR="00000000" w:rsidRPr="00000000">
        <w:rPr>
          <w:rFonts w:ascii="Calibri" w:cs="Calibri" w:eastAsia="Calibri" w:hAnsi="Calibri"/>
          <w:sz w:val="24"/>
          <w:szCs w:val="24"/>
          <w:rtl w:val="0"/>
        </w:rPr>
        <w:t xml:space="preserve"> In his paper,  </w:t>
      </w:r>
      <w:r w:rsidDel="00000000" w:rsidR="00000000" w:rsidRPr="00000000">
        <w:rPr>
          <w:rFonts w:ascii="Calibri" w:cs="Calibri" w:eastAsia="Calibri" w:hAnsi="Calibri"/>
          <w:color w:val="202122"/>
          <w:sz w:val="24"/>
          <w:szCs w:val="24"/>
          <w:highlight w:val="white"/>
          <w:rtl w:val="0"/>
        </w:rPr>
        <w:t xml:space="preserve">Raymond Head examines the influence of Modernism and Astrology in relation to 20th century English composer Gustav Holst’s (1874-1934) seven movement orchestral piece, ‘The Planets’. In her paper, Eleanor R. Long provides a ‘skeptical inquiry’ into how the term “dog days” became known in popular tradition with the ‘aberrations and tabus’</w:t>
      </w:r>
      <w:r w:rsidDel="00000000" w:rsidR="00000000" w:rsidRPr="00000000">
        <w:rPr>
          <w:rFonts w:ascii="Calibri" w:cs="Calibri" w:eastAsia="Calibri" w:hAnsi="Calibri"/>
          <w:color w:val="202122"/>
          <w:sz w:val="24"/>
          <w:szCs w:val="24"/>
          <w:highlight w:val="white"/>
          <w:vertAlign w:val="superscript"/>
        </w:rPr>
        <w:footnoteReference w:customMarkFollows="0" w:id="1"/>
      </w:r>
      <w:r w:rsidDel="00000000" w:rsidR="00000000" w:rsidRPr="00000000">
        <w:rPr>
          <w:rFonts w:ascii="Calibri" w:cs="Calibri" w:eastAsia="Calibri" w:hAnsi="Calibri"/>
          <w:color w:val="202122"/>
          <w:sz w:val="24"/>
          <w:szCs w:val="24"/>
          <w:highlight w:val="white"/>
          <w:rtl w:val="0"/>
        </w:rPr>
        <w:t xml:space="preserve"> during the period following the ascendancy of the star Sirius (Canis Major). </w:t>
      </w:r>
    </w:p>
    <w:p w:rsidR="00000000" w:rsidDel="00000000" w:rsidP="00000000" w:rsidRDefault="00000000" w:rsidRPr="00000000" w14:paraId="00000088">
      <w:pPr>
        <w:ind w:firstLine="720"/>
        <w:rPr>
          <w:rFonts w:ascii="Calibri" w:cs="Calibri" w:eastAsia="Calibri" w:hAnsi="Calibri"/>
          <w:sz w:val="24"/>
          <w:szCs w:val="24"/>
        </w:rPr>
      </w:pPr>
      <w:r w:rsidDel="00000000" w:rsidR="00000000" w:rsidRPr="00000000">
        <w:rPr>
          <w:rFonts w:ascii="Calibri" w:cs="Calibri" w:eastAsia="Calibri" w:hAnsi="Calibri"/>
          <w:color w:val="202122"/>
          <w:sz w:val="24"/>
          <w:szCs w:val="24"/>
          <w:highlight w:val="white"/>
          <w:rtl w:val="0"/>
        </w:rPr>
        <w:t xml:space="preserve">It is helpful to ground the papers in their respective contexts. Head’s paper was published in 1993 in the </w:t>
      </w:r>
      <w:r w:rsidDel="00000000" w:rsidR="00000000" w:rsidRPr="00000000">
        <w:rPr>
          <w:rFonts w:ascii="Calibri" w:cs="Calibri" w:eastAsia="Calibri" w:hAnsi="Calibri"/>
          <w:sz w:val="24"/>
          <w:szCs w:val="24"/>
          <w:highlight w:val="white"/>
          <w:rtl w:val="0"/>
        </w:rPr>
        <w:t xml:space="preserve">English peer reviewed journal ‘Tempo’ by a respected scholarly publisher, Cambridge University Press. ‘Tempo’ is a 20th-century contemporary concert music journal featuring scholarly articles often illustrated with music examples and explores the work of composers throughout the world in publication since 1939.</w:t>
      </w:r>
      <w:r w:rsidDel="00000000" w:rsidR="00000000" w:rsidRPr="00000000">
        <w:rPr>
          <w:rFonts w:ascii="Calibri" w:cs="Calibri" w:eastAsia="Calibri" w:hAnsi="Calibri"/>
          <w:sz w:val="24"/>
          <w:szCs w:val="24"/>
          <w:highlight w:val="white"/>
          <w:vertAlign w:val="superscript"/>
        </w:rPr>
        <w:footnoteReference w:customMarkFollows="0" w:id="2"/>
      </w:r>
      <w:r w:rsidDel="00000000" w:rsidR="00000000" w:rsidRPr="00000000">
        <w:rPr>
          <w:rFonts w:ascii="Calibri" w:cs="Calibri" w:eastAsia="Calibri" w:hAnsi="Calibri"/>
          <w:sz w:val="24"/>
          <w:szCs w:val="24"/>
          <w:highlight w:val="white"/>
          <w:rtl w:val="0"/>
        </w:rPr>
        <w:t xml:space="preserve"> </w:t>
      </w:r>
      <w:r w:rsidDel="00000000" w:rsidR="00000000" w:rsidRPr="00000000">
        <w:rPr>
          <w:rFonts w:ascii="Calibri" w:cs="Calibri" w:eastAsia="Calibri" w:hAnsi="Calibri"/>
          <w:color w:val="202122"/>
          <w:sz w:val="24"/>
          <w:szCs w:val="24"/>
          <w:highlight w:val="white"/>
          <w:rtl w:val="0"/>
        </w:rPr>
        <w:t xml:space="preserve"> Similar to Head’s paper, Long’s paper was also published in a respected scholarly </w:t>
      </w:r>
      <w:r w:rsidDel="00000000" w:rsidR="00000000" w:rsidRPr="00000000">
        <w:rPr>
          <w:rFonts w:ascii="Calibri" w:cs="Calibri" w:eastAsia="Calibri" w:hAnsi="Calibri"/>
          <w:sz w:val="24"/>
          <w:szCs w:val="24"/>
          <w:highlight w:val="white"/>
          <w:rtl w:val="0"/>
        </w:rPr>
        <w:t xml:space="preserve">journal. Long’s paper was featured in the Journal ‘Western Folklore’ published by the </w:t>
      </w:r>
      <w:r w:rsidDel="00000000" w:rsidR="00000000" w:rsidRPr="00000000">
        <w:rPr>
          <w:rFonts w:ascii="Calibri" w:cs="Calibri" w:eastAsia="Calibri" w:hAnsi="Calibri"/>
          <w:i w:val="1"/>
          <w:sz w:val="24"/>
          <w:szCs w:val="24"/>
          <w:highlight w:val="white"/>
          <w:rtl w:val="0"/>
        </w:rPr>
        <w:t xml:space="preserve">Western States Folklore Society</w:t>
      </w:r>
      <w:r w:rsidDel="00000000" w:rsidR="00000000" w:rsidRPr="00000000">
        <w:rPr>
          <w:rFonts w:ascii="Calibri" w:cs="Calibri" w:eastAsia="Calibri" w:hAnsi="Calibri"/>
          <w:sz w:val="24"/>
          <w:szCs w:val="24"/>
          <w:highlight w:val="white"/>
          <w:rtl w:val="0"/>
        </w:rPr>
        <w:t xml:space="preserve">, in publication since 1942. According to the journal description, the papers featured in the journal analyse regional, national, and international folklore and customs as well as focusing on the development and critique of folklore theory.</w:t>
      </w:r>
      <w:r w:rsidDel="00000000" w:rsidR="00000000" w:rsidRPr="00000000">
        <w:rPr>
          <w:rFonts w:ascii="Calibri" w:cs="Calibri" w:eastAsia="Calibri" w:hAnsi="Calibri"/>
          <w:sz w:val="24"/>
          <w:szCs w:val="24"/>
          <w:highlight w:val="white"/>
          <w:vertAlign w:val="superscript"/>
        </w:rPr>
        <w:footnoteReference w:customMarkFollows="0" w:id="3"/>
      </w:r>
      <w:r w:rsidDel="00000000" w:rsidR="00000000" w:rsidRPr="00000000">
        <w:rPr>
          <w:rFonts w:ascii="Calibri" w:cs="Calibri" w:eastAsia="Calibri" w:hAnsi="Calibri"/>
          <w:sz w:val="24"/>
          <w:szCs w:val="24"/>
          <w:highlight w:val="white"/>
          <w:rtl w:val="0"/>
        </w:rPr>
        <w:t xml:space="preserve">  </w:t>
      </w:r>
      <w:r w:rsidDel="00000000" w:rsidR="00000000" w:rsidRPr="00000000">
        <w:rPr>
          <w:rtl w:val="0"/>
        </w:rPr>
      </w:r>
    </w:p>
    <w:p w:rsidR="00000000" w:rsidDel="00000000" w:rsidP="00000000" w:rsidRDefault="00000000" w:rsidRPr="00000000" w14:paraId="00000089">
      <w:pPr>
        <w:ind w:left="0" w:firstLine="720"/>
        <w:rPr>
          <w:rFonts w:ascii="Calibri" w:cs="Calibri" w:eastAsia="Calibri" w:hAnsi="Calibri"/>
          <w:sz w:val="24"/>
          <w:szCs w:val="24"/>
          <w:highlight w:val="white"/>
        </w:rPr>
      </w:pPr>
      <w:r w:rsidDel="00000000" w:rsidR="00000000" w:rsidRPr="00000000">
        <w:rPr>
          <w:rFonts w:ascii="Calibri" w:cs="Calibri" w:eastAsia="Calibri" w:hAnsi="Calibri"/>
          <w:sz w:val="24"/>
          <w:szCs w:val="24"/>
          <w:rtl w:val="0"/>
        </w:rPr>
        <w:t xml:space="preserve">The personal biographical context of the authors is also important to highlight as it can inform their position on the subject matter and potential biases. Head was born in 1948 and currently lives in Oxfordshire, UK. Like Holst, Head is a British composer and teacher of piano and voice. Head is also a scholar of Holst.</w:t>
      </w:r>
      <w:r w:rsidDel="00000000" w:rsidR="00000000" w:rsidRPr="00000000">
        <w:rPr>
          <w:rFonts w:ascii="Calibri" w:cs="Calibri" w:eastAsia="Calibri" w:hAnsi="Calibri"/>
          <w:sz w:val="24"/>
          <w:szCs w:val="24"/>
          <w:vertAlign w:val="superscript"/>
        </w:rPr>
        <w:footnoteReference w:customMarkFollows="0" w:id="4"/>
      </w:r>
      <w:r w:rsidDel="00000000" w:rsidR="00000000" w:rsidRPr="00000000">
        <w:rPr>
          <w:rFonts w:ascii="Calibri" w:cs="Calibri" w:eastAsia="Calibri" w:hAnsi="Calibri"/>
          <w:sz w:val="24"/>
          <w:szCs w:val="24"/>
          <w:rtl w:val="0"/>
        </w:rPr>
        <w:t xml:space="preserve"> Head’s intention was to show how Holst’s ‘understanding of astrology, his friendships of the time, and his Theosophical upbringing’</w:t>
      </w:r>
      <w:r w:rsidDel="00000000" w:rsidR="00000000" w:rsidRPr="00000000">
        <w:rPr>
          <w:rFonts w:ascii="Calibri" w:cs="Calibri" w:eastAsia="Calibri" w:hAnsi="Calibri"/>
          <w:sz w:val="24"/>
          <w:szCs w:val="24"/>
          <w:vertAlign w:val="superscript"/>
        </w:rPr>
        <w:footnoteReference w:customMarkFollows="0" w:id="5"/>
      </w:r>
      <w:r w:rsidDel="00000000" w:rsidR="00000000" w:rsidRPr="00000000">
        <w:rPr>
          <w:rFonts w:ascii="Calibri" w:cs="Calibri" w:eastAsia="Calibri" w:hAnsi="Calibri"/>
          <w:sz w:val="24"/>
          <w:szCs w:val="24"/>
          <w:rtl w:val="0"/>
        </w:rPr>
        <w:t xml:space="preserve"> influenced the composition of ‘The Planets’. Head is connected with the Indian philosophical movement he speaks of made evident when he says in his biography on his personal website that he was disillusioned with the path of contemporary music and began an investigation into Indian influences on Western culture which was a long time interest of his. </w:t>
      </w:r>
      <w:r w:rsidDel="00000000" w:rsidR="00000000" w:rsidRPr="00000000">
        <w:rPr>
          <w:rFonts w:ascii="Calibri" w:cs="Calibri" w:eastAsia="Calibri" w:hAnsi="Calibri"/>
          <w:sz w:val="24"/>
          <w:szCs w:val="24"/>
          <w:rtl w:val="0"/>
        </w:rPr>
        <w:t xml:space="preserve">This he said led to post-graduate work at the Royal College of Art, London, travel to the United States on a British Academy scholarship and a short-stay Yale Fellowship.</w:t>
      </w:r>
      <w:r w:rsidDel="00000000" w:rsidR="00000000" w:rsidRPr="00000000">
        <w:rPr>
          <w:rFonts w:ascii="Calibri" w:cs="Calibri" w:eastAsia="Calibri" w:hAnsi="Calibri"/>
          <w:sz w:val="24"/>
          <w:szCs w:val="24"/>
          <w:vertAlign w:val="superscript"/>
        </w:rPr>
        <w:footnoteReference w:customMarkFollows="0" w:id="6"/>
      </w:r>
      <w:r w:rsidDel="00000000" w:rsidR="00000000" w:rsidRPr="00000000">
        <w:rPr>
          <w:rFonts w:ascii="Calibri" w:cs="Calibri" w:eastAsia="Calibri" w:hAnsi="Calibri"/>
          <w:sz w:val="24"/>
          <w:szCs w:val="24"/>
          <w:rtl w:val="0"/>
        </w:rPr>
        <w:t xml:space="preserve"> In 1986 he published a book titled </w:t>
      </w:r>
      <w:r w:rsidDel="00000000" w:rsidR="00000000" w:rsidRPr="00000000">
        <w:rPr>
          <w:rFonts w:ascii="Calibri" w:cs="Calibri" w:eastAsia="Calibri" w:hAnsi="Calibri"/>
          <w:i w:val="1"/>
          <w:sz w:val="24"/>
          <w:szCs w:val="24"/>
          <w:rtl w:val="0"/>
        </w:rPr>
        <w:t xml:space="preserve">The Indian Style</w:t>
      </w:r>
      <w:r w:rsidDel="00000000" w:rsidR="00000000" w:rsidRPr="00000000">
        <w:rPr>
          <w:rFonts w:ascii="Calibri" w:cs="Calibri" w:eastAsia="Calibri" w:hAnsi="Calibri"/>
          <w:sz w:val="24"/>
          <w:szCs w:val="24"/>
          <w:vertAlign w:val="superscript"/>
        </w:rPr>
        <w:footnoteReference w:customMarkFollows="0" w:id="7"/>
      </w:r>
      <w:r w:rsidDel="00000000" w:rsidR="00000000" w:rsidRPr="00000000">
        <w:rPr>
          <w:rFonts w:ascii="Calibri" w:cs="Calibri" w:eastAsia="Calibri" w:hAnsi="Calibri"/>
          <w:sz w:val="24"/>
          <w:szCs w:val="24"/>
          <w:rtl w:val="0"/>
        </w:rPr>
        <w:t xml:space="preserve"> which traces the influence of Indian influence of art and architecture on the West.</w:t>
      </w:r>
      <w:r w:rsidDel="00000000" w:rsidR="00000000" w:rsidRPr="00000000">
        <w:rPr>
          <w:rFonts w:ascii="Calibri" w:cs="Calibri" w:eastAsia="Calibri" w:hAnsi="Calibri"/>
          <w:sz w:val="24"/>
          <w:szCs w:val="24"/>
          <w:vertAlign w:val="superscript"/>
        </w:rPr>
        <w:footnoteReference w:customMarkFollows="0" w:id="8"/>
      </w:r>
      <w:r w:rsidDel="00000000" w:rsidR="00000000" w:rsidRPr="00000000">
        <w:rPr>
          <w:rFonts w:ascii="Calibri" w:cs="Calibri" w:eastAsia="Calibri" w:hAnsi="Calibri"/>
          <w:sz w:val="24"/>
          <w:szCs w:val="24"/>
          <w:rtl w:val="0"/>
        </w:rPr>
        <w:t xml:space="preserve"> As he further states on his personal website, he is a musical adviser to the Holst Birthplace Museum in Cheltenham, Gloucestershire. He received a Holst Foundation Award 1984 to pursue original work on Holst and was a Trustee of the Holst Birthplace Museum from 2003 to 2006. On April 4th 2008 Raymond's Fanfare for Gustav Holst was played at the unveiling of Holst's Statue in Cheltenham.</w:t>
      </w:r>
      <w:r w:rsidDel="00000000" w:rsidR="00000000" w:rsidRPr="00000000">
        <w:rPr>
          <w:rFonts w:ascii="Calibri" w:cs="Calibri" w:eastAsia="Calibri" w:hAnsi="Calibri"/>
          <w:sz w:val="24"/>
          <w:szCs w:val="24"/>
          <w:vertAlign w:val="superscript"/>
        </w:rPr>
        <w:footnoteReference w:customMarkFollows="0" w:id="9"/>
      </w:r>
      <w:r w:rsidDel="00000000" w:rsidR="00000000" w:rsidRPr="00000000">
        <w:rPr>
          <w:rFonts w:ascii="Calibri" w:cs="Calibri" w:eastAsia="Calibri" w:hAnsi="Calibri"/>
          <w:sz w:val="24"/>
          <w:szCs w:val="24"/>
          <w:rtl w:val="0"/>
        </w:rPr>
        <w:t xml:space="preserve"> These connections all indicate a strong and intimate connection and interest in Gustav Holst on a personal level and in regards to his musical approach and influences.</w:t>
      </w:r>
      <w:r w:rsidDel="00000000" w:rsidR="00000000" w:rsidRPr="00000000">
        <w:rPr>
          <w:rFonts w:ascii="Calibri" w:cs="Calibri" w:eastAsia="Calibri" w:hAnsi="Calibri"/>
          <w:sz w:val="24"/>
          <w:szCs w:val="24"/>
          <w:highlight w:val="white"/>
          <w:rtl w:val="0"/>
        </w:rPr>
        <w:t xml:space="preserve"> The intended audience of the paper can be deduced from the subscribers of the journal which include ‘</w:t>
      </w:r>
      <w:r w:rsidDel="00000000" w:rsidR="00000000" w:rsidRPr="00000000">
        <w:rPr>
          <w:rFonts w:ascii="Calibri" w:cs="Calibri" w:eastAsia="Calibri" w:hAnsi="Calibri"/>
          <w:sz w:val="24"/>
          <w:szCs w:val="24"/>
          <w:highlight w:val="white"/>
          <w:rtl w:val="0"/>
        </w:rPr>
        <w:t xml:space="preserve">musicians, music journalists, researchers and teachers in music, composers and performers, music librarians, music historians, critics, listeners and concert goers</w:t>
      </w:r>
      <w:r w:rsidDel="00000000" w:rsidR="00000000" w:rsidRPr="00000000">
        <w:rPr>
          <w:rFonts w:ascii="Calibri" w:cs="Calibri" w:eastAsia="Calibri" w:hAnsi="Calibri"/>
          <w:sz w:val="24"/>
          <w:szCs w:val="24"/>
          <w:highlight w:val="white"/>
          <w:rtl w:val="0"/>
        </w:rPr>
        <w:t xml:space="preserve">’.</w:t>
      </w:r>
      <w:r w:rsidDel="00000000" w:rsidR="00000000" w:rsidRPr="00000000">
        <w:rPr>
          <w:rFonts w:ascii="Calibri" w:cs="Calibri" w:eastAsia="Calibri" w:hAnsi="Calibri"/>
          <w:sz w:val="24"/>
          <w:szCs w:val="24"/>
          <w:highlight w:val="white"/>
          <w:vertAlign w:val="superscript"/>
        </w:rPr>
        <w:footnoteReference w:customMarkFollows="0" w:id="10"/>
      </w:r>
      <w:r w:rsidDel="00000000" w:rsidR="00000000" w:rsidRPr="00000000">
        <w:rPr>
          <w:rFonts w:ascii="Calibri" w:cs="Calibri" w:eastAsia="Calibri" w:hAnsi="Calibri"/>
          <w:sz w:val="24"/>
          <w:szCs w:val="24"/>
          <w:highlight w:val="white"/>
          <w:rtl w:val="0"/>
        </w:rPr>
        <w:t xml:space="preserve">  The audience encompasses people who are deeply ingrained in the enjoyment, development, history and critique of music. </w:t>
      </w:r>
    </w:p>
    <w:p w:rsidR="00000000" w:rsidDel="00000000" w:rsidP="00000000" w:rsidRDefault="00000000" w:rsidRPr="00000000" w14:paraId="0000008A">
      <w:pPr>
        <w:ind w:firstLine="720"/>
        <w:rPr>
          <w:rFonts w:ascii="Calibri" w:cs="Calibri" w:eastAsia="Calibri" w:hAnsi="Calibri"/>
          <w:color w:val="202122"/>
          <w:sz w:val="24"/>
          <w:szCs w:val="24"/>
          <w:highlight w:val="yellow"/>
        </w:rPr>
      </w:pPr>
      <w:r w:rsidDel="00000000" w:rsidR="00000000" w:rsidRPr="00000000">
        <w:rPr>
          <w:rFonts w:ascii="Calibri" w:cs="Calibri" w:eastAsia="Calibri" w:hAnsi="Calibri"/>
          <w:color w:val="202122"/>
          <w:sz w:val="24"/>
          <w:szCs w:val="24"/>
          <w:highlight w:val="white"/>
          <w:rtl w:val="0"/>
        </w:rPr>
        <w:t xml:space="preserve">According to her obituary, Eleanor R. Long (</w:t>
      </w:r>
      <w:r w:rsidDel="00000000" w:rsidR="00000000" w:rsidRPr="00000000">
        <w:rPr>
          <w:rFonts w:ascii="Calibri" w:cs="Calibri" w:eastAsia="Calibri" w:hAnsi="Calibri"/>
          <w:sz w:val="24"/>
          <w:szCs w:val="24"/>
          <w:highlight w:val="white"/>
          <w:rtl w:val="0"/>
        </w:rPr>
        <w:t xml:space="preserve">1923 - 2005) </w:t>
      </w:r>
      <w:r w:rsidDel="00000000" w:rsidR="00000000" w:rsidRPr="00000000">
        <w:rPr>
          <w:rFonts w:ascii="Calibri" w:cs="Calibri" w:eastAsia="Calibri" w:hAnsi="Calibri"/>
          <w:sz w:val="24"/>
          <w:szCs w:val="24"/>
          <w:rtl w:val="0"/>
        </w:rPr>
        <w:t xml:space="preserve">was born in Seattle, Washington and was an award winning</w:t>
      </w:r>
      <w:r w:rsidDel="00000000" w:rsidR="00000000" w:rsidRPr="00000000">
        <w:rPr>
          <w:rFonts w:ascii="Calibri" w:cs="Calibri" w:eastAsia="Calibri" w:hAnsi="Calibri"/>
          <w:sz w:val="24"/>
          <w:szCs w:val="24"/>
          <w:vertAlign w:val="superscript"/>
        </w:rPr>
        <w:footnoteReference w:customMarkFollows="0" w:id="11"/>
      </w:r>
      <w:r w:rsidDel="00000000" w:rsidR="00000000" w:rsidRPr="00000000">
        <w:rPr>
          <w:rFonts w:ascii="Calibri" w:cs="Calibri" w:eastAsia="Calibri" w:hAnsi="Calibri"/>
          <w:sz w:val="24"/>
          <w:szCs w:val="24"/>
          <w:rtl w:val="0"/>
        </w:rPr>
        <w:t xml:space="preserve"> folklore and balladry scholar from the United States. She received her Ph.D. in English literature and folklore in 1968 from the University of California at Los Angeles and taught folklore, comparative mythology and Mediaeval literature at various college institutions in California and Canada.</w:t>
      </w:r>
      <w:r w:rsidDel="00000000" w:rsidR="00000000" w:rsidRPr="00000000">
        <w:rPr>
          <w:rFonts w:ascii="Calibri" w:cs="Calibri" w:eastAsia="Calibri" w:hAnsi="Calibri"/>
          <w:sz w:val="24"/>
          <w:szCs w:val="24"/>
          <w:vertAlign w:val="superscript"/>
        </w:rPr>
        <w:footnoteReference w:customMarkFollows="0" w:id="12"/>
      </w:r>
      <w:r w:rsidDel="00000000" w:rsidR="00000000" w:rsidRPr="00000000">
        <w:rPr>
          <w:rFonts w:ascii="Calibri" w:cs="Calibri" w:eastAsia="Calibri" w:hAnsi="Calibri"/>
          <w:sz w:val="24"/>
          <w:szCs w:val="24"/>
          <w:rtl w:val="0"/>
        </w:rPr>
        <w:t xml:space="preserve"> Like Head, Long also has connections to the subject matter of the paper she writes about. According to Long’s friend Norm Cohen, folklorist and author</w:t>
      </w:r>
      <w:r w:rsidDel="00000000" w:rsidR="00000000" w:rsidRPr="00000000">
        <w:rPr>
          <w:rFonts w:ascii="Calibri" w:cs="Calibri" w:eastAsia="Calibri" w:hAnsi="Calibri"/>
          <w:sz w:val="24"/>
          <w:szCs w:val="24"/>
          <w:vertAlign w:val="superscript"/>
        </w:rPr>
        <w:footnoteReference w:customMarkFollows="0" w:id="13"/>
      </w:r>
      <w:r w:rsidDel="00000000" w:rsidR="00000000" w:rsidRPr="00000000">
        <w:rPr>
          <w:rFonts w:ascii="Calibri" w:cs="Calibri" w:eastAsia="Calibri" w:hAnsi="Calibri"/>
          <w:sz w:val="24"/>
          <w:szCs w:val="24"/>
          <w:rtl w:val="0"/>
        </w:rPr>
        <w:t xml:space="preserve"> who penned Long’s obituary, a major focus of her scholarly career was the comparative study of narrative folk song and popular traditions which was influenced by her two teachers, one of whom, Professor D.K. Wilgus she in fact married. After the death of her husband, Long  moved to Chapel Hill, North Carolina in the US where she became an active member of the local folklore community.</w:t>
      </w:r>
      <w:r w:rsidDel="00000000" w:rsidR="00000000" w:rsidRPr="00000000">
        <w:rPr>
          <w:rFonts w:ascii="Calibri" w:cs="Calibri" w:eastAsia="Calibri" w:hAnsi="Calibri"/>
          <w:sz w:val="24"/>
          <w:szCs w:val="24"/>
          <w:vertAlign w:val="superscript"/>
        </w:rPr>
        <w:footnoteReference w:customMarkFollows="0" w:id="14"/>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highlight w:val="white"/>
          <w:rtl w:val="0"/>
        </w:rPr>
        <w:t xml:space="preserve">The intended audience of the paper can be deduced from the description of subscribers of the journal which include’ folklorists, anthropologists, sociologists, historians, university and public libraries, historical societies, and museums’.</w:t>
      </w:r>
      <w:r w:rsidDel="00000000" w:rsidR="00000000" w:rsidRPr="00000000">
        <w:rPr>
          <w:rFonts w:ascii="Calibri" w:cs="Calibri" w:eastAsia="Calibri" w:hAnsi="Calibri"/>
          <w:sz w:val="24"/>
          <w:szCs w:val="24"/>
          <w:highlight w:val="white"/>
          <w:vertAlign w:val="superscript"/>
        </w:rPr>
        <w:footnoteReference w:customMarkFollows="0" w:id="15"/>
      </w:r>
      <w:r w:rsidDel="00000000" w:rsidR="00000000" w:rsidRPr="00000000">
        <w:rPr>
          <w:rFonts w:ascii="Calibri" w:cs="Calibri" w:eastAsia="Calibri" w:hAnsi="Calibri"/>
          <w:color w:val="202122"/>
          <w:sz w:val="24"/>
          <w:szCs w:val="24"/>
          <w:highlight w:val="white"/>
          <w:rtl w:val="0"/>
        </w:rPr>
        <w:t xml:space="preserve">  </w:t>
      </w:r>
      <w:r w:rsidDel="00000000" w:rsidR="00000000" w:rsidRPr="00000000">
        <w:rPr>
          <w:rFonts w:ascii="Calibri" w:cs="Calibri" w:eastAsia="Calibri" w:hAnsi="Calibri"/>
          <w:sz w:val="24"/>
          <w:szCs w:val="24"/>
          <w:highlight w:val="white"/>
          <w:rtl w:val="0"/>
        </w:rPr>
        <w:t xml:space="preserve">The audience of this journal therefore encompasses primarily scholars.</w:t>
      </w:r>
      <w:r w:rsidDel="00000000" w:rsidR="00000000" w:rsidRPr="00000000">
        <w:rPr>
          <w:rtl w:val="0"/>
        </w:rPr>
      </w:r>
    </w:p>
    <w:p w:rsidR="00000000" w:rsidDel="00000000" w:rsidP="00000000" w:rsidRDefault="00000000" w:rsidRPr="00000000" w14:paraId="0000008B">
      <w:pPr>
        <w:ind w:firstLine="720"/>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A thesis statement can be identified in the paper’s of both Head and Long. Head states that he wishes to look at the modern movement inspired by Theosophy, in particular esoteric areas of Indian philosophy and Astrology as they relate to ‘The Planets’ which he claims was British music's first striking testament to the Modernist outlook.</w:t>
      </w:r>
      <w:r w:rsidDel="00000000" w:rsidR="00000000" w:rsidRPr="00000000">
        <w:rPr>
          <w:rFonts w:ascii="Calibri" w:cs="Calibri" w:eastAsia="Calibri" w:hAnsi="Calibri"/>
          <w:color w:val="202122"/>
          <w:sz w:val="24"/>
          <w:szCs w:val="24"/>
          <w:highlight w:val="white"/>
          <w:vertAlign w:val="superscript"/>
        </w:rPr>
        <w:footnoteReference w:customMarkFollows="0" w:id="16"/>
      </w:r>
      <w:r w:rsidDel="00000000" w:rsidR="00000000" w:rsidRPr="00000000">
        <w:rPr>
          <w:rFonts w:ascii="Calibri" w:cs="Calibri" w:eastAsia="Calibri" w:hAnsi="Calibri"/>
          <w:color w:val="202122"/>
          <w:sz w:val="24"/>
          <w:szCs w:val="24"/>
          <w:highlight w:val="white"/>
          <w:rtl w:val="0"/>
        </w:rPr>
        <w:t xml:space="preserve"> Head’s methodology is qualitative, as he is trying to reveal Holst’s motivations through narrative. As a teacher of comparative mythology, Long uses a compare and contrast methodology to investigate the variations of ‘dog day’ mythologies across cultures. Long’s thesis statement is less clear and more rhetorical as she states ‘the question then arises as to the relationship of the canonical “dog days” to actual weather conditions: have all of these adjustments been made in response to observed shifts in the prevailing climate, or are they essentially arbitrary?’ </w:t>
      </w:r>
    </w:p>
    <w:p w:rsidR="00000000" w:rsidDel="00000000" w:rsidP="00000000" w:rsidRDefault="00000000" w:rsidRPr="00000000" w14:paraId="0000008C">
      <w:pPr>
        <w:ind w:left="0" w:firstLine="720"/>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The sources that Head uses in the paper include primary sources such as original musical program notes and orchestral music score, secondary sources such as books and letters, tertiary sources such as newspapers.  Head includes a couple of images in the paper, the first is an image of Alan Leo</w:t>
      </w:r>
      <w:r w:rsidDel="00000000" w:rsidR="00000000" w:rsidRPr="00000000">
        <w:rPr>
          <w:rFonts w:ascii="Calibri" w:cs="Calibri" w:eastAsia="Calibri" w:hAnsi="Calibri"/>
          <w:sz w:val="24"/>
          <w:szCs w:val="24"/>
          <w:highlight w:val="white"/>
          <w:vertAlign w:val="superscript"/>
        </w:rPr>
        <w:footnoteReference w:customMarkFollows="0" w:id="17"/>
      </w:r>
      <w:r w:rsidDel="00000000" w:rsidR="00000000" w:rsidRPr="00000000">
        <w:rPr>
          <w:rFonts w:ascii="Calibri" w:cs="Calibri" w:eastAsia="Calibri" w:hAnsi="Calibri"/>
          <w:sz w:val="24"/>
          <w:szCs w:val="24"/>
          <w:highlight w:val="white"/>
          <w:rtl w:val="0"/>
        </w:rPr>
        <w:t xml:space="preserve"> with an incomplete reference below the image and the second is an image of an excerpt of musical score but does not provide a full source or bibliographic reference. </w:t>
      </w:r>
    </w:p>
    <w:p w:rsidR="00000000" w:rsidDel="00000000" w:rsidP="00000000" w:rsidRDefault="00000000" w:rsidRPr="00000000" w14:paraId="0000008D">
      <w:pPr>
        <w:ind w:left="0" w:firstLine="720"/>
        <w:rPr>
          <w:rFonts w:ascii="Calibri" w:cs="Calibri" w:eastAsia="Calibri" w:hAnsi="Calibri"/>
          <w:sz w:val="24"/>
          <w:szCs w:val="24"/>
        </w:rPr>
      </w:pPr>
      <w:r w:rsidDel="00000000" w:rsidR="00000000" w:rsidRPr="00000000">
        <w:rPr>
          <w:rFonts w:ascii="Calibri" w:cs="Calibri" w:eastAsia="Calibri" w:hAnsi="Calibri"/>
          <w:sz w:val="24"/>
          <w:szCs w:val="24"/>
          <w:highlight w:val="white"/>
          <w:rtl w:val="0"/>
        </w:rPr>
        <w:t xml:space="preserve">Head uses a persuasive writing style that is at times informal and conversational versus formal and scholarly. For example, Head several times writes using the first person which is not an objective scholarly approach to take. For example, he says ‘Space allows me only to touch on this briefly. Suffice it to say, I completely disagree with Imogen Holst…’</w:t>
      </w:r>
      <w:r w:rsidDel="00000000" w:rsidR="00000000" w:rsidRPr="00000000">
        <w:rPr>
          <w:rFonts w:ascii="Calibri" w:cs="Calibri" w:eastAsia="Calibri" w:hAnsi="Calibri"/>
          <w:sz w:val="24"/>
          <w:szCs w:val="24"/>
          <w:highlight w:val="white"/>
          <w:vertAlign w:val="superscript"/>
        </w:rPr>
        <w:footnoteReference w:customMarkFollows="0" w:id="18"/>
      </w:r>
      <w:r w:rsidDel="00000000" w:rsidR="00000000" w:rsidRPr="00000000">
        <w:rPr>
          <w:rFonts w:ascii="Calibri" w:cs="Calibri" w:eastAsia="Calibri" w:hAnsi="Calibri"/>
          <w:sz w:val="24"/>
          <w:szCs w:val="24"/>
          <w:highlight w:val="white"/>
          <w:rtl w:val="0"/>
        </w:rPr>
        <w:t xml:space="preserve">  Furthermore, Head does not provide a formal definition and scholarly reference to define ‘Modernism’ or ‘Astrology’ which are central to his discussion. Head uses a sweeping statement when describing Modernism stating that it is ‘a  convenient umbrella term for the whole cultural avant-garde’</w:t>
      </w:r>
      <w:r w:rsidDel="00000000" w:rsidR="00000000" w:rsidRPr="00000000">
        <w:rPr>
          <w:rFonts w:ascii="Calibri" w:cs="Calibri" w:eastAsia="Calibri" w:hAnsi="Calibri"/>
          <w:sz w:val="24"/>
          <w:szCs w:val="24"/>
          <w:highlight w:val="white"/>
          <w:vertAlign w:val="superscript"/>
        </w:rPr>
        <w:footnoteReference w:customMarkFollows="0" w:id="19"/>
      </w:r>
      <w:r w:rsidDel="00000000" w:rsidR="00000000" w:rsidRPr="00000000">
        <w:rPr>
          <w:rFonts w:ascii="Calibri" w:cs="Calibri" w:eastAsia="Calibri" w:hAnsi="Calibri"/>
          <w:sz w:val="24"/>
          <w:szCs w:val="24"/>
          <w:highlight w:val="white"/>
          <w:rtl w:val="0"/>
        </w:rPr>
        <w:t xml:space="preserve">. There are many instances where Head does not provide formal or adequate citations. He fails to provide a source or identify the exact time period of Modernism. In another passage, Head says ‘Scriabin’s Theosophical orientation is well documented’</w:t>
      </w:r>
      <w:r w:rsidDel="00000000" w:rsidR="00000000" w:rsidRPr="00000000">
        <w:rPr>
          <w:rFonts w:ascii="Calibri" w:cs="Calibri" w:eastAsia="Calibri" w:hAnsi="Calibri"/>
          <w:sz w:val="24"/>
          <w:szCs w:val="24"/>
          <w:highlight w:val="white"/>
          <w:vertAlign w:val="superscript"/>
        </w:rPr>
        <w:footnoteReference w:customMarkFollows="0" w:id="20"/>
      </w:r>
      <w:r w:rsidDel="00000000" w:rsidR="00000000" w:rsidRPr="00000000">
        <w:rPr>
          <w:rFonts w:ascii="Calibri" w:cs="Calibri" w:eastAsia="Calibri" w:hAnsi="Calibri"/>
          <w:sz w:val="24"/>
          <w:szCs w:val="24"/>
          <w:highlight w:val="white"/>
          <w:rtl w:val="0"/>
        </w:rPr>
        <w:t xml:space="preserve"> but again does not provide a reference with sources for the reader to refer to. Head uses absolute and evaluative language when he states how there is ‘no doubt’ that Holst was very depressed because he told Cliifford Bax that he was looking forward to ‘devachan’.</w:t>
      </w:r>
      <w:r w:rsidDel="00000000" w:rsidR="00000000" w:rsidRPr="00000000">
        <w:rPr>
          <w:rFonts w:ascii="Calibri" w:cs="Calibri" w:eastAsia="Calibri" w:hAnsi="Calibri"/>
          <w:sz w:val="24"/>
          <w:szCs w:val="24"/>
          <w:highlight w:val="white"/>
          <w:vertAlign w:val="superscript"/>
        </w:rPr>
        <w:footnoteReference w:customMarkFollows="0" w:id="21"/>
      </w:r>
      <w:r w:rsidDel="00000000" w:rsidR="00000000" w:rsidRPr="00000000">
        <w:rPr>
          <w:rFonts w:ascii="Calibri" w:cs="Calibri" w:eastAsia="Calibri" w:hAnsi="Calibri"/>
          <w:sz w:val="24"/>
          <w:szCs w:val="24"/>
          <w:highlight w:val="white"/>
          <w:rtl w:val="0"/>
        </w:rPr>
        <w:t xml:space="preserve"> Head’s unequivocal statement leaves no room for doubt or disagreement. Head uses another sweeping statement in the footnote noting that ‘in 1992 astrology was proscribed by the Roman Catholic Church’</w:t>
      </w:r>
      <w:r w:rsidDel="00000000" w:rsidR="00000000" w:rsidRPr="00000000">
        <w:rPr>
          <w:rFonts w:ascii="Calibri" w:cs="Calibri" w:eastAsia="Calibri" w:hAnsi="Calibri"/>
          <w:sz w:val="24"/>
          <w:szCs w:val="24"/>
          <w:highlight w:val="white"/>
          <w:vertAlign w:val="superscript"/>
        </w:rPr>
        <w:footnoteReference w:customMarkFollows="0" w:id="22"/>
      </w:r>
      <w:r w:rsidDel="00000000" w:rsidR="00000000" w:rsidRPr="00000000">
        <w:rPr>
          <w:rFonts w:ascii="Calibri" w:cs="Calibri" w:eastAsia="Calibri" w:hAnsi="Calibri"/>
          <w:sz w:val="24"/>
          <w:szCs w:val="24"/>
          <w:highlight w:val="white"/>
          <w:rtl w:val="0"/>
        </w:rPr>
        <w:t xml:space="preserve"> without providing a source for his assertion. </w:t>
      </w:r>
      <w:r w:rsidDel="00000000" w:rsidR="00000000" w:rsidRPr="00000000">
        <w:rPr>
          <w:rFonts w:ascii="Calibri" w:cs="Calibri" w:eastAsia="Calibri" w:hAnsi="Calibri"/>
          <w:sz w:val="24"/>
          <w:szCs w:val="24"/>
          <w:rtl w:val="0"/>
        </w:rPr>
        <w:t xml:space="preserve">Head concludes the paper by declaring that the important fact to remember was that Holst thought that astrology was true and that ‘The Planets’ resulted from his thoughts around it.</w:t>
      </w:r>
      <w:r w:rsidDel="00000000" w:rsidR="00000000" w:rsidRPr="00000000">
        <w:rPr>
          <w:rFonts w:ascii="Calibri" w:cs="Calibri" w:eastAsia="Calibri" w:hAnsi="Calibri"/>
          <w:sz w:val="24"/>
          <w:szCs w:val="24"/>
          <w:vertAlign w:val="superscript"/>
        </w:rPr>
        <w:footnoteReference w:customMarkFollows="0" w:id="23"/>
      </w:r>
      <w:r w:rsidDel="00000000" w:rsidR="00000000" w:rsidRPr="00000000">
        <w:rPr>
          <w:rFonts w:ascii="Calibri" w:cs="Calibri" w:eastAsia="Calibri" w:hAnsi="Calibri"/>
          <w:sz w:val="24"/>
          <w:szCs w:val="24"/>
          <w:rtl w:val="0"/>
        </w:rPr>
        <w:t xml:space="preserve">  He also concludes that Holst’s work was considered ‘modern’. </w:t>
      </w:r>
      <w:r w:rsidDel="00000000" w:rsidR="00000000" w:rsidRPr="00000000">
        <w:rPr>
          <w:rFonts w:ascii="Calibri" w:cs="Calibri" w:eastAsia="Calibri" w:hAnsi="Calibri"/>
          <w:sz w:val="24"/>
          <w:szCs w:val="24"/>
          <w:highlight w:val="white"/>
          <w:rtl w:val="0"/>
        </w:rPr>
        <w:t xml:space="preserve">In his final paragraph of his paper, Head provides sources of critics who have reviewed Holst’s first incomplete public performance from Ernest Newman, </w:t>
      </w:r>
      <w:r w:rsidDel="00000000" w:rsidR="00000000" w:rsidRPr="00000000">
        <w:rPr>
          <w:rFonts w:ascii="Calibri" w:cs="Calibri" w:eastAsia="Calibri" w:hAnsi="Calibri"/>
          <w:i w:val="1"/>
          <w:sz w:val="24"/>
          <w:szCs w:val="24"/>
          <w:highlight w:val="white"/>
          <w:rtl w:val="0"/>
        </w:rPr>
        <w:t xml:space="preserve">The Daily Mail </w:t>
      </w:r>
      <w:r w:rsidDel="00000000" w:rsidR="00000000" w:rsidRPr="00000000">
        <w:rPr>
          <w:rFonts w:ascii="Calibri" w:cs="Calibri" w:eastAsia="Calibri" w:hAnsi="Calibri"/>
          <w:sz w:val="24"/>
          <w:szCs w:val="24"/>
          <w:highlight w:val="white"/>
          <w:rtl w:val="0"/>
        </w:rPr>
        <w:t xml:space="preserve">and a reviewer in </w:t>
      </w:r>
      <w:r w:rsidDel="00000000" w:rsidR="00000000" w:rsidRPr="00000000">
        <w:rPr>
          <w:rFonts w:ascii="Calibri" w:cs="Calibri" w:eastAsia="Calibri" w:hAnsi="Calibri"/>
          <w:i w:val="1"/>
          <w:sz w:val="24"/>
          <w:szCs w:val="24"/>
          <w:highlight w:val="white"/>
          <w:rtl w:val="0"/>
        </w:rPr>
        <w:t xml:space="preserve">The Queen </w:t>
      </w:r>
      <w:r w:rsidDel="00000000" w:rsidR="00000000" w:rsidRPr="00000000">
        <w:rPr>
          <w:rFonts w:ascii="Calibri" w:cs="Calibri" w:eastAsia="Calibri" w:hAnsi="Calibri"/>
          <w:sz w:val="24"/>
          <w:szCs w:val="24"/>
          <w:highlight w:val="white"/>
          <w:rtl w:val="0"/>
        </w:rPr>
        <w:t xml:space="preserve">but once again does not provide a full source. </w:t>
      </w:r>
      <w:r w:rsidDel="00000000" w:rsidR="00000000" w:rsidRPr="00000000">
        <w:rPr>
          <w:rtl w:val="0"/>
        </w:rPr>
      </w:r>
    </w:p>
    <w:p w:rsidR="00000000" w:rsidDel="00000000" w:rsidP="00000000" w:rsidRDefault="00000000" w:rsidRPr="00000000" w14:paraId="0000008E">
      <w:pPr>
        <w:ind w:left="0" w:firstLine="720"/>
        <w:rPr>
          <w:rFonts w:ascii="Calibri" w:cs="Calibri" w:eastAsia="Calibri" w:hAnsi="Calibri"/>
          <w:b w:val="1"/>
          <w:sz w:val="24"/>
          <w:szCs w:val="24"/>
        </w:rPr>
      </w:pPr>
      <w:r w:rsidDel="00000000" w:rsidR="00000000" w:rsidRPr="00000000">
        <w:rPr>
          <w:rFonts w:ascii="Calibri" w:cs="Calibri" w:eastAsia="Calibri" w:hAnsi="Calibri"/>
          <w:sz w:val="24"/>
          <w:szCs w:val="24"/>
          <w:highlight w:val="white"/>
          <w:rtl w:val="0"/>
        </w:rPr>
        <w:t xml:space="preserve">In contrast, the language and style of Long’s paper is scholarly. Long uses advanced and formal language choices such as, ‘etiological’, ‘aberrations’, ‘canonical’ ‘apothesis’, ‘prognosticator’</w:t>
      </w:r>
      <w:r w:rsidDel="00000000" w:rsidR="00000000" w:rsidRPr="00000000">
        <w:rPr>
          <w:rFonts w:ascii="Calibri" w:cs="Calibri" w:eastAsia="Calibri" w:hAnsi="Calibri"/>
          <w:sz w:val="24"/>
          <w:szCs w:val="24"/>
          <w:highlight w:val="white"/>
          <w:vertAlign w:val="superscript"/>
        </w:rPr>
        <w:footnoteReference w:customMarkFollows="0" w:id="24"/>
      </w:r>
      <w:r w:rsidDel="00000000" w:rsidR="00000000" w:rsidRPr="00000000">
        <w:rPr>
          <w:rFonts w:ascii="Calibri" w:cs="Calibri" w:eastAsia="Calibri" w:hAnsi="Calibri"/>
          <w:sz w:val="24"/>
          <w:szCs w:val="24"/>
          <w:highlight w:val="white"/>
          <w:rtl w:val="0"/>
        </w:rPr>
        <w:t xml:space="preserve">, with a style that is investigative and uses extensive footnotes to clarify or reference the points that are made. Long has 44 footnotes while Head has 22 footnotes over a similar page range. </w:t>
      </w:r>
      <w:r w:rsidDel="00000000" w:rsidR="00000000" w:rsidRPr="00000000">
        <w:rPr>
          <w:rFonts w:ascii="Calibri" w:cs="Calibri" w:eastAsia="Calibri" w:hAnsi="Calibri"/>
          <w:sz w:val="24"/>
          <w:szCs w:val="24"/>
          <w:rtl w:val="0"/>
        </w:rPr>
        <w:t xml:space="preserve">Long announces her bias in the title of the paper which states that this is not just an ‘inquiry’ but a ‘skeptical inquiry’ into ‘how the dog got its day’.</w:t>
      </w:r>
      <w:r w:rsidDel="00000000" w:rsidR="00000000" w:rsidRPr="00000000">
        <w:rPr>
          <w:rFonts w:ascii="Calibri" w:cs="Calibri" w:eastAsia="Calibri" w:hAnsi="Calibri"/>
          <w:sz w:val="24"/>
          <w:szCs w:val="24"/>
          <w:highlight w:val="white"/>
          <w:rtl w:val="0"/>
        </w:rPr>
        <w:t xml:space="preserve"> Norm Cohen, described Long in her obituary as “brilliant” and remarked that she had ‘remarkably high scholarly standards and tolerated nothing less from others.’</w:t>
      </w:r>
      <w:r w:rsidDel="00000000" w:rsidR="00000000" w:rsidRPr="00000000">
        <w:rPr>
          <w:rFonts w:ascii="Calibri" w:cs="Calibri" w:eastAsia="Calibri" w:hAnsi="Calibri"/>
          <w:sz w:val="24"/>
          <w:szCs w:val="24"/>
          <w:highlight w:val="white"/>
          <w:vertAlign w:val="superscript"/>
        </w:rPr>
        <w:footnoteReference w:customMarkFollows="0" w:id="25"/>
      </w:r>
      <w:r w:rsidDel="00000000" w:rsidR="00000000" w:rsidRPr="00000000">
        <w:rPr>
          <w:rFonts w:ascii="Calibri" w:cs="Calibri" w:eastAsia="Calibri" w:hAnsi="Calibri"/>
          <w:sz w:val="24"/>
          <w:szCs w:val="24"/>
          <w:highlight w:val="white"/>
          <w:rtl w:val="0"/>
        </w:rPr>
        <w:t xml:space="preserve"> Long takes the reader systematically through her supporting evidence. First she provides examples from almanacs, then draws perspectives from English physician and author Sir Thomas Browne, Scottish social anthropologist Sir James Fraser and Finish politician Hugo Suolahti</w:t>
      </w:r>
      <w:r w:rsidDel="00000000" w:rsidR="00000000" w:rsidRPr="00000000">
        <w:rPr>
          <w:rFonts w:ascii="Calibri" w:cs="Calibri" w:eastAsia="Calibri" w:hAnsi="Calibri"/>
          <w:sz w:val="24"/>
          <w:szCs w:val="24"/>
          <w:highlight w:val="white"/>
          <w:vertAlign w:val="superscript"/>
        </w:rPr>
        <w:footnoteReference w:customMarkFollows="0" w:id="26"/>
      </w:r>
      <w:r w:rsidDel="00000000" w:rsidR="00000000" w:rsidRPr="00000000">
        <w:rPr>
          <w:rFonts w:ascii="Calibri" w:cs="Calibri" w:eastAsia="Calibri" w:hAnsi="Calibri"/>
          <w:sz w:val="24"/>
          <w:szCs w:val="24"/>
          <w:highlight w:val="white"/>
          <w:rtl w:val="0"/>
        </w:rPr>
        <w:t xml:space="preserve">. She doesn’t provide much biographical information which assumes that the reader has familiarity with the people she is referencing. Long then highlights the etymology of the identifications of the ‘dog star’ in several ancient cultures including Babaloynian, Egyptian, Chinese, English, Persian, Greek and Hindu culture</w:t>
      </w:r>
      <w:r w:rsidDel="00000000" w:rsidR="00000000" w:rsidRPr="00000000">
        <w:rPr>
          <w:rFonts w:ascii="Calibri" w:cs="Calibri" w:eastAsia="Calibri" w:hAnsi="Calibri"/>
          <w:sz w:val="24"/>
          <w:szCs w:val="24"/>
          <w:highlight w:val="white"/>
          <w:vertAlign w:val="superscript"/>
        </w:rPr>
        <w:footnoteReference w:customMarkFollows="0" w:id="27"/>
      </w:r>
      <w:r w:rsidDel="00000000" w:rsidR="00000000" w:rsidRPr="00000000">
        <w:rPr>
          <w:rFonts w:ascii="Calibri" w:cs="Calibri" w:eastAsia="Calibri" w:hAnsi="Calibri"/>
          <w:sz w:val="24"/>
          <w:szCs w:val="24"/>
          <w:highlight w:val="white"/>
          <w:rtl w:val="0"/>
        </w:rPr>
        <w:t xml:space="preserve">. Long also supports her thesis by using a variety of secondary sources such as mythology and folklore books by scholarly authors such as Hand</w:t>
      </w:r>
      <w:r w:rsidDel="00000000" w:rsidR="00000000" w:rsidRPr="00000000">
        <w:rPr>
          <w:rFonts w:ascii="Calibri" w:cs="Calibri" w:eastAsia="Calibri" w:hAnsi="Calibri"/>
          <w:sz w:val="24"/>
          <w:szCs w:val="24"/>
          <w:highlight w:val="white"/>
          <w:vertAlign w:val="superscript"/>
        </w:rPr>
        <w:footnoteReference w:customMarkFollows="0" w:id="28"/>
      </w:r>
      <w:r w:rsidDel="00000000" w:rsidR="00000000" w:rsidRPr="00000000">
        <w:rPr>
          <w:rFonts w:ascii="Calibri" w:cs="Calibri" w:eastAsia="Calibri" w:hAnsi="Calibri"/>
          <w:sz w:val="24"/>
          <w:szCs w:val="24"/>
          <w:highlight w:val="white"/>
          <w:rtl w:val="0"/>
        </w:rPr>
        <w:t xml:space="preserve">, Pingree</w:t>
      </w:r>
      <w:r w:rsidDel="00000000" w:rsidR="00000000" w:rsidRPr="00000000">
        <w:rPr>
          <w:rFonts w:ascii="Calibri" w:cs="Calibri" w:eastAsia="Calibri" w:hAnsi="Calibri"/>
          <w:sz w:val="24"/>
          <w:szCs w:val="24"/>
          <w:highlight w:val="white"/>
          <w:vertAlign w:val="superscript"/>
        </w:rPr>
        <w:footnoteReference w:customMarkFollows="0" w:id="29"/>
      </w:r>
      <w:r w:rsidDel="00000000" w:rsidR="00000000" w:rsidRPr="00000000">
        <w:rPr>
          <w:rFonts w:ascii="Calibri" w:cs="Calibri" w:eastAsia="Calibri" w:hAnsi="Calibri"/>
          <w:sz w:val="24"/>
          <w:szCs w:val="24"/>
          <w:highlight w:val="white"/>
          <w:rtl w:val="0"/>
        </w:rPr>
        <w:t xml:space="preserve">, Hinnells</w:t>
      </w:r>
      <w:r w:rsidDel="00000000" w:rsidR="00000000" w:rsidRPr="00000000">
        <w:rPr>
          <w:rFonts w:ascii="Calibri" w:cs="Calibri" w:eastAsia="Calibri" w:hAnsi="Calibri"/>
          <w:sz w:val="24"/>
          <w:szCs w:val="24"/>
          <w:highlight w:val="white"/>
          <w:vertAlign w:val="superscript"/>
        </w:rPr>
        <w:footnoteReference w:customMarkFollows="0" w:id="30"/>
      </w:r>
      <w:r w:rsidDel="00000000" w:rsidR="00000000" w:rsidRPr="00000000">
        <w:rPr>
          <w:rFonts w:ascii="Calibri" w:cs="Calibri" w:eastAsia="Calibri" w:hAnsi="Calibri"/>
          <w:sz w:val="24"/>
          <w:szCs w:val="24"/>
          <w:highlight w:val="white"/>
          <w:rtl w:val="0"/>
        </w:rPr>
        <w:t xml:space="preserve">, Graves</w:t>
      </w:r>
      <w:r w:rsidDel="00000000" w:rsidR="00000000" w:rsidRPr="00000000">
        <w:rPr>
          <w:rFonts w:ascii="Calibri" w:cs="Calibri" w:eastAsia="Calibri" w:hAnsi="Calibri"/>
          <w:sz w:val="24"/>
          <w:szCs w:val="24"/>
          <w:highlight w:val="white"/>
          <w:vertAlign w:val="superscript"/>
        </w:rPr>
        <w:footnoteReference w:customMarkFollows="0" w:id="31"/>
      </w:r>
      <w:r w:rsidDel="00000000" w:rsidR="00000000" w:rsidRPr="00000000">
        <w:rPr>
          <w:rFonts w:ascii="Calibri" w:cs="Calibri" w:eastAsia="Calibri" w:hAnsi="Calibri"/>
          <w:sz w:val="24"/>
          <w:szCs w:val="24"/>
          <w:highlight w:val="white"/>
          <w:rtl w:val="0"/>
        </w:rPr>
        <w:t xml:space="preserve"> and Latimore</w:t>
      </w:r>
      <w:r w:rsidDel="00000000" w:rsidR="00000000" w:rsidRPr="00000000">
        <w:rPr>
          <w:rFonts w:ascii="Calibri" w:cs="Calibri" w:eastAsia="Calibri" w:hAnsi="Calibri"/>
          <w:sz w:val="24"/>
          <w:szCs w:val="24"/>
          <w:highlight w:val="white"/>
          <w:vertAlign w:val="superscript"/>
        </w:rPr>
        <w:footnoteReference w:customMarkFollows="0" w:id="32"/>
      </w:r>
      <w:r w:rsidDel="00000000" w:rsidR="00000000" w:rsidRPr="00000000">
        <w:rPr>
          <w:rFonts w:ascii="Calibri" w:cs="Calibri" w:eastAsia="Calibri" w:hAnsi="Calibri"/>
          <w:sz w:val="24"/>
          <w:szCs w:val="24"/>
          <w:highlight w:val="white"/>
          <w:rtl w:val="0"/>
        </w:rPr>
        <w:t xml:space="preserve">. Long cites tertiary sources such as the dictionaries and encyclopaedias such as the</w:t>
      </w:r>
      <w:r w:rsidDel="00000000" w:rsidR="00000000" w:rsidRPr="00000000">
        <w:rPr>
          <w:rFonts w:ascii="Calibri" w:cs="Calibri" w:eastAsia="Calibri" w:hAnsi="Calibri"/>
          <w:i w:val="1"/>
          <w:sz w:val="24"/>
          <w:szCs w:val="24"/>
          <w:highlight w:val="white"/>
          <w:rtl w:val="0"/>
        </w:rPr>
        <w:t xml:space="preserve"> Compact Edition of the Oxford English Dictionary</w:t>
      </w:r>
      <w:r w:rsidDel="00000000" w:rsidR="00000000" w:rsidRPr="00000000">
        <w:rPr>
          <w:rFonts w:ascii="Calibri" w:cs="Calibri" w:eastAsia="Calibri" w:hAnsi="Calibri"/>
          <w:i w:val="1"/>
          <w:sz w:val="24"/>
          <w:szCs w:val="24"/>
          <w:highlight w:val="white"/>
          <w:vertAlign w:val="superscript"/>
        </w:rPr>
        <w:footnoteReference w:customMarkFollows="0" w:id="33"/>
      </w:r>
      <w:r w:rsidDel="00000000" w:rsidR="00000000" w:rsidRPr="00000000">
        <w:rPr>
          <w:rFonts w:ascii="Calibri" w:cs="Calibri" w:eastAsia="Calibri" w:hAnsi="Calibri"/>
          <w:sz w:val="24"/>
          <w:szCs w:val="24"/>
          <w:highlight w:val="white"/>
          <w:rtl w:val="0"/>
        </w:rPr>
        <w:t xml:space="preserve">, </w:t>
      </w:r>
      <w:r w:rsidDel="00000000" w:rsidR="00000000" w:rsidRPr="00000000">
        <w:rPr>
          <w:rFonts w:ascii="Calibri" w:cs="Calibri" w:eastAsia="Calibri" w:hAnsi="Calibri"/>
          <w:i w:val="1"/>
          <w:sz w:val="24"/>
          <w:szCs w:val="24"/>
          <w:highlight w:val="white"/>
          <w:rtl w:val="0"/>
        </w:rPr>
        <w:t xml:space="preserve">Dictionary of American Slang</w:t>
      </w:r>
      <w:r w:rsidDel="00000000" w:rsidR="00000000" w:rsidRPr="00000000">
        <w:rPr>
          <w:rFonts w:ascii="Calibri" w:cs="Calibri" w:eastAsia="Calibri" w:hAnsi="Calibri"/>
          <w:i w:val="1"/>
          <w:sz w:val="24"/>
          <w:szCs w:val="24"/>
          <w:highlight w:val="white"/>
          <w:vertAlign w:val="superscript"/>
        </w:rPr>
        <w:footnoteReference w:customMarkFollows="0" w:id="34"/>
      </w:r>
      <w:r w:rsidDel="00000000" w:rsidR="00000000" w:rsidRPr="00000000">
        <w:rPr>
          <w:rFonts w:ascii="Calibri" w:cs="Calibri" w:eastAsia="Calibri" w:hAnsi="Calibri"/>
          <w:sz w:val="24"/>
          <w:szCs w:val="24"/>
          <w:highlight w:val="white"/>
          <w:rtl w:val="0"/>
        </w:rPr>
        <w:t xml:space="preserve">, L</w:t>
      </w:r>
      <w:r w:rsidDel="00000000" w:rsidR="00000000" w:rsidRPr="00000000">
        <w:rPr>
          <w:rFonts w:ascii="Calibri" w:cs="Calibri" w:eastAsia="Calibri" w:hAnsi="Calibri"/>
          <w:i w:val="1"/>
          <w:sz w:val="24"/>
          <w:szCs w:val="24"/>
          <w:highlight w:val="white"/>
          <w:rtl w:val="0"/>
        </w:rPr>
        <w:t xml:space="preserve">arousse Encyclopedia of Mythology</w:t>
      </w:r>
      <w:r w:rsidDel="00000000" w:rsidR="00000000" w:rsidRPr="00000000">
        <w:rPr>
          <w:rFonts w:ascii="Calibri" w:cs="Calibri" w:eastAsia="Calibri" w:hAnsi="Calibri"/>
          <w:i w:val="1"/>
          <w:sz w:val="24"/>
          <w:szCs w:val="24"/>
          <w:highlight w:val="white"/>
          <w:vertAlign w:val="superscript"/>
        </w:rPr>
        <w:footnoteReference w:customMarkFollows="0" w:id="35"/>
      </w:r>
      <w:r w:rsidDel="00000000" w:rsidR="00000000" w:rsidRPr="00000000">
        <w:rPr>
          <w:rFonts w:ascii="Calibri" w:cs="Calibri" w:eastAsia="Calibri" w:hAnsi="Calibri"/>
          <w:i w:val="1"/>
          <w:sz w:val="24"/>
          <w:szCs w:val="24"/>
          <w:highlight w:val="white"/>
          <w:rtl w:val="0"/>
        </w:rPr>
        <w:t xml:space="preserve">, and the Dictionary of Subjects and Symbols</w:t>
      </w:r>
      <w:r w:rsidDel="00000000" w:rsidR="00000000" w:rsidRPr="00000000">
        <w:rPr>
          <w:rFonts w:ascii="Calibri" w:cs="Calibri" w:eastAsia="Calibri" w:hAnsi="Calibri"/>
          <w:i w:val="1"/>
          <w:sz w:val="24"/>
          <w:szCs w:val="24"/>
          <w:highlight w:val="white"/>
          <w:vertAlign w:val="superscript"/>
        </w:rPr>
        <w:footnoteReference w:customMarkFollows="0" w:id="36"/>
      </w:r>
      <w:r w:rsidDel="00000000" w:rsidR="00000000" w:rsidRPr="00000000">
        <w:rPr>
          <w:rFonts w:ascii="Calibri" w:cs="Calibri" w:eastAsia="Calibri" w:hAnsi="Calibri"/>
          <w:sz w:val="24"/>
          <w:szCs w:val="24"/>
          <w:highlight w:val="white"/>
          <w:rtl w:val="0"/>
        </w:rPr>
        <w:t xml:space="preserve">. </w:t>
      </w:r>
      <w:r w:rsidDel="00000000" w:rsidR="00000000" w:rsidRPr="00000000">
        <w:rPr>
          <w:rFonts w:ascii="Calibri" w:cs="Calibri" w:eastAsia="Calibri" w:hAnsi="Calibri"/>
          <w:sz w:val="24"/>
          <w:szCs w:val="24"/>
          <w:rtl w:val="0"/>
        </w:rPr>
        <w:t xml:space="preserve">Despite all the evidence that Long puts forth, she surprisingly concludes her paper by saying that the question around how Sirius came to be known by Western Indo-Europeans as the emblem of the horrible season remains a matter for conjecture and that ultimately very few people can recognize the dog star when it appears or appeal to Hekate to spare them from disease.</w:t>
      </w:r>
      <w:r w:rsidDel="00000000" w:rsidR="00000000" w:rsidRPr="00000000">
        <w:rPr>
          <w:rFonts w:ascii="Calibri" w:cs="Calibri" w:eastAsia="Calibri" w:hAnsi="Calibri"/>
          <w:sz w:val="24"/>
          <w:szCs w:val="24"/>
          <w:vertAlign w:val="superscript"/>
        </w:rPr>
        <w:footnoteReference w:customMarkFollows="0" w:id="37"/>
      </w:r>
      <w:r w:rsidDel="00000000" w:rsidR="00000000" w:rsidRPr="00000000">
        <w:rPr>
          <w:rFonts w:ascii="Calibri" w:cs="Calibri" w:eastAsia="Calibri" w:hAnsi="Calibri"/>
          <w:sz w:val="24"/>
          <w:szCs w:val="24"/>
          <w:rtl w:val="0"/>
        </w:rPr>
        <w:t xml:space="preserve">  </w:t>
      </w:r>
      <w:r w:rsidDel="00000000" w:rsidR="00000000" w:rsidRPr="00000000">
        <w:rPr>
          <w:rtl w:val="0"/>
        </w:rPr>
      </w:r>
    </w:p>
    <w:p w:rsidR="00000000" w:rsidDel="00000000" w:rsidP="00000000" w:rsidRDefault="00000000" w:rsidRPr="00000000" w14:paraId="0000008F">
      <w:pPr>
        <w:ind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conclusion, both papers provide a thought provoking investigation into the influence of cultural astronomy and their unique areas of inquiry. The main strength of Head’s paper is that he brings to light the potential influence of the modern movement, more specifically  theosophy and astrology in Holst’s orchestral pieces which as he says was rarely examined in relation to British music. His knowledge of music and musicians is evident through his analysis of the piece but a key weakness is that the methodology and sources Head provides indicate that he has not taken a traditional scholarly approach by supporting his argument through the  use of more primary or secondary sources. This approach ultimately undermines his credibility to some degree. The main strength of Long’s paper is that she provides a systematic, detailed analysis of her thesis statement using many scholarly secondary sources as evidence making it abundantly clear that she is a scholar and thus expert of folklore and comparative mythology. The main weakness of this paper is despite all the evidence she puts forward, in the end she does not come to a firm conclusion and says the debate is open for conjecture and does not provide some solutions for further investigation into this topic. </w:t>
      </w:r>
      <w:r w:rsidDel="00000000" w:rsidR="00000000" w:rsidRPr="00000000">
        <w:rPr>
          <w:rtl w:val="0"/>
        </w:rPr>
      </w:r>
    </w:p>
    <w:p w:rsidR="00000000" w:rsidDel="00000000" w:rsidP="00000000" w:rsidRDefault="00000000" w:rsidRPr="00000000" w14:paraId="00000090">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1">
      <w:pPr>
        <w:rPr>
          <w:rFonts w:ascii="Calibri" w:cs="Calibri" w:eastAsia="Calibri" w:hAnsi="Calibri"/>
          <w:b w:val="1"/>
          <w:sz w:val="24"/>
          <w:szCs w:val="24"/>
          <w:highlight w:val="yellow"/>
        </w:rPr>
      </w:pPr>
      <w:r w:rsidDel="00000000" w:rsidR="00000000" w:rsidRPr="00000000">
        <w:rPr>
          <w:rtl w:val="0"/>
        </w:rPr>
      </w:r>
    </w:p>
    <w:p w:rsidR="00000000" w:rsidDel="00000000" w:rsidP="00000000" w:rsidRDefault="00000000" w:rsidRPr="00000000" w14:paraId="00000092">
      <w:pPr>
        <w:rPr>
          <w:rFonts w:ascii="Calibri" w:cs="Calibri" w:eastAsia="Calibri" w:hAnsi="Calibri"/>
          <w:b w:val="1"/>
          <w:sz w:val="24"/>
          <w:szCs w:val="24"/>
          <w:highlight w:val="yellow"/>
        </w:rPr>
      </w:pPr>
      <w:r w:rsidDel="00000000" w:rsidR="00000000" w:rsidRPr="00000000">
        <w:br w:type="page"/>
      </w:r>
      <w:r w:rsidDel="00000000" w:rsidR="00000000" w:rsidRPr="00000000">
        <w:rPr>
          <w:rtl w:val="0"/>
        </w:rPr>
      </w:r>
    </w:p>
    <w:p w:rsidR="00000000" w:rsidDel="00000000" w:rsidP="00000000" w:rsidRDefault="00000000" w:rsidRPr="00000000" w14:paraId="00000093">
      <w:pPr>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highlight w:val="white"/>
          <w:rtl w:val="0"/>
        </w:rPr>
        <w:t xml:space="preserve">Bibliography</w:t>
      </w:r>
    </w:p>
    <w:p w:rsidR="00000000" w:rsidDel="00000000" w:rsidP="00000000" w:rsidRDefault="00000000" w:rsidRPr="00000000" w14:paraId="00000094">
      <w:pPr>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95">
      <w:pPr>
        <w:spacing w:line="240" w:lineRule="auto"/>
        <w:rPr>
          <w:i w:val="1"/>
          <w:sz w:val="24"/>
          <w:szCs w:val="24"/>
        </w:rPr>
      </w:pPr>
      <w:r w:rsidDel="00000000" w:rsidR="00000000" w:rsidRPr="00000000">
        <w:rPr>
          <w:rFonts w:ascii="Calibri" w:cs="Calibri" w:eastAsia="Calibri" w:hAnsi="Calibri"/>
          <w:sz w:val="24"/>
          <w:szCs w:val="24"/>
          <w:rtl w:val="0"/>
        </w:rPr>
        <w:t xml:space="preserve">Campion, Nicholas, Patrick Curry and Michale York (ed.) ‘Astrology and the Academy, papers from the inaugural conference of the Sophia Centre’, Bath Spa University College, 12-14 June 2003, Bristol: Cinnabar Boko 2004, p. Xxiii.</w:t>
      </w:r>
      <w:r w:rsidDel="00000000" w:rsidR="00000000" w:rsidRPr="00000000">
        <w:rPr>
          <w:rtl w:val="0"/>
        </w:rPr>
      </w:r>
    </w:p>
    <w:p w:rsidR="00000000" w:rsidDel="00000000" w:rsidP="00000000" w:rsidRDefault="00000000" w:rsidRPr="00000000" w14:paraId="00000096">
      <w:pPr>
        <w:spacing w:line="240" w:lineRule="auto"/>
        <w:rPr>
          <w:i w:val="1"/>
          <w:sz w:val="24"/>
          <w:szCs w:val="24"/>
        </w:rPr>
      </w:pPr>
      <w:r w:rsidDel="00000000" w:rsidR="00000000" w:rsidRPr="00000000">
        <w:rPr>
          <w:rtl w:val="0"/>
        </w:rPr>
      </w:r>
    </w:p>
    <w:p w:rsidR="00000000" w:rsidDel="00000000" w:rsidP="00000000" w:rsidRDefault="00000000" w:rsidRPr="00000000" w14:paraId="00000097">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Cohen, Norm, ‘</w:t>
      </w:r>
      <w:r w:rsidDel="00000000" w:rsidR="00000000" w:rsidRPr="00000000">
        <w:rPr>
          <w:rFonts w:ascii="Calibri" w:cs="Calibri" w:eastAsia="Calibri" w:hAnsi="Calibri"/>
          <w:sz w:val="24"/>
          <w:szCs w:val="24"/>
          <w:rtl w:val="0"/>
        </w:rPr>
        <w:t xml:space="preserve">Eleanor R. Long-Wilgus (1923-2005</w:t>
      </w:r>
      <w:r w:rsidDel="00000000" w:rsidR="00000000" w:rsidRPr="00000000">
        <w:rPr>
          <w:color w:val="3a3a3a"/>
          <w:sz w:val="23"/>
          <w:szCs w:val="23"/>
          <w:highlight w:val="white"/>
          <w:rtl w:val="0"/>
        </w:rPr>
        <w:t xml:space="preserve">)’,</w:t>
      </w:r>
      <w:r w:rsidDel="00000000" w:rsidR="00000000" w:rsidRPr="00000000">
        <w:rPr>
          <w:rFonts w:ascii="Calibri" w:cs="Calibri" w:eastAsia="Calibri" w:hAnsi="Calibri"/>
          <w:i w:val="1"/>
          <w:sz w:val="24"/>
          <w:szCs w:val="24"/>
          <w:rtl w:val="0"/>
        </w:rPr>
        <w:t xml:space="preserve"> The Journal of American Folklore</w:t>
      </w:r>
      <w:r w:rsidDel="00000000" w:rsidR="00000000" w:rsidRPr="00000000">
        <w:rPr>
          <w:rFonts w:ascii="Calibri" w:cs="Calibri" w:eastAsia="Calibri" w:hAnsi="Calibri"/>
          <w:sz w:val="24"/>
          <w:szCs w:val="24"/>
          <w:rtl w:val="0"/>
        </w:rPr>
        <w:t xml:space="preserve">, Vol. 119, No. 472 (University of Illinois Press, Spring, 2006), pp.236-237.</w:t>
      </w:r>
    </w:p>
    <w:p w:rsidR="00000000" w:rsidDel="00000000" w:rsidP="00000000" w:rsidRDefault="00000000" w:rsidRPr="00000000" w14:paraId="00000098">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9">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Collins, Charles D., ‘The Indian Style by Raymond Head’, </w:t>
      </w:r>
      <w:r w:rsidDel="00000000" w:rsidR="00000000" w:rsidRPr="00000000">
        <w:rPr>
          <w:rFonts w:ascii="Calibri" w:cs="Calibri" w:eastAsia="Calibri" w:hAnsi="Calibri"/>
          <w:i w:val="1"/>
          <w:sz w:val="24"/>
          <w:szCs w:val="24"/>
          <w:rtl w:val="0"/>
        </w:rPr>
        <w:t xml:space="preserve">Journal of the American Oriental Society</w:t>
      </w:r>
      <w:r w:rsidDel="00000000" w:rsidR="00000000" w:rsidRPr="00000000">
        <w:rPr>
          <w:rFonts w:ascii="Calibri" w:cs="Calibri" w:eastAsia="Calibri" w:hAnsi="Calibri"/>
          <w:sz w:val="24"/>
          <w:szCs w:val="24"/>
          <w:rtl w:val="0"/>
        </w:rPr>
        <w:t xml:space="preserve">, Oct.- Dec., 1987, Vol. 107, No. 4 (Oct. - Dec., 1987), pp. 783-784.</w:t>
      </w:r>
    </w:p>
    <w:p w:rsidR="00000000" w:rsidDel="00000000" w:rsidP="00000000" w:rsidRDefault="00000000" w:rsidRPr="00000000" w14:paraId="0000009A">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Head, Raymond, ‘Holst - Astrology and Modernism in ‘The Planets’, </w:t>
      </w:r>
      <w:r w:rsidDel="00000000" w:rsidR="00000000" w:rsidRPr="00000000">
        <w:rPr>
          <w:rFonts w:ascii="Calibri" w:cs="Calibri" w:eastAsia="Calibri" w:hAnsi="Calibri"/>
          <w:i w:val="1"/>
          <w:sz w:val="24"/>
          <w:szCs w:val="24"/>
          <w:rtl w:val="0"/>
        </w:rPr>
        <w:t xml:space="preserve">Tempo</w:t>
      </w:r>
      <w:r w:rsidDel="00000000" w:rsidR="00000000" w:rsidRPr="00000000">
        <w:rPr>
          <w:rFonts w:ascii="Calibri" w:cs="Calibri" w:eastAsia="Calibri" w:hAnsi="Calibri"/>
          <w:sz w:val="24"/>
          <w:szCs w:val="24"/>
          <w:rtl w:val="0"/>
        </w:rPr>
        <w:t xml:space="preserve">, New Series, nº187 (Dec. 1993), pp.15-22.</w:t>
      </w:r>
      <w:r w:rsidDel="00000000" w:rsidR="00000000" w:rsidRPr="00000000">
        <w:rPr>
          <w:rtl w:val="0"/>
        </w:rPr>
      </w:r>
    </w:p>
    <w:p w:rsidR="00000000" w:rsidDel="00000000" w:rsidP="00000000" w:rsidRDefault="00000000" w:rsidRPr="00000000" w14:paraId="0000009C">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D">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Head, Raymond, </w:t>
      </w:r>
      <w:r w:rsidDel="00000000" w:rsidR="00000000" w:rsidRPr="00000000">
        <w:rPr>
          <w:rFonts w:ascii="Calibri" w:cs="Calibri" w:eastAsia="Calibri" w:hAnsi="Calibri"/>
          <w:i w:val="1"/>
          <w:sz w:val="24"/>
          <w:szCs w:val="24"/>
          <w:rtl w:val="0"/>
        </w:rPr>
        <w:t xml:space="preserve">The Indian Style</w:t>
      </w:r>
      <w:r w:rsidDel="00000000" w:rsidR="00000000" w:rsidRPr="00000000">
        <w:rPr>
          <w:rFonts w:ascii="Calibri" w:cs="Calibri" w:eastAsia="Calibri" w:hAnsi="Calibri"/>
          <w:sz w:val="24"/>
          <w:szCs w:val="24"/>
          <w:rtl w:val="0"/>
        </w:rPr>
        <w:t xml:space="preserve">, (Chicago University Press, 1986)</w:t>
      </w:r>
    </w:p>
    <w:p w:rsidR="00000000" w:rsidDel="00000000" w:rsidP="00000000" w:rsidRDefault="00000000" w:rsidRPr="00000000" w14:paraId="0000009E">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F">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Head, Raymond, Biography, </w:t>
      </w:r>
      <w:hyperlink r:id="rId8">
        <w:r w:rsidDel="00000000" w:rsidR="00000000" w:rsidRPr="00000000">
          <w:rPr>
            <w:rFonts w:ascii="Calibri" w:cs="Calibri" w:eastAsia="Calibri" w:hAnsi="Calibri"/>
            <w:sz w:val="24"/>
            <w:szCs w:val="24"/>
            <w:rtl w:val="0"/>
          </w:rPr>
          <w:t xml:space="preserve">https://raymondhead.com/biography</w:t>
        </w:r>
      </w:hyperlink>
      <w:r w:rsidDel="00000000" w:rsidR="00000000" w:rsidRPr="00000000">
        <w:rPr>
          <w:rFonts w:ascii="Calibri" w:cs="Calibri" w:eastAsia="Calibri" w:hAnsi="Calibri"/>
          <w:sz w:val="24"/>
          <w:szCs w:val="24"/>
          <w:rtl w:val="0"/>
        </w:rPr>
        <w:t xml:space="preserve"> [accessed October 20th, 2022]</w:t>
      </w:r>
    </w:p>
    <w:p w:rsidR="00000000" w:rsidDel="00000000" w:rsidP="00000000" w:rsidRDefault="00000000" w:rsidRPr="00000000" w14:paraId="000000A0">
      <w:pPr>
        <w:ind w:left="72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Long, Eleanor R., ‘How the Dog Got Its Days: A Skeptical Inquiry into Traditional Star and Weather Lore’, </w:t>
      </w:r>
      <w:r w:rsidDel="00000000" w:rsidR="00000000" w:rsidRPr="00000000">
        <w:rPr>
          <w:rFonts w:ascii="Calibri" w:cs="Calibri" w:eastAsia="Calibri" w:hAnsi="Calibri"/>
          <w:i w:val="1"/>
          <w:sz w:val="24"/>
          <w:szCs w:val="24"/>
          <w:rtl w:val="0"/>
        </w:rPr>
        <w:t xml:space="preserve">Western Folklore</w:t>
      </w:r>
      <w:r w:rsidDel="00000000" w:rsidR="00000000" w:rsidRPr="00000000">
        <w:rPr>
          <w:rFonts w:ascii="Calibri" w:cs="Calibri" w:eastAsia="Calibri" w:hAnsi="Calibri"/>
          <w:sz w:val="24"/>
          <w:szCs w:val="24"/>
          <w:rtl w:val="0"/>
        </w:rPr>
        <w:t xml:space="preserve">, 43 (1984), pp.256-264.</w:t>
      </w:r>
      <w:r w:rsidDel="00000000" w:rsidR="00000000" w:rsidRPr="00000000">
        <w:rPr>
          <w:rtl w:val="0"/>
        </w:rPr>
      </w:r>
    </w:p>
    <w:p w:rsidR="00000000" w:rsidDel="00000000" w:rsidP="00000000" w:rsidRDefault="00000000" w:rsidRPr="00000000" w14:paraId="000000A2">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3">
      <w:pPr>
        <w:spacing w:line="240" w:lineRule="auto"/>
        <w:rPr>
          <w:rFonts w:ascii="Calibri" w:cs="Calibri" w:eastAsia="Calibri" w:hAnsi="Calibri"/>
          <w:sz w:val="24"/>
          <w:szCs w:val="24"/>
        </w:rPr>
      </w:pPr>
      <w:r w:rsidDel="00000000" w:rsidR="00000000" w:rsidRPr="00000000">
        <w:rPr>
          <w:rFonts w:ascii="Calibri" w:cs="Calibri" w:eastAsia="Calibri" w:hAnsi="Calibri"/>
          <w:i w:val="1"/>
          <w:sz w:val="24"/>
          <w:szCs w:val="24"/>
          <w:rtl w:val="0"/>
        </w:rPr>
        <w:t xml:space="preserve">Tempo</w:t>
      </w:r>
      <w:r w:rsidDel="00000000" w:rsidR="00000000" w:rsidRPr="00000000">
        <w:rPr>
          <w:rFonts w:ascii="Calibri" w:cs="Calibri" w:eastAsia="Calibri" w:hAnsi="Calibri"/>
          <w:sz w:val="24"/>
          <w:szCs w:val="24"/>
          <w:rtl w:val="0"/>
        </w:rPr>
        <w:t xml:space="preserve">, Advertising Information, </w:t>
      </w:r>
      <w:hyperlink r:id="rId9">
        <w:r w:rsidDel="00000000" w:rsidR="00000000" w:rsidRPr="00000000">
          <w:rPr>
            <w:rFonts w:ascii="Calibri" w:cs="Calibri" w:eastAsia="Calibri" w:hAnsi="Calibri"/>
            <w:sz w:val="24"/>
            <w:szCs w:val="24"/>
            <w:rtl w:val="0"/>
          </w:rPr>
          <w:t xml:space="preserve">https://www.cambridge.org/core/journals/tempo/information/advertising-information</w:t>
        </w:r>
      </w:hyperlink>
      <w:r w:rsidDel="00000000" w:rsidR="00000000" w:rsidRPr="00000000">
        <w:rPr>
          <w:rFonts w:ascii="Calibri" w:cs="Calibri" w:eastAsia="Calibri" w:hAnsi="Calibri"/>
          <w:sz w:val="24"/>
          <w:szCs w:val="24"/>
          <w:rtl w:val="0"/>
        </w:rPr>
        <w:t xml:space="preserve">  [accessed October 20th, 2022)</w:t>
      </w:r>
    </w:p>
    <w:p w:rsidR="00000000" w:rsidDel="00000000" w:rsidP="00000000" w:rsidRDefault="00000000" w:rsidRPr="00000000" w14:paraId="000000A4">
      <w:pPr>
        <w:spacing w:line="240" w:lineRule="auto"/>
        <w:ind w:left="720" w:firstLine="0"/>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A5">
      <w:pPr>
        <w:spacing w:line="240" w:lineRule="auto"/>
        <w:rPr>
          <w:rFonts w:ascii="Calibri" w:cs="Calibri" w:eastAsia="Calibri" w:hAnsi="Calibri"/>
          <w:sz w:val="24"/>
          <w:szCs w:val="24"/>
        </w:rPr>
      </w:pPr>
      <w:r w:rsidDel="00000000" w:rsidR="00000000" w:rsidRPr="00000000">
        <w:rPr>
          <w:rFonts w:ascii="Calibri" w:cs="Calibri" w:eastAsia="Calibri" w:hAnsi="Calibri"/>
          <w:i w:val="1"/>
          <w:sz w:val="24"/>
          <w:szCs w:val="24"/>
          <w:rtl w:val="0"/>
        </w:rPr>
        <w:t xml:space="preserve">Western Folklore Journal</w:t>
      </w:r>
      <w:r w:rsidDel="00000000" w:rsidR="00000000" w:rsidRPr="00000000">
        <w:rPr>
          <w:rFonts w:ascii="Calibri" w:cs="Calibri" w:eastAsia="Calibri" w:hAnsi="Calibri"/>
          <w:sz w:val="24"/>
          <w:szCs w:val="24"/>
          <w:rtl w:val="0"/>
        </w:rPr>
        <w:t xml:space="preserve">, Journal Description, </w:t>
      </w:r>
      <w:hyperlink r:id="rId10">
        <w:r w:rsidDel="00000000" w:rsidR="00000000" w:rsidRPr="00000000">
          <w:rPr>
            <w:rFonts w:ascii="Calibri" w:cs="Calibri" w:eastAsia="Calibri" w:hAnsi="Calibri"/>
            <w:sz w:val="24"/>
            <w:szCs w:val="24"/>
            <w:rtl w:val="0"/>
          </w:rPr>
          <w:t xml:space="preserve">https://www-jstor-org.ezproxy.uwtsd.ac.uk/journal/westernfolklore</w:t>
        </w:r>
      </w:hyperlink>
      <w:r w:rsidDel="00000000" w:rsidR="00000000" w:rsidRPr="00000000">
        <w:rPr>
          <w:rFonts w:ascii="Calibri" w:cs="Calibri" w:eastAsia="Calibri" w:hAnsi="Calibri"/>
          <w:sz w:val="24"/>
          <w:szCs w:val="24"/>
          <w:rtl w:val="0"/>
        </w:rPr>
        <w:t xml:space="preserve"> [accessed October 20th, 2022)</w:t>
      </w:r>
      <w:r w:rsidDel="00000000" w:rsidR="00000000" w:rsidRPr="00000000">
        <w:rPr>
          <w:rtl w:val="0"/>
        </w:rPr>
      </w:r>
    </w:p>
    <w:p w:rsidR="00000000" w:rsidDel="00000000" w:rsidP="00000000" w:rsidRDefault="00000000" w:rsidRPr="00000000" w14:paraId="000000A6">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A7">
      <w:pPr>
        <w:rPr>
          <w:rFonts w:ascii="Calibri" w:cs="Calibri" w:eastAsia="Calibri" w:hAnsi="Calibri"/>
          <w:b w:val="1"/>
          <w:sz w:val="24"/>
          <w:szCs w:val="24"/>
          <w:highlight w:val="cyan"/>
        </w:rPr>
      </w:pPr>
      <w:r w:rsidDel="00000000" w:rsidR="00000000" w:rsidRPr="00000000">
        <w:rPr>
          <w:rtl w:val="0"/>
        </w:rPr>
      </w:r>
    </w:p>
    <w:sectPr>
      <w:headerReference r:id="rId11" w:type="default"/>
      <w:headerReference r:id="rId12" w:type="first"/>
      <w:footerReference r:id="rId13" w:type="default"/>
      <w:footerReference r:id="rId14"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rebuchet MS"/>
  <w:font w:name="Calibri"/>
  <w:font w:name="Caveat">
    <w:embedRegular w:fontKey="{00000000-0000-0000-0000-000000000000}" r:id="rId1" w:subsetted="0"/>
    <w:embedBold w:fontKey="{00000000-0000-0000-0000-000000000000}" r:id="rId2" w:subsetted="0"/>
  </w:font>
  <w:font w:name="Tahoma">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A">
    <w:pPr>
      <w:jc w:val="right"/>
      <w:rPr/>
    </w:pPr>
    <w:r w:rsidDel="00000000" w:rsidR="00000000" w:rsidRPr="00000000">
      <w:rPr>
        <w:rFonts w:ascii="Georgia" w:cs="Georgia" w:eastAsia="Georgia" w:hAnsi="Georgia"/>
        <w:sz w:val="21"/>
        <w:szCs w:val="21"/>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4">
    <w:p w:rsidR="00000000" w:rsidDel="00000000" w:rsidP="00000000" w:rsidRDefault="00000000" w:rsidRPr="00000000" w14:paraId="000000A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Raymond Head, Biography, </w:t>
      </w:r>
      <w:hyperlink r:id="rId1">
        <w:r w:rsidDel="00000000" w:rsidR="00000000" w:rsidRPr="00000000">
          <w:rPr>
            <w:color w:val="1155cc"/>
            <w:sz w:val="20"/>
            <w:szCs w:val="20"/>
            <w:u w:val="single"/>
            <w:rtl w:val="0"/>
          </w:rPr>
          <w:t xml:space="preserve">https://raymondhead.com/biography</w:t>
        </w:r>
      </w:hyperlink>
      <w:r w:rsidDel="00000000" w:rsidR="00000000" w:rsidRPr="00000000">
        <w:rPr>
          <w:sz w:val="20"/>
          <w:szCs w:val="20"/>
          <w:rtl w:val="0"/>
        </w:rPr>
        <w:t xml:space="preserve"> [accessed October 20th, 2022]</w:t>
      </w:r>
    </w:p>
  </w:footnote>
  <w:footnote w:id="2">
    <w:p w:rsidR="00000000" w:rsidDel="00000000" w:rsidP="00000000" w:rsidRDefault="00000000" w:rsidRPr="00000000" w14:paraId="000000A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Tempo, Journal Summary, </w:t>
      </w:r>
      <w:hyperlink r:id="rId2">
        <w:r w:rsidDel="00000000" w:rsidR="00000000" w:rsidRPr="00000000">
          <w:rPr>
            <w:sz w:val="20"/>
            <w:szCs w:val="20"/>
            <w:rtl w:val="0"/>
          </w:rPr>
          <w:t xml:space="preserve">https://www-jstor-org.ezproxy.uwtsd.ac.uk/journal/temp</w:t>
        </w:r>
      </w:hyperlink>
      <w:r w:rsidDel="00000000" w:rsidR="00000000" w:rsidRPr="00000000">
        <w:rPr>
          <w:sz w:val="20"/>
          <w:szCs w:val="20"/>
          <w:rtl w:val="0"/>
        </w:rPr>
        <w:t xml:space="preserve">o</w:t>
      </w:r>
      <w:r w:rsidDel="00000000" w:rsidR="00000000" w:rsidRPr="00000000">
        <w:rPr>
          <w:sz w:val="20"/>
          <w:szCs w:val="20"/>
          <w:rtl w:val="0"/>
        </w:rPr>
        <w:t xml:space="preserve"> [accessed October 20, 2022]</w:t>
      </w:r>
      <w:r w:rsidDel="00000000" w:rsidR="00000000" w:rsidRPr="00000000">
        <w:rPr>
          <w:rtl w:val="0"/>
        </w:rPr>
      </w:r>
    </w:p>
  </w:footnote>
  <w:footnote w:id="11">
    <w:p w:rsidR="00000000" w:rsidDel="00000000" w:rsidP="00000000" w:rsidRDefault="00000000" w:rsidRPr="00000000" w14:paraId="000000A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Maid Freed from the Gallows, was awarded the Chicago Folklore Prize in 1971. Norm Cohen, ‘Eleanor R. Long-Wilgus (1923-2005),</w:t>
      </w:r>
      <w:r w:rsidDel="00000000" w:rsidR="00000000" w:rsidRPr="00000000">
        <w:rPr>
          <w:i w:val="1"/>
          <w:color w:val="3a3a3a"/>
          <w:sz w:val="23"/>
          <w:szCs w:val="23"/>
          <w:highlight w:val="white"/>
          <w:rtl w:val="0"/>
        </w:rPr>
        <w:t xml:space="preserve"> </w:t>
      </w:r>
      <w:r w:rsidDel="00000000" w:rsidR="00000000" w:rsidRPr="00000000">
        <w:rPr>
          <w:i w:val="1"/>
          <w:sz w:val="20"/>
          <w:szCs w:val="20"/>
          <w:rtl w:val="0"/>
        </w:rPr>
        <w:t xml:space="preserve">The Journal of American Folklore, </w:t>
      </w:r>
      <w:r w:rsidDel="00000000" w:rsidR="00000000" w:rsidRPr="00000000">
        <w:rPr>
          <w:sz w:val="20"/>
          <w:szCs w:val="20"/>
          <w:rtl w:val="0"/>
        </w:rPr>
        <w:t xml:space="preserve">Vol. 119, No. 472 (University of Illinois Press, Spring, 2006), p.236</w:t>
      </w:r>
      <w:r w:rsidDel="00000000" w:rsidR="00000000" w:rsidRPr="00000000">
        <w:rPr>
          <w:rtl w:val="0"/>
        </w:rPr>
      </w:r>
    </w:p>
  </w:footnote>
  <w:footnote w:id="12">
    <w:p w:rsidR="00000000" w:rsidDel="00000000" w:rsidP="00000000" w:rsidRDefault="00000000" w:rsidRPr="00000000" w14:paraId="000000A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Norm Cohen, </w:t>
      </w:r>
      <w:r w:rsidDel="00000000" w:rsidR="00000000" w:rsidRPr="00000000">
        <w:rPr>
          <w:sz w:val="20"/>
          <w:szCs w:val="20"/>
          <w:rtl w:val="0"/>
        </w:rPr>
        <w:t xml:space="preserve">‘</w:t>
      </w:r>
      <w:r w:rsidDel="00000000" w:rsidR="00000000" w:rsidRPr="00000000">
        <w:rPr>
          <w:sz w:val="20"/>
          <w:szCs w:val="20"/>
          <w:rtl w:val="0"/>
        </w:rPr>
        <w:t xml:space="preserve">Eleanor R. Long-Wilgus’, </w:t>
      </w:r>
      <w:r w:rsidDel="00000000" w:rsidR="00000000" w:rsidRPr="00000000">
        <w:rPr>
          <w:sz w:val="20"/>
          <w:szCs w:val="20"/>
          <w:rtl w:val="0"/>
        </w:rPr>
        <w:t xml:space="preserve">p.236</w:t>
      </w:r>
    </w:p>
  </w:footnote>
  <w:footnote w:id="6">
    <w:p w:rsidR="00000000" w:rsidDel="00000000" w:rsidP="00000000" w:rsidRDefault="00000000" w:rsidRPr="00000000" w14:paraId="000000A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Raymond Head, Biography</w:t>
      </w:r>
    </w:p>
  </w:footnote>
  <w:footnote w:id="7">
    <w:p w:rsidR="00000000" w:rsidDel="00000000" w:rsidP="00000000" w:rsidRDefault="00000000" w:rsidRPr="00000000" w14:paraId="000000A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Raymond Head, </w:t>
      </w:r>
      <w:r w:rsidDel="00000000" w:rsidR="00000000" w:rsidRPr="00000000">
        <w:rPr>
          <w:i w:val="1"/>
          <w:sz w:val="20"/>
          <w:szCs w:val="20"/>
          <w:rtl w:val="0"/>
        </w:rPr>
        <w:t xml:space="preserve">The Indian Style, (Chicago University Press, </w:t>
      </w:r>
      <w:r w:rsidDel="00000000" w:rsidR="00000000" w:rsidRPr="00000000">
        <w:rPr>
          <w:sz w:val="20"/>
          <w:szCs w:val="20"/>
          <w:rtl w:val="0"/>
        </w:rPr>
        <w:t xml:space="preserve">1986)</w:t>
      </w:r>
    </w:p>
  </w:footnote>
  <w:footnote w:id="8">
    <w:p w:rsidR="00000000" w:rsidDel="00000000" w:rsidP="00000000" w:rsidRDefault="00000000" w:rsidRPr="00000000" w14:paraId="000000A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Charles D. Collins, ‘The Indian Style by Raymond Head’, </w:t>
      </w:r>
      <w:r w:rsidDel="00000000" w:rsidR="00000000" w:rsidRPr="00000000">
        <w:rPr>
          <w:i w:val="1"/>
          <w:sz w:val="20"/>
          <w:szCs w:val="20"/>
          <w:rtl w:val="0"/>
        </w:rPr>
        <w:t xml:space="preserve">Journal of the American Oriental Society</w:t>
      </w:r>
      <w:r w:rsidDel="00000000" w:rsidR="00000000" w:rsidRPr="00000000">
        <w:rPr>
          <w:sz w:val="20"/>
          <w:szCs w:val="20"/>
          <w:rtl w:val="0"/>
        </w:rPr>
        <w:t xml:space="preserve">, Vol. 107, No. 4 (Oct. - Dec., 1987), pp. 783-784</w:t>
      </w:r>
    </w:p>
  </w:footnote>
  <w:footnote w:id="9">
    <w:p w:rsidR="00000000" w:rsidDel="00000000" w:rsidP="00000000" w:rsidRDefault="00000000" w:rsidRPr="00000000" w14:paraId="000000A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Raymond Head, Biography</w:t>
      </w:r>
    </w:p>
  </w:footnote>
  <w:footnote w:id="19">
    <w:p w:rsidR="00000000" w:rsidDel="00000000" w:rsidP="00000000" w:rsidRDefault="00000000" w:rsidRPr="00000000" w14:paraId="000000B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Head, ‘Holst - Astrology and Modernism’, p. 15</w:t>
      </w:r>
      <w:r w:rsidDel="00000000" w:rsidR="00000000" w:rsidRPr="00000000">
        <w:rPr>
          <w:rtl w:val="0"/>
        </w:rPr>
      </w:r>
    </w:p>
  </w:footnote>
  <w:footnote w:id="20">
    <w:p w:rsidR="00000000" w:rsidDel="00000000" w:rsidP="00000000" w:rsidRDefault="00000000" w:rsidRPr="00000000" w14:paraId="000000B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Head, ‘Holst - Astrology and Modernism’, p.15</w:t>
      </w:r>
      <w:r w:rsidDel="00000000" w:rsidR="00000000" w:rsidRPr="00000000">
        <w:rPr>
          <w:rtl w:val="0"/>
        </w:rPr>
      </w:r>
    </w:p>
  </w:footnote>
  <w:footnote w:id="24">
    <w:p w:rsidR="00000000" w:rsidDel="00000000" w:rsidP="00000000" w:rsidRDefault="00000000" w:rsidRPr="00000000" w14:paraId="000000B2">
      <w:pPr>
        <w:spacing w:line="240" w:lineRule="auto"/>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Eleanor R. Long</w:t>
      </w:r>
      <w:r w:rsidDel="00000000" w:rsidR="00000000" w:rsidRPr="00000000">
        <w:rPr>
          <w:i w:val="1"/>
          <w:sz w:val="20"/>
          <w:szCs w:val="20"/>
          <w:rtl w:val="0"/>
        </w:rPr>
        <w:t xml:space="preserve">,</w:t>
      </w:r>
      <w:r w:rsidDel="00000000" w:rsidR="00000000" w:rsidRPr="00000000">
        <w:rPr>
          <w:sz w:val="20"/>
          <w:szCs w:val="20"/>
          <w:rtl w:val="0"/>
        </w:rPr>
        <w:t xml:space="preserve"> ‘How the Dog Got Its Days: A Skeptical Inquiry into Traditional Star and Weather Lore’</w:t>
      </w:r>
      <w:r w:rsidDel="00000000" w:rsidR="00000000" w:rsidRPr="00000000">
        <w:rPr>
          <w:i w:val="1"/>
          <w:sz w:val="20"/>
          <w:szCs w:val="20"/>
          <w:rtl w:val="0"/>
        </w:rPr>
        <w:t xml:space="preserve">, Western Folklore, </w:t>
      </w:r>
      <w:r w:rsidDel="00000000" w:rsidR="00000000" w:rsidRPr="00000000">
        <w:rPr>
          <w:sz w:val="20"/>
          <w:szCs w:val="20"/>
          <w:rtl w:val="0"/>
        </w:rPr>
        <w:t xml:space="preserve">43 (1984), pp.257-8</w:t>
      </w:r>
      <w:r w:rsidDel="00000000" w:rsidR="00000000" w:rsidRPr="00000000">
        <w:rPr>
          <w:rtl w:val="0"/>
        </w:rPr>
      </w:r>
    </w:p>
  </w:footnote>
  <w:footnote w:id="16">
    <w:p w:rsidR="00000000" w:rsidDel="00000000" w:rsidP="00000000" w:rsidRDefault="00000000" w:rsidRPr="00000000" w14:paraId="000000B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Head, </w:t>
      </w:r>
      <w:r w:rsidDel="00000000" w:rsidR="00000000" w:rsidRPr="00000000">
        <w:rPr>
          <w:sz w:val="20"/>
          <w:szCs w:val="20"/>
          <w:rtl w:val="0"/>
        </w:rPr>
        <w:t xml:space="preserve">‘Holst - Astrology and Modernism’</w:t>
      </w:r>
      <w:r w:rsidDel="00000000" w:rsidR="00000000" w:rsidRPr="00000000">
        <w:rPr>
          <w:sz w:val="20"/>
          <w:szCs w:val="20"/>
          <w:rtl w:val="0"/>
        </w:rPr>
        <w:t xml:space="preserve">, p. 15</w:t>
      </w:r>
      <w:r w:rsidDel="00000000" w:rsidR="00000000" w:rsidRPr="00000000">
        <w:rPr>
          <w:rtl w:val="0"/>
        </w:rPr>
      </w:r>
    </w:p>
  </w:footnote>
  <w:footnote w:id="1">
    <w:p w:rsidR="00000000" w:rsidDel="00000000" w:rsidP="00000000" w:rsidRDefault="00000000" w:rsidRPr="00000000" w14:paraId="000000B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Eleanor R. Long,</w:t>
      </w:r>
      <w:r w:rsidDel="00000000" w:rsidR="00000000" w:rsidRPr="00000000">
        <w:rPr>
          <w:i w:val="1"/>
          <w:sz w:val="20"/>
          <w:szCs w:val="20"/>
          <w:rtl w:val="0"/>
        </w:rPr>
        <w:t xml:space="preserve"> </w:t>
      </w:r>
      <w:r w:rsidDel="00000000" w:rsidR="00000000" w:rsidRPr="00000000">
        <w:rPr>
          <w:sz w:val="20"/>
          <w:szCs w:val="20"/>
          <w:rtl w:val="0"/>
        </w:rPr>
        <w:t xml:space="preserve">‘How the Dog Got Its Days: A Skeptical Inquiry into Traditional Star and Weather Lore’</w:t>
      </w:r>
      <w:r w:rsidDel="00000000" w:rsidR="00000000" w:rsidRPr="00000000">
        <w:rPr>
          <w:i w:val="1"/>
          <w:sz w:val="20"/>
          <w:szCs w:val="20"/>
          <w:rtl w:val="0"/>
        </w:rPr>
        <w:t xml:space="preserve">, Western Folklore,</w:t>
      </w:r>
      <w:r w:rsidDel="00000000" w:rsidR="00000000" w:rsidRPr="00000000">
        <w:rPr>
          <w:sz w:val="20"/>
          <w:szCs w:val="20"/>
          <w:rtl w:val="0"/>
        </w:rPr>
        <w:t xml:space="preserve"> 43 (1984), pp.256</w:t>
      </w:r>
      <w:r w:rsidDel="00000000" w:rsidR="00000000" w:rsidRPr="00000000">
        <w:rPr>
          <w:rtl w:val="0"/>
        </w:rPr>
      </w:r>
    </w:p>
  </w:footnote>
  <w:footnote w:id="0">
    <w:p w:rsidR="00000000" w:rsidDel="00000000" w:rsidP="00000000" w:rsidRDefault="00000000" w:rsidRPr="00000000" w14:paraId="000000B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Clive Ruggles and Nicholas Saunders, ‘The Study of Cultural Astronomy’ in Clive Ruggles and NIcholas Saunders, </w:t>
      </w:r>
      <w:r w:rsidDel="00000000" w:rsidR="00000000" w:rsidRPr="00000000">
        <w:rPr>
          <w:i w:val="1"/>
          <w:sz w:val="20"/>
          <w:szCs w:val="20"/>
          <w:rtl w:val="0"/>
        </w:rPr>
        <w:t xml:space="preserve">Astronomies and Culture’, </w:t>
      </w:r>
      <w:r w:rsidDel="00000000" w:rsidR="00000000" w:rsidRPr="00000000">
        <w:rPr>
          <w:sz w:val="20"/>
          <w:szCs w:val="20"/>
          <w:rtl w:val="0"/>
        </w:rPr>
        <w:t xml:space="preserve">Niwot CA, University of Colorado Press, 1993</w:t>
      </w:r>
      <w:r w:rsidDel="00000000" w:rsidR="00000000" w:rsidRPr="00000000">
        <w:rPr>
          <w:i w:val="1"/>
          <w:sz w:val="20"/>
          <w:szCs w:val="20"/>
          <w:rtl w:val="0"/>
        </w:rPr>
        <w:t xml:space="preserve">,</w:t>
      </w:r>
      <w:r w:rsidDel="00000000" w:rsidR="00000000" w:rsidRPr="00000000">
        <w:rPr>
          <w:sz w:val="20"/>
          <w:szCs w:val="20"/>
          <w:rtl w:val="0"/>
        </w:rPr>
        <w:t xml:space="preserve"> p.1 in Nicholas Campion</w:t>
      </w:r>
      <w:r w:rsidDel="00000000" w:rsidR="00000000" w:rsidRPr="00000000">
        <w:rPr>
          <w:i w:val="1"/>
          <w:sz w:val="20"/>
          <w:szCs w:val="20"/>
          <w:rtl w:val="0"/>
        </w:rPr>
        <w:t xml:space="preserve"> ‘Introduction: Cultural Astronomy; in </w:t>
      </w:r>
      <w:r w:rsidDel="00000000" w:rsidR="00000000" w:rsidRPr="00000000">
        <w:rPr>
          <w:sz w:val="20"/>
          <w:szCs w:val="20"/>
          <w:rtl w:val="0"/>
        </w:rPr>
        <w:t xml:space="preserve">Nicholas Campion, Patrick Curry and Michale York (ed.) </w:t>
      </w:r>
      <w:r w:rsidDel="00000000" w:rsidR="00000000" w:rsidRPr="00000000">
        <w:rPr>
          <w:i w:val="1"/>
          <w:sz w:val="20"/>
          <w:szCs w:val="20"/>
          <w:rtl w:val="0"/>
        </w:rPr>
        <w:t xml:space="preserve">Astrology and the Academy, </w:t>
      </w:r>
      <w:r w:rsidDel="00000000" w:rsidR="00000000" w:rsidRPr="00000000">
        <w:rPr>
          <w:sz w:val="20"/>
          <w:szCs w:val="20"/>
          <w:rtl w:val="0"/>
        </w:rPr>
        <w:t xml:space="preserve">papers from the inaugural conference of the Sophia Centre, Bath Spa University College, 12-14 June 2003, Bristol: Cinnabar Boko 2004, p. xxiii.</w:t>
      </w:r>
    </w:p>
  </w:footnote>
  <w:footnote w:id="15">
    <w:p w:rsidR="00000000" w:rsidDel="00000000" w:rsidP="00000000" w:rsidRDefault="00000000" w:rsidRPr="00000000" w14:paraId="000000B6">
      <w:pPr>
        <w:spacing w:line="240" w:lineRule="auto"/>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Western Folklore Journal, Journal </w:t>
      </w:r>
      <w:r w:rsidDel="00000000" w:rsidR="00000000" w:rsidRPr="00000000">
        <w:rPr>
          <w:sz w:val="20"/>
          <w:szCs w:val="20"/>
          <w:rtl w:val="0"/>
        </w:rPr>
        <w:t xml:space="preserve">Description, </w:t>
      </w:r>
      <w:hyperlink r:id="rId3">
        <w:r w:rsidDel="00000000" w:rsidR="00000000" w:rsidRPr="00000000">
          <w:rPr>
            <w:color w:val="1155cc"/>
            <w:sz w:val="20"/>
            <w:szCs w:val="20"/>
            <w:highlight w:val="white"/>
            <w:u w:val="single"/>
            <w:rtl w:val="0"/>
          </w:rPr>
          <w:t xml:space="preserve">https://www-jstor-org.ezproxy.uwtsd.ac.uk/journal/westernfolklore</w:t>
        </w:r>
      </w:hyperlink>
      <w:r w:rsidDel="00000000" w:rsidR="00000000" w:rsidRPr="00000000">
        <w:rPr>
          <w:sz w:val="20"/>
          <w:szCs w:val="20"/>
          <w:highlight w:val="white"/>
          <w:rtl w:val="0"/>
        </w:rPr>
        <w:t xml:space="preserve"> [accessed October 20, 2022]</w:t>
      </w:r>
      <w:r w:rsidDel="00000000" w:rsidR="00000000" w:rsidRPr="00000000">
        <w:rPr>
          <w:rtl w:val="0"/>
        </w:rPr>
      </w:r>
    </w:p>
  </w:footnote>
  <w:footnote w:id="10">
    <w:p w:rsidR="00000000" w:rsidDel="00000000" w:rsidP="00000000" w:rsidRDefault="00000000" w:rsidRPr="00000000" w14:paraId="000000B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Tempo,</w:t>
      </w:r>
      <w:r w:rsidDel="00000000" w:rsidR="00000000" w:rsidRPr="00000000">
        <w:rPr>
          <w:sz w:val="20"/>
          <w:szCs w:val="20"/>
          <w:rtl w:val="0"/>
        </w:rPr>
        <w:t xml:space="preserve"> Advertising Information, </w:t>
      </w:r>
      <w:hyperlink r:id="rId4">
        <w:r w:rsidDel="00000000" w:rsidR="00000000" w:rsidRPr="00000000">
          <w:rPr>
            <w:color w:val="1155cc"/>
            <w:sz w:val="20"/>
            <w:szCs w:val="20"/>
            <w:u w:val="single"/>
            <w:rtl w:val="0"/>
          </w:rPr>
          <w:t xml:space="preserve">https://www.cambridge.org/core/journals/tempo/information/advertising-information</w:t>
        </w:r>
      </w:hyperlink>
      <w:r w:rsidDel="00000000" w:rsidR="00000000" w:rsidRPr="00000000">
        <w:rPr>
          <w:sz w:val="20"/>
          <w:szCs w:val="20"/>
          <w:rtl w:val="0"/>
        </w:rPr>
        <w:t xml:space="preserve"> </w:t>
      </w:r>
      <w:r w:rsidDel="00000000" w:rsidR="00000000" w:rsidRPr="00000000">
        <w:rPr>
          <w:sz w:val="20"/>
          <w:szCs w:val="20"/>
          <w:highlight w:val="white"/>
          <w:rtl w:val="0"/>
        </w:rPr>
        <w:t xml:space="preserve"> [accessed October 20th, 2022)</w:t>
      </w:r>
      <w:r w:rsidDel="00000000" w:rsidR="00000000" w:rsidRPr="00000000">
        <w:rPr>
          <w:rtl w:val="0"/>
        </w:rPr>
      </w:r>
    </w:p>
  </w:footnote>
  <w:footnote w:id="21">
    <w:p w:rsidR="00000000" w:rsidDel="00000000" w:rsidP="00000000" w:rsidRDefault="00000000" w:rsidRPr="00000000" w14:paraId="000000B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Head, ‘Holst - Astrology and Modernism’, p. 17</w:t>
      </w:r>
      <w:r w:rsidDel="00000000" w:rsidR="00000000" w:rsidRPr="00000000">
        <w:rPr>
          <w:rtl w:val="0"/>
        </w:rPr>
      </w:r>
    </w:p>
  </w:footnote>
  <w:footnote w:id="17">
    <w:p w:rsidR="00000000" w:rsidDel="00000000" w:rsidP="00000000" w:rsidRDefault="00000000" w:rsidRPr="00000000" w14:paraId="000000B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Head, ‘Holst - Astrology and Modernism’, p. 18</w:t>
      </w:r>
      <w:r w:rsidDel="00000000" w:rsidR="00000000" w:rsidRPr="00000000">
        <w:rPr>
          <w:rtl w:val="0"/>
        </w:rPr>
      </w:r>
    </w:p>
  </w:footnote>
  <w:footnote w:id="25">
    <w:p w:rsidR="00000000" w:rsidDel="00000000" w:rsidP="00000000" w:rsidRDefault="00000000" w:rsidRPr="00000000" w14:paraId="000000B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Cohen, ‘American Folklore</w:t>
      </w:r>
      <w:r w:rsidDel="00000000" w:rsidR="00000000" w:rsidRPr="00000000">
        <w:rPr>
          <w:i w:val="1"/>
          <w:sz w:val="20"/>
          <w:szCs w:val="20"/>
          <w:rtl w:val="0"/>
        </w:rPr>
        <w:t xml:space="preserve">’, </w:t>
      </w:r>
      <w:r w:rsidDel="00000000" w:rsidR="00000000" w:rsidRPr="00000000">
        <w:rPr>
          <w:sz w:val="20"/>
          <w:szCs w:val="20"/>
          <w:rtl w:val="0"/>
        </w:rPr>
        <w:t xml:space="preserve">p.237</w:t>
      </w:r>
    </w:p>
  </w:footnote>
  <w:footnote w:id="37">
    <w:p w:rsidR="00000000" w:rsidDel="00000000" w:rsidP="00000000" w:rsidRDefault="00000000" w:rsidRPr="00000000" w14:paraId="000000B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Long, ‘How the Dog Got Its Days’, p.264</w:t>
      </w:r>
    </w:p>
  </w:footnote>
  <w:footnote w:id="33">
    <w:p w:rsidR="00000000" w:rsidDel="00000000" w:rsidP="00000000" w:rsidRDefault="00000000" w:rsidRPr="00000000" w14:paraId="000000C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Long, ‘How the Dog Got Its Days’, p.257</w:t>
      </w:r>
    </w:p>
  </w:footnote>
  <w:footnote w:id="34">
    <w:p w:rsidR="00000000" w:rsidDel="00000000" w:rsidP="00000000" w:rsidRDefault="00000000" w:rsidRPr="00000000" w14:paraId="000000C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Long, ‘How the Dog Got Its Days’, p.258</w:t>
      </w:r>
    </w:p>
  </w:footnote>
  <w:footnote w:id="35">
    <w:p w:rsidR="00000000" w:rsidDel="00000000" w:rsidP="00000000" w:rsidRDefault="00000000" w:rsidRPr="00000000" w14:paraId="000000C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Long, ‘How the Dog Got Its Days’, p.261</w:t>
      </w:r>
    </w:p>
  </w:footnote>
  <w:footnote w:id="36">
    <w:p w:rsidR="00000000" w:rsidDel="00000000" w:rsidP="00000000" w:rsidRDefault="00000000" w:rsidRPr="00000000" w14:paraId="000000C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Long, ‘How the Dog Got Its Days’, p.261</w:t>
      </w:r>
    </w:p>
  </w:footnote>
  <w:footnote w:id="28">
    <w:p w:rsidR="00000000" w:rsidDel="00000000" w:rsidP="00000000" w:rsidRDefault="00000000" w:rsidRPr="00000000" w14:paraId="000000C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Long, ‘How the Dog Got Its Days’, p.257</w:t>
      </w:r>
    </w:p>
  </w:footnote>
  <w:footnote w:id="29">
    <w:p w:rsidR="00000000" w:rsidDel="00000000" w:rsidP="00000000" w:rsidRDefault="00000000" w:rsidRPr="00000000" w14:paraId="000000C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Long, ‘How the Dog Got Its Days’, p.259</w:t>
      </w:r>
    </w:p>
  </w:footnote>
  <w:footnote w:id="30">
    <w:p w:rsidR="00000000" w:rsidDel="00000000" w:rsidP="00000000" w:rsidRDefault="00000000" w:rsidRPr="00000000" w14:paraId="000000C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Long, ‘How the Dog Got Its Days’, p.259</w:t>
      </w:r>
    </w:p>
  </w:footnote>
  <w:footnote w:id="31">
    <w:p w:rsidR="00000000" w:rsidDel="00000000" w:rsidP="00000000" w:rsidRDefault="00000000" w:rsidRPr="00000000" w14:paraId="000000C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Long, ‘How the Dog Got Its Days’, p.260</w:t>
      </w:r>
    </w:p>
  </w:footnote>
  <w:footnote w:id="32">
    <w:p w:rsidR="00000000" w:rsidDel="00000000" w:rsidP="00000000" w:rsidRDefault="00000000" w:rsidRPr="00000000" w14:paraId="000000C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Long, ‘How the Dog Got Its Days’, p.263</w:t>
      </w:r>
    </w:p>
  </w:footnote>
  <w:footnote w:id="27">
    <w:p w:rsidR="00000000" w:rsidDel="00000000" w:rsidP="00000000" w:rsidRDefault="00000000" w:rsidRPr="00000000" w14:paraId="000000C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Long, ‘How the Dog Got Its Days’, pp.258-60</w:t>
      </w:r>
    </w:p>
  </w:footnote>
  <w:footnote w:id="23">
    <w:p w:rsidR="00000000" w:rsidDel="00000000" w:rsidP="00000000" w:rsidRDefault="00000000" w:rsidRPr="00000000" w14:paraId="000000C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Head, ‘Holst - Astrology and Modernism’, p. 22</w:t>
      </w:r>
      <w:r w:rsidDel="00000000" w:rsidR="00000000" w:rsidRPr="00000000">
        <w:rPr>
          <w:rtl w:val="0"/>
        </w:rPr>
      </w:r>
    </w:p>
  </w:footnote>
  <w:footnote w:id="18">
    <w:p w:rsidR="00000000" w:rsidDel="00000000" w:rsidP="00000000" w:rsidRDefault="00000000" w:rsidRPr="00000000" w14:paraId="000000C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Head, </w:t>
      </w:r>
      <w:r w:rsidDel="00000000" w:rsidR="00000000" w:rsidRPr="00000000">
        <w:rPr>
          <w:sz w:val="20"/>
          <w:szCs w:val="20"/>
          <w:rtl w:val="0"/>
        </w:rPr>
        <w:t xml:space="preserve">‘Holst - Astrology and Modernism’</w:t>
      </w:r>
      <w:r w:rsidDel="00000000" w:rsidR="00000000" w:rsidRPr="00000000">
        <w:rPr>
          <w:sz w:val="20"/>
          <w:szCs w:val="20"/>
          <w:rtl w:val="0"/>
        </w:rPr>
        <w:t xml:space="preserve">, p. 22</w:t>
      </w:r>
    </w:p>
  </w:footnote>
  <w:footnote w:id="22">
    <w:p w:rsidR="00000000" w:rsidDel="00000000" w:rsidP="00000000" w:rsidRDefault="00000000" w:rsidRPr="00000000" w14:paraId="000000C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Head, ‘Holst - Astrology and Modernism’</w:t>
      </w:r>
      <w:r w:rsidDel="00000000" w:rsidR="00000000" w:rsidRPr="00000000">
        <w:rPr>
          <w:i w:val="1"/>
          <w:sz w:val="20"/>
          <w:szCs w:val="20"/>
          <w:rtl w:val="0"/>
        </w:rPr>
        <w:t xml:space="preserve">,</w:t>
      </w:r>
      <w:r w:rsidDel="00000000" w:rsidR="00000000" w:rsidRPr="00000000">
        <w:rPr>
          <w:sz w:val="20"/>
          <w:szCs w:val="20"/>
          <w:rtl w:val="0"/>
        </w:rPr>
        <w:t xml:space="preserve"> p. 22</w:t>
      </w:r>
      <w:r w:rsidDel="00000000" w:rsidR="00000000" w:rsidRPr="00000000">
        <w:rPr>
          <w:rtl w:val="0"/>
        </w:rPr>
      </w:r>
    </w:p>
  </w:footnote>
  <w:footnote w:id="5">
    <w:p w:rsidR="00000000" w:rsidDel="00000000" w:rsidP="00000000" w:rsidRDefault="00000000" w:rsidRPr="00000000" w14:paraId="000000CE">
      <w:pPr>
        <w:spacing w:line="240" w:lineRule="auto"/>
        <w:rPr>
          <w:sz w:val="20"/>
          <w:szCs w:val="20"/>
        </w:rPr>
      </w:pPr>
      <w:r w:rsidDel="00000000" w:rsidR="00000000" w:rsidRPr="00000000">
        <w:rPr>
          <w:rStyle w:val="FootnoteReference"/>
          <w:vertAlign w:val="superscript"/>
        </w:rPr>
        <w:footnoteRef/>
      </w:r>
      <w:r w:rsidDel="00000000" w:rsidR="00000000" w:rsidRPr="00000000">
        <w:rPr>
          <w:rtl w:val="0"/>
        </w:rPr>
        <w:t xml:space="preserve"> </w:t>
      </w:r>
      <w:r w:rsidDel="00000000" w:rsidR="00000000" w:rsidRPr="00000000">
        <w:rPr>
          <w:sz w:val="20"/>
          <w:szCs w:val="20"/>
          <w:rtl w:val="0"/>
        </w:rPr>
        <w:t xml:space="preserve">Raymond Head, ‘</w:t>
      </w:r>
      <w:r w:rsidDel="00000000" w:rsidR="00000000" w:rsidRPr="00000000">
        <w:rPr>
          <w:sz w:val="20"/>
          <w:szCs w:val="20"/>
          <w:rtl w:val="0"/>
        </w:rPr>
        <w:t xml:space="preserve">Holst - Astrology and Modernism in ‘The Planets’</w:t>
      </w:r>
      <w:r w:rsidDel="00000000" w:rsidR="00000000" w:rsidRPr="00000000">
        <w:rPr>
          <w:i w:val="1"/>
          <w:sz w:val="20"/>
          <w:szCs w:val="20"/>
          <w:rtl w:val="0"/>
        </w:rPr>
        <w:t xml:space="preserve">,</w:t>
      </w:r>
      <w:r w:rsidDel="00000000" w:rsidR="00000000" w:rsidRPr="00000000">
        <w:rPr>
          <w:sz w:val="20"/>
          <w:szCs w:val="20"/>
          <w:rtl w:val="0"/>
        </w:rPr>
        <w:t xml:space="preserve"> </w:t>
      </w:r>
      <w:r w:rsidDel="00000000" w:rsidR="00000000" w:rsidRPr="00000000">
        <w:rPr>
          <w:i w:val="1"/>
          <w:sz w:val="20"/>
          <w:szCs w:val="20"/>
          <w:rtl w:val="0"/>
        </w:rPr>
        <w:t xml:space="preserve">Tempo</w:t>
      </w:r>
      <w:r w:rsidDel="00000000" w:rsidR="00000000" w:rsidRPr="00000000">
        <w:rPr>
          <w:sz w:val="20"/>
          <w:szCs w:val="20"/>
          <w:rtl w:val="0"/>
        </w:rPr>
        <w:t xml:space="preserve">, New Series, nº187 (Dec. 1993), p.15</w:t>
      </w:r>
      <w:r w:rsidDel="00000000" w:rsidR="00000000" w:rsidRPr="00000000">
        <w:rPr>
          <w:rtl w:val="0"/>
        </w:rPr>
      </w:r>
    </w:p>
  </w:footnote>
  <w:footnote w:id="3">
    <w:p w:rsidR="00000000" w:rsidDel="00000000" w:rsidP="00000000" w:rsidRDefault="00000000" w:rsidRPr="00000000" w14:paraId="000000C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Western Folklore Journal, </w:t>
      </w:r>
      <w:r w:rsidDel="00000000" w:rsidR="00000000" w:rsidRPr="00000000">
        <w:rPr>
          <w:sz w:val="20"/>
          <w:szCs w:val="20"/>
          <w:rtl w:val="0"/>
        </w:rPr>
        <w:t xml:space="preserve">Journal Description, </w:t>
      </w:r>
      <w:hyperlink r:id="rId5">
        <w:r w:rsidDel="00000000" w:rsidR="00000000" w:rsidRPr="00000000">
          <w:rPr>
            <w:rFonts w:ascii="Calibri" w:cs="Calibri" w:eastAsia="Calibri" w:hAnsi="Calibri"/>
            <w:color w:val="1155cc"/>
            <w:sz w:val="20"/>
            <w:szCs w:val="20"/>
            <w:highlight w:val="white"/>
            <w:u w:val="single"/>
            <w:rtl w:val="0"/>
          </w:rPr>
          <w:t xml:space="preserve">https://www-jstor-org.ezproxy.uwtsd.ac.uk/journal/westernfolklore</w:t>
        </w:r>
      </w:hyperlink>
      <w:r w:rsidDel="00000000" w:rsidR="00000000" w:rsidRPr="00000000">
        <w:rPr>
          <w:rFonts w:ascii="Calibri" w:cs="Calibri" w:eastAsia="Calibri" w:hAnsi="Calibri"/>
          <w:sz w:val="20"/>
          <w:szCs w:val="20"/>
          <w:highlight w:val="white"/>
          <w:rtl w:val="0"/>
        </w:rPr>
        <w:t xml:space="preserve"> [accessed October 20th, 2022)</w:t>
      </w:r>
      <w:r w:rsidDel="00000000" w:rsidR="00000000" w:rsidRPr="00000000">
        <w:rPr>
          <w:rtl w:val="0"/>
        </w:rPr>
      </w:r>
    </w:p>
  </w:footnote>
  <w:footnote w:id="13">
    <w:p w:rsidR="00000000" w:rsidDel="00000000" w:rsidP="00000000" w:rsidRDefault="00000000" w:rsidRPr="00000000" w14:paraId="000000D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Norm Cohen Biographical Information, </w:t>
      </w:r>
      <w:hyperlink r:id="rId6">
        <w:r w:rsidDel="00000000" w:rsidR="00000000" w:rsidRPr="00000000">
          <w:rPr>
            <w:color w:val="1155cc"/>
            <w:sz w:val="20"/>
            <w:szCs w:val="20"/>
            <w:u w:val="single"/>
            <w:rtl w:val="0"/>
          </w:rPr>
          <w:t xml:space="preserve">https://finding-aids.lib.unc.edu/20480/</w:t>
        </w:r>
      </w:hyperlink>
      <w:r w:rsidDel="00000000" w:rsidR="00000000" w:rsidRPr="00000000">
        <w:rPr>
          <w:sz w:val="20"/>
          <w:szCs w:val="20"/>
          <w:rtl w:val="0"/>
        </w:rPr>
        <w:t xml:space="preserve"> [accessed Nov 6, 2022]</w:t>
      </w:r>
    </w:p>
  </w:footnote>
  <w:footnote w:id="14">
    <w:p w:rsidR="00000000" w:rsidDel="00000000" w:rsidP="00000000" w:rsidRDefault="00000000" w:rsidRPr="00000000" w14:paraId="000000D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Norm Cohen, ‘Eleanor R. Long-Wilgus’, (Spring, 2006), p.236</w:t>
      </w:r>
    </w:p>
  </w:footnote>
  <w:footnote w:id="26">
    <w:p w:rsidR="00000000" w:rsidDel="00000000" w:rsidP="00000000" w:rsidRDefault="00000000" w:rsidRPr="00000000" w14:paraId="000000D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Long, ‘How the Dog Got Its Days’, p.258</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C">
    <w:pPr>
      <w:rPr>
        <w:rFonts w:ascii="Trebuchet MS" w:cs="Trebuchet MS" w:eastAsia="Trebuchet MS" w:hAnsi="Trebuchet MS"/>
        <w:sz w:val="24"/>
        <w:szCs w:val="24"/>
      </w:rPr>
    </w:pPr>
    <w:r w:rsidDel="00000000" w:rsidR="00000000" w:rsidRPr="00000000">
      <w:rPr>
        <w:rtl w:val="0"/>
      </w:rPr>
      <w:t xml:space="preserve">Katherine Azima 2219013 </w:t>
      <w:tab/>
      <w:tab/>
    </w:r>
    <w:r w:rsidDel="00000000" w:rsidR="00000000" w:rsidRPr="00000000">
      <w:rPr>
        <w:rtl w:val="0"/>
      </w:rPr>
    </w:r>
  </w:p>
  <w:p w:rsidR="00000000" w:rsidDel="00000000" w:rsidP="00000000" w:rsidRDefault="00000000" w:rsidRPr="00000000" w14:paraId="000000BD">
    <w:pPr>
      <w:rPr/>
    </w:pPr>
    <w:r w:rsidDel="00000000" w:rsidR="00000000" w:rsidRPr="00000000">
      <w:rPr>
        <w:rtl w:val="0"/>
      </w:rPr>
      <w:tab/>
      <w:tab/>
      <w:tab/>
      <w:tab/>
      <w:tab/>
      <w:tab/>
      <w:tab/>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E">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eader" Target="header1.xml"/><Relationship Id="rId10" Type="http://schemas.openxmlformats.org/officeDocument/2006/relationships/hyperlink" Target="https://www-jstor-org.ezproxy.uwtsd.ac.uk/journal/westernfolklore" TargetMode="External"/><Relationship Id="rId13" Type="http://schemas.openxmlformats.org/officeDocument/2006/relationships/footer" Target="footer2.xml"/><Relationship Id="rId12" Type="http://schemas.openxmlformats.org/officeDocument/2006/relationships/header" Target="head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ambridge.org/core/journals/tempo/information/advertising-information" TargetMode="External"/><Relationship Id="rId14"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hyperlink" Target="https://raymondhead.com/biograph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veat-regular.ttf"/><Relationship Id="rId2" Type="http://schemas.openxmlformats.org/officeDocument/2006/relationships/font" Target="fonts/Caveat-bold.ttf"/><Relationship Id="rId3" Type="http://schemas.openxmlformats.org/officeDocument/2006/relationships/font" Target="fonts/Tahoma-regular.ttf"/><Relationship Id="rId4" Type="http://schemas.openxmlformats.org/officeDocument/2006/relationships/font" Target="fonts/Tahoma-bold.ttf"/></Relationships>
</file>

<file path=word/_rels/footnotes.xml.rels><?xml version="1.0" encoding="UTF-8" standalone="yes"?><Relationships xmlns="http://schemas.openxmlformats.org/package/2006/relationships"><Relationship Id="rId1" Type="http://schemas.openxmlformats.org/officeDocument/2006/relationships/hyperlink" Target="https://raymondhead.com/biography" TargetMode="External"/><Relationship Id="rId2" Type="http://schemas.openxmlformats.org/officeDocument/2006/relationships/hyperlink" Target="https://www-jstor-org.ezproxy.uwtsd.ac.uk/journal/tempo" TargetMode="External"/><Relationship Id="rId3" Type="http://schemas.openxmlformats.org/officeDocument/2006/relationships/hyperlink" Target="https://www-jstor-org.ezproxy.uwtsd.ac.uk/journal/westernfolklore" TargetMode="External"/><Relationship Id="rId4" Type="http://schemas.openxmlformats.org/officeDocument/2006/relationships/hyperlink" Target="https://www.cambridge.org/core/journals/tempo/information/advertising-information" TargetMode="External"/><Relationship Id="rId5" Type="http://schemas.openxmlformats.org/officeDocument/2006/relationships/hyperlink" Target="https://www-jstor-org.ezproxy.uwtsd.ac.uk/journal/westernfolklore" TargetMode="External"/><Relationship Id="rId6" Type="http://schemas.openxmlformats.org/officeDocument/2006/relationships/hyperlink" Target="https://finding-aids.lib.unc.edu/204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