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72A38" w14:textId="77777777" w:rsidR="00ED2826" w:rsidRDefault="00ED2826" w:rsidP="00ED2826">
      <w:pPr>
        <w:jc w:val="center"/>
        <w:rPr>
          <w:sz w:val="36"/>
          <w:szCs w:val="36"/>
        </w:rPr>
      </w:pPr>
    </w:p>
    <w:p w14:paraId="5DAA99D8" w14:textId="77777777" w:rsidR="00ED2826" w:rsidRDefault="00ED2826" w:rsidP="00ED2826">
      <w:pPr>
        <w:jc w:val="center"/>
        <w:rPr>
          <w:sz w:val="36"/>
          <w:szCs w:val="36"/>
        </w:rPr>
      </w:pPr>
    </w:p>
    <w:p w14:paraId="2B9BCCEE" w14:textId="1CBB6F54" w:rsidR="00C608FC" w:rsidRPr="00ED2826" w:rsidRDefault="00E65760" w:rsidP="00ED2826">
      <w:pPr>
        <w:jc w:val="center"/>
        <w:rPr>
          <w:sz w:val="36"/>
          <w:szCs w:val="36"/>
        </w:rPr>
      </w:pPr>
      <w:r w:rsidRPr="00ED2826">
        <w:rPr>
          <w:sz w:val="36"/>
          <w:szCs w:val="36"/>
        </w:rPr>
        <w:t>Student Name: Zobia Riaz</w:t>
      </w:r>
    </w:p>
    <w:p w14:paraId="366D269D" w14:textId="551F9B61" w:rsidR="00E65760" w:rsidRPr="00ED2826" w:rsidRDefault="00E65760" w:rsidP="00ED2826">
      <w:pPr>
        <w:jc w:val="center"/>
        <w:rPr>
          <w:sz w:val="36"/>
          <w:szCs w:val="36"/>
        </w:rPr>
      </w:pPr>
      <w:r w:rsidRPr="00ED2826">
        <w:rPr>
          <w:sz w:val="36"/>
          <w:szCs w:val="36"/>
        </w:rPr>
        <w:t>Student ID: 226851</w:t>
      </w:r>
    </w:p>
    <w:p w14:paraId="0A529B19" w14:textId="22419F9F" w:rsidR="00B20519" w:rsidRPr="00ED2826" w:rsidRDefault="00B20519" w:rsidP="00ED2826">
      <w:pPr>
        <w:jc w:val="center"/>
        <w:rPr>
          <w:sz w:val="36"/>
          <w:szCs w:val="36"/>
        </w:rPr>
      </w:pPr>
      <w:r w:rsidRPr="00ED2826">
        <w:rPr>
          <w:sz w:val="36"/>
          <w:szCs w:val="36"/>
        </w:rPr>
        <w:t>Assignment Name:</w:t>
      </w:r>
    </w:p>
    <w:p w14:paraId="1712031F" w14:textId="427C645C" w:rsidR="00377974" w:rsidRPr="00ED2826" w:rsidRDefault="00377974" w:rsidP="00ED2826">
      <w:pPr>
        <w:jc w:val="center"/>
        <w:rPr>
          <w:sz w:val="36"/>
          <w:szCs w:val="36"/>
        </w:rPr>
      </w:pPr>
      <w:r w:rsidRPr="00ED2826">
        <w:rPr>
          <w:sz w:val="36"/>
          <w:szCs w:val="36"/>
        </w:rPr>
        <w:t>Assignment Code: BM</w:t>
      </w:r>
      <w:r w:rsidR="00B20519" w:rsidRPr="00ED2826">
        <w:rPr>
          <w:sz w:val="36"/>
          <w:szCs w:val="36"/>
        </w:rPr>
        <w:t>HP6030</w:t>
      </w:r>
    </w:p>
    <w:p w14:paraId="5ECBFB1F" w14:textId="48905EB8" w:rsidR="00B20519" w:rsidRDefault="00B20519" w:rsidP="00ED2826">
      <w:pPr>
        <w:jc w:val="center"/>
        <w:rPr>
          <w:sz w:val="36"/>
          <w:szCs w:val="36"/>
        </w:rPr>
      </w:pPr>
      <w:r w:rsidRPr="00ED2826">
        <w:rPr>
          <w:sz w:val="36"/>
          <w:szCs w:val="36"/>
        </w:rPr>
        <w:t xml:space="preserve">Lecturer: </w:t>
      </w:r>
      <w:r w:rsidR="00ED2826" w:rsidRPr="00ED2826">
        <w:rPr>
          <w:sz w:val="36"/>
          <w:szCs w:val="36"/>
        </w:rPr>
        <w:t>Parese</w:t>
      </w:r>
    </w:p>
    <w:p w14:paraId="56A5F6E5" w14:textId="77777777" w:rsidR="00ED2826" w:rsidRDefault="00ED2826" w:rsidP="00ED2826">
      <w:pPr>
        <w:jc w:val="center"/>
        <w:rPr>
          <w:sz w:val="36"/>
          <w:szCs w:val="36"/>
        </w:rPr>
      </w:pPr>
    </w:p>
    <w:p w14:paraId="16283671" w14:textId="77777777" w:rsidR="00ED2826" w:rsidRDefault="00ED2826" w:rsidP="00ED2826">
      <w:pPr>
        <w:jc w:val="center"/>
        <w:rPr>
          <w:sz w:val="36"/>
          <w:szCs w:val="36"/>
        </w:rPr>
      </w:pPr>
    </w:p>
    <w:p w14:paraId="3AE586C4" w14:textId="77777777" w:rsidR="00ED2826" w:rsidRDefault="00ED2826" w:rsidP="00ED2826">
      <w:pPr>
        <w:jc w:val="center"/>
        <w:rPr>
          <w:sz w:val="36"/>
          <w:szCs w:val="36"/>
        </w:rPr>
      </w:pPr>
    </w:p>
    <w:p w14:paraId="6A445F90" w14:textId="77777777" w:rsidR="00ED2826" w:rsidRDefault="00ED2826" w:rsidP="00ED2826">
      <w:pPr>
        <w:jc w:val="center"/>
        <w:rPr>
          <w:sz w:val="36"/>
          <w:szCs w:val="36"/>
        </w:rPr>
      </w:pPr>
    </w:p>
    <w:p w14:paraId="6015DBAE" w14:textId="77777777" w:rsidR="00ED2826" w:rsidRDefault="00ED2826" w:rsidP="00ED2826">
      <w:pPr>
        <w:jc w:val="center"/>
        <w:rPr>
          <w:sz w:val="36"/>
          <w:szCs w:val="36"/>
        </w:rPr>
      </w:pPr>
    </w:p>
    <w:p w14:paraId="3AB133F2" w14:textId="77777777" w:rsidR="00ED2826" w:rsidRDefault="00ED2826" w:rsidP="00ED2826">
      <w:pPr>
        <w:jc w:val="center"/>
        <w:rPr>
          <w:sz w:val="36"/>
          <w:szCs w:val="36"/>
        </w:rPr>
      </w:pPr>
    </w:p>
    <w:p w14:paraId="3762BC77" w14:textId="77777777" w:rsidR="00ED2826" w:rsidRDefault="00ED2826" w:rsidP="00ED2826">
      <w:pPr>
        <w:jc w:val="center"/>
        <w:rPr>
          <w:sz w:val="36"/>
          <w:szCs w:val="36"/>
        </w:rPr>
      </w:pPr>
    </w:p>
    <w:p w14:paraId="2544D875" w14:textId="77777777" w:rsidR="00ED2826" w:rsidRDefault="00ED2826" w:rsidP="00ED2826">
      <w:pPr>
        <w:jc w:val="center"/>
        <w:rPr>
          <w:sz w:val="36"/>
          <w:szCs w:val="36"/>
        </w:rPr>
      </w:pPr>
    </w:p>
    <w:p w14:paraId="35C7F88E" w14:textId="77777777" w:rsidR="00ED2826" w:rsidRDefault="00ED2826" w:rsidP="00ED2826">
      <w:pPr>
        <w:jc w:val="center"/>
        <w:rPr>
          <w:sz w:val="36"/>
          <w:szCs w:val="36"/>
        </w:rPr>
      </w:pPr>
    </w:p>
    <w:p w14:paraId="6BEA579D" w14:textId="77777777" w:rsidR="00ED2826" w:rsidRDefault="00ED2826" w:rsidP="00ED2826">
      <w:pPr>
        <w:jc w:val="center"/>
        <w:rPr>
          <w:sz w:val="36"/>
          <w:szCs w:val="36"/>
        </w:rPr>
      </w:pPr>
    </w:p>
    <w:p w14:paraId="0490CA1C" w14:textId="77777777" w:rsidR="00ED2826" w:rsidRDefault="00ED2826" w:rsidP="00ED2826">
      <w:pPr>
        <w:jc w:val="center"/>
        <w:rPr>
          <w:sz w:val="36"/>
          <w:szCs w:val="36"/>
        </w:rPr>
      </w:pPr>
    </w:p>
    <w:p w14:paraId="2045FD71" w14:textId="77777777" w:rsidR="00ED2826" w:rsidRDefault="00ED2826" w:rsidP="00ED2826">
      <w:pPr>
        <w:jc w:val="center"/>
        <w:rPr>
          <w:sz w:val="36"/>
          <w:szCs w:val="36"/>
        </w:rPr>
      </w:pPr>
    </w:p>
    <w:p w14:paraId="2065AEF3" w14:textId="77777777" w:rsidR="00ED2826" w:rsidRDefault="00ED2826" w:rsidP="00ED2826">
      <w:pPr>
        <w:jc w:val="center"/>
        <w:rPr>
          <w:sz w:val="36"/>
          <w:szCs w:val="36"/>
        </w:rPr>
      </w:pPr>
    </w:p>
    <w:p w14:paraId="1D7A982C" w14:textId="77777777" w:rsidR="00ED2826" w:rsidRDefault="00ED2826" w:rsidP="00ED2826">
      <w:pPr>
        <w:jc w:val="center"/>
        <w:rPr>
          <w:sz w:val="36"/>
          <w:szCs w:val="36"/>
        </w:rPr>
      </w:pPr>
    </w:p>
    <w:p w14:paraId="2A7DF152" w14:textId="4D14E0EC" w:rsidR="000E5304" w:rsidRDefault="000E5304" w:rsidP="00ED2826">
      <w:pPr>
        <w:rPr>
          <w:sz w:val="36"/>
          <w:szCs w:val="36"/>
        </w:rPr>
      </w:pPr>
    </w:p>
    <w:p w14:paraId="30BA6741" w14:textId="1FF63F85" w:rsidR="00C75C20" w:rsidRPr="003C30C6" w:rsidRDefault="00C75C20" w:rsidP="003C30C6">
      <w:pPr>
        <w:spacing w:line="360" w:lineRule="auto"/>
        <w:rPr>
          <w:rFonts w:ascii="Arial" w:hAnsi="Arial" w:cs="Arial"/>
          <w:b/>
          <w:bCs/>
          <w:sz w:val="22"/>
          <w:szCs w:val="22"/>
        </w:rPr>
      </w:pPr>
      <w:r w:rsidRPr="003C30C6">
        <w:rPr>
          <w:rFonts w:ascii="Arial" w:hAnsi="Arial" w:cs="Arial"/>
          <w:b/>
          <w:bCs/>
          <w:sz w:val="22"/>
          <w:szCs w:val="22"/>
        </w:rPr>
        <w:t xml:space="preserve">Introduction </w:t>
      </w:r>
    </w:p>
    <w:p w14:paraId="053FD808" w14:textId="6886B501" w:rsidR="00C75C20" w:rsidRPr="003C30C6" w:rsidRDefault="00C75C20" w:rsidP="003C30C6">
      <w:pPr>
        <w:spacing w:line="360" w:lineRule="auto"/>
        <w:rPr>
          <w:rFonts w:ascii="Arial" w:hAnsi="Arial" w:cs="Arial"/>
          <w:sz w:val="22"/>
          <w:szCs w:val="22"/>
        </w:rPr>
      </w:pPr>
      <w:r w:rsidRPr="003C30C6">
        <w:rPr>
          <w:rFonts w:ascii="Arial" w:hAnsi="Arial" w:cs="Arial"/>
          <w:sz w:val="22"/>
          <w:szCs w:val="22"/>
        </w:rPr>
        <w:t>This report critically examines contemporary health, wellbeing, and sustainability policies and initiatives at the global, national, and local levels, focusing on Sustainable Development Goal (SDG) 3 – Good Health and Well-Being and SDG 1 – No Poverty. These two goals are intrinsically linked: poor health contributes to economic vulnerability, while poverty limits access to healthcare, nutritious food, and safe living conditions (WHO, 2025; UNDP, 2024). The report’s key aim is to assess how current strategies and policies address these interconnected challenges and to evaluate their effectiveness in achieving the SDG targets.</w:t>
      </w:r>
    </w:p>
    <w:p w14:paraId="7D4F70A9" w14:textId="77777777" w:rsidR="00C75C20" w:rsidRPr="003C30C6" w:rsidRDefault="00C75C20" w:rsidP="003C30C6">
      <w:pPr>
        <w:spacing w:line="360" w:lineRule="auto"/>
        <w:rPr>
          <w:rFonts w:ascii="Arial" w:hAnsi="Arial" w:cs="Arial"/>
          <w:sz w:val="22"/>
          <w:szCs w:val="22"/>
        </w:rPr>
      </w:pPr>
      <w:r w:rsidRPr="003C30C6">
        <w:rPr>
          <w:rFonts w:ascii="Arial" w:hAnsi="Arial" w:cs="Arial"/>
          <w:sz w:val="22"/>
          <w:szCs w:val="22"/>
        </w:rPr>
        <w:t>At the global level, the report considers frameworks such as the 2030 Agenda for Sustainable Development (United Nations, 2015), the SDG 3 Global Action Plan for Healthy Lives and Well-being for All (WHO, 2025), and the World Bank’s Poverty Reduction Strategies (World Bank, 2022). At the national level, the analysis focuses on UK initiatives, including the NHS Long Term Plan for improving population health (NHS England, 2023) and welfare and “Levelling Up” policies addressing poverty and regional inequality (HM Government, 2022; House of Lords Library, 2024). Local examples, such as community health and social support programmes in Wales and local authorities, illustrate implementation in context (Welsh Government, 2023).</w:t>
      </w:r>
    </w:p>
    <w:p w14:paraId="6BA207B7" w14:textId="77777777" w:rsidR="00C75C20" w:rsidRPr="003C30C6" w:rsidRDefault="00C75C20" w:rsidP="003C30C6">
      <w:pPr>
        <w:spacing w:line="360" w:lineRule="auto"/>
        <w:rPr>
          <w:rFonts w:ascii="Arial" w:hAnsi="Arial" w:cs="Arial"/>
          <w:sz w:val="22"/>
          <w:szCs w:val="22"/>
        </w:rPr>
      </w:pPr>
    </w:p>
    <w:p w14:paraId="51FED4CE" w14:textId="272E18F9" w:rsidR="00C75C20" w:rsidRPr="00827AE6" w:rsidRDefault="00C75C20" w:rsidP="003C30C6">
      <w:pPr>
        <w:spacing w:line="360" w:lineRule="auto"/>
        <w:rPr>
          <w:rFonts w:ascii="Arial" w:hAnsi="Arial" w:cs="Arial"/>
          <w:b/>
          <w:bCs/>
          <w:sz w:val="22"/>
          <w:szCs w:val="22"/>
        </w:rPr>
      </w:pPr>
      <w:r w:rsidRPr="003C30C6">
        <w:rPr>
          <w:rFonts w:ascii="Arial" w:hAnsi="Arial" w:cs="Arial"/>
          <w:b/>
          <w:bCs/>
          <w:sz w:val="22"/>
          <w:szCs w:val="22"/>
        </w:rPr>
        <w:t>The report is structured into three main sections:</w:t>
      </w:r>
    </w:p>
    <w:p w14:paraId="28191D33" w14:textId="42C3A25B" w:rsidR="00C75C20" w:rsidRPr="003C30C6" w:rsidRDefault="00C75C20" w:rsidP="003C30C6">
      <w:pPr>
        <w:pStyle w:val="ListParagraph"/>
        <w:numPr>
          <w:ilvl w:val="0"/>
          <w:numId w:val="1"/>
        </w:numPr>
        <w:spacing w:line="360" w:lineRule="auto"/>
        <w:rPr>
          <w:rFonts w:ascii="Arial" w:hAnsi="Arial" w:cs="Arial"/>
          <w:sz w:val="22"/>
          <w:szCs w:val="22"/>
        </w:rPr>
      </w:pPr>
      <w:r w:rsidRPr="003C30C6">
        <w:rPr>
          <w:rFonts w:ascii="Arial" w:hAnsi="Arial" w:cs="Arial"/>
          <w:sz w:val="22"/>
          <w:szCs w:val="22"/>
        </w:rPr>
        <w:t>A critical review of SDG 3 policies, theoretical perspectives, and recommendations.</w:t>
      </w:r>
    </w:p>
    <w:p w14:paraId="24F157DE" w14:textId="7A67728D" w:rsidR="00C75C20" w:rsidRPr="003C30C6" w:rsidRDefault="00C75C20" w:rsidP="003C30C6">
      <w:pPr>
        <w:pStyle w:val="ListParagraph"/>
        <w:numPr>
          <w:ilvl w:val="0"/>
          <w:numId w:val="1"/>
        </w:numPr>
        <w:spacing w:line="360" w:lineRule="auto"/>
        <w:rPr>
          <w:rFonts w:ascii="Arial" w:hAnsi="Arial" w:cs="Arial"/>
          <w:sz w:val="22"/>
          <w:szCs w:val="22"/>
        </w:rPr>
      </w:pPr>
      <w:r w:rsidRPr="003C30C6">
        <w:rPr>
          <w:rFonts w:ascii="Arial" w:hAnsi="Arial" w:cs="Arial"/>
          <w:sz w:val="22"/>
          <w:szCs w:val="22"/>
        </w:rPr>
        <w:t>An evaluation of SDG 1 strategies and models of poverty reduction.</w:t>
      </w:r>
    </w:p>
    <w:p w14:paraId="2BD3D78E" w14:textId="59C499F1" w:rsidR="00E82B62" w:rsidRPr="003C30C6" w:rsidRDefault="00C75C20" w:rsidP="003C30C6">
      <w:pPr>
        <w:pStyle w:val="ListParagraph"/>
        <w:numPr>
          <w:ilvl w:val="0"/>
          <w:numId w:val="1"/>
        </w:numPr>
        <w:spacing w:line="360" w:lineRule="auto"/>
        <w:rPr>
          <w:rFonts w:ascii="Arial" w:hAnsi="Arial" w:cs="Arial"/>
          <w:sz w:val="22"/>
          <w:szCs w:val="22"/>
        </w:rPr>
      </w:pPr>
      <w:r w:rsidRPr="003C30C6">
        <w:rPr>
          <w:rFonts w:ascii="Arial" w:hAnsi="Arial" w:cs="Arial"/>
          <w:sz w:val="22"/>
          <w:szCs w:val="22"/>
        </w:rPr>
        <w:t>A conclusion summarising key findings, exploring interlinkages between SDG 3 and SDG 1, and discussing implications for sustainable, equitable policy integration.</w:t>
      </w:r>
    </w:p>
    <w:p w14:paraId="54481D40" w14:textId="77777777" w:rsidR="00772641" w:rsidRPr="003C30C6" w:rsidRDefault="00772641" w:rsidP="003C30C6">
      <w:pPr>
        <w:spacing w:line="360" w:lineRule="auto"/>
        <w:rPr>
          <w:rFonts w:ascii="Arial" w:hAnsi="Arial" w:cs="Arial"/>
          <w:sz w:val="22"/>
          <w:szCs w:val="22"/>
        </w:rPr>
      </w:pPr>
    </w:p>
    <w:p w14:paraId="04CBDC0D" w14:textId="68F2A463" w:rsidR="00E473A9" w:rsidRPr="003C30C6" w:rsidRDefault="00E473A9" w:rsidP="003C30C6">
      <w:pPr>
        <w:spacing w:line="360" w:lineRule="auto"/>
        <w:rPr>
          <w:rFonts w:ascii="Arial" w:hAnsi="Arial" w:cs="Arial"/>
          <w:b/>
          <w:bCs/>
          <w:sz w:val="22"/>
          <w:szCs w:val="22"/>
        </w:rPr>
      </w:pPr>
      <w:r w:rsidRPr="003C30C6">
        <w:rPr>
          <w:rFonts w:ascii="Arial" w:hAnsi="Arial" w:cs="Arial"/>
          <w:b/>
          <w:bCs/>
          <w:sz w:val="22"/>
          <w:szCs w:val="22"/>
        </w:rPr>
        <w:t>SDG 3 – Good Health and Well-being</w:t>
      </w:r>
    </w:p>
    <w:p w14:paraId="072D0D31" w14:textId="3B770F3D" w:rsidR="00E473A9" w:rsidRPr="003C30C6" w:rsidRDefault="00E473A9" w:rsidP="003C30C6">
      <w:pPr>
        <w:spacing w:line="360" w:lineRule="auto"/>
        <w:rPr>
          <w:rFonts w:ascii="Arial" w:hAnsi="Arial" w:cs="Arial"/>
          <w:b/>
          <w:bCs/>
          <w:sz w:val="22"/>
          <w:szCs w:val="22"/>
        </w:rPr>
      </w:pPr>
      <w:r w:rsidRPr="003C30C6">
        <w:rPr>
          <w:rFonts w:ascii="Arial" w:hAnsi="Arial" w:cs="Arial"/>
          <w:b/>
          <w:bCs/>
          <w:sz w:val="22"/>
          <w:szCs w:val="22"/>
        </w:rPr>
        <w:t>Overview of SDG 3</w:t>
      </w:r>
    </w:p>
    <w:p w14:paraId="665FCBD8" w14:textId="77777777"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t xml:space="preserve">SDG 3, “Ensure healthy lives and promote well-being for all at all ages,” targets reductions in maternal and child mortality, control of communicable and non-communicable diseases (NCDs), promotion of mental health, and achievement of Universal Health Coverage (UHC) (Global Goals, n.d.). Health is recognised as both a human right and a precondition for sustainable development (United Nations, 2015). The World Health Organization’s </w:t>
      </w:r>
      <w:r w:rsidRPr="003C30C6">
        <w:rPr>
          <w:rFonts w:ascii="Arial" w:hAnsi="Arial" w:cs="Arial"/>
          <w:sz w:val="22"/>
          <w:szCs w:val="22"/>
        </w:rPr>
        <w:lastRenderedPageBreak/>
        <w:t>Constitution and subsequent charters, such as the Ottawa Charter for Health Promotion (1986) and the Bangkok Charter (2005), provide foundational principles linking health to empowerment, equity, and intersectoral action (WHO, 2005).</w:t>
      </w:r>
    </w:p>
    <w:p w14:paraId="041BFC68" w14:textId="77777777" w:rsidR="00E473A9" w:rsidRPr="003C30C6" w:rsidRDefault="00E473A9" w:rsidP="003C30C6">
      <w:pPr>
        <w:spacing w:line="360" w:lineRule="auto"/>
        <w:rPr>
          <w:rFonts w:ascii="Arial" w:hAnsi="Arial" w:cs="Arial"/>
          <w:sz w:val="22"/>
          <w:szCs w:val="22"/>
        </w:rPr>
      </w:pPr>
    </w:p>
    <w:p w14:paraId="40AEDA94" w14:textId="77777777" w:rsidR="00E473A9" w:rsidRPr="003C30C6" w:rsidRDefault="00E473A9" w:rsidP="003C30C6">
      <w:pPr>
        <w:spacing w:line="360" w:lineRule="auto"/>
        <w:rPr>
          <w:rFonts w:ascii="Arial" w:hAnsi="Arial" w:cs="Arial"/>
          <w:b/>
          <w:bCs/>
          <w:sz w:val="22"/>
          <w:szCs w:val="22"/>
        </w:rPr>
      </w:pPr>
      <w:r w:rsidRPr="003C30C6">
        <w:rPr>
          <w:rFonts w:ascii="Arial" w:hAnsi="Arial" w:cs="Arial"/>
          <w:b/>
          <w:bCs/>
          <w:sz w:val="22"/>
          <w:szCs w:val="22"/>
        </w:rPr>
        <w:t>Global Policies and Initiatives</w:t>
      </w:r>
    </w:p>
    <w:p w14:paraId="2E5115EF" w14:textId="77777777"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t>At the global scale, the SDG 3 Global Action Plan for Healthy Lives and Well-being (SDG3 GAP) (WHO, 2025) brings together 13 multilateral agencies—including WHO, UNICEF, UNDP, and the World Bank—to coordinate investment and support for countries in achieving health targets. Evaluations highlight progress in alignment and shared accountability but identify persistent issues in financing, fragmentation, and capacity disparities (WHO, 2025).</w:t>
      </w:r>
    </w:p>
    <w:p w14:paraId="77C33448" w14:textId="77777777" w:rsidR="00E473A9" w:rsidRPr="003C30C6" w:rsidRDefault="00E473A9" w:rsidP="003C30C6">
      <w:pPr>
        <w:spacing w:line="360" w:lineRule="auto"/>
        <w:rPr>
          <w:rFonts w:ascii="Arial" w:hAnsi="Arial" w:cs="Arial"/>
          <w:sz w:val="22"/>
          <w:szCs w:val="22"/>
        </w:rPr>
      </w:pPr>
    </w:p>
    <w:p w14:paraId="6D0C699C" w14:textId="2CF04743"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t>Global governance also includes WHO’s Global Plan of Action on Workers’ Health (2008–2017) and continuing frameworks addressing NCDs, mental health, and pandemic preparedness (WHO, 2007). The World Bank (2023) and OECD (2023) emphasise UHC as an economic imperative, linking health investment to human capital and productivity.</w:t>
      </w:r>
    </w:p>
    <w:p w14:paraId="103C8667" w14:textId="61290B53"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t xml:space="preserve">Despite these mechanisms, challenges </w:t>
      </w:r>
      <w:r w:rsidR="003C30C6" w:rsidRPr="003C30C6">
        <w:rPr>
          <w:rFonts w:ascii="Arial" w:hAnsi="Arial" w:cs="Arial"/>
          <w:sz w:val="22"/>
          <w:szCs w:val="22"/>
        </w:rPr>
        <w:t>persist</w:t>
      </w:r>
      <w:r w:rsidRPr="003C30C6">
        <w:rPr>
          <w:rFonts w:ascii="Arial" w:hAnsi="Arial" w:cs="Arial"/>
          <w:sz w:val="22"/>
          <w:szCs w:val="22"/>
        </w:rPr>
        <w:t xml:space="preserve"> fragmented funding, donor dependency, and inequitable access remain systemic barriers (UNDP, 2024). Many low-income countries still face dual disease burdens</w:t>
      </w:r>
      <w:r w:rsidR="003C30C6">
        <w:rPr>
          <w:rFonts w:ascii="Arial" w:hAnsi="Arial" w:cs="Arial"/>
          <w:sz w:val="22"/>
          <w:szCs w:val="22"/>
        </w:rPr>
        <w:t xml:space="preserve"> </w:t>
      </w:r>
      <w:r w:rsidRPr="003C30C6">
        <w:rPr>
          <w:rFonts w:ascii="Arial" w:hAnsi="Arial" w:cs="Arial"/>
          <w:sz w:val="22"/>
          <w:szCs w:val="22"/>
        </w:rPr>
        <w:t>infectious diseases alongside rising NCDs</w:t>
      </w:r>
      <w:r w:rsidR="003C30C6">
        <w:rPr>
          <w:rFonts w:ascii="Arial" w:hAnsi="Arial" w:cs="Arial"/>
          <w:sz w:val="22"/>
          <w:szCs w:val="22"/>
        </w:rPr>
        <w:t xml:space="preserve"> </w:t>
      </w:r>
      <w:r w:rsidRPr="003C30C6">
        <w:rPr>
          <w:rFonts w:ascii="Arial" w:hAnsi="Arial" w:cs="Arial"/>
          <w:sz w:val="22"/>
          <w:szCs w:val="22"/>
        </w:rPr>
        <w:t>exacerbated by climate change, urbanisation, and weak health systems (World Bank, 2023).</w:t>
      </w:r>
    </w:p>
    <w:p w14:paraId="7CFCD34A" w14:textId="77777777" w:rsidR="00E473A9" w:rsidRPr="003C30C6" w:rsidRDefault="00E473A9" w:rsidP="003C30C6">
      <w:pPr>
        <w:spacing w:line="360" w:lineRule="auto"/>
        <w:rPr>
          <w:rFonts w:ascii="Arial" w:hAnsi="Arial" w:cs="Arial"/>
          <w:sz w:val="22"/>
          <w:szCs w:val="22"/>
        </w:rPr>
      </w:pPr>
    </w:p>
    <w:p w14:paraId="0A42AEBA" w14:textId="77777777" w:rsidR="00E473A9" w:rsidRPr="003C30C6" w:rsidRDefault="00E473A9" w:rsidP="003C30C6">
      <w:pPr>
        <w:spacing w:line="360" w:lineRule="auto"/>
        <w:rPr>
          <w:rFonts w:ascii="Arial" w:hAnsi="Arial" w:cs="Arial"/>
          <w:b/>
          <w:bCs/>
          <w:sz w:val="22"/>
          <w:szCs w:val="22"/>
        </w:rPr>
      </w:pPr>
      <w:r w:rsidRPr="003C30C6">
        <w:rPr>
          <w:rFonts w:ascii="Arial" w:hAnsi="Arial" w:cs="Arial"/>
          <w:b/>
          <w:bCs/>
          <w:sz w:val="22"/>
          <w:szCs w:val="22"/>
        </w:rPr>
        <w:t>National and Local Examples (United Kingdom)</w:t>
      </w:r>
    </w:p>
    <w:p w14:paraId="1C9EFE4E" w14:textId="77777777"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t>The UK has long championed universal healthcare through the National Health Service (NHS), founded on principles of equity, access, and universality. The NHS Long Term Plan (2019–2029) prioritises prevention, mental health, digital transformation, and tackling health inequalities (NHS England, 2023). However, the NHS faces critical pressures: workforce shortages, funding constraints, ageing demographics, and regional disparities (Public Health England, 2020).</w:t>
      </w:r>
    </w:p>
    <w:p w14:paraId="1A8EBC3F" w14:textId="77777777" w:rsidR="00E473A9" w:rsidRPr="003C30C6" w:rsidRDefault="00E473A9" w:rsidP="003C30C6">
      <w:pPr>
        <w:spacing w:line="360" w:lineRule="auto"/>
        <w:rPr>
          <w:rFonts w:ascii="Arial" w:hAnsi="Arial" w:cs="Arial"/>
          <w:sz w:val="22"/>
          <w:szCs w:val="22"/>
        </w:rPr>
      </w:pPr>
    </w:p>
    <w:p w14:paraId="70D8826B" w14:textId="77777777"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t xml:space="preserve">At a local level, devolved administrations and councils integrate wellbeing in policy through approaches such as Health in All Policies (HiAP) and Wellbeing of Future Generations (Wales) Act 2015. In Wales, A Healthier Wales (Welsh Government, 2023) promotes integrated health and social care and community prevention. Local authorities deliver </w:t>
      </w:r>
      <w:r w:rsidRPr="003C30C6">
        <w:rPr>
          <w:rFonts w:ascii="Arial" w:hAnsi="Arial" w:cs="Arial"/>
          <w:sz w:val="22"/>
          <w:szCs w:val="22"/>
        </w:rPr>
        <w:lastRenderedPageBreak/>
        <w:t>initiatives on obesity, smoking cessation, active travel, and mental health, reflecting adaptation to local population needs (Marmot, 2020).</w:t>
      </w:r>
    </w:p>
    <w:p w14:paraId="3D10324A" w14:textId="77777777" w:rsidR="00E473A9" w:rsidRPr="003C30C6" w:rsidRDefault="00E473A9" w:rsidP="003C30C6">
      <w:pPr>
        <w:spacing w:line="360" w:lineRule="auto"/>
        <w:rPr>
          <w:rFonts w:ascii="Arial" w:hAnsi="Arial" w:cs="Arial"/>
          <w:sz w:val="22"/>
          <w:szCs w:val="22"/>
        </w:rPr>
      </w:pPr>
    </w:p>
    <w:p w14:paraId="2454C623" w14:textId="6EDDBC18"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t>The social determinants of health (SDH) framework (Dahlgren and Whitehead, 1991; Solar and Irwin, 2010) underpins UK health policy. It posits that health outcomes are shaped by education, employment, housing, and environment, requiring cross-sector collaboration. Complementing this, systems thinking in health policy highlights interdependence among healthcare, economy, and environment (Kickbusch, Gleicher and WHO, 2012).</w:t>
      </w:r>
    </w:p>
    <w:p w14:paraId="7356518B" w14:textId="77777777" w:rsidR="00E473A9" w:rsidRPr="003C30C6" w:rsidRDefault="00E473A9" w:rsidP="003C30C6">
      <w:pPr>
        <w:spacing w:line="360" w:lineRule="auto"/>
        <w:rPr>
          <w:rFonts w:ascii="Arial" w:hAnsi="Arial" w:cs="Arial"/>
          <w:sz w:val="22"/>
          <w:szCs w:val="22"/>
        </w:rPr>
      </w:pPr>
    </w:p>
    <w:p w14:paraId="700793C1" w14:textId="1BA48D6E" w:rsidR="00E473A9" w:rsidRPr="003C30C6" w:rsidRDefault="00E473A9" w:rsidP="003C30C6">
      <w:pPr>
        <w:spacing w:line="360" w:lineRule="auto"/>
        <w:rPr>
          <w:rFonts w:ascii="Arial" w:hAnsi="Arial" w:cs="Arial"/>
          <w:b/>
          <w:bCs/>
          <w:sz w:val="22"/>
          <w:szCs w:val="22"/>
        </w:rPr>
      </w:pPr>
      <w:r w:rsidRPr="003C30C6">
        <w:rPr>
          <w:rFonts w:ascii="Arial" w:hAnsi="Arial" w:cs="Arial"/>
          <w:b/>
          <w:bCs/>
          <w:sz w:val="22"/>
          <w:szCs w:val="22"/>
        </w:rPr>
        <w:t>Critical Evaluation</w:t>
      </w:r>
    </w:p>
    <w:p w14:paraId="6DBC4DEB" w14:textId="77777777" w:rsidR="00E473A9" w:rsidRPr="003C30C6" w:rsidRDefault="00E473A9" w:rsidP="003C30C6">
      <w:pPr>
        <w:spacing w:line="360" w:lineRule="auto"/>
        <w:rPr>
          <w:rFonts w:ascii="Arial" w:hAnsi="Arial" w:cs="Arial"/>
          <w:b/>
          <w:bCs/>
          <w:sz w:val="22"/>
          <w:szCs w:val="22"/>
        </w:rPr>
      </w:pPr>
      <w:r w:rsidRPr="003C30C6">
        <w:rPr>
          <w:rFonts w:ascii="Arial" w:hAnsi="Arial" w:cs="Arial"/>
          <w:b/>
          <w:bCs/>
          <w:sz w:val="22"/>
          <w:szCs w:val="22"/>
        </w:rPr>
        <w:t>Strengths:</w:t>
      </w:r>
    </w:p>
    <w:p w14:paraId="6C06257B" w14:textId="77777777" w:rsidR="00E473A9" w:rsidRPr="003C30C6" w:rsidRDefault="00E473A9" w:rsidP="003C30C6">
      <w:pPr>
        <w:spacing w:line="360" w:lineRule="auto"/>
        <w:rPr>
          <w:rFonts w:ascii="Arial" w:hAnsi="Arial" w:cs="Arial"/>
          <w:sz w:val="22"/>
          <w:szCs w:val="22"/>
        </w:rPr>
      </w:pPr>
    </w:p>
    <w:p w14:paraId="1487DF6C" w14:textId="383B5D50" w:rsidR="00E473A9" w:rsidRPr="003C30C6" w:rsidRDefault="00E473A9" w:rsidP="003C30C6">
      <w:pPr>
        <w:pStyle w:val="ListParagraph"/>
        <w:numPr>
          <w:ilvl w:val="0"/>
          <w:numId w:val="2"/>
        </w:numPr>
        <w:spacing w:line="360" w:lineRule="auto"/>
        <w:rPr>
          <w:rFonts w:ascii="Arial" w:hAnsi="Arial" w:cs="Arial"/>
          <w:sz w:val="22"/>
          <w:szCs w:val="22"/>
        </w:rPr>
      </w:pPr>
      <w:r w:rsidRPr="003C30C6">
        <w:rPr>
          <w:rFonts w:ascii="Arial" w:hAnsi="Arial" w:cs="Arial"/>
          <w:sz w:val="22"/>
          <w:szCs w:val="22"/>
        </w:rPr>
        <w:t>The UK’s universal health system embodies the equity principles of SDG 3.</w:t>
      </w:r>
    </w:p>
    <w:p w14:paraId="0F635332" w14:textId="735CAE83" w:rsidR="00E473A9" w:rsidRPr="003C30C6" w:rsidRDefault="00E473A9" w:rsidP="003C30C6">
      <w:pPr>
        <w:pStyle w:val="ListParagraph"/>
        <w:numPr>
          <w:ilvl w:val="0"/>
          <w:numId w:val="2"/>
        </w:numPr>
        <w:spacing w:line="360" w:lineRule="auto"/>
        <w:rPr>
          <w:rFonts w:ascii="Arial" w:hAnsi="Arial" w:cs="Arial"/>
          <w:sz w:val="22"/>
          <w:szCs w:val="22"/>
        </w:rPr>
      </w:pPr>
      <w:r w:rsidRPr="003C30C6">
        <w:rPr>
          <w:rFonts w:ascii="Arial" w:hAnsi="Arial" w:cs="Arial"/>
          <w:sz w:val="22"/>
          <w:szCs w:val="22"/>
        </w:rPr>
        <w:t>Global frameworks like the SDG3 GAP encourage multilateral alignment and capacity sharing.</w:t>
      </w:r>
    </w:p>
    <w:p w14:paraId="474C3A04" w14:textId="07F715FF" w:rsidR="00E473A9" w:rsidRPr="003C30C6" w:rsidRDefault="00E473A9" w:rsidP="003C30C6">
      <w:pPr>
        <w:pStyle w:val="ListParagraph"/>
        <w:numPr>
          <w:ilvl w:val="0"/>
          <w:numId w:val="2"/>
        </w:numPr>
        <w:spacing w:line="360" w:lineRule="auto"/>
        <w:rPr>
          <w:rFonts w:ascii="Arial" w:hAnsi="Arial" w:cs="Arial"/>
          <w:sz w:val="22"/>
          <w:szCs w:val="22"/>
        </w:rPr>
      </w:pPr>
      <w:r w:rsidRPr="003C30C6">
        <w:rPr>
          <w:rFonts w:ascii="Arial" w:hAnsi="Arial" w:cs="Arial"/>
          <w:sz w:val="22"/>
          <w:szCs w:val="22"/>
        </w:rPr>
        <w:t>Health promotion strategies integrate prevention, mental health, and social determinants.</w:t>
      </w:r>
    </w:p>
    <w:p w14:paraId="525A90FB" w14:textId="77777777" w:rsidR="00E473A9" w:rsidRPr="003C30C6" w:rsidRDefault="00E473A9" w:rsidP="003C30C6">
      <w:pPr>
        <w:pStyle w:val="ListParagraph"/>
        <w:numPr>
          <w:ilvl w:val="0"/>
          <w:numId w:val="2"/>
        </w:numPr>
        <w:spacing w:line="360" w:lineRule="auto"/>
        <w:rPr>
          <w:rFonts w:ascii="Arial" w:hAnsi="Arial" w:cs="Arial"/>
          <w:sz w:val="22"/>
          <w:szCs w:val="22"/>
        </w:rPr>
      </w:pPr>
      <w:r w:rsidRPr="003C30C6">
        <w:rPr>
          <w:rFonts w:ascii="Arial" w:hAnsi="Arial" w:cs="Arial"/>
          <w:sz w:val="22"/>
          <w:szCs w:val="22"/>
        </w:rPr>
        <w:t>Localised approaches, such as community well-being partnerships, enhance responsiveness.</w:t>
      </w:r>
    </w:p>
    <w:p w14:paraId="7778CBBD" w14:textId="77777777" w:rsidR="00E473A9" w:rsidRPr="003C30C6" w:rsidRDefault="00E473A9" w:rsidP="003C30C6">
      <w:pPr>
        <w:spacing w:line="360" w:lineRule="auto"/>
        <w:rPr>
          <w:rFonts w:ascii="Arial" w:hAnsi="Arial" w:cs="Arial"/>
          <w:sz w:val="22"/>
          <w:szCs w:val="22"/>
        </w:rPr>
      </w:pPr>
    </w:p>
    <w:p w14:paraId="702D1AB4" w14:textId="77777777" w:rsidR="00E473A9" w:rsidRPr="003C30C6" w:rsidRDefault="00E473A9" w:rsidP="003C30C6">
      <w:pPr>
        <w:spacing w:line="360" w:lineRule="auto"/>
        <w:rPr>
          <w:rFonts w:ascii="Arial" w:hAnsi="Arial" w:cs="Arial"/>
          <w:b/>
          <w:bCs/>
          <w:sz w:val="22"/>
          <w:szCs w:val="22"/>
        </w:rPr>
      </w:pPr>
      <w:r w:rsidRPr="003C30C6">
        <w:rPr>
          <w:rFonts w:ascii="Arial" w:hAnsi="Arial" w:cs="Arial"/>
          <w:b/>
          <w:bCs/>
          <w:sz w:val="22"/>
          <w:szCs w:val="22"/>
        </w:rPr>
        <w:t>Weaknesses:</w:t>
      </w:r>
    </w:p>
    <w:p w14:paraId="0D664DC6" w14:textId="77777777" w:rsidR="00E473A9" w:rsidRPr="003C30C6" w:rsidRDefault="00E473A9" w:rsidP="003C30C6">
      <w:pPr>
        <w:spacing w:line="360" w:lineRule="auto"/>
        <w:rPr>
          <w:rFonts w:ascii="Arial" w:hAnsi="Arial" w:cs="Arial"/>
          <w:sz w:val="22"/>
          <w:szCs w:val="22"/>
        </w:rPr>
      </w:pPr>
    </w:p>
    <w:p w14:paraId="45A07E9B" w14:textId="7CC1D4D3" w:rsidR="00E473A9" w:rsidRPr="003C30C6" w:rsidRDefault="00E473A9" w:rsidP="003C30C6">
      <w:pPr>
        <w:pStyle w:val="ListParagraph"/>
        <w:numPr>
          <w:ilvl w:val="0"/>
          <w:numId w:val="3"/>
        </w:numPr>
        <w:spacing w:line="360" w:lineRule="auto"/>
        <w:rPr>
          <w:rFonts w:ascii="Arial" w:hAnsi="Arial" w:cs="Arial"/>
          <w:sz w:val="22"/>
          <w:szCs w:val="22"/>
        </w:rPr>
      </w:pPr>
      <w:r w:rsidRPr="003C30C6">
        <w:rPr>
          <w:rFonts w:ascii="Arial" w:hAnsi="Arial" w:cs="Arial"/>
          <w:sz w:val="22"/>
          <w:szCs w:val="22"/>
        </w:rPr>
        <w:t>Persistent health inequalities between socio-economic groups undermine equity goals (Marmot, 2020).</w:t>
      </w:r>
    </w:p>
    <w:p w14:paraId="7A79C921" w14:textId="17BC8247" w:rsidR="00E473A9" w:rsidRPr="003C30C6" w:rsidRDefault="00E473A9" w:rsidP="003C30C6">
      <w:pPr>
        <w:pStyle w:val="ListParagraph"/>
        <w:numPr>
          <w:ilvl w:val="0"/>
          <w:numId w:val="3"/>
        </w:numPr>
        <w:spacing w:line="360" w:lineRule="auto"/>
        <w:rPr>
          <w:rFonts w:ascii="Arial" w:hAnsi="Arial" w:cs="Arial"/>
          <w:sz w:val="22"/>
          <w:szCs w:val="22"/>
        </w:rPr>
      </w:pPr>
      <w:r w:rsidRPr="003C30C6">
        <w:rPr>
          <w:rFonts w:ascii="Arial" w:hAnsi="Arial" w:cs="Arial"/>
          <w:sz w:val="22"/>
          <w:szCs w:val="22"/>
        </w:rPr>
        <w:t>Over-reliance on acute, hospital-based models limits resources for prevention.</w:t>
      </w:r>
    </w:p>
    <w:p w14:paraId="265A8F99" w14:textId="23FFED3F" w:rsidR="00E473A9" w:rsidRPr="003C30C6" w:rsidRDefault="00E473A9" w:rsidP="003C30C6">
      <w:pPr>
        <w:pStyle w:val="ListParagraph"/>
        <w:numPr>
          <w:ilvl w:val="0"/>
          <w:numId w:val="3"/>
        </w:numPr>
        <w:spacing w:line="360" w:lineRule="auto"/>
        <w:rPr>
          <w:rFonts w:ascii="Arial" w:hAnsi="Arial" w:cs="Arial"/>
          <w:sz w:val="22"/>
          <w:szCs w:val="22"/>
        </w:rPr>
      </w:pPr>
      <w:r w:rsidRPr="003C30C6">
        <w:rPr>
          <w:rFonts w:ascii="Arial" w:hAnsi="Arial" w:cs="Arial"/>
          <w:sz w:val="22"/>
          <w:szCs w:val="22"/>
        </w:rPr>
        <w:t>Fragmented governance across NHS, local authorities, and social care weakens coordination (PHE, 2020).</w:t>
      </w:r>
    </w:p>
    <w:p w14:paraId="6EFD824B" w14:textId="5E3FF4CA" w:rsidR="00E473A9" w:rsidRPr="003C30C6" w:rsidRDefault="00E473A9" w:rsidP="003C30C6">
      <w:pPr>
        <w:pStyle w:val="ListParagraph"/>
        <w:numPr>
          <w:ilvl w:val="0"/>
          <w:numId w:val="3"/>
        </w:numPr>
        <w:spacing w:line="360" w:lineRule="auto"/>
        <w:rPr>
          <w:rFonts w:ascii="Arial" w:hAnsi="Arial" w:cs="Arial"/>
          <w:sz w:val="22"/>
          <w:szCs w:val="22"/>
        </w:rPr>
      </w:pPr>
      <w:r w:rsidRPr="003C30C6">
        <w:rPr>
          <w:rFonts w:ascii="Arial" w:hAnsi="Arial" w:cs="Arial"/>
          <w:sz w:val="22"/>
          <w:szCs w:val="22"/>
        </w:rPr>
        <w:t>Funding volatility</w:t>
      </w:r>
      <w:r w:rsidR="003C30C6">
        <w:rPr>
          <w:rFonts w:ascii="Arial" w:hAnsi="Arial" w:cs="Arial"/>
          <w:sz w:val="22"/>
          <w:szCs w:val="22"/>
        </w:rPr>
        <w:t xml:space="preserve"> </w:t>
      </w:r>
      <w:r w:rsidRPr="003C30C6">
        <w:rPr>
          <w:rFonts w:ascii="Arial" w:hAnsi="Arial" w:cs="Arial"/>
          <w:sz w:val="22"/>
          <w:szCs w:val="22"/>
        </w:rPr>
        <w:t>especially post-COVID</w:t>
      </w:r>
      <w:r w:rsidR="003C30C6">
        <w:rPr>
          <w:rFonts w:ascii="Arial" w:hAnsi="Arial" w:cs="Arial"/>
          <w:sz w:val="22"/>
          <w:szCs w:val="22"/>
        </w:rPr>
        <w:t xml:space="preserve"> </w:t>
      </w:r>
      <w:r w:rsidRPr="003C30C6">
        <w:rPr>
          <w:rFonts w:ascii="Arial" w:hAnsi="Arial" w:cs="Arial"/>
          <w:sz w:val="22"/>
          <w:szCs w:val="22"/>
        </w:rPr>
        <w:t>threatens sustainability.</w:t>
      </w:r>
    </w:p>
    <w:p w14:paraId="56B1D786" w14:textId="25259A3F" w:rsidR="00E473A9" w:rsidRPr="003C30C6" w:rsidRDefault="00E473A9" w:rsidP="003C30C6">
      <w:pPr>
        <w:pStyle w:val="ListParagraph"/>
        <w:numPr>
          <w:ilvl w:val="0"/>
          <w:numId w:val="3"/>
        </w:numPr>
        <w:spacing w:line="360" w:lineRule="auto"/>
        <w:rPr>
          <w:rFonts w:ascii="Arial" w:hAnsi="Arial" w:cs="Arial"/>
          <w:sz w:val="22"/>
          <w:szCs w:val="22"/>
        </w:rPr>
      </w:pPr>
      <w:r w:rsidRPr="003C30C6">
        <w:rPr>
          <w:rFonts w:ascii="Arial" w:hAnsi="Arial" w:cs="Arial"/>
          <w:sz w:val="22"/>
          <w:szCs w:val="22"/>
        </w:rPr>
        <w:t>Mental health services remain under-resourced relative to demand.</w:t>
      </w:r>
    </w:p>
    <w:p w14:paraId="7FA621B8" w14:textId="77777777" w:rsidR="00E473A9" w:rsidRPr="003C30C6" w:rsidRDefault="00E473A9" w:rsidP="003C30C6">
      <w:pPr>
        <w:pStyle w:val="ListParagraph"/>
        <w:numPr>
          <w:ilvl w:val="0"/>
          <w:numId w:val="3"/>
        </w:numPr>
        <w:spacing w:line="360" w:lineRule="auto"/>
        <w:rPr>
          <w:rFonts w:ascii="Arial" w:hAnsi="Arial" w:cs="Arial"/>
          <w:sz w:val="22"/>
          <w:szCs w:val="22"/>
        </w:rPr>
      </w:pPr>
      <w:r w:rsidRPr="003C30C6">
        <w:rPr>
          <w:rFonts w:ascii="Arial" w:hAnsi="Arial" w:cs="Arial"/>
          <w:sz w:val="22"/>
          <w:szCs w:val="22"/>
        </w:rPr>
        <w:t>Monitoring frameworks lack consistent indicators for well-being beyond morbidity and mortality.</w:t>
      </w:r>
    </w:p>
    <w:p w14:paraId="7042447F" w14:textId="642516C2" w:rsidR="00E473A9" w:rsidRPr="003C30C6" w:rsidRDefault="00E473A9" w:rsidP="003C30C6">
      <w:pPr>
        <w:spacing w:line="360" w:lineRule="auto"/>
        <w:rPr>
          <w:rFonts w:ascii="Arial" w:hAnsi="Arial" w:cs="Arial"/>
          <w:sz w:val="22"/>
          <w:szCs w:val="22"/>
        </w:rPr>
      </w:pPr>
    </w:p>
    <w:p w14:paraId="49C66490" w14:textId="03D03B54" w:rsidR="00E473A9" w:rsidRPr="003C30C6" w:rsidRDefault="00E473A9" w:rsidP="003C30C6">
      <w:pPr>
        <w:spacing w:line="360" w:lineRule="auto"/>
        <w:rPr>
          <w:rFonts w:ascii="Arial" w:hAnsi="Arial" w:cs="Arial"/>
          <w:sz w:val="22"/>
          <w:szCs w:val="22"/>
        </w:rPr>
      </w:pPr>
      <w:r w:rsidRPr="003C30C6">
        <w:rPr>
          <w:rFonts w:ascii="Arial" w:hAnsi="Arial" w:cs="Arial"/>
          <w:b/>
          <w:bCs/>
          <w:sz w:val="22"/>
          <w:szCs w:val="22"/>
        </w:rPr>
        <w:t xml:space="preserve">Recommendations </w:t>
      </w:r>
    </w:p>
    <w:p w14:paraId="12C92C1F" w14:textId="4232B235"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t>Strengthen Primary Health Care (PHC) and community models – Investing in PHC yields high equity and cost-effectiveness (WHO and World Bank, 2021). Embedding multidisciplinary community teams can reduce hospital admissions and address social needs.</w:t>
      </w:r>
    </w:p>
    <w:p w14:paraId="3BDE3811" w14:textId="77777777" w:rsidR="00A7695A" w:rsidRPr="003C30C6" w:rsidRDefault="00A7695A" w:rsidP="003C30C6">
      <w:pPr>
        <w:spacing w:line="360" w:lineRule="auto"/>
        <w:rPr>
          <w:rFonts w:ascii="Arial" w:hAnsi="Arial" w:cs="Arial"/>
          <w:sz w:val="22"/>
          <w:szCs w:val="22"/>
        </w:rPr>
      </w:pPr>
    </w:p>
    <w:p w14:paraId="4AAE4F7E" w14:textId="77777777" w:rsidR="00E473A9" w:rsidRPr="003C30C6" w:rsidRDefault="00E473A9" w:rsidP="003C30C6">
      <w:pPr>
        <w:spacing w:line="360" w:lineRule="auto"/>
        <w:rPr>
          <w:rFonts w:ascii="Arial" w:hAnsi="Arial" w:cs="Arial"/>
          <w:sz w:val="22"/>
          <w:szCs w:val="22"/>
        </w:rPr>
      </w:pPr>
      <w:r w:rsidRPr="003C30C6">
        <w:rPr>
          <w:rFonts w:ascii="Arial" w:hAnsi="Arial" w:cs="Arial"/>
          <w:b/>
          <w:bCs/>
          <w:sz w:val="22"/>
          <w:szCs w:val="22"/>
        </w:rPr>
        <w:t>Adopt formal “Health in All Policies” mechanisms</w:t>
      </w:r>
      <w:r w:rsidRPr="003C30C6">
        <w:rPr>
          <w:rFonts w:ascii="Arial" w:hAnsi="Arial" w:cs="Arial"/>
          <w:sz w:val="22"/>
          <w:szCs w:val="22"/>
        </w:rPr>
        <w:t xml:space="preserve"> – Interdepartmental committees and Health Impact Assessments should institutionalise health across planning, housing, transport, and environment (Kickbusch et al., 2012).</w:t>
      </w:r>
    </w:p>
    <w:p w14:paraId="1C2C7163" w14:textId="77777777" w:rsidR="00E473A9" w:rsidRPr="003C30C6" w:rsidRDefault="00E473A9" w:rsidP="003C30C6">
      <w:pPr>
        <w:spacing w:line="360" w:lineRule="auto"/>
        <w:rPr>
          <w:rFonts w:ascii="Arial" w:hAnsi="Arial" w:cs="Arial"/>
          <w:sz w:val="22"/>
          <w:szCs w:val="22"/>
        </w:rPr>
      </w:pPr>
    </w:p>
    <w:p w14:paraId="7006A9EB" w14:textId="77777777" w:rsidR="00E473A9" w:rsidRPr="003C30C6" w:rsidRDefault="00E473A9" w:rsidP="003C30C6">
      <w:pPr>
        <w:spacing w:line="360" w:lineRule="auto"/>
        <w:rPr>
          <w:rFonts w:ascii="Arial" w:hAnsi="Arial" w:cs="Arial"/>
          <w:sz w:val="22"/>
          <w:szCs w:val="22"/>
        </w:rPr>
      </w:pPr>
      <w:r w:rsidRPr="003C30C6">
        <w:rPr>
          <w:rFonts w:ascii="Arial" w:hAnsi="Arial" w:cs="Arial"/>
          <w:b/>
          <w:bCs/>
          <w:sz w:val="22"/>
          <w:szCs w:val="22"/>
        </w:rPr>
        <w:t>Enhance health data systems and evaluation capacity</w:t>
      </w:r>
      <w:r w:rsidRPr="003C30C6">
        <w:rPr>
          <w:rFonts w:ascii="Arial" w:hAnsi="Arial" w:cs="Arial"/>
          <w:sz w:val="22"/>
          <w:szCs w:val="22"/>
        </w:rPr>
        <w:t xml:space="preserve"> – Integrated digital records and disaggregated data improve accountability and allow equity-sensitive monitoring (WHO, 2025).</w:t>
      </w:r>
    </w:p>
    <w:p w14:paraId="4AB19D19" w14:textId="77777777" w:rsidR="00E473A9" w:rsidRPr="003C30C6" w:rsidRDefault="00E473A9" w:rsidP="003C30C6">
      <w:pPr>
        <w:spacing w:line="360" w:lineRule="auto"/>
        <w:rPr>
          <w:rFonts w:ascii="Arial" w:hAnsi="Arial" w:cs="Arial"/>
          <w:sz w:val="22"/>
          <w:szCs w:val="22"/>
        </w:rPr>
      </w:pPr>
    </w:p>
    <w:p w14:paraId="1AE4A452" w14:textId="77777777" w:rsidR="00E473A9" w:rsidRPr="003C30C6" w:rsidRDefault="00E473A9" w:rsidP="003C30C6">
      <w:pPr>
        <w:spacing w:line="360" w:lineRule="auto"/>
        <w:rPr>
          <w:rFonts w:ascii="Arial" w:hAnsi="Arial" w:cs="Arial"/>
          <w:sz w:val="22"/>
          <w:szCs w:val="22"/>
        </w:rPr>
      </w:pPr>
      <w:r w:rsidRPr="003C30C6">
        <w:rPr>
          <w:rFonts w:ascii="Arial" w:hAnsi="Arial" w:cs="Arial"/>
          <w:b/>
          <w:bCs/>
          <w:sz w:val="22"/>
          <w:szCs w:val="22"/>
        </w:rPr>
        <w:t>Sustainable financing through progressive taxation</w:t>
      </w:r>
      <w:r w:rsidRPr="003C30C6">
        <w:rPr>
          <w:rFonts w:ascii="Arial" w:hAnsi="Arial" w:cs="Arial"/>
          <w:sz w:val="22"/>
          <w:szCs w:val="22"/>
        </w:rPr>
        <w:t xml:space="preserve"> – Earmarking taxes on tobacco, alcohol, and sugary drinks (“sin taxes”) can generate health funds and reduce risk behaviours (WHO, 2025).</w:t>
      </w:r>
    </w:p>
    <w:p w14:paraId="5080A844" w14:textId="77777777" w:rsidR="00E473A9" w:rsidRPr="003C30C6" w:rsidRDefault="00E473A9" w:rsidP="003C30C6">
      <w:pPr>
        <w:spacing w:line="360" w:lineRule="auto"/>
        <w:rPr>
          <w:rFonts w:ascii="Arial" w:hAnsi="Arial" w:cs="Arial"/>
          <w:b/>
          <w:bCs/>
          <w:sz w:val="22"/>
          <w:szCs w:val="22"/>
        </w:rPr>
      </w:pPr>
    </w:p>
    <w:p w14:paraId="72C427AB" w14:textId="77777777" w:rsidR="00E473A9" w:rsidRPr="003C30C6" w:rsidRDefault="00E473A9" w:rsidP="003C30C6">
      <w:pPr>
        <w:spacing w:line="360" w:lineRule="auto"/>
        <w:rPr>
          <w:rFonts w:ascii="Arial" w:hAnsi="Arial" w:cs="Arial"/>
          <w:sz w:val="22"/>
          <w:szCs w:val="22"/>
        </w:rPr>
      </w:pPr>
      <w:r w:rsidRPr="003C30C6">
        <w:rPr>
          <w:rFonts w:ascii="Arial" w:hAnsi="Arial" w:cs="Arial"/>
          <w:b/>
          <w:bCs/>
          <w:sz w:val="22"/>
          <w:szCs w:val="22"/>
        </w:rPr>
        <w:t>Address workforce wellbeing</w:t>
      </w:r>
      <w:r w:rsidRPr="003C30C6">
        <w:rPr>
          <w:rFonts w:ascii="Arial" w:hAnsi="Arial" w:cs="Arial"/>
          <w:sz w:val="22"/>
          <w:szCs w:val="22"/>
        </w:rPr>
        <w:t xml:space="preserve"> – Implementing the WHO Global Plan on Workers’ Health principles can reduce burnout and ensure service quality (WHO, 2007).</w:t>
      </w:r>
    </w:p>
    <w:p w14:paraId="6A32CBB2" w14:textId="77777777" w:rsidR="00E473A9" w:rsidRPr="003C30C6" w:rsidRDefault="00E473A9" w:rsidP="003C30C6">
      <w:pPr>
        <w:spacing w:line="360" w:lineRule="auto"/>
        <w:rPr>
          <w:rFonts w:ascii="Arial" w:hAnsi="Arial" w:cs="Arial"/>
          <w:sz w:val="22"/>
          <w:szCs w:val="22"/>
        </w:rPr>
      </w:pPr>
    </w:p>
    <w:p w14:paraId="39BD602E" w14:textId="77777777" w:rsidR="00E473A9" w:rsidRPr="003C30C6" w:rsidRDefault="00E473A9" w:rsidP="003C30C6">
      <w:pPr>
        <w:spacing w:line="360" w:lineRule="auto"/>
        <w:rPr>
          <w:rFonts w:ascii="Arial" w:hAnsi="Arial" w:cs="Arial"/>
          <w:sz w:val="22"/>
          <w:szCs w:val="22"/>
        </w:rPr>
      </w:pPr>
      <w:r w:rsidRPr="003C30C6">
        <w:rPr>
          <w:rFonts w:ascii="Arial" w:hAnsi="Arial" w:cs="Arial"/>
          <w:b/>
          <w:bCs/>
          <w:sz w:val="22"/>
          <w:szCs w:val="22"/>
        </w:rPr>
        <w:t>Empower citizens and communities</w:t>
      </w:r>
      <w:r w:rsidRPr="003C30C6">
        <w:rPr>
          <w:rFonts w:ascii="Arial" w:hAnsi="Arial" w:cs="Arial"/>
          <w:sz w:val="22"/>
          <w:szCs w:val="22"/>
        </w:rPr>
        <w:t xml:space="preserve"> – Health literacy and community participation should guide service design to enhance trust and cultural competence (Marmot, 2020).</w:t>
      </w:r>
    </w:p>
    <w:p w14:paraId="311F897F" w14:textId="77777777" w:rsidR="00E473A9" w:rsidRPr="003C30C6" w:rsidRDefault="00E473A9" w:rsidP="003C30C6">
      <w:pPr>
        <w:spacing w:line="360" w:lineRule="auto"/>
        <w:rPr>
          <w:rFonts w:ascii="Arial" w:hAnsi="Arial" w:cs="Arial"/>
          <w:sz w:val="22"/>
          <w:szCs w:val="22"/>
        </w:rPr>
      </w:pPr>
    </w:p>
    <w:p w14:paraId="21EA9D3D" w14:textId="77777777" w:rsidR="00E473A9" w:rsidRDefault="00E473A9" w:rsidP="003C30C6">
      <w:pPr>
        <w:spacing w:line="360" w:lineRule="auto"/>
        <w:rPr>
          <w:rFonts w:ascii="Arial" w:hAnsi="Arial" w:cs="Arial"/>
          <w:sz w:val="22"/>
          <w:szCs w:val="22"/>
        </w:rPr>
      </w:pPr>
      <w:r w:rsidRPr="003C30C6">
        <w:rPr>
          <w:rFonts w:ascii="Arial" w:hAnsi="Arial" w:cs="Arial"/>
          <w:sz w:val="22"/>
          <w:szCs w:val="22"/>
        </w:rPr>
        <w:t>Implementing these reforms requires integrated governance, political commitment, and equitable financing to sustain SDG 3 achievements while addressing socio-economic determinants that intersect with poverty and inequality.</w:t>
      </w:r>
    </w:p>
    <w:p w14:paraId="41DA0404" w14:textId="77777777" w:rsidR="00C63E17" w:rsidRPr="003C30C6" w:rsidRDefault="00C63E17" w:rsidP="003C30C6">
      <w:pPr>
        <w:spacing w:line="360" w:lineRule="auto"/>
        <w:rPr>
          <w:rFonts w:ascii="Arial" w:hAnsi="Arial" w:cs="Arial"/>
          <w:sz w:val="22"/>
          <w:szCs w:val="22"/>
        </w:rPr>
      </w:pPr>
    </w:p>
    <w:p w14:paraId="440F3FBF" w14:textId="77777777" w:rsidR="003C30C6" w:rsidRPr="003C30C6" w:rsidRDefault="003C30C6" w:rsidP="003C30C6">
      <w:pPr>
        <w:spacing w:line="360" w:lineRule="auto"/>
        <w:rPr>
          <w:rFonts w:ascii="Arial" w:hAnsi="Arial" w:cs="Arial"/>
          <w:sz w:val="22"/>
          <w:szCs w:val="22"/>
        </w:rPr>
      </w:pPr>
    </w:p>
    <w:p w14:paraId="2B1C7361" w14:textId="0ED29133" w:rsidR="00E473A9" w:rsidRPr="003C30C6" w:rsidRDefault="00E473A9" w:rsidP="003C30C6">
      <w:pPr>
        <w:spacing w:line="360" w:lineRule="auto"/>
        <w:rPr>
          <w:rFonts w:ascii="Arial" w:hAnsi="Arial" w:cs="Arial"/>
          <w:b/>
          <w:bCs/>
          <w:sz w:val="22"/>
          <w:szCs w:val="22"/>
        </w:rPr>
      </w:pPr>
      <w:r w:rsidRPr="003C30C6">
        <w:rPr>
          <w:rFonts w:ascii="Arial" w:hAnsi="Arial" w:cs="Arial"/>
          <w:b/>
          <w:bCs/>
          <w:sz w:val="22"/>
          <w:szCs w:val="22"/>
        </w:rPr>
        <w:lastRenderedPageBreak/>
        <w:t>SDG 1 – No Poverty</w:t>
      </w:r>
    </w:p>
    <w:p w14:paraId="28A7D8D5" w14:textId="1C937DF9" w:rsidR="00E473A9" w:rsidRPr="003C30C6" w:rsidRDefault="00E473A9" w:rsidP="003C30C6">
      <w:pPr>
        <w:spacing w:line="360" w:lineRule="auto"/>
        <w:rPr>
          <w:rFonts w:ascii="Arial" w:hAnsi="Arial" w:cs="Arial"/>
          <w:b/>
          <w:bCs/>
          <w:sz w:val="22"/>
          <w:szCs w:val="22"/>
        </w:rPr>
      </w:pPr>
      <w:r w:rsidRPr="003C30C6">
        <w:rPr>
          <w:rFonts w:ascii="Arial" w:hAnsi="Arial" w:cs="Arial"/>
          <w:b/>
          <w:bCs/>
          <w:sz w:val="22"/>
          <w:szCs w:val="22"/>
        </w:rPr>
        <w:t>Overview of SDG 1</w:t>
      </w:r>
    </w:p>
    <w:p w14:paraId="4A3628B0" w14:textId="77777777"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t>SDG 1 – No Poverty aims to “end poverty in all its forms everywhere” by eradicating extreme poverty, expanding social protection, and ensuring equal access to economic resources (United Nations, 2015). Poverty is multidimensional—encompassing income deprivation, lack of education, health, housing, and participation (Sen, 1999). This section critically examines global, national, and local approaches to poverty reduction, drawing on the capability approach (Sen, 1999) and multidimensional poverty theory (Alkire and Foster, 2011) as analytical frameworks.</w:t>
      </w:r>
    </w:p>
    <w:p w14:paraId="1AC3C274" w14:textId="77777777" w:rsidR="00E473A9" w:rsidRPr="003C30C6" w:rsidRDefault="00E473A9" w:rsidP="003C30C6">
      <w:pPr>
        <w:spacing w:line="360" w:lineRule="auto"/>
        <w:rPr>
          <w:rFonts w:ascii="Arial" w:hAnsi="Arial" w:cs="Arial"/>
          <w:sz w:val="22"/>
          <w:szCs w:val="22"/>
        </w:rPr>
      </w:pPr>
    </w:p>
    <w:p w14:paraId="368A5623" w14:textId="4E7B6874" w:rsidR="00E473A9" w:rsidRPr="003C30C6" w:rsidRDefault="00E473A9" w:rsidP="003C30C6">
      <w:pPr>
        <w:spacing w:line="360" w:lineRule="auto"/>
        <w:rPr>
          <w:rFonts w:ascii="Arial" w:hAnsi="Arial" w:cs="Arial"/>
          <w:b/>
          <w:bCs/>
          <w:sz w:val="22"/>
          <w:szCs w:val="22"/>
        </w:rPr>
      </w:pPr>
      <w:r w:rsidRPr="003C30C6">
        <w:rPr>
          <w:rFonts w:ascii="Arial" w:hAnsi="Arial" w:cs="Arial"/>
          <w:b/>
          <w:bCs/>
          <w:sz w:val="22"/>
          <w:szCs w:val="22"/>
        </w:rPr>
        <w:t>Global Policies and Initiatives</w:t>
      </w:r>
    </w:p>
    <w:p w14:paraId="74174E4F" w14:textId="77777777"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t>Globally, poverty reduction has been driven by frameworks such as the World Bank’s Poverty Reduction Strategy Papers (PRSPs), the International Labour Organization’s (ILO) Social Protection Floors, and cash transfer programmes (World Bank, 2022; ILO, 2021). The UNDP (2024) and OECD (2023) highlight the growing emphasis on inclusive growth, resilience, and gender equity.</w:t>
      </w:r>
    </w:p>
    <w:p w14:paraId="3D24257C" w14:textId="77777777" w:rsidR="00E473A9" w:rsidRPr="003C30C6" w:rsidRDefault="00E473A9" w:rsidP="003C30C6">
      <w:pPr>
        <w:spacing w:line="360" w:lineRule="auto"/>
        <w:rPr>
          <w:rFonts w:ascii="Arial" w:hAnsi="Arial" w:cs="Arial"/>
          <w:sz w:val="22"/>
          <w:szCs w:val="22"/>
        </w:rPr>
      </w:pPr>
    </w:p>
    <w:p w14:paraId="2EBED865" w14:textId="77777777"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t>The Multidimensional Poverty Index (MPI), developed by the Oxford Poverty and Human Development Initiative (OPHI), expands poverty measurement beyond income to include deprivations in education, health, and living standards (OPHI, 2024). Countries adopting the MPI have improved targeting and accountability (Alkire and Foster, 2011). However, global poverty remains unevenly distributed, with economic shocks, conflict, and climate change threatening to reverse gains (UN, 2024).</w:t>
      </w:r>
    </w:p>
    <w:p w14:paraId="6A806611" w14:textId="77777777" w:rsidR="00E473A9" w:rsidRPr="003C30C6" w:rsidRDefault="00E473A9" w:rsidP="003C30C6">
      <w:pPr>
        <w:spacing w:line="360" w:lineRule="auto"/>
        <w:rPr>
          <w:rFonts w:ascii="Arial" w:hAnsi="Arial" w:cs="Arial"/>
          <w:sz w:val="22"/>
          <w:szCs w:val="22"/>
        </w:rPr>
      </w:pPr>
    </w:p>
    <w:p w14:paraId="5AD89009" w14:textId="77777777" w:rsidR="00E473A9" w:rsidRPr="003C30C6" w:rsidRDefault="00E473A9" w:rsidP="003C30C6">
      <w:pPr>
        <w:spacing w:line="360" w:lineRule="auto"/>
        <w:rPr>
          <w:rFonts w:ascii="Arial" w:hAnsi="Arial" w:cs="Arial"/>
          <w:b/>
          <w:bCs/>
          <w:sz w:val="22"/>
          <w:szCs w:val="22"/>
        </w:rPr>
      </w:pPr>
      <w:r w:rsidRPr="003C30C6">
        <w:rPr>
          <w:rFonts w:ascii="Arial" w:hAnsi="Arial" w:cs="Arial"/>
          <w:b/>
          <w:bCs/>
          <w:sz w:val="22"/>
          <w:szCs w:val="22"/>
        </w:rPr>
        <w:t>National and Local Context (United Kingdom)</w:t>
      </w:r>
    </w:p>
    <w:p w14:paraId="35494B20" w14:textId="77777777"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t>The UK’s welfare state, grounded in the Beveridge Report (1942), provides universal benefits, public services, and labour protections. Modern anti-poverty policy includes the Universal Credit system, National Living Wage, free school meals, and child benefit schemes (House of Lords Library, 2024). The Levelling Up White Paper (HM Government, 2022) seeks to reduce regional inequality through infrastructure, education, and employment investment.</w:t>
      </w:r>
    </w:p>
    <w:p w14:paraId="57D3CB83" w14:textId="77777777" w:rsidR="00E473A9" w:rsidRPr="003C30C6" w:rsidRDefault="00E473A9" w:rsidP="003C30C6">
      <w:pPr>
        <w:spacing w:line="360" w:lineRule="auto"/>
        <w:rPr>
          <w:rFonts w:ascii="Arial" w:hAnsi="Arial" w:cs="Arial"/>
          <w:sz w:val="22"/>
          <w:szCs w:val="22"/>
        </w:rPr>
      </w:pPr>
    </w:p>
    <w:p w14:paraId="733345F7" w14:textId="2E5840B8"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lastRenderedPageBreak/>
        <w:t>However, UK poverty rates remain stubbornly high</w:t>
      </w:r>
      <w:r w:rsidR="003C30C6">
        <w:rPr>
          <w:rFonts w:ascii="Arial" w:hAnsi="Arial" w:cs="Arial"/>
          <w:sz w:val="22"/>
          <w:szCs w:val="22"/>
        </w:rPr>
        <w:t xml:space="preserve"> </w:t>
      </w:r>
      <w:r w:rsidRPr="003C30C6">
        <w:rPr>
          <w:rFonts w:ascii="Arial" w:hAnsi="Arial" w:cs="Arial"/>
          <w:sz w:val="22"/>
          <w:szCs w:val="22"/>
        </w:rPr>
        <w:t>around 11 million people live in relative poverty (before housing costs) (ONS, 2024). Welfare cuts and high living costs have worsened deprivation, with government estimates suggesting recent reforms may push 250,000 people into poverty (Reuters, 2025). The Welsh Government’s Communities First programme (Welsh Government, 2018) and subsequent local partnerships show how targeted, place-based initiatives can empower disadvantaged communities, though funding uncertainty has hindered continuity.</w:t>
      </w:r>
    </w:p>
    <w:p w14:paraId="11100BB8" w14:textId="77777777" w:rsidR="00E473A9" w:rsidRPr="003C30C6" w:rsidRDefault="00E473A9" w:rsidP="003C30C6">
      <w:pPr>
        <w:spacing w:line="360" w:lineRule="auto"/>
        <w:rPr>
          <w:rFonts w:ascii="Arial" w:hAnsi="Arial" w:cs="Arial"/>
          <w:sz w:val="22"/>
          <w:szCs w:val="22"/>
        </w:rPr>
      </w:pPr>
    </w:p>
    <w:p w14:paraId="596148A6" w14:textId="69DAFB12" w:rsidR="00A7695A" w:rsidRPr="003C30C6" w:rsidRDefault="00E473A9" w:rsidP="003C30C6">
      <w:pPr>
        <w:spacing w:line="360" w:lineRule="auto"/>
        <w:rPr>
          <w:rFonts w:ascii="Arial" w:hAnsi="Arial" w:cs="Arial"/>
          <w:sz w:val="22"/>
          <w:szCs w:val="22"/>
        </w:rPr>
      </w:pPr>
      <w:r w:rsidRPr="003C30C6">
        <w:rPr>
          <w:rFonts w:ascii="Arial" w:hAnsi="Arial" w:cs="Arial"/>
          <w:sz w:val="22"/>
          <w:szCs w:val="22"/>
        </w:rPr>
        <w:t>The capability approach provides a useful theoretical foundation: poverty is not only a lack of income but of freedoms and opportunities to live a life one values (Sen, 1999). This aligns with the UK’s multidimensional perspective, linking economic and social policy. Meanwhile, structural theories of poverty highlight systemic issues</w:t>
      </w:r>
      <w:r w:rsidR="003C30C6">
        <w:rPr>
          <w:rFonts w:ascii="Arial" w:hAnsi="Arial" w:cs="Arial"/>
          <w:sz w:val="22"/>
          <w:szCs w:val="22"/>
        </w:rPr>
        <w:t xml:space="preserve"> </w:t>
      </w:r>
      <w:r w:rsidRPr="003C30C6">
        <w:rPr>
          <w:rFonts w:ascii="Arial" w:hAnsi="Arial" w:cs="Arial"/>
          <w:sz w:val="22"/>
          <w:szCs w:val="22"/>
        </w:rPr>
        <w:t>low wages, unaffordable housing, and regional inequality</w:t>
      </w:r>
      <w:r w:rsidR="003C30C6">
        <w:rPr>
          <w:rFonts w:ascii="Arial" w:hAnsi="Arial" w:cs="Arial"/>
          <w:sz w:val="22"/>
          <w:szCs w:val="22"/>
        </w:rPr>
        <w:t xml:space="preserve"> </w:t>
      </w:r>
      <w:r w:rsidRPr="003C30C6">
        <w:rPr>
          <w:rFonts w:ascii="Arial" w:hAnsi="Arial" w:cs="Arial"/>
          <w:sz w:val="22"/>
          <w:szCs w:val="22"/>
        </w:rPr>
        <w:t>that require structural reforms rather than short-term assistance.</w:t>
      </w:r>
    </w:p>
    <w:p w14:paraId="68658EF9" w14:textId="77777777" w:rsidR="00E473A9" w:rsidRPr="003C30C6" w:rsidRDefault="00E473A9" w:rsidP="003C30C6">
      <w:pPr>
        <w:spacing w:line="360" w:lineRule="auto"/>
        <w:rPr>
          <w:rFonts w:ascii="Arial" w:hAnsi="Arial" w:cs="Arial"/>
          <w:sz w:val="22"/>
          <w:szCs w:val="22"/>
        </w:rPr>
      </w:pPr>
    </w:p>
    <w:p w14:paraId="1B2AD355" w14:textId="77777777" w:rsidR="00E473A9" w:rsidRPr="003C30C6" w:rsidRDefault="00E473A9" w:rsidP="003C30C6">
      <w:pPr>
        <w:spacing w:line="360" w:lineRule="auto"/>
        <w:rPr>
          <w:rFonts w:ascii="Arial" w:hAnsi="Arial" w:cs="Arial"/>
          <w:b/>
          <w:bCs/>
          <w:sz w:val="22"/>
          <w:szCs w:val="22"/>
        </w:rPr>
      </w:pPr>
      <w:r w:rsidRPr="003C30C6">
        <w:rPr>
          <w:rFonts w:ascii="Arial" w:hAnsi="Arial" w:cs="Arial"/>
          <w:b/>
          <w:bCs/>
          <w:sz w:val="22"/>
          <w:szCs w:val="22"/>
        </w:rPr>
        <w:t>Critical Evaluation</w:t>
      </w:r>
    </w:p>
    <w:p w14:paraId="18EEB4C7" w14:textId="77777777" w:rsidR="00E473A9" w:rsidRPr="003C30C6" w:rsidRDefault="00E473A9" w:rsidP="003C30C6">
      <w:pPr>
        <w:spacing w:line="360" w:lineRule="auto"/>
        <w:rPr>
          <w:rFonts w:ascii="Arial" w:hAnsi="Arial" w:cs="Arial"/>
          <w:b/>
          <w:bCs/>
          <w:sz w:val="22"/>
          <w:szCs w:val="22"/>
        </w:rPr>
      </w:pPr>
      <w:r w:rsidRPr="003C30C6">
        <w:rPr>
          <w:rFonts w:ascii="Arial" w:hAnsi="Arial" w:cs="Arial"/>
          <w:b/>
          <w:bCs/>
          <w:sz w:val="22"/>
          <w:szCs w:val="22"/>
        </w:rPr>
        <w:t>Strengths:</w:t>
      </w:r>
    </w:p>
    <w:p w14:paraId="1899F097" w14:textId="77777777" w:rsidR="00E473A9" w:rsidRPr="003C30C6" w:rsidRDefault="00E473A9" w:rsidP="003C30C6">
      <w:pPr>
        <w:spacing w:line="360" w:lineRule="auto"/>
        <w:rPr>
          <w:rFonts w:ascii="Arial" w:hAnsi="Arial" w:cs="Arial"/>
          <w:sz w:val="22"/>
          <w:szCs w:val="22"/>
        </w:rPr>
      </w:pPr>
    </w:p>
    <w:p w14:paraId="3E462D9A" w14:textId="72F12A7F" w:rsidR="00E473A9" w:rsidRPr="003C30C6" w:rsidRDefault="00E473A9" w:rsidP="003C30C6">
      <w:pPr>
        <w:pStyle w:val="ListParagraph"/>
        <w:numPr>
          <w:ilvl w:val="0"/>
          <w:numId w:val="4"/>
        </w:numPr>
        <w:spacing w:line="360" w:lineRule="auto"/>
        <w:rPr>
          <w:rFonts w:ascii="Arial" w:hAnsi="Arial" w:cs="Arial"/>
          <w:sz w:val="22"/>
          <w:szCs w:val="22"/>
        </w:rPr>
      </w:pPr>
      <w:r w:rsidRPr="003C30C6">
        <w:rPr>
          <w:rFonts w:ascii="Arial" w:hAnsi="Arial" w:cs="Arial"/>
          <w:sz w:val="22"/>
          <w:szCs w:val="22"/>
        </w:rPr>
        <w:t>Comprehensive social protection system provides safety nets and income support (ILO, 2021).</w:t>
      </w:r>
    </w:p>
    <w:p w14:paraId="1156FA1D" w14:textId="7F2C3C5F" w:rsidR="00E473A9" w:rsidRPr="003C30C6" w:rsidRDefault="00E473A9" w:rsidP="003C30C6">
      <w:pPr>
        <w:pStyle w:val="ListParagraph"/>
        <w:numPr>
          <w:ilvl w:val="0"/>
          <w:numId w:val="4"/>
        </w:numPr>
        <w:spacing w:line="360" w:lineRule="auto"/>
        <w:rPr>
          <w:rFonts w:ascii="Arial" w:hAnsi="Arial" w:cs="Arial"/>
          <w:sz w:val="22"/>
          <w:szCs w:val="22"/>
        </w:rPr>
      </w:pPr>
      <w:r w:rsidRPr="003C30C6">
        <w:rPr>
          <w:rFonts w:ascii="Arial" w:hAnsi="Arial" w:cs="Arial"/>
          <w:sz w:val="22"/>
          <w:szCs w:val="22"/>
        </w:rPr>
        <w:t>Minimum wage and tax credits reduce working poverty.</w:t>
      </w:r>
    </w:p>
    <w:p w14:paraId="50843A8A" w14:textId="06B4CE6A" w:rsidR="00E473A9" w:rsidRPr="003C30C6" w:rsidRDefault="00E473A9" w:rsidP="003C30C6">
      <w:pPr>
        <w:pStyle w:val="ListParagraph"/>
        <w:numPr>
          <w:ilvl w:val="0"/>
          <w:numId w:val="4"/>
        </w:numPr>
        <w:spacing w:line="360" w:lineRule="auto"/>
        <w:rPr>
          <w:rFonts w:ascii="Arial" w:hAnsi="Arial" w:cs="Arial"/>
          <w:sz w:val="22"/>
          <w:szCs w:val="22"/>
        </w:rPr>
      </w:pPr>
      <w:r w:rsidRPr="003C30C6">
        <w:rPr>
          <w:rFonts w:ascii="Arial" w:hAnsi="Arial" w:cs="Arial"/>
          <w:sz w:val="22"/>
          <w:szCs w:val="22"/>
        </w:rPr>
        <w:t>Cash transfer and “cash-plus” programmes demonstrate global effectiveness (OPML, 2023).</w:t>
      </w:r>
    </w:p>
    <w:p w14:paraId="0D97B0ED" w14:textId="511207CF" w:rsidR="00E473A9" w:rsidRPr="003C30C6" w:rsidRDefault="00E473A9" w:rsidP="003C30C6">
      <w:pPr>
        <w:pStyle w:val="ListParagraph"/>
        <w:numPr>
          <w:ilvl w:val="0"/>
          <w:numId w:val="4"/>
        </w:numPr>
        <w:spacing w:line="360" w:lineRule="auto"/>
        <w:rPr>
          <w:rFonts w:ascii="Arial" w:hAnsi="Arial" w:cs="Arial"/>
          <w:sz w:val="22"/>
          <w:szCs w:val="22"/>
        </w:rPr>
      </w:pPr>
      <w:r w:rsidRPr="003C30C6">
        <w:rPr>
          <w:rFonts w:ascii="Arial" w:hAnsi="Arial" w:cs="Arial"/>
          <w:sz w:val="22"/>
          <w:szCs w:val="22"/>
        </w:rPr>
        <w:t>Adoption of multidimensional poverty measurement enhances policy coherence (OPHI, 2024).</w:t>
      </w:r>
    </w:p>
    <w:p w14:paraId="0F6B2148" w14:textId="77777777" w:rsidR="00E473A9" w:rsidRDefault="00E473A9" w:rsidP="003C30C6">
      <w:pPr>
        <w:pStyle w:val="ListParagraph"/>
        <w:numPr>
          <w:ilvl w:val="0"/>
          <w:numId w:val="4"/>
        </w:numPr>
        <w:spacing w:line="360" w:lineRule="auto"/>
        <w:rPr>
          <w:rFonts w:ascii="Arial" w:hAnsi="Arial" w:cs="Arial"/>
          <w:sz w:val="22"/>
          <w:szCs w:val="22"/>
        </w:rPr>
      </w:pPr>
      <w:r w:rsidRPr="003C30C6">
        <w:rPr>
          <w:rFonts w:ascii="Arial" w:hAnsi="Arial" w:cs="Arial"/>
          <w:sz w:val="22"/>
          <w:szCs w:val="22"/>
        </w:rPr>
        <w:t>Local partnerships improve community engagement and service delivery.</w:t>
      </w:r>
    </w:p>
    <w:p w14:paraId="1BE88EF1" w14:textId="77777777" w:rsidR="00E473A9" w:rsidRPr="003C30C6" w:rsidRDefault="00E473A9" w:rsidP="003C30C6">
      <w:pPr>
        <w:spacing w:line="360" w:lineRule="auto"/>
        <w:rPr>
          <w:rFonts w:ascii="Arial" w:hAnsi="Arial" w:cs="Arial"/>
          <w:sz w:val="22"/>
          <w:szCs w:val="22"/>
        </w:rPr>
      </w:pPr>
    </w:p>
    <w:p w14:paraId="43C0677A" w14:textId="77777777" w:rsidR="00E473A9" w:rsidRPr="003C30C6" w:rsidRDefault="00E473A9" w:rsidP="003C30C6">
      <w:pPr>
        <w:spacing w:line="360" w:lineRule="auto"/>
        <w:rPr>
          <w:rFonts w:ascii="Arial" w:hAnsi="Arial" w:cs="Arial"/>
          <w:b/>
          <w:bCs/>
          <w:sz w:val="22"/>
          <w:szCs w:val="22"/>
        </w:rPr>
      </w:pPr>
      <w:r w:rsidRPr="003C30C6">
        <w:rPr>
          <w:rFonts w:ascii="Arial" w:hAnsi="Arial" w:cs="Arial"/>
          <w:b/>
          <w:bCs/>
          <w:sz w:val="22"/>
          <w:szCs w:val="22"/>
        </w:rPr>
        <w:t>Weaknesses:</w:t>
      </w:r>
    </w:p>
    <w:p w14:paraId="474E8870" w14:textId="77777777" w:rsidR="00E473A9" w:rsidRPr="003C30C6" w:rsidRDefault="00E473A9" w:rsidP="003C30C6">
      <w:pPr>
        <w:spacing w:line="360" w:lineRule="auto"/>
        <w:rPr>
          <w:rFonts w:ascii="Arial" w:hAnsi="Arial" w:cs="Arial"/>
          <w:sz w:val="22"/>
          <w:szCs w:val="22"/>
        </w:rPr>
      </w:pPr>
    </w:p>
    <w:p w14:paraId="4BFB97F4" w14:textId="585E25FE" w:rsidR="00E473A9" w:rsidRPr="003C30C6" w:rsidRDefault="00E473A9" w:rsidP="003C30C6">
      <w:pPr>
        <w:pStyle w:val="ListParagraph"/>
        <w:numPr>
          <w:ilvl w:val="0"/>
          <w:numId w:val="5"/>
        </w:numPr>
        <w:spacing w:line="360" w:lineRule="auto"/>
        <w:rPr>
          <w:rFonts w:ascii="Arial" w:hAnsi="Arial" w:cs="Arial"/>
          <w:sz w:val="22"/>
          <w:szCs w:val="22"/>
        </w:rPr>
      </w:pPr>
      <w:r w:rsidRPr="003C30C6">
        <w:rPr>
          <w:rFonts w:ascii="Arial" w:hAnsi="Arial" w:cs="Arial"/>
          <w:sz w:val="22"/>
          <w:szCs w:val="22"/>
        </w:rPr>
        <w:t>Benefit inadequacy and sanctions contribute to hardship and insecurity (House of Lords Library, 2024).</w:t>
      </w:r>
    </w:p>
    <w:p w14:paraId="624C0BEC" w14:textId="11BE9180" w:rsidR="00E473A9" w:rsidRPr="003C30C6" w:rsidRDefault="00E473A9" w:rsidP="003C30C6">
      <w:pPr>
        <w:pStyle w:val="ListParagraph"/>
        <w:numPr>
          <w:ilvl w:val="0"/>
          <w:numId w:val="5"/>
        </w:numPr>
        <w:spacing w:line="360" w:lineRule="auto"/>
        <w:rPr>
          <w:rFonts w:ascii="Arial" w:hAnsi="Arial" w:cs="Arial"/>
          <w:sz w:val="22"/>
          <w:szCs w:val="22"/>
        </w:rPr>
      </w:pPr>
      <w:r w:rsidRPr="003C30C6">
        <w:rPr>
          <w:rFonts w:ascii="Arial" w:hAnsi="Arial" w:cs="Arial"/>
          <w:sz w:val="22"/>
          <w:szCs w:val="22"/>
        </w:rPr>
        <w:t>Fiscal austerity has constrained welfare spending, widening inequalities (Reuters, 2025).</w:t>
      </w:r>
    </w:p>
    <w:p w14:paraId="2D61D785" w14:textId="2A3F090F" w:rsidR="00E473A9" w:rsidRPr="003C30C6" w:rsidRDefault="00E473A9" w:rsidP="003C30C6">
      <w:pPr>
        <w:pStyle w:val="ListParagraph"/>
        <w:numPr>
          <w:ilvl w:val="0"/>
          <w:numId w:val="5"/>
        </w:numPr>
        <w:spacing w:line="360" w:lineRule="auto"/>
        <w:rPr>
          <w:rFonts w:ascii="Arial" w:hAnsi="Arial" w:cs="Arial"/>
          <w:sz w:val="22"/>
          <w:szCs w:val="22"/>
        </w:rPr>
      </w:pPr>
      <w:r w:rsidRPr="003C30C6">
        <w:rPr>
          <w:rFonts w:ascii="Arial" w:hAnsi="Arial" w:cs="Arial"/>
          <w:sz w:val="22"/>
          <w:szCs w:val="22"/>
        </w:rPr>
        <w:lastRenderedPageBreak/>
        <w:t>Regional disparities persist, especially between southern and northern England.</w:t>
      </w:r>
    </w:p>
    <w:p w14:paraId="18F095F3" w14:textId="14617D38" w:rsidR="00E473A9" w:rsidRPr="003C30C6" w:rsidRDefault="00E473A9" w:rsidP="003C30C6">
      <w:pPr>
        <w:pStyle w:val="ListParagraph"/>
        <w:numPr>
          <w:ilvl w:val="0"/>
          <w:numId w:val="5"/>
        </w:numPr>
        <w:spacing w:line="360" w:lineRule="auto"/>
        <w:rPr>
          <w:rFonts w:ascii="Arial" w:hAnsi="Arial" w:cs="Arial"/>
          <w:sz w:val="22"/>
          <w:szCs w:val="22"/>
        </w:rPr>
      </w:pPr>
      <w:r w:rsidRPr="003C30C6">
        <w:rPr>
          <w:rFonts w:ascii="Arial" w:hAnsi="Arial" w:cs="Arial"/>
          <w:sz w:val="22"/>
          <w:szCs w:val="22"/>
        </w:rPr>
        <w:t>Complex bureaucracy in benefits administration reduces accessibility.</w:t>
      </w:r>
    </w:p>
    <w:p w14:paraId="60B547BE" w14:textId="77777777" w:rsidR="00E473A9" w:rsidRPr="003C30C6" w:rsidRDefault="00E473A9" w:rsidP="003C30C6">
      <w:pPr>
        <w:pStyle w:val="ListParagraph"/>
        <w:numPr>
          <w:ilvl w:val="0"/>
          <w:numId w:val="5"/>
        </w:numPr>
        <w:spacing w:line="360" w:lineRule="auto"/>
        <w:rPr>
          <w:rFonts w:ascii="Arial" w:hAnsi="Arial" w:cs="Arial"/>
          <w:sz w:val="22"/>
          <w:szCs w:val="22"/>
        </w:rPr>
      </w:pPr>
      <w:r w:rsidRPr="003C30C6">
        <w:rPr>
          <w:rFonts w:ascii="Arial" w:hAnsi="Arial" w:cs="Arial"/>
          <w:sz w:val="22"/>
          <w:szCs w:val="22"/>
        </w:rPr>
        <w:t>Short-term policy cycles undermine long-term poverty reduction planning (HM Government, 2022).</w:t>
      </w:r>
    </w:p>
    <w:p w14:paraId="258E3445" w14:textId="77777777" w:rsidR="00E473A9" w:rsidRPr="003C30C6" w:rsidRDefault="00E473A9" w:rsidP="003C30C6">
      <w:pPr>
        <w:spacing w:line="360" w:lineRule="auto"/>
        <w:rPr>
          <w:rFonts w:ascii="Arial" w:hAnsi="Arial" w:cs="Arial"/>
          <w:sz w:val="22"/>
          <w:szCs w:val="22"/>
        </w:rPr>
      </w:pPr>
    </w:p>
    <w:p w14:paraId="5B77F24A" w14:textId="77777777"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t>Despite strong institutional foundations, poverty reduction in the UK remains hindered by structural and political barriers. Fiscal austerity and fragmented policy weaken the social contract envisioned by SDG 1.</w:t>
      </w:r>
    </w:p>
    <w:p w14:paraId="2396D5B4" w14:textId="77777777" w:rsidR="00E473A9" w:rsidRPr="003C30C6" w:rsidRDefault="00E473A9" w:rsidP="003C30C6">
      <w:pPr>
        <w:spacing w:line="360" w:lineRule="auto"/>
        <w:rPr>
          <w:rFonts w:ascii="Arial" w:hAnsi="Arial" w:cs="Arial"/>
          <w:sz w:val="22"/>
          <w:szCs w:val="22"/>
        </w:rPr>
      </w:pPr>
    </w:p>
    <w:p w14:paraId="175A2675" w14:textId="56EFAA00" w:rsidR="00E473A9" w:rsidRPr="003C30C6" w:rsidRDefault="00E473A9" w:rsidP="003C30C6">
      <w:pPr>
        <w:spacing w:line="360" w:lineRule="auto"/>
        <w:rPr>
          <w:rFonts w:ascii="Arial" w:hAnsi="Arial" w:cs="Arial"/>
          <w:b/>
          <w:bCs/>
          <w:sz w:val="22"/>
          <w:szCs w:val="22"/>
        </w:rPr>
      </w:pPr>
      <w:r w:rsidRPr="003C30C6">
        <w:rPr>
          <w:rFonts w:ascii="Arial" w:hAnsi="Arial" w:cs="Arial"/>
          <w:b/>
          <w:bCs/>
          <w:sz w:val="22"/>
          <w:szCs w:val="22"/>
        </w:rPr>
        <w:t>Recommendations</w:t>
      </w:r>
    </w:p>
    <w:p w14:paraId="78820BC6" w14:textId="77777777" w:rsidR="00E473A9" w:rsidRPr="003C30C6" w:rsidRDefault="00E473A9" w:rsidP="003C30C6">
      <w:pPr>
        <w:spacing w:line="360" w:lineRule="auto"/>
        <w:rPr>
          <w:rFonts w:ascii="Arial" w:hAnsi="Arial" w:cs="Arial"/>
          <w:sz w:val="22"/>
          <w:szCs w:val="22"/>
        </w:rPr>
      </w:pPr>
      <w:r w:rsidRPr="003C30C6">
        <w:rPr>
          <w:rFonts w:ascii="Arial" w:hAnsi="Arial" w:cs="Arial"/>
          <w:b/>
          <w:bCs/>
          <w:sz w:val="22"/>
          <w:szCs w:val="22"/>
        </w:rPr>
        <w:t>Expand universal social protection floors</w:t>
      </w:r>
      <w:r w:rsidRPr="003C30C6">
        <w:rPr>
          <w:rFonts w:ascii="Arial" w:hAnsi="Arial" w:cs="Arial"/>
          <w:sz w:val="22"/>
          <w:szCs w:val="22"/>
        </w:rPr>
        <w:t xml:space="preserve"> – Guarantee a minimum income through progressive taxation and indexation to living costs (ILO, 2021). Ensure coverage for informal and precarious workers.</w:t>
      </w:r>
    </w:p>
    <w:p w14:paraId="300AB0C1" w14:textId="77777777" w:rsidR="00E473A9" w:rsidRPr="003C30C6" w:rsidRDefault="00E473A9" w:rsidP="003C30C6">
      <w:pPr>
        <w:spacing w:line="360" w:lineRule="auto"/>
        <w:rPr>
          <w:rFonts w:ascii="Arial" w:hAnsi="Arial" w:cs="Arial"/>
          <w:sz w:val="22"/>
          <w:szCs w:val="22"/>
        </w:rPr>
      </w:pPr>
    </w:p>
    <w:p w14:paraId="252B9F7A" w14:textId="77777777" w:rsidR="00E473A9" w:rsidRPr="003C30C6" w:rsidRDefault="00E473A9" w:rsidP="003C30C6">
      <w:pPr>
        <w:spacing w:line="360" w:lineRule="auto"/>
        <w:rPr>
          <w:rFonts w:ascii="Arial" w:hAnsi="Arial" w:cs="Arial"/>
          <w:sz w:val="22"/>
          <w:szCs w:val="22"/>
        </w:rPr>
      </w:pPr>
      <w:r w:rsidRPr="003C30C6">
        <w:rPr>
          <w:rFonts w:ascii="Arial" w:hAnsi="Arial" w:cs="Arial"/>
          <w:b/>
          <w:bCs/>
          <w:sz w:val="22"/>
          <w:szCs w:val="22"/>
        </w:rPr>
        <w:t>Strengthen multidimensional poverty monitoring</w:t>
      </w:r>
      <w:r w:rsidRPr="003C30C6">
        <w:rPr>
          <w:rFonts w:ascii="Arial" w:hAnsi="Arial" w:cs="Arial"/>
          <w:sz w:val="22"/>
          <w:szCs w:val="22"/>
        </w:rPr>
        <w:t xml:space="preserve"> – Integrate MPI data into UK welfare and budget planning to identify local deprivation (OPHI, 2024).</w:t>
      </w:r>
    </w:p>
    <w:p w14:paraId="1591CA1D" w14:textId="77777777" w:rsidR="00E473A9" w:rsidRPr="003C30C6" w:rsidRDefault="00E473A9" w:rsidP="003C30C6">
      <w:pPr>
        <w:spacing w:line="360" w:lineRule="auto"/>
        <w:rPr>
          <w:rFonts w:ascii="Arial" w:hAnsi="Arial" w:cs="Arial"/>
          <w:sz w:val="22"/>
          <w:szCs w:val="22"/>
        </w:rPr>
      </w:pPr>
    </w:p>
    <w:p w14:paraId="15037642" w14:textId="77777777" w:rsidR="00E473A9" w:rsidRPr="003C30C6" w:rsidRDefault="00E473A9" w:rsidP="003C30C6">
      <w:pPr>
        <w:spacing w:line="360" w:lineRule="auto"/>
        <w:rPr>
          <w:rFonts w:ascii="Arial" w:hAnsi="Arial" w:cs="Arial"/>
          <w:sz w:val="22"/>
          <w:szCs w:val="22"/>
        </w:rPr>
      </w:pPr>
      <w:r w:rsidRPr="003C30C6">
        <w:rPr>
          <w:rFonts w:ascii="Arial" w:hAnsi="Arial" w:cs="Arial"/>
          <w:b/>
          <w:bCs/>
          <w:sz w:val="22"/>
          <w:szCs w:val="22"/>
        </w:rPr>
        <w:t xml:space="preserve">Enhance employment and skills pathways </w:t>
      </w:r>
      <w:r w:rsidRPr="003C30C6">
        <w:rPr>
          <w:rFonts w:ascii="Arial" w:hAnsi="Arial" w:cs="Arial"/>
          <w:sz w:val="22"/>
          <w:szCs w:val="22"/>
        </w:rPr>
        <w:t>– Link poverty reduction to job creation through training and apprenticeships in green and digital sectors (HM Government, 2022).</w:t>
      </w:r>
    </w:p>
    <w:p w14:paraId="40DC6C89" w14:textId="77777777" w:rsidR="00E473A9" w:rsidRPr="003C30C6" w:rsidRDefault="00E473A9" w:rsidP="003C30C6">
      <w:pPr>
        <w:spacing w:line="360" w:lineRule="auto"/>
        <w:rPr>
          <w:rFonts w:ascii="Arial" w:hAnsi="Arial" w:cs="Arial"/>
          <w:sz w:val="22"/>
          <w:szCs w:val="22"/>
        </w:rPr>
      </w:pPr>
    </w:p>
    <w:p w14:paraId="633CA433" w14:textId="77777777" w:rsidR="00E473A9" w:rsidRPr="003C30C6" w:rsidRDefault="00E473A9" w:rsidP="003C30C6">
      <w:pPr>
        <w:spacing w:line="360" w:lineRule="auto"/>
        <w:rPr>
          <w:rFonts w:ascii="Arial" w:hAnsi="Arial" w:cs="Arial"/>
          <w:sz w:val="22"/>
          <w:szCs w:val="22"/>
        </w:rPr>
      </w:pPr>
      <w:r w:rsidRPr="003C30C6">
        <w:rPr>
          <w:rFonts w:ascii="Arial" w:hAnsi="Arial" w:cs="Arial"/>
          <w:b/>
          <w:bCs/>
          <w:sz w:val="22"/>
          <w:szCs w:val="22"/>
        </w:rPr>
        <w:t>Promote “cash-plus” integrated programmes</w:t>
      </w:r>
      <w:r w:rsidRPr="003C30C6">
        <w:rPr>
          <w:rFonts w:ascii="Arial" w:hAnsi="Arial" w:cs="Arial"/>
          <w:sz w:val="22"/>
          <w:szCs w:val="22"/>
        </w:rPr>
        <w:t xml:space="preserve"> – Combine financial support with services such as childcare, health, and skills (OPML, 2023).</w:t>
      </w:r>
    </w:p>
    <w:p w14:paraId="28742FF7" w14:textId="77777777" w:rsidR="00E473A9" w:rsidRPr="003C30C6" w:rsidRDefault="00E473A9" w:rsidP="003C30C6">
      <w:pPr>
        <w:spacing w:line="360" w:lineRule="auto"/>
        <w:rPr>
          <w:rFonts w:ascii="Arial" w:hAnsi="Arial" w:cs="Arial"/>
          <w:sz w:val="22"/>
          <w:szCs w:val="22"/>
        </w:rPr>
      </w:pPr>
    </w:p>
    <w:p w14:paraId="0C60DEBD" w14:textId="77777777" w:rsidR="00E473A9" w:rsidRPr="003C30C6" w:rsidRDefault="00E473A9" w:rsidP="003C30C6">
      <w:pPr>
        <w:spacing w:line="360" w:lineRule="auto"/>
        <w:rPr>
          <w:rFonts w:ascii="Arial" w:hAnsi="Arial" w:cs="Arial"/>
          <w:sz w:val="22"/>
          <w:szCs w:val="22"/>
        </w:rPr>
      </w:pPr>
      <w:r w:rsidRPr="003C30C6">
        <w:rPr>
          <w:rFonts w:ascii="Arial" w:hAnsi="Arial" w:cs="Arial"/>
          <w:b/>
          <w:bCs/>
          <w:sz w:val="22"/>
          <w:szCs w:val="22"/>
        </w:rPr>
        <w:t>Empower local governance and participation</w:t>
      </w:r>
      <w:r w:rsidRPr="003C30C6">
        <w:rPr>
          <w:rFonts w:ascii="Arial" w:hAnsi="Arial" w:cs="Arial"/>
          <w:sz w:val="22"/>
          <w:szCs w:val="22"/>
        </w:rPr>
        <w:t xml:space="preserve"> – Devolve resources to councils for place-based strategies, drawing on the Communities First model (Welsh Government, 2018).</w:t>
      </w:r>
    </w:p>
    <w:p w14:paraId="7B4DC17D" w14:textId="77777777" w:rsidR="00E473A9" w:rsidRPr="003C30C6" w:rsidRDefault="00E473A9" w:rsidP="003C30C6">
      <w:pPr>
        <w:spacing w:line="360" w:lineRule="auto"/>
        <w:rPr>
          <w:rFonts w:ascii="Arial" w:hAnsi="Arial" w:cs="Arial"/>
          <w:sz w:val="22"/>
          <w:szCs w:val="22"/>
        </w:rPr>
      </w:pPr>
    </w:p>
    <w:p w14:paraId="7104C787" w14:textId="77777777" w:rsidR="00E473A9" w:rsidRPr="003C30C6" w:rsidRDefault="00E473A9" w:rsidP="003C30C6">
      <w:pPr>
        <w:spacing w:line="360" w:lineRule="auto"/>
        <w:rPr>
          <w:rFonts w:ascii="Arial" w:hAnsi="Arial" w:cs="Arial"/>
          <w:sz w:val="22"/>
          <w:szCs w:val="22"/>
        </w:rPr>
      </w:pPr>
      <w:r w:rsidRPr="003C30C6">
        <w:rPr>
          <w:rFonts w:ascii="Arial" w:hAnsi="Arial" w:cs="Arial"/>
          <w:b/>
          <w:bCs/>
          <w:sz w:val="22"/>
          <w:szCs w:val="22"/>
        </w:rPr>
        <w:t>Strengthen housing and cost-of-living measures</w:t>
      </w:r>
      <w:r w:rsidRPr="003C30C6">
        <w:rPr>
          <w:rFonts w:ascii="Arial" w:hAnsi="Arial" w:cs="Arial"/>
          <w:sz w:val="22"/>
          <w:szCs w:val="22"/>
        </w:rPr>
        <w:t xml:space="preserve"> – Expand affordable housing and regulate energy and rent prices to protect low-income households (ONS, 2024).</w:t>
      </w:r>
    </w:p>
    <w:p w14:paraId="5F676E44" w14:textId="77777777" w:rsidR="00E473A9" w:rsidRPr="003C30C6" w:rsidRDefault="00E473A9" w:rsidP="003C30C6">
      <w:pPr>
        <w:spacing w:line="360" w:lineRule="auto"/>
        <w:rPr>
          <w:rFonts w:ascii="Arial" w:hAnsi="Arial" w:cs="Arial"/>
          <w:sz w:val="22"/>
          <w:szCs w:val="22"/>
        </w:rPr>
      </w:pPr>
    </w:p>
    <w:p w14:paraId="1DFE1A05" w14:textId="3369F217"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lastRenderedPageBreak/>
        <w:t>These recommendations emphasise multidimensional approaches, addressing structural inequalities while enhancing resilience to shocks. Integrating SDG 1 and SDG 3 within national strategies would create synergistic benefits</w:t>
      </w:r>
      <w:r w:rsidR="003C30C6">
        <w:rPr>
          <w:rFonts w:ascii="Arial" w:hAnsi="Arial" w:cs="Arial"/>
          <w:sz w:val="22"/>
          <w:szCs w:val="22"/>
        </w:rPr>
        <w:t xml:space="preserve"> </w:t>
      </w:r>
      <w:r w:rsidRPr="003C30C6">
        <w:rPr>
          <w:rFonts w:ascii="Arial" w:hAnsi="Arial" w:cs="Arial"/>
          <w:sz w:val="22"/>
          <w:szCs w:val="22"/>
        </w:rPr>
        <w:t>reducing poverty-related health inequalities and fostering sustainable wellbeing.</w:t>
      </w:r>
    </w:p>
    <w:p w14:paraId="0DFA8220" w14:textId="77777777" w:rsidR="00DE5D4E" w:rsidRPr="003C30C6" w:rsidRDefault="00DE5D4E" w:rsidP="003C30C6">
      <w:pPr>
        <w:spacing w:line="360" w:lineRule="auto"/>
        <w:rPr>
          <w:rFonts w:ascii="Arial" w:hAnsi="Arial" w:cs="Arial"/>
          <w:sz w:val="22"/>
          <w:szCs w:val="22"/>
        </w:rPr>
      </w:pPr>
    </w:p>
    <w:p w14:paraId="347B5B42" w14:textId="0B39E49D" w:rsidR="00E473A9" w:rsidRPr="003C30C6" w:rsidRDefault="00E473A9" w:rsidP="003C30C6">
      <w:pPr>
        <w:spacing w:line="360" w:lineRule="auto"/>
        <w:rPr>
          <w:rFonts w:ascii="Arial" w:hAnsi="Arial" w:cs="Arial"/>
          <w:b/>
          <w:bCs/>
          <w:sz w:val="22"/>
          <w:szCs w:val="22"/>
        </w:rPr>
      </w:pPr>
      <w:r w:rsidRPr="003C30C6">
        <w:rPr>
          <w:rFonts w:ascii="Arial" w:hAnsi="Arial" w:cs="Arial"/>
          <w:b/>
          <w:bCs/>
          <w:sz w:val="22"/>
          <w:szCs w:val="22"/>
        </w:rPr>
        <w:t>Conclusion</w:t>
      </w:r>
    </w:p>
    <w:p w14:paraId="7B68B6A2" w14:textId="77777777"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t>This report has critically evaluated global, national, and local policies addressing SDG 3 (Good Health and Well-being) and SDG 1 (No Poverty). Globally, frameworks such as the SDG 3 Global Action Plan, UNDP’s development agenda, and World Bank poverty strategies provide coordination and accountability. Nationally, the UK demonstrates strong institutional foundations through the NHS and welfare system, yet continues to face entrenched inequalities, austerity impacts, and fragmented governance. Locally, devolved and community-level programmes reveal the potential for tailored, participatory approaches.</w:t>
      </w:r>
    </w:p>
    <w:p w14:paraId="7B3365E0" w14:textId="77777777" w:rsidR="00E473A9" w:rsidRPr="003C30C6" w:rsidRDefault="00E473A9" w:rsidP="003C30C6">
      <w:pPr>
        <w:spacing w:line="360" w:lineRule="auto"/>
        <w:rPr>
          <w:rFonts w:ascii="Arial" w:hAnsi="Arial" w:cs="Arial"/>
          <w:sz w:val="22"/>
          <w:szCs w:val="22"/>
        </w:rPr>
      </w:pPr>
    </w:p>
    <w:p w14:paraId="7DD83A7B" w14:textId="77777777"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t>The findings underscore that health and poverty are mutually reinforcing. Poor health reduces economic productivity and increases household vulnerability, while poverty exacerbates exposure to disease and limits access to care. Achieving SDG 3 and SDG 1, therefore, demands integrated, multisectoral approaches that link social protection, healthcare, education, and employment policy.</w:t>
      </w:r>
    </w:p>
    <w:p w14:paraId="6B48877A" w14:textId="77777777" w:rsidR="00E473A9" w:rsidRPr="003C30C6" w:rsidRDefault="00E473A9" w:rsidP="003C30C6">
      <w:pPr>
        <w:spacing w:line="360" w:lineRule="auto"/>
        <w:rPr>
          <w:rFonts w:ascii="Arial" w:hAnsi="Arial" w:cs="Arial"/>
          <w:sz w:val="22"/>
          <w:szCs w:val="22"/>
        </w:rPr>
      </w:pPr>
    </w:p>
    <w:p w14:paraId="58824AD4" w14:textId="77777777" w:rsidR="00E473A9" w:rsidRPr="003C30C6" w:rsidRDefault="00E473A9" w:rsidP="003C30C6">
      <w:pPr>
        <w:spacing w:line="360" w:lineRule="auto"/>
        <w:rPr>
          <w:rFonts w:ascii="Arial" w:hAnsi="Arial" w:cs="Arial"/>
          <w:sz w:val="22"/>
          <w:szCs w:val="22"/>
        </w:rPr>
      </w:pPr>
      <w:r w:rsidRPr="003C30C6">
        <w:rPr>
          <w:rFonts w:ascii="Arial" w:hAnsi="Arial" w:cs="Arial"/>
          <w:sz w:val="22"/>
          <w:szCs w:val="22"/>
        </w:rPr>
        <w:t>Wider implications include the necessity for sustainable financing, cross-departmental coordination, and robust monitoring systems to ensure progress is equitable and resilient. Both SDGs benefit from adopting systems thinking and the capability approach, promoting policies that empower individuals and communities.</w:t>
      </w:r>
    </w:p>
    <w:p w14:paraId="197D9C6E" w14:textId="77777777" w:rsidR="00E473A9" w:rsidRPr="003C30C6" w:rsidRDefault="00E473A9" w:rsidP="003C30C6">
      <w:pPr>
        <w:spacing w:line="360" w:lineRule="auto"/>
        <w:rPr>
          <w:rFonts w:ascii="Arial" w:hAnsi="Arial" w:cs="Arial"/>
          <w:sz w:val="22"/>
          <w:szCs w:val="22"/>
        </w:rPr>
      </w:pPr>
    </w:p>
    <w:p w14:paraId="0F0F0C70" w14:textId="02E267E8" w:rsidR="009044A2" w:rsidRDefault="00E473A9" w:rsidP="003C30C6">
      <w:pPr>
        <w:spacing w:line="360" w:lineRule="auto"/>
        <w:rPr>
          <w:rFonts w:ascii="Arial" w:hAnsi="Arial" w:cs="Arial"/>
          <w:sz w:val="22"/>
          <w:szCs w:val="22"/>
        </w:rPr>
      </w:pPr>
      <w:r w:rsidRPr="003C30C6">
        <w:rPr>
          <w:rFonts w:ascii="Arial" w:hAnsi="Arial" w:cs="Arial"/>
          <w:sz w:val="22"/>
          <w:szCs w:val="22"/>
        </w:rPr>
        <w:t>Ultimately, the report concludes that sustainable progress on SDG 3 and SDG 1 requires moving beyond reactive welfare and healthcare policies toward preventive, inclusive, and equity-driven governance. Embedding health and poverty reduction in all policies</w:t>
      </w:r>
      <w:r w:rsidR="003C30C6">
        <w:rPr>
          <w:rFonts w:ascii="Arial" w:hAnsi="Arial" w:cs="Arial"/>
          <w:sz w:val="22"/>
          <w:szCs w:val="22"/>
        </w:rPr>
        <w:t xml:space="preserve"> </w:t>
      </w:r>
      <w:r w:rsidRPr="003C30C6">
        <w:rPr>
          <w:rFonts w:ascii="Arial" w:hAnsi="Arial" w:cs="Arial"/>
          <w:sz w:val="22"/>
          <w:szCs w:val="22"/>
        </w:rPr>
        <w:t>underpinned by long-term political commitment and local participation</w:t>
      </w:r>
      <w:r w:rsidR="003C30C6">
        <w:rPr>
          <w:rFonts w:ascii="Arial" w:hAnsi="Arial" w:cs="Arial"/>
          <w:sz w:val="22"/>
          <w:szCs w:val="22"/>
        </w:rPr>
        <w:t xml:space="preserve"> </w:t>
      </w:r>
      <w:r w:rsidRPr="003C30C6">
        <w:rPr>
          <w:rFonts w:ascii="Arial" w:hAnsi="Arial" w:cs="Arial"/>
          <w:sz w:val="22"/>
          <w:szCs w:val="22"/>
        </w:rPr>
        <w:t>will be essential to realising the shared 2030 Agenda vision of “leaving no one behind.”</w:t>
      </w:r>
    </w:p>
    <w:p w14:paraId="4E177BAB" w14:textId="77777777" w:rsidR="003C30C6" w:rsidRDefault="003C30C6" w:rsidP="009044A2">
      <w:pPr>
        <w:spacing w:line="360" w:lineRule="auto"/>
        <w:rPr>
          <w:rFonts w:ascii="Arial" w:hAnsi="Arial" w:cs="Arial"/>
          <w:sz w:val="22"/>
          <w:szCs w:val="22"/>
        </w:rPr>
      </w:pPr>
    </w:p>
    <w:p w14:paraId="35E721BF" w14:textId="77777777" w:rsidR="00827AE6" w:rsidRDefault="00827AE6" w:rsidP="009044A2">
      <w:pPr>
        <w:spacing w:line="360" w:lineRule="auto"/>
        <w:rPr>
          <w:rFonts w:ascii="Arial" w:hAnsi="Arial" w:cs="Arial"/>
          <w:sz w:val="22"/>
          <w:szCs w:val="22"/>
        </w:rPr>
      </w:pPr>
    </w:p>
    <w:p w14:paraId="7F79B28A" w14:textId="3EA3F005" w:rsidR="00DE5D4E" w:rsidRDefault="00DE5D4E" w:rsidP="009044A2">
      <w:pPr>
        <w:spacing w:line="360" w:lineRule="auto"/>
        <w:rPr>
          <w:rFonts w:ascii="Arial" w:hAnsi="Arial" w:cs="Arial"/>
          <w:b/>
          <w:bCs/>
        </w:rPr>
      </w:pPr>
      <w:r w:rsidRPr="00DE5D4E">
        <w:rPr>
          <w:rFonts w:ascii="Arial" w:hAnsi="Arial" w:cs="Arial"/>
          <w:b/>
          <w:bCs/>
        </w:rPr>
        <w:lastRenderedPageBreak/>
        <w:t>Reference list</w:t>
      </w:r>
    </w:p>
    <w:p w14:paraId="55FBD4C5" w14:textId="77777777" w:rsidR="00B07780" w:rsidRPr="00B07780" w:rsidRDefault="00B07780" w:rsidP="00B07780">
      <w:pPr>
        <w:spacing w:line="360" w:lineRule="auto"/>
        <w:rPr>
          <w:rFonts w:ascii="Arial" w:hAnsi="Arial" w:cs="Arial"/>
        </w:rPr>
      </w:pPr>
      <w:r w:rsidRPr="00B07780">
        <w:rPr>
          <w:rFonts w:ascii="Arial" w:hAnsi="Arial" w:cs="Arial"/>
        </w:rPr>
        <w:t>Alkire, S. and Foster, J. (2011) ‘Counting and multidimensional poverty measurement’, Journal of Public Economics, 95(7–8), pp. 476–487.</w:t>
      </w:r>
    </w:p>
    <w:p w14:paraId="391E73BE" w14:textId="77777777" w:rsidR="00B07780" w:rsidRPr="00B07780" w:rsidRDefault="00B07780" w:rsidP="00B07780">
      <w:pPr>
        <w:spacing w:line="360" w:lineRule="auto"/>
        <w:rPr>
          <w:rFonts w:ascii="Arial" w:hAnsi="Arial" w:cs="Arial"/>
        </w:rPr>
      </w:pPr>
      <w:r w:rsidRPr="00B07780">
        <w:rPr>
          <w:rFonts w:ascii="Arial" w:hAnsi="Arial" w:cs="Arial"/>
        </w:rPr>
        <w:t>Dahlgren, G. and Whitehead, M. (1991) Policies and Strategies to Promote Social Equity in Health. Stockholm: Institute for Futures Studies.</w:t>
      </w:r>
    </w:p>
    <w:p w14:paraId="604B0242" w14:textId="4C960C99" w:rsidR="00B07780" w:rsidRPr="00B07780" w:rsidRDefault="00B07780" w:rsidP="00B07780">
      <w:pPr>
        <w:spacing w:line="360" w:lineRule="auto"/>
        <w:rPr>
          <w:rFonts w:ascii="Arial" w:hAnsi="Arial" w:cs="Arial"/>
        </w:rPr>
      </w:pPr>
      <w:r w:rsidRPr="00B07780">
        <w:rPr>
          <w:rFonts w:ascii="Arial" w:hAnsi="Arial" w:cs="Arial"/>
        </w:rPr>
        <w:t xml:space="preserve">Global Goals (n.d.) Goal 3: Good Health and Well-being. Available at: </w:t>
      </w:r>
      <w:hyperlink r:id="rId6" w:history="1">
        <w:r w:rsidR="00090546" w:rsidRPr="009F66E9">
          <w:rPr>
            <w:rStyle w:val="Hyperlink"/>
            <w:rFonts w:ascii="Arial" w:hAnsi="Arial" w:cs="Arial"/>
          </w:rPr>
          <w:t>https://globalgoals.org/goals/3-good-health-and-well-being</w:t>
        </w:r>
      </w:hyperlink>
      <w:r w:rsidR="00090546">
        <w:rPr>
          <w:rFonts w:ascii="Arial" w:hAnsi="Arial" w:cs="Arial"/>
        </w:rPr>
        <w:t xml:space="preserve"> </w:t>
      </w:r>
    </w:p>
    <w:p w14:paraId="38A28DB2" w14:textId="6D5375B2" w:rsidR="00B07780" w:rsidRPr="00B07780" w:rsidRDefault="00B07780" w:rsidP="00B07780">
      <w:pPr>
        <w:spacing w:line="360" w:lineRule="auto"/>
        <w:rPr>
          <w:rFonts w:ascii="Arial" w:hAnsi="Arial" w:cs="Arial"/>
        </w:rPr>
      </w:pPr>
      <w:r w:rsidRPr="00B07780">
        <w:rPr>
          <w:rFonts w:ascii="Arial" w:hAnsi="Arial" w:cs="Arial"/>
        </w:rPr>
        <w:t xml:space="preserve"> (Accessed: </w:t>
      </w:r>
      <w:r w:rsidR="00090546">
        <w:rPr>
          <w:rFonts w:ascii="Arial" w:hAnsi="Arial" w:cs="Arial"/>
        </w:rPr>
        <w:t>28</w:t>
      </w:r>
      <w:r w:rsidRPr="00B07780">
        <w:rPr>
          <w:rFonts w:ascii="Arial" w:hAnsi="Arial" w:cs="Arial"/>
        </w:rPr>
        <w:t xml:space="preserve"> October 2025).</w:t>
      </w:r>
    </w:p>
    <w:p w14:paraId="4F22B8D5" w14:textId="77777777" w:rsidR="00B07780" w:rsidRPr="00B07780" w:rsidRDefault="00B07780" w:rsidP="00B07780">
      <w:pPr>
        <w:spacing w:line="360" w:lineRule="auto"/>
        <w:rPr>
          <w:rFonts w:ascii="Arial" w:hAnsi="Arial" w:cs="Arial"/>
        </w:rPr>
      </w:pPr>
      <w:r w:rsidRPr="00B07780">
        <w:rPr>
          <w:rFonts w:ascii="Arial" w:hAnsi="Arial" w:cs="Arial"/>
        </w:rPr>
        <w:t>HM Government (2022) Levelling Up the United Kingdom White Paper. London: HMSO.</w:t>
      </w:r>
    </w:p>
    <w:p w14:paraId="0219B50D" w14:textId="77777777" w:rsidR="00B07780" w:rsidRPr="00B07780" w:rsidRDefault="00B07780" w:rsidP="00B07780">
      <w:pPr>
        <w:spacing w:line="360" w:lineRule="auto"/>
        <w:rPr>
          <w:rFonts w:ascii="Arial" w:hAnsi="Arial" w:cs="Arial"/>
        </w:rPr>
      </w:pPr>
      <w:r w:rsidRPr="00B07780">
        <w:rPr>
          <w:rFonts w:ascii="Arial" w:hAnsi="Arial" w:cs="Arial"/>
        </w:rPr>
        <w:t>House of Lords Library (2024) Poverty in the UK: Government Policy. London: UK Parliament.</w:t>
      </w:r>
    </w:p>
    <w:p w14:paraId="2F4355E4" w14:textId="77777777" w:rsidR="00B07780" w:rsidRPr="00B07780" w:rsidRDefault="00B07780" w:rsidP="00B07780">
      <w:pPr>
        <w:spacing w:line="360" w:lineRule="auto"/>
        <w:rPr>
          <w:rFonts w:ascii="Arial" w:hAnsi="Arial" w:cs="Arial"/>
        </w:rPr>
      </w:pPr>
      <w:r w:rsidRPr="00B07780">
        <w:rPr>
          <w:rFonts w:ascii="Arial" w:hAnsi="Arial" w:cs="Arial"/>
        </w:rPr>
        <w:t>International Labour Organization (ILO) (2021) World Social Protection Report 2020–22: Social Protection at the Crossroads. Geneva: ILO.</w:t>
      </w:r>
    </w:p>
    <w:p w14:paraId="4542DF13" w14:textId="77777777" w:rsidR="00B07780" w:rsidRPr="00B07780" w:rsidRDefault="00B07780" w:rsidP="00B07780">
      <w:pPr>
        <w:spacing w:line="360" w:lineRule="auto"/>
        <w:rPr>
          <w:rFonts w:ascii="Arial" w:hAnsi="Arial" w:cs="Arial"/>
        </w:rPr>
      </w:pPr>
      <w:r w:rsidRPr="00B07780">
        <w:rPr>
          <w:rFonts w:ascii="Arial" w:hAnsi="Arial" w:cs="Arial"/>
        </w:rPr>
        <w:t>Kickbusch, I., Gleicher, D. and World Health Organization (2012) Governance for Health in the 21st Century. Copenhagen: WHO Europe.</w:t>
      </w:r>
    </w:p>
    <w:p w14:paraId="3174C52E" w14:textId="77777777" w:rsidR="00B07780" w:rsidRPr="00B07780" w:rsidRDefault="00B07780" w:rsidP="00B07780">
      <w:pPr>
        <w:spacing w:line="360" w:lineRule="auto"/>
        <w:rPr>
          <w:rFonts w:ascii="Arial" w:hAnsi="Arial" w:cs="Arial"/>
        </w:rPr>
      </w:pPr>
      <w:r w:rsidRPr="00B07780">
        <w:rPr>
          <w:rFonts w:ascii="Arial" w:hAnsi="Arial" w:cs="Arial"/>
        </w:rPr>
        <w:t>Marmot, M. (2020) Health Equity in England: The Marmot Review 10 Years On. London: Institute of Health Equity.</w:t>
      </w:r>
    </w:p>
    <w:p w14:paraId="67BD310D" w14:textId="77777777" w:rsidR="00B07780" w:rsidRPr="00B07780" w:rsidRDefault="00B07780" w:rsidP="00B07780">
      <w:pPr>
        <w:spacing w:line="360" w:lineRule="auto"/>
        <w:rPr>
          <w:rFonts w:ascii="Arial" w:hAnsi="Arial" w:cs="Arial"/>
        </w:rPr>
      </w:pPr>
      <w:r w:rsidRPr="00B07780">
        <w:rPr>
          <w:rFonts w:ascii="Arial" w:hAnsi="Arial" w:cs="Arial"/>
        </w:rPr>
        <w:t>NHS England (2023) The NHS Long Term Plan Progress Report. London: Department of Health and Social Care.</w:t>
      </w:r>
    </w:p>
    <w:p w14:paraId="600FBA87" w14:textId="77777777" w:rsidR="00B07780" w:rsidRPr="00B07780" w:rsidRDefault="00B07780" w:rsidP="00B07780">
      <w:pPr>
        <w:spacing w:line="360" w:lineRule="auto"/>
        <w:rPr>
          <w:rFonts w:ascii="Arial" w:hAnsi="Arial" w:cs="Arial"/>
        </w:rPr>
      </w:pPr>
      <w:r w:rsidRPr="00B07780">
        <w:rPr>
          <w:rFonts w:ascii="Arial" w:hAnsi="Arial" w:cs="Arial"/>
        </w:rPr>
        <w:t>Office for National Statistics (ONS) (2024) Households Below Average Income: Financial Year 2023/24. London: ONS.</w:t>
      </w:r>
    </w:p>
    <w:p w14:paraId="5673C214" w14:textId="77777777" w:rsidR="00B07780" w:rsidRPr="00B07780" w:rsidRDefault="00B07780" w:rsidP="00B07780">
      <w:pPr>
        <w:spacing w:line="360" w:lineRule="auto"/>
        <w:rPr>
          <w:rFonts w:ascii="Arial" w:hAnsi="Arial" w:cs="Arial"/>
        </w:rPr>
      </w:pPr>
      <w:r w:rsidRPr="00B07780">
        <w:rPr>
          <w:rFonts w:ascii="Arial" w:hAnsi="Arial" w:cs="Arial"/>
        </w:rPr>
        <w:t>Open Policy &amp; Management Ltd (OPML) (2023) Can We Accelerate Global Poverty Reduction? Three Smart Strategies from the UK’s International Work. London: OPML.</w:t>
      </w:r>
    </w:p>
    <w:p w14:paraId="31E96ED4" w14:textId="77777777" w:rsidR="00B07780" w:rsidRPr="00B07780" w:rsidRDefault="00B07780" w:rsidP="00B07780">
      <w:pPr>
        <w:spacing w:line="360" w:lineRule="auto"/>
        <w:rPr>
          <w:rFonts w:ascii="Arial" w:hAnsi="Arial" w:cs="Arial"/>
        </w:rPr>
      </w:pPr>
      <w:r w:rsidRPr="00B07780">
        <w:rPr>
          <w:rFonts w:ascii="Arial" w:hAnsi="Arial" w:cs="Arial"/>
        </w:rPr>
        <w:t>Organisation for Economic Co-operation and Development (OECD) (2023) Reducing Poverty and Increasing Inclusion. Paris: OECD.</w:t>
      </w:r>
    </w:p>
    <w:p w14:paraId="634D94A1" w14:textId="77777777" w:rsidR="00B07780" w:rsidRPr="00B07780" w:rsidRDefault="00B07780" w:rsidP="00B07780">
      <w:pPr>
        <w:spacing w:line="360" w:lineRule="auto"/>
        <w:rPr>
          <w:rFonts w:ascii="Arial" w:hAnsi="Arial" w:cs="Arial"/>
        </w:rPr>
      </w:pPr>
      <w:r w:rsidRPr="00B07780">
        <w:rPr>
          <w:rFonts w:ascii="Arial" w:hAnsi="Arial" w:cs="Arial"/>
        </w:rPr>
        <w:lastRenderedPageBreak/>
        <w:t>Oxford Poverty and Human Development Initiative (OPHI) (2024) Policy Uses of National Multidimensional Poverty Indices. Oxford: University of Oxford.</w:t>
      </w:r>
    </w:p>
    <w:p w14:paraId="324BC79F" w14:textId="77777777" w:rsidR="00B07780" w:rsidRPr="00B07780" w:rsidRDefault="00B07780" w:rsidP="00B07780">
      <w:pPr>
        <w:spacing w:line="360" w:lineRule="auto"/>
        <w:rPr>
          <w:rFonts w:ascii="Arial" w:hAnsi="Arial" w:cs="Arial"/>
        </w:rPr>
      </w:pPr>
      <w:r w:rsidRPr="00B07780">
        <w:rPr>
          <w:rFonts w:ascii="Arial" w:hAnsi="Arial" w:cs="Arial"/>
        </w:rPr>
        <w:t>Public Health England (2020) Health Profile for England 2020. London: PHE.</w:t>
      </w:r>
    </w:p>
    <w:p w14:paraId="2035DE27" w14:textId="77777777" w:rsidR="00B07780" w:rsidRPr="00B07780" w:rsidRDefault="00B07780" w:rsidP="00B07780">
      <w:pPr>
        <w:spacing w:line="360" w:lineRule="auto"/>
        <w:rPr>
          <w:rFonts w:ascii="Arial" w:hAnsi="Arial" w:cs="Arial"/>
        </w:rPr>
      </w:pPr>
      <w:r w:rsidRPr="00B07780">
        <w:rPr>
          <w:rFonts w:ascii="Arial" w:hAnsi="Arial" w:cs="Arial"/>
        </w:rPr>
        <w:t>Reuters (2025) ‘UK government’s own estimate says welfare cuts push 250,000 into poverty’, Reuters, 26 March.</w:t>
      </w:r>
    </w:p>
    <w:p w14:paraId="4D984B45" w14:textId="77777777" w:rsidR="00B07780" w:rsidRPr="00B07780" w:rsidRDefault="00B07780" w:rsidP="00B07780">
      <w:pPr>
        <w:spacing w:line="360" w:lineRule="auto"/>
        <w:rPr>
          <w:rFonts w:ascii="Arial" w:hAnsi="Arial" w:cs="Arial"/>
        </w:rPr>
      </w:pPr>
      <w:r w:rsidRPr="00B07780">
        <w:rPr>
          <w:rFonts w:ascii="Arial" w:hAnsi="Arial" w:cs="Arial"/>
        </w:rPr>
        <w:t>Sen, A. (1999) Development as Freedom. Oxford: Oxford University Press.</w:t>
      </w:r>
    </w:p>
    <w:p w14:paraId="668C6C62" w14:textId="77777777" w:rsidR="00B07780" w:rsidRPr="00B07780" w:rsidRDefault="00B07780" w:rsidP="00B07780">
      <w:pPr>
        <w:spacing w:line="360" w:lineRule="auto"/>
        <w:rPr>
          <w:rFonts w:ascii="Arial" w:hAnsi="Arial" w:cs="Arial"/>
        </w:rPr>
      </w:pPr>
      <w:r w:rsidRPr="00B07780">
        <w:rPr>
          <w:rFonts w:ascii="Arial" w:hAnsi="Arial" w:cs="Arial"/>
        </w:rPr>
        <w:t>Solar, O. and Irwin, A. (2010) A Conceptual Framework for Action on the Social Determinants of Health. Geneva: WHO.</w:t>
      </w:r>
    </w:p>
    <w:p w14:paraId="3426CF08" w14:textId="77777777" w:rsidR="00B07780" w:rsidRPr="00B07780" w:rsidRDefault="00B07780" w:rsidP="00B07780">
      <w:pPr>
        <w:spacing w:line="360" w:lineRule="auto"/>
        <w:rPr>
          <w:rFonts w:ascii="Arial" w:hAnsi="Arial" w:cs="Arial"/>
        </w:rPr>
      </w:pPr>
      <w:r w:rsidRPr="00B07780">
        <w:rPr>
          <w:rFonts w:ascii="Arial" w:hAnsi="Arial" w:cs="Arial"/>
        </w:rPr>
        <w:t>United Nations (2015) Transforming Our World: The 2030 Agenda for Sustainable Development. New York: United Nations.</w:t>
      </w:r>
    </w:p>
    <w:p w14:paraId="4FE1412B" w14:textId="77777777" w:rsidR="00B07780" w:rsidRPr="00B07780" w:rsidRDefault="00B07780" w:rsidP="00B07780">
      <w:pPr>
        <w:spacing w:line="360" w:lineRule="auto"/>
        <w:rPr>
          <w:rFonts w:ascii="Arial" w:hAnsi="Arial" w:cs="Arial"/>
        </w:rPr>
      </w:pPr>
      <w:r w:rsidRPr="00B07780">
        <w:rPr>
          <w:rFonts w:ascii="Arial" w:hAnsi="Arial" w:cs="Arial"/>
        </w:rPr>
        <w:t>United Nations (2024) Progress Towards the Sustainable Development Goals: Report of the Secretary-General 2024. New York: United Nations.</w:t>
      </w:r>
    </w:p>
    <w:p w14:paraId="0F8DF19B" w14:textId="77777777" w:rsidR="00B07780" w:rsidRPr="00B07780" w:rsidRDefault="00B07780" w:rsidP="00B07780">
      <w:pPr>
        <w:spacing w:line="360" w:lineRule="auto"/>
        <w:rPr>
          <w:rFonts w:ascii="Arial" w:hAnsi="Arial" w:cs="Arial"/>
        </w:rPr>
      </w:pPr>
      <w:r w:rsidRPr="00B07780">
        <w:rPr>
          <w:rFonts w:ascii="Arial" w:hAnsi="Arial" w:cs="Arial"/>
        </w:rPr>
        <w:t>United Nations Development Programme (UNDP) (2024) Human Development Report 2024: Breaking the Gridlock—Reimagining Cooperation in a Polarized World. New York: UNDP.</w:t>
      </w:r>
    </w:p>
    <w:p w14:paraId="537A78C3" w14:textId="77777777" w:rsidR="00B07780" w:rsidRPr="00B07780" w:rsidRDefault="00B07780" w:rsidP="00B07780">
      <w:pPr>
        <w:spacing w:line="360" w:lineRule="auto"/>
        <w:rPr>
          <w:rFonts w:ascii="Arial" w:hAnsi="Arial" w:cs="Arial"/>
        </w:rPr>
      </w:pPr>
      <w:r w:rsidRPr="00B07780">
        <w:rPr>
          <w:rFonts w:ascii="Arial" w:hAnsi="Arial" w:cs="Arial"/>
        </w:rPr>
        <w:t>Welsh Government (2018) Communities First: Programme Closure Report. Cardiff: Welsh Government.</w:t>
      </w:r>
    </w:p>
    <w:p w14:paraId="1C77A630" w14:textId="77777777" w:rsidR="00B07780" w:rsidRPr="00B07780" w:rsidRDefault="00B07780" w:rsidP="00B07780">
      <w:pPr>
        <w:spacing w:line="360" w:lineRule="auto"/>
        <w:rPr>
          <w:rFonts w:ascii="Arial" w:hAnsi="Arial" w:cs="Arial"/>
        </w:rPr>
      </w:pPr>
      <w:r w:rsidRPr="00B07780">
        <w:rPr>
          <w:rFonts w:ascii="Arial" w:hAnsi="Arial" w:cs="Arial"/>
        </w:rPr>
        <w:t>Welsh Government (2023) A Healthier Wales: Our Plan for Health and Social Care Progress Update. Cardiff: Welsh Government.</w:t>
      </w:r>
    </w:p>
    <w:p w14:paraId="352F2EA5" w14:textId="77777777" w:rsidR="00B07780" w:rsidRPr="00B07780" w:rsidRDefault="00B07780" w:rsidP="00B07780">
      <w:pPr>
        <w:spacing w:line="360" w:lineRule="auto"/>
        <w:rPr>
          <w:rFonts w:ascii="Arial" w:hAnsi="Arial" w:cs="Arial"/>
        </w:rPr>
      </w:pPr>
      <w:r w:rsidRPr="00B07780">
        <w:rPr>
          <w:rFonts w:ascii="Arial" w:hAnsi="Arial" w:cs="Arial"/>
        </w:rPr>
        <w:t>World Bank (2022) Poverty and Shared Prosperity 2022: Correcting Course. Washington, DC: World Bank.</w:t>
      </w:r>
    </w:p>
    <w:p w14:paraId="6E1D340C" w14:textId="77777777" w:rsidR="00B07780" w:rsidRPr="00B07780" w:rsidRDefault="00B07780" w:rsidP="00B07780">
      <w:pPr>
        <w:spacing w:line="360" w:lineRule="auto"/>
        <w:rPr>
          <w:rFonts w:ascii="Arial" w:hAnsi="Arial" w:cs="Arial"/>
        </w:rPr>
      </w:pPr>
      <w:r w:rsidRPr="00B07780">
        <w:rPr>
          <w:rFonts w:ascii="Arial" w:hAnsi="Arial" w:cs="Arial"/>
        </w:rPr>
        <w:t>World Bank (2023) Universal Health Coverage Global Monitoring Report 2023. Washington, DC: World Bank.</w:t>
      </w:r>
    </w:p>
    <w:p w14:paraId="7162B4D4" w14:textId="77777777" w:rsidR="00B07780" w:rsidRPr="00B07780" w:rsidRDefault="00B07780" w:rsidP="00B07780">
      <w:pPr>
        <w:spacing w:line="360" w:lineRule="auto"/>
        <w:rPr>
          <w:rFonts w:ascii="Arial" w:hAnsi="Arial" w:cs="Arial"/>
        </w:rPr>
      </w:pPr>
      <w:r w:rsidRPr="00B07780">
        <w:rPr>
          <w:rFonts w:ascii="Arial" w:hAnsi="Arial" w:cs="Arial"/>
        </w:rPr>
        <w:t>World Health Organization (WHO) (2005) The Bangkok Charter for Health Promotion in a Globalized World. Geneva: WHO.</w:t>
      </w:r>
    </w:p>
    <w:p w14:paraId="389D5BC2" w14:textId="72C02E9C" w:rsidR="00DE5D4E" w:rsidRPr="00B07780" w:rsidRDefault="00B07780" w:rsidP="00B07780">
      <w:pPr>
        <w:spacing w:line="360" w:lineRule="auto"/>
        <w:rPr>
          <w:rFonts w:ascii="Arial" w:hAnsi="Arial" w:cs="Arial"/>
        </w:rPr>
      </w:pPr>
      <w:r w:rsidRPr="00B07780">
        <w:rPr>
          <w:rFonts w:ascii="Arial" w:hAnsi="Arial" w:cs="Arial"/>
        </w:rPr>
        <w:t>World Health Organization (2007) *Global Plan of Action on Workers’ Health (2008–2017</w:t>
      </w:r>
    </w:p>
    <w:sectPr w:rsidR="00DE5D4E" w:rsidRPr="00B077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A329E"/>
    <w:multiLevelType w:val="hybridMultilevel"/>
    <w:tmpl w:val="3EA46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335DA4"/>
    <w:multiLevelType w:val="hybridMultilevel"/>
    <w:tmpl w:val="6DC8E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B667BE"/>
    <w:multiLevelType w:val="hybridMultilevel"/>
    <w:tmpl w:val="41E66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9C0E77"/>
    <w:multiLevelType w:val="hybridMultilevel"/>
    <w:tmpl w:val="1A406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750F9C"/>
    <w:multiLevelType w:val="hybridMultilevel"/>
    <w:tmpl w:val="F730A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6778796">
    <w:abstractNumId w:val="0"/>
  </w:num>
  <w:num w:numId="2" w16cid:durableId="724640445">
    <w:abstractNumId w:val="4"/>
  </w:num>
  <w:num w:numId="3" w16cid:durableId="1455296253">
    <w:abstractNumId w:val="1"/>
  </w:num>
  <w:num w:numId="4" w16cid:durableId="548687435">
    <w:abstractNumId w:val="3"/>
  </w:num>
  <w:num w:numId="5" w16cid:durableId="8734666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8FC"/>
    <w:rsid w:val="00003C1C"/>
    <w:rsid w:val="00035FD2"/>
    <w:rsid w:val="00062191"/>
    <w:rsid w:val="00072987"/>
    <w:rsid w:val="00090546"/>
    <w:rsid w:val="000D2509"/>
    <w:rsid w:val="000E49B3"/>
    <w:rsid w:val="000E5288"/>
    <w:rsid w:val="000E5304"/>
    <w:rsid w:val="00123523"/>
    <w:rsid w:val="001A5CC2"/>
    <w:rsid w:val="00214AE9"/>
    <w:rsid w:val="00314A67"/>
    <w:rsid w:val="00377974"/>
    <w:rsid w:val="003C30C6"/>
    <w:rsid w:val="003E66F0"/>
    <w:rsid w:val="0043176F"/>
    <w:rsid w:val="00443056"/>
    <w:rsid w:val="00505CB4"/>
    <w:rsid w:val="00556B76"/>
    <w:rsid w:val="0056417E"/>
    <w:rsid w:val="005D3BAA"/>
    <w:rsid w:val="005F4346"/>
    <w:rsid w:val="00646B47"/>
    <w:rsid w:val="00685738"/>
    <w:rsid w:val="006B646C"/>
    <w:rsid w:val="006C281B"/>
    <w:rsid w:val="006E14A6"/>
    <w:rsid w:val="00772641"/>
    <w:rsid w:val="00775398"/>
    <w:rsid w:val="00813680"/>
    <w:rsid w:val="00827AE6"/>
    <w:rsid w:val="00863E31"/>
    <w:rsid w:val="008779C1"/>
    <w:rsid w:val="009044A2"/>
    <w:rsid w:val="009A0A31"/>
    <w:rsid w:val="009C09D0"/>
    <w:rsid w:val="00A26F1F"/>
    <w:rsid w:val="00A443F0"/>
    <w:rsid w:val="00A7695A"/>
    <w:rsid w:val="00B07780"/>
    <w:rsid w:val="00B20519"/>
    <w:rsid w:val="00B45629"/>
    <w:rsid w:val="00B604F9"/>
    <w:rsid w:val="00C448AD"/>
    <w:rsid w:val="00C608FC"/>
    <w:rsid w:val="00C63E17"/>
    <w:rsid w:val="00C75C20"/>
    <w:rsid w:val="00CE4A09"/>
    <w:rsid w:val="00DE5D4E"/>
    <w:rsid w:val="00DE6958"/>
    <w:rsid w:val="00E0719A"/>
    <w:rsid w:val="00E473A9"/>
    <w:rsid w:val="00E65760"/>
    <w:rsid w:val="00E82B62"/>
    <w:rsid w:val="00E97084"/>
    <w:rsid w:val="00ED2826"/>
    <w:rsid w:val="00F33237"/>
    <w:rsid w:val="00F47B2F"/>
    <w:rsid w:val="00F74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FE8B2"/>
  <w15:chartTrackingRefBased/>
  <w15:docId w15:val="{4BC1E8DC-3D7B-4255-9C5E-4BACC5DA0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8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08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08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8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8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8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8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8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8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8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08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08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8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8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8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8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8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8FC"/>
    <w:rPr>
      <w:rFonts w:eastAsiaTheme="majorEastAsia" w:cstheme="majorBidi"/>
      <w:color w:val="272727" w:themeColor="text1" w:themeTint="D8"/>
    </w:rPr>
  </w:style>
  <w:style w:type="paragraph" w:styleId="Title">
    <w:name w:val="Title"/>
    <w:basedOn w:val="Normal"/>
    <w:next w:val="Normal"/>
    <w:link w:val="TitleChar"/>
    <w:uiPriority w:val="10"/>
    <w:qFormat/>
    <w:rsid w:val="00C608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8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8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8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8FC"/>
    <w:pPr>
      <w:spacing w:before="160"/>
      <w:jc w:val="center"/>
    </w:pPr>
    <w:rPr>
      <w:i/>
      <w:iCs/>
      <w:color w:val="404040" w:themeColor="text1" w:themeTint="BF"/>
    </w:rPr>
  </w:style>
  <w:style w:type="character" w:customStyle="1" w:styleId="QuoteChar">
    <w:name w:val="Quote Char"/>
    <w:basedOn w:val="DefaultParagraphFont"/>
    <w:link w:val="Quote"/>
    <w:uiPriority w:val="29"/>
    <w:rsid w:val="00C608FC"/>
    <w:rPr>
      <w:i/>
      <w:iCs/>
      <w:color w:val="404040" w:themeColor="text1" w:themeTint="BF"/>
    </w:rPr>
  </w:style>
  <w:style w:type="paragraph" w:styleId="ListParagraph">
    <w:name w:val="List Paragraph"/>
    <w:basedOn w:val="Normal"/>
    <w:uiPriority w:val="34"/>
    <w:qFormat/>
    <w:rsid w:val="00C608FC"/>
    <w:pPr>
      <w:ind w:left="720"/>
      <w:contextualSpacing/>
    </w:pPr>
  </w:style>
  <w:style w:type="character" w:styleId="IntenseEmphasis">
    <w:name w:val="Intense Emphasis"/>
    <w:basedOn w:val="DefaultParagraphFont"/>
    <w:uiPriority w:val="21"/>
    <w:qFormat/>
    <w:rsid w:val="00C608FC"/>
    <w:rPr>
      <w:i/>
      <w:iCs/>
      <w:color w:val="0F4761" w:themeColor="accent1" w:themeShade="BF"/>
    </w:rPr>
  </w:style>
  <w:style w:type="paragraph" w:styleId="IntenseQuote">
    <w:name w:val="Intense Quote"/>
    <w:basedOn w:val="Normal"/>
    <w:next w:val="Normal"/>
    <w:link w:val="IntenseQuoteChar"/>
    <w:uiPriority w:val="30"/>
    <w:qFormat/>
    <w:rsid w:val="00C608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8FC"/>
    <w:rPr>
      <w:i/>
      <w:iCs/>
      <w:color w:val="0F4761" w:themeColor="accent1" w:themeShade="BF"/>
    </w:rPr>
  </w:style>
  <w:style w:type="character" w:styleId="IntenseReference">
    <w:name w:val="Intense Reference"/>
    <w:basedOn w:val="DefaultParagraphFont"/>
    <w:uiPriority w:val="32"/>
    <w:qFormat/>
    <w:rsid w:val="00C608FC"/>
    <w:rPr>
      <w:b/>
      <w:bCs/>
      <w:smallCaps/>
      <w:color w:val="0F4761" w:themeColor="accent1" w:themeShade="BF"/>
      <w:spacing w:val="5"/>
    </w:rPr>
  </w:style>
  <w:style w:type="character" w:styleId="Hyperlink">
    <w:name w:val="Hyperlink"/>
    <w:basedOn w:val="DefaultParagraphFont"/>
    <w:uiPriority w:val="99"/>
    <w:unhideWhenUsed/>
    <w:rsid w:val="00090546"/>
    <w:rPr>
      <w:color w:val="467886" w:themeColor="hyperlink"/>
      <w:u w:val="single"/>
    </w:rPr>
  </w:style>
  <w:style w:type="character" w:styleId="UnresolvedMention">
    <w:name w:val="Unresolved Mention"/>
    <w:basedOn w:val="DefaultParagraphFont"/>
    <w:uiPriority w:val="99"/>
    <w:semiHidden/>
    <w:unhideWhenUsed/>
    <w:rsid w:val="000905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globalgoals.org/goals/3-good-health-and-well-being"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757986-2493-46AD-A75F-F0E4A667C9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11</Pages>
  <Words>2645</Words>
  <Characters>15081</Characters>
  <Application>Microsoft Office Word</Application>
  <DocSecurity>0</DocSecurity>
  <Lines>125</Lines>
  <Paragraphs>35</Paragraphs>
  <ScaleCrop>false</ScaleCrop>
  <Company/>
  <LinksUpToDate>false</LinksUpToDate>
  <CharactersWithSpaces>17691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Zobia Riaz (2226851)</dc:creator>
  <cp:keywords/>
  <dc:description/>
  <cp:lastModifiedBy>Zobia Riaz (2226851)</cp:lastModifiedBy>
  <cp:revision>59</cp:revision>
  <dcterms:created xsi:type="dcterms:W3CDTF">2025-10-20T08:15:00Z</dcterms:created>
  <dcterms:modified xsi:type="dcterms:W3CDTF">2025-10-20T09:21:00Z</dcterms:modified>
</cp:coreProperties>
</file>