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46099A" w:rsidRDefault="00833470" w:rsidP="00833470">
      <w:pPr>
        <w:spacing w:line="360" w:lineRule="auto"/>
        <w:rPr>
          <w:rFonts w:ascii="Arial" w:hAnsi="Arial" w:cs="Arial"/>
          <w:szCs w:val="24"/>
        </w:rPr>
      </w:pPr>
      <w:r w:rsidRPr="0046099A">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46099A" w:rsidRDefault="00833470" w:rsidP="00833470">
      <w:pPr>
        <w:spacing w:line="360" w:lineRule="auto"/>
        <w:rPr>
          <w:rFonts w:ascii="Arial" w:hAnsi="Arial" w:cs="Arial"/>
          <w:szCs w:val="24"/>
        </w:rPr>
      </w:pPr>
    </w:p>
    <w:p w14:paraId="624F191C" w14:textId="77777777" w:rsidR="00833470" w:rsidRPr="0046099A" w:rsidRDefault="00833470" w:rsidP="00833470">
      <w:pPr>
        <w:spacing w:line="360" w:lineRule="auto"/>
        <w:rPr>
          <w:rFonts w:ascii="Arial" w:hAnsi="Arial" w:cs="Arial"/>
          <w:szCs w:val="24"/>
        </w:rPr>
      </w:pPr>
    </w:p>
    <w:p w14:paraId="0F83201D" w14:textId="77777777" w:rsidR="00833470" w:rsidRPr="0046099A" w:rsidRDefault="00833470" w:rsidP="00833470">
      <w:pPr>
        <w:spacing w:line="360" w:lineRule="auto"/>
        <w:rPr>
          <w:rFonts w:ascii="Arial" w:hAnsi="Arial" w:cs="Arial"/>
          <w:szCs w:val="24"/>
        </w:rPr>
      </w:pPr>
    </w:p>
    <w:p w14:paraId="3473C351" w14:textId="77777777" w:rsidR="00833470" w:rsidRPr="0046099A" w:rsidRDefault="00833470" w:rsidP="00833470">
      <w:pPr>
        <w:tabs>
          <w:tab w:val="left" w:pos="6540"/>
        </w:tabs>
        <w:spacing w:line="360" w:lineRule="auto"/>
        <w:rPr>
          <w:rFonts w:ascii="Arial" w:hAnsi="Arial" w:cs="Arial"/>
          <w:sz w:val="28"/>
          <w:szCs w:val="28"/>
        </w:rPr>
      </w:pPr>
    </w:p>
    <w:p w14:paraId="5818B88A" w14:textId="40A3012C" w:rsidR="00833470" w:rsidRPr="006E252C" w:rsidRDefault="00833470" w:rsidP="00833470">
      <w:pPr>
        <w:tabs>
          <w:tab w:val="left" w:pos="6540"/>
        </w:tabs>
        <w:spacing w:line="360" w:lineRule="auto"/>
        <w:rPr>
          <w:rFonts w:ascii="Arial" w:hAnsi="Arial" w:cs="Arial"/>
          <w:sz w:val="28"/>
          <w:szCs w:val="28"/>
        </w:rPr>
      </w:pPr>
      <w:bookmarkStart w:id="0" w:name="_Hlk119323191"/>
      <w:r w:rsidRPr="006E252C">
        <w:rPr>
          <w:rFonts w:ascii="Arial" w:hAnsi="Arial" w:cs="Arial"/>
          <w:b/>
          <w:bCs/>
          <w:sz w:val="28"/>
          <w:szCs w:val="28"/>
        </w:rPr>
        <w:t>Student name</w:t>
      </w:r>
      <w:r w:rsidRPr="006E252C">
        <w:rPr>
          <w:rFonts w:ascii="Arial" w:hAnsi="Arial" w:cs="Arial"/>
          <w:sz w:val="28"/>
          <w:szCs w:val="28"/>
        </w:rPr>
        <w:t xml:space="preserve">: </w:t>
      </w:r>
      <w:r w:rsidR="000F6449" w:rsidRPr="006E252C">
        <w:rPr>
          <w:rFonts w:ascii="Arial" w:hAnsi="Arial" w:cs="Arial"/>
          <w:sz w:val="28"/>
          <w:szCs w:val="28"/>
        </w:rPr>
        <w:t xml:space="preserve">Teodora </w:t>
      </w:r>
      <w:r w:rsidR="006E252C" w:rsidRPr="006E252C">
        <w:rPr>
          <w:rFonts w:ascii="Arial" w:hAnsi="Arial" w:cs="Arial"/>
          <w:sz w:val="28"/>
          <w:szCs w:val="28"/>
        </w:rPr>
        <w:t xml:space="preserve">Stoyanova </w:t>
      </w:r>
      <w:r w:rsidR="000F6449" w:rsidRPr="006E252C">
        <w:rPr>
          <w:rFonts w:ascii="Arial" w:hAnsi="Arial" w:cs="Arial"/>
          <w:sz w:val="28"/>
          <w:szCs w:val="28"/>
        </w:rPr>
        <w:t>Ganchevska</w:t>
      </w:r>
    </w:p>
    <w:p w14:paraId="476C763A" w14:textId="49CFC1BE" w:rsidR="00833470" w:rsidRPr="006E252C" w:rsidRDefault="00833470" w:rsidP="00833470">
      <w:pPr>
        <w:tabs>
          <w:tab w:val="left" w:pos="6540"/>
        </w:tabs>
        <w:spacing w:line="360" w:lineRule="auto"/>
        <w:rPr>
          <w:rFonts w:ascii="Arial" w:hAnsi="Arial" w:cs="Arial"/>
          <w:sz w:val="28"/>
          <w:szCs w:val="28"/>
        </w:rPr>
      </w:pPr>
      <w:r w:rsidRPr="006E252C">
        <w:rPr>
          <w:rFonts w:ascii="Arial" w:hAnsi="Arial" w:cs="Arial"/>
          <w:b/>
          <w:bCs/>
          <w:sz w:val="28"/>
          <w:szCs w:val="28"/>
        </w:rPr>
        <w:t>Student ID</w:t>
      </w:r>
      <w:r w:rsidRPr="006E252C">
        <w:rPr>
          <w:rFonts w:ascii="Arial" w:hAnsi="Arial" w:cs="Arial"/>
          <w:sz w:val="28"/>
          <w:szCs w:val="28"/>
        </w:rPr>
        <w:t>:</w:t>
      </w:r>
      <w:r w:rsidR="006E252C" w:rsidRPr="006E252C">
        <w:rPr>
          <w:rFonts w:ascii="Arial" w:hAnsi="Arial" w:cs="Arial"/>
          <w:sz w:val="28"/>
          <w:szCs w:val="28"/>
        </w:rPr>
        <w:t>2532550</w:t>
      </w:r>
    </w:p>
    <w:p w14:paraId="543E95E7" w14:textId="3DCBA8C5" w:rsidR="00833470" w:rsidRPr="006E252C" w:rsidRDefault="00833470" w:rsidP="00833470">
      <w:pPr>
        <w:tabs>
          <w:tab w:val="left" w:pos="6540"/>
        </w:tabs>
        <w:spacing w:line="360" w:lineRule="auto"/>
        <w:rPr>
          <w:rFonts w:ascii="Arial" w:hAnsi="Arial" w:cs="Arial"/>
          <w:sz w:val="28"/>
          <w:szCs w:val="28"/>
        </w:rPr>
      </w:pPr>
      <w:r w:rsidRPr="006E252C">
        <w:rPr>
          <w:rFonts w:ascii="Arial" w:hAnsi="Arial" w:cs="Arial"/>
          <w:b/>
          <w:bCs/>
          <w:sz w:val="28"/>
          <w:szCs w:val="28"/>
        </w:rPr>
        <w:t>Module name</w:t>
      </w:r>
      <w:r w:rsidRPr="006E252C">
        <w:rPr>
          <w:rFonts w:ascii="Arial" w:hAnsi="Arial" w:cs="Arial"/>
          <w:sz w:val="28"/>
          <w:szCs w:val="28"/>
        </w:rPr>
        <w:t xml:space="preserve">: </w:t>
      </w:r>
      <w:r w:rsidR="006E252C">
        <w:rPr>
          <w:rFonts w:ascii="Arial" w:hAnsi="Arial" w:cs="Arial"/>
          <w:sz w:val="28"/>
          <w:szCs w:val="28"/>
        </w:rPr>
        <w:t>I</w:t>
      </w:r>
      <w:r w:rsidR="006E252C" w:rsidRPr="006E252C">
        <w:rPr>
          <w:rFonts w:ascii="Arial" w:hAnsi="Arial" w:cs="Arial"/>
          <w:sz w:val="28"/>
          <w:szCs w:val="28"/>
        </w:rPr>
        <w:t>ntroduction to Health and Social Care</w:t>
      </w:r>
    </w:p>
    <w:p w14:paraId="0009AFB0" w14:textId="1FB5350A" w:rsidR="00833470" w:rsidRPr="0046099A" w:rsidRDefault="00833470" w:rsidP="00833470">
      <w:pPr>
        <w:tabs>
          <w:tab w:val="left" w:pos="6540"/>
        </w:tabs>
        <w:spacing w:line="360" w:lineRule="auto"/>
        <w:rPr>
          <w:rFonts w:ascii="Arial" w:hAnsi="Arial" w:cs="Arial"/>
          <w:sz w:val="28"/>
          <w:szCs w:val="28"/>
        </w:rPr>
      </w:pPr>
      <w:r w:rsidRPr="0046099A">
        <w:rPr>
          <w:rFonts w:ascii="Arial" w:hAnsi="Arial" w:cs="Arial"/>
          <w:b/>
          <w:bCs/>
          <w:sz w:val="28"/>
          <w:szCs w:val="28"/>
        </w:rPr>
        <w:t>Module code</w:t>
      </w:r>
      <w:r w:rsidRPr="0046099A">
        <w:rPr>
          <w:rFonts w:ascii="Arial" w:hAnsi="Arial" w:cs="Arial"/>
          <w:sz w:val="28"/>
          <w:szCs w:val="28"/>
        </w:rPr>
        <w:t>:</w:t>
      </w:r>
      <w:r w:rsidR="006E252C" w:rsidRPr="006E252C">
        <w:t xml:space="preserve"> </w:t>
      </w:r>
      <w:r w:rsidR="006E252C" w:rsidRPr="006E252C">
        <w:rPr>
          <w:rFonts w:ascii="Arial" w:hAnsi="Arial" w:cs="Arial"/>
          <w:sz w:val="28"/>
          <w:szCs w:val="28"/>
        </w:rPr>
        <w:t>LCHS4003</w:t>
      </w:r>
    </w:p>
    <w:p w14:paraId="0EA5B494" w14:textId="6F7C3B2A" w:rsidR="00833470" w:rsidRPr="006E252C" w:rsidRDefault="00833470" w:rsidP="00833470">
      <w:pPr>
        <w:rPr>
          <w:rFonts w:ascii="Arial" w:hAnsi="Arial" w:cs="Arial"/>
          <w:sz w:val="28"/>
          <w:szCs w:val="28"/>
        </w:rPr>
      </w:pPr>
      <w:r w:rsidRPr="0046099A">
        <w:rPr>
          <w:rFonts w:ascii="Arial" w:hAnsi="Arial" w:cs="Arial"/>
          <w:b/>
          <w:bCs/>
          <w:sz w:val="28"/>
          <w:szCs w:val="28"/>
        </w:rPr>
        <w:t>Lecturer name</w:t>
      </w:r>
      <w:r w:rsidR="006E252C">
        <w:rPr>
          <w:rFonts w:ascii="Arial" w:hAnsi="Arial" w:cs="Arial"/>
        </w:rPr>
        <w:t xml:space="preserve"> </w:t>
      </w:r>
      <w:r w:rsidR="006E252C" w:rsidRPr="006E252C">
        <w:rPr>
          <w:rFonts w:ascii="Arial" w:hAnsi="Arial" w:cs="Arial"/>
          <w:sz w:val="28"/>
          <w:szCs w:val="28"/>
        </w:rPr>
        <w:t>Ms</w:t>
      </w:r>
      <w:r w:rsidR="006E252C">
        <w:rPr>
          <w:rFonts w:ascii="Arial" w:hAnsi="Arial" w:cs="Arial"/>
          <w:sz w:val="28"/>
          <w:szCs w:val="28"/>
        </w:rPr>
        <w:t xml:space="preserve"> Christiana Melam</w:t>
      </w:r>
    </w:p>
    <w:bookmarkEnd w:id="0"/>
    <w:p w14:paraId="410C101D" w14:textId="1120B68D" w:rsidR="00925D5E" w:rsidRPr="0046099A" w:rsidRDefault="006E252C">
      <w:pPr>
        <w:rPr>
          <w:rFonts w:ascii="Arial" w:hAnsi="Arial" w:cs="Arial"/>
        </w:rPr>
        <w:sectPr w:rsidR="00925D5E" w:rsidRPr="0046099A">
          <w:headerReference w:type="default" r:id="rId9"/>
          <w:footerReference w:type="default" r:id="rId10"/>
          <w:pgSz w:w="11906" w:h="16838"/>
          <w:pgMar w:top="1440" w:right="1440" w:bottom="1440" w:left="1440" w:header="708" w:footer="708" w:gutter="0"/>
          <w:cols w:space="708"/>
          <w:docGrid w:linePitch="360"/>
        </w:sectPr>
      </w:pPr>
      <w:r>
        <w:rPr>
          <w:rFonts w:ascii="Arial" w:hAnsi="Arial" w:cs="Arial"/>
        </w:rPr>
        <w:t>:</w:t>
      </w:r>
    </w:p>
    <w:p w14:paraId="3BA4751C" w14:textId="77777777" w:rsidR="00833470" w:rsidRPr="0046099A" w:rsidRDefault="00833470" w:rsidP="00833470">
      <w:pPr>
        <w:rPr>
          <w:rFonts w:ascii="Arial" w:hAnsi="Arial" w:cs="Arial"/>
          <w:b/>
          <w:bCs/>
          <w:sz w:val="28"/>
          <w:szCs w:val="28"/>
        </w:rPr>
      </w:pPr>
    </w:p>
    <w:sdt>
      <w:sdtPr>
        <w:rPr>
          <w:rFonts w:asciiTheme="minorHAnsi" w:eastAsiaTheme="minorEastAsia" w:hAnsiTheme="minorHAnsi" w:cstheme="minorBidi"/>
          <w:color w:val="auto"/>
          <w:sz w:val="22"/>
          <w:szCs w:val="22"/>
          <w:lang w:val="en-GB" w:eastAsia="zh-CN"/>
        </w:rPr>
        <w:id w:val="-1517231728"/>
        <w:docPartObj>
          <w:docPartGallery w:val="Table of Contents"/>
          <w:docPartUnique/>
        </w:docPartObj>
      </w:sdtPr>
      <w:sdtEndPr>
        <w:rPr>
          <w:b/>
          <w:bCs/>
          <w:noProof/>
        </w:rPr>
      </w:sdtEndPr>
      <w:sdtContent>
        <w:p w14:paraId="4AEF25E7" w14:textId="33FA2D39" w:rsidR="000F6449" w:rsidRPr="000F6449" w:rsidRDefault="000F6449" w:rsidP="000F6449">
          <w:pPr>
            <w:pStyle w:val="TOCHeading"/>
            <w:jc w:val="center"/>
            <w:rPr>
              <w:rFonts w:ascii="Arial" w:hAnsi="Arial" w:cs="Arial"/>
              <w:b/>
              <w:bCs/>
            </w:rPr>
          </w:pPr>
          <w:r w:rsidRPr="000F6449">
            <w:rPr>
              <w:rFonts w:ascii="Arial" w:hAnsi="Arial" w:cs="Arial"/>
              <w:b/>
              <w:bCs/>
            </w:rPr>
            <w:t>Table of Contents</w:t>
          </w:r>
        </w:p>
        <w:p w14:paraId="1F318CF0" w14:textId="77777777" w:rsidR="006E252C" w:rsidRDefault="006E252C">
          <w:pPr>
            <w:pStyle w:val="TOC1"/>
            <w:tabs>
              <w:tab w:val="right" w:leader="dot" w:pos="9016"/>
            </w:tabs>
          </w:pPr>
        </w:p>
        <w:p w14:paraId="3CF0E6CF" w14:textId="63B1715C" w:rsidR="006E252C" w:rsidRDefault="006E252C">
          <w:pPr>
            <w:pStyle w:val="TOC1"/>
            <w:tabs>
              <w:tab w:val="right" w:leader="dot" w:pos="9016"/>
            </w:tabs>
            <w:rPr>
              <w:rFonts w:ascii="Arial" w:hAnsi="Arial" w:cs="Arial"/>
              <w:sz w:val="24"/>
              <w:szCs w:val="24"/>
            </w:rPr>
          </w:pPr>
          <w:r>
            <w:rPr>
              <w:rFonts w:ascii="Arial" w:hAnsi="Arial" w:cs="Arial"/>
              <w:sz w:val="24"/>
              <w:szCs w:val="24"/>
            </w:rPr>
            <w:t>Element 1 Pharmacy Service in UK poster…………………………………page 3, 4</w:t>
          </w:r>
        </w:p>
        <w:p w14:paraId="59A77F47" w14:textId="1D406862" w:rsidR="006E252C" w:rsidRDefault="006E252C" w:rsidP="006E252C">
          <w:pPr>
            <w:rPr>
              <w:rFonts w:ascii="Arial" w:hAnsi="Arial" w:cs="Arial"/>
              <w:sz w:val="24"/>
              <w:szCs w:val="24"/>
            </w:rPr>
          </w:pPr>
          <w:r w:rsidRPr="006E252C">
            <w:rPr>
              <w:rFonts w:ascii="Arial" w:hAnsi="Arial" w:cs="Arial"/>
              <w:sz w:val="24"/>
              <w:szCs w:val="24"/>
            </w:rPr>
            <w:t>Element 2</w:t>
          </w:r>
          <w:r>
            <w:rPr>
              <w:rFonts w:ascii="Arial" w:hAnsi="Arial" w:cs="Arial"/>
              <w:sz w:val="24"/>
              <w:szCs w:val="24"/>
            </w:rPr>
            <w:t xml:space="preserve"> Community Mental Health Service in UK……………………. page 5, 6</w:t>
          </w:r>
        </w:p>
        <w:p w14:paraId="6AB54294" w14:textId="63832DAE" w:rsidR="006E252C" w:rsidRPr="006E252C" w:rsidRDefault="006E252C" w:rsidP="006E252C">
          <w:pPr>
            <w:rPr>
              <w:rFonts w:ascii="Arial" w:hAnsi="Arial" w:cs="Arial"/>
              <w:sz w:val="24"/>
              <w:szCs w:val="24"/>
            </w:rPr>
          </w:pPr>
          <w:r>
            <w:rPr>
              <w:rFonts w:ascii="Arial" w:hAnsi="Arial" w:cs="Arial"/>
              <w:sz w:val="24"/>
              <w:szCs w:val="24"/>
            </w:rPr>
            <w:t>References……………………………………………………………………. page 7, 8</w:t>
          </w:r>
        </w:p>
        <w:p w14:paraId="538DEDB4" w14:textId="2956B4C2" w:rsidR="000F6449" w:rsidRDefault="00000000"/>
      </w:sdtContent>
    </w:sdt>
    <w:p w14:paraId="3C9231EA" w14:textId="77777777" w:rsidR="000F6449" w:rsidRDefault="000F6449" w:rsidP="00833470">
      <w:pPr>
        <w:rPr>
          <w:rFonts w:ascii="Arial" w:hAnsi="Arial" w:cs="Arial"/>
          <w:b/>
          <w:bCs/>
          <w:sz w:val="28"/>
          <w:szCs w:val="28"/>
        </w:rPr>
      </w:pPr>
    </w:p>
    <w:p w14:paraId="2F2D77A8" w14:textId="2B6F3E7E" w:rsidR="000F6449" w:rsidRPr="0046099A" w:rsidRDefault="000F6449" w:rsidP="00833470">
      <w:pPr>
        <w:rPr>
          <w:rFonts w:ascii="Arial" w:hAnsi="Arial" w:cs="Arial"/>
        </w:rPr>
        <w:sectPr w:rsidR="000F6449" w:rsidRPr="0046099A" w:rsidSect="00925D5E">
          <w:pgSz w:w="11906" w:h="16838"/>
          <w:pgMar w:top="1440" w:right="1440" w:bottom="1440" w:left="1440" w:header="708" w:footer="708" w:gutter="0"/>
          <w:cols w:space="708"/>
          <w:docGrid w:linePitch="360"/>
        </w:sectPr>
      </w:pPr>
    </w:p>
    <w:p w14:paraId="49965ABA" w14:textId="14ED6ACC" w:rsidR="007E6642" w:rsidRDefault="000B6D7D">
      <w:pPr>
        <w:rPr>
          <w:rFonts w:ascii="Arial" w:hAnsi="Arial" w:cs="Arial"/>
        </w:rPr>
      </w:pPr>
      <w:r w:rsidRPr="0046099A">
        <w:rPr>
          <w:rFonts w:ascii="Arial" w:hAnsi="Arial" w:cs="Arial"/>
          <w:noProof/>
        </w:rPr>
        <w:lastRenderedPageBreak/>
        <mc:AlternateContent>
          <mc:Choice Requires="wps">
            <w:drawing>
              <wp:anchor distT="45720" distB="45720" distL="114300" distR="114300" simplePos="0" relativeHeight="251681792" behindDoc="0" locked="0" layoutInCell="1" allowOverlap="1" wp14:anchorId="6DD20627" wp14:editId="276D470D">
                <wp:simplePos x="0" y="0"/>
                <wp:positionH relativeFrom="margin">
                  <wp:align>right</wp:align>
                </wp:positionH>
                <wp:positionV relativeFrom="paragraph">
                  <wp:posOffset>0</wp:posOffset>
                </wp:positionV>
                <wp:extent cx="6536690" cy="1358900"/>
                <wp:effectExtent l="0" t="0" r="16510" b="12700"/>
                <wp:wrapSquare wrapText="bothSides"/>
                <wp:docPr id="5631687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358900"/>
                        </a:xfrm>
                        <a:prstGeom prst="rect">
                          <a:avLst/>
                        </a:prstGeom>
                        <a:solidFill>
                          <a:srgbClr val="FFFFFF"/>
                        </a:solidFill>
                        <a:ln w="9525">
                          <a:solidFill>
                            <a:srgbClr val="000000"/>
                          </a:solidFill>
                          <a:miter lim="800000"/>
                          <a:headEnd/>
                          <a:tailEnd/>
                        </a:ln>
                        <a:effectLst>
                          <a:softEdge rad="50800"/>
                        </a:effectLst>
                      </wps:spPr>
                      <wps:txbx>
                        <w:txbxContent>
                          <w:p w14:paraId="420B05F9" w14:textId="77777777" w:rsidR="00972A7A" w:rsidRPr="0046099A" w:rsidRDefault="00972A7A" w:rsidP="00972A7A">
                            <w:pPr>
                              <w:shd w:val="clear" w:color="auto" w:fill="F4B083" w:themeFill="accent2" w:themeFillTint="99"/>
                              <w:spacing w:line="240" w:lineRule="auto"/>
                              <w:jc w:val="center"/>
                              <w:rPr>
                                <w:rFonts w:ascii="Arial" w:hAnsi="Arial" w:cs="Arial"/>
                                <w:b/>
                                <w:bCs/>
                                <w:i/>
                                <w:iCs/>
                                <w:color w:val="00B0F0"/>
                                <w:sz w:val="44"/>
                                <w:szCs w:val="44"/>
                              </w:rPr>
                            </w:pPr>
                            <w:r w:rsidRPr="0046099A">
                              <w:rPr>
                                <w:rFonts w:ascii="Arial" w:hAnsi="Arial" w:cs="Arial"/>
                                <w:b/>
                                <w:bCs/>
                                <w:i/>
                                <w:iCs/>
                                <w:color w:val="00B0F0"/>
                                <w:sz w:val="44"/>
                                <w:szCs w:val="44"/>
                              </w:rPr>
                              <w:t>Pharmacy Services in the UK: Origins, Function, and Challenges</w:t>
                            </w:r>
                          </w:p>
                          <w:p w14:paraId="3BF0F766" w14:textId="3CCBD1ED" w:rsidR="00972A7A" w:rsidRPr="0046099A" w:rsidRDefault="006E252C" w:rsidP="00972A7A">
                            <w:pPr>
                              <w:shd w:val="clear" w:color="auto" w:fill="F4B083" w:themeFill="accent2" w:themeFillTint="99"/>
                              <w:jc w:val="center"/>
                              <w:rPr>
                                <w:rFonts w:ascii="Arial" w:hAnsi="Arial" w:cs="Arial"/>
                                <w:sz w:val="24"/>
                                <w:szCs w:val="24"/>
                              </w:rPr>
                            </w:pPr>
                            <w:r w:rsidRPr="000B6D7D">
                              <w:rPr>
                                <w:rFonts w:ascii="Arial" w:hAnsi="Arial" w:cs="Arial"/>
                                <w:sz w:val="28"/>
                                <w:szCs w:val="28"/>
                              </w:rPr>
                              <w:t>Teodora Stoyanova Ganchevska</w:t>
                            </w:r>
                            <w:r w:rsidR="00972A7A" w:rsidRPr="0046099A">
                              <w:rPr>
                                <w:rFonts w:ascii="Arial" w:hAnsi="Arial" w:cs="Arial"/>
                                <w:sz w:val="24"/>
                                <w:szCs w:val="24"/>
                              </w:rPr>
                              <w:t xml:space="preserve">, </w:t>
                            </w:r>
                            <w:r w:rsidR="000B6D7D">
                              <w:rPr>
                                <w:rFonts w:ascii="Arial" w:hAnsi="Arial" w:cs="Arial"/>
                                <w:sz w:val="28"/>
                                <w:szCs w:val="28"/>
                              </w:rPr>
                              <w:t>I</w:t>
                            </w:r>
                            <w:r w:rsidR="000B6D7D" w:rsidRPr="006E252C">
                              <w:rPr>
                                <w:rFonts w:ascii="Arial" w:hAnsi="Arial" w:cs="Arial"/>
                                <w:sz w:val="28"/>
                                <w:szCs w:val="28"/>
                              </w:rPr>
                              <w:t>ntroduction to Health and Social Care</w:t>
                            </w:r>
                            <w:r w:rsidR="00972A7A" w:rsidRPr="0046099A">
                              <w:rPr>
                                <w:rFonts w:ascii="Arial" w:hAnsi="Arial" w:cs="Arial"/>
                                <w:sz w:val="24"/>
                                <w:szCs w:val="24"/>
                              </w:rPr>
                              <w:t xml:space="preserve">, </w:t>
                            </w:r>
                            <w:r w:rsidR="000B6D7D">
                              <w:rPr>
                                <w:rFonts w:ascii="Arial" w:hAnsi="Arial" w:cs="Arial"/>
                                <w:sz w:val="24"/>
                                <w:szCs w:val="24"/>
                              </w:rPr>
                              <w:t>2532550@student.uwtsd.ac.uk</w:t>
                            </w:r>
                          </w:p>
                          <w:p w14:paraId="264FEB02" w14:textId="77777777" w:rsidR="00972A7A" w:rsidRPr="0046099A" w:rsidRDefault="00972A7A" w:rsidP="00972A7A">
                            <w:pPr>
                              <w:shd w:val="clear" w:color="auto" w:fill="F4B083" w:themeFill="accent2" w:themeFillTint="99"/>
                              <w:rPr>
                                <w:rFonts w:ascii="Arial" w:hAnsi="Arial" w:cs="Arial"/>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
            <w:pict>
              <v:shapetype w14:anchorId="6DD20627" id="_x0000_t202" coordsize="21600,21600" o:spt="202" path="m,l,21600r21600,l21600,xe">
                <v:stroke joinstyle="miter"/>
                <v:path gradientshapeok="t" o:connecttype="rect"/>
              </v:shapetype>
              <v:shape id="Text Box 2" o:spid="_x0000_s1026" type="#_x0000_t202" style="position:absolute;margin-left:463.5pt;margin-top:0;width:514.7pt;height:107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">
                <v:textbox>
                  <w:txbxContent>
                    <w:p w14:paraId="420B05F9" w14:textId="77777777" w:rsidR="00972A7A" w:rsidRPr="0046099A" w:rsidRDefault="00972A7A" w:rsidP="00972A7A">
                      <w:pPr>
                        <w:shd w:val="clear" w:color="auto" w:fill="F4B083" w:themeFill="accent2" w:themeFillTint="99"/>
                        <w:spacing w:line="240" w:lineRule="auto"/>
                        <w:jc w:val="center"/>
                        <w:rPr>
                          <w:rFonts w:ascii="Arial" w:hAnsi="Arial" w:cs="Arial"/>
                          <w:b/>
                          <w:bCs/>
                          <w:i/>
                          <w:iCs/>
                          <w:color w:val="00B0F0"/>
                          <w:sz w:val="44"/>
                          <w:szCs w:val="44"/>
                        </w:rPr>
                      </w:pPr>
                      <w:r w:rsidRPr="0046099A">
                        <w:rPr>
                          <w:rFonts w:ascii="Arial" w:hAnsi="Arial" w:cs="Arial"/>
                          <w:b/>
                          <w:bCs/>
                          <w:i/>
                          <w:iCs/>
                          <w:color w:val="00B0F0"/>
                          <w:sz w:val="44"/>
                          <w:szCs w:val="44"/>
                        </w:rPr>
                        <w:t>Pharmacy Services in the UK: Origins, Function, and Challenges</w:t>
                      </w:r>
                    </w:p>
                    <w:p w14:paraId="3BF0F766" w14:textId="3CCBD1ED" w:rsidR="00972A7A" w:rsidRPr="0046099A" w:rsidRDefault="006E252C" w:rsidP="00972A7A">
                      <w:pPr>
                        <w:shd w:val="clear" w:color="auto" w:fill="F4B083" w:themeFill="accent2" w:themeFillTint="99"/>
                        <w:jc w:val="center"/>
                        <w:rPr>
                          <w:rFonts w:ascii="Arial" w:hAnsi="Arial" w:cs="Arial"/>
                          <w:sz w:val="24"/>
                          <w:szCs w:val="24"/>
                        </w:rPr>
                      </w:pPr>
                      <w:r w:rsidRPr="000B6D7D">
                        <w:rPr>
                          <w:rFonts w:ascii="Arial" w:hAnsi="Arial" w:cs="Arial"/>
                          <w:sz w:val="28"/>
                          <w:szCs w:val="28"/>
                        </w:rPr>
                        <w:t>Teodora Stoyanova Ganchevska</w:t>
                      </w:r>
                      <w:r w:rsidR="00972A7A" w:rsidRPr="0046099A">
                        <w:rPr>
                          <w:rFonts w:ascii="Arial" w:hAnsi="Arial" w:cs="Arial"/>
                          <w:sz w:val="24"/>
                          <w:szCs w:val="24"/>
                        </w:rPr>
                        <w:t xml:space="preserve">, </w:t>
                      </w:r>
                      <w:r w:rsidR="000B6D7D">
                        <w:rPr>
                          <w:rFonts w:ascii="Arial" w:hAnsi="Arial" w:cs="Arial"/>
                          <w:sz w:val="28"/>
                          <w:szCs w:val="28"/>
                        </w:rPr>
                        <w:t>I</w:t>
                      </w:r>
                      <w:r w:rsidR="000B6D7D" w:rsidRPr="006E252C">
                        <w:rPr>
                          <w:rFonts w:ascii="Arial" w:hAnsi="Arial" w:cs="Arial"/>
                          <w:sz w:val="28"/>
                          <w:szCs w:val="28"/>
                        </w:rPr>
                        <w:t>ntroduction to Health and Social Care</w:t>
                      </w:r>
                      <w:r w:rsidR="00972A7A" w:rsidRPr="0046099A">
                        <w:rPr>
                          <w:rFonts w:ascii="Arial" w:hAnsi="Arial" w:cs="Arial"/>
                          <w:sz w:val="24"/>
                          <w:szCs w:val="24"/>
                        </w:rPr>
                        <w:t xml:space="preserve">, </w:t>
                      </w:r>
                      <w:r w:rsidR="000B6D7D">
                        <w:rPr>
                          <w:rFonts w:ascii="Arial" w:hAnsi="Arial" w:cs="Arial"/>
                          <w:sz w:val="24"/>
                          <w:szCs w:val="24"/>
                        </w:rPr>
                        <w:t>2532550@student.uwtsd.ac.uk</w:t>
                      </w:r>
                    </w:p>
                    <w:p w14:paraId="264FEB02" w14:textId="77777777" w:rsidR="00972A7A" w:rsidRPr="0046099A" w:rsidRDefault="00972A7A" w:rsidP="00972A7A">
                      <w:pPr>
                        <w:shd w:val="clear" w:color="auto" w:fill="F4B083" w:themeFill="accent2" w:themeFillTint="99"/>
                        <w:rPr>
                          <w:rFonts w:ascii="Arial" w:hAnsi="Arial" w:cs="Arial"/>
                          <w:color w:val="00B0F0"/>
                          <w:sz w:val="70"/>
                          <w:szCs w:val="70"/>
                        </w:rPr>
                      </w:pPr>
                    </w:p>
                  </w:txbxContent>
                </v:textbox>
                <w10:wrap type="square" anchorx="margin"/>
              </v:shape>
            </w:pict>
          </mc:Fallback>
        </mc:AlternateContent>
      </w:r>
    </w:p>
    <w:p w14:paraId="21890A33" w14:textId="13609BC8" w:rsidR="00972A7A" w:rsidRPr="0046099A" w:rsidRDefault="000B6D7D" w:rsidP="00972A7A">
      <w:pPr>
        <w:rPr>
          <w:rFonts w:ascii="Arial" w:hAnsi="Arial" w:cs="Arial"/>
        </w:rPr>
        <w:sectPr w:rsidR="00972A7A" w:rsidRPr="0046099A" w:rsidSect="00972A7A">
          <w:pgSz w:w="16838" w:h="11906" w:orient="landscape"/>
          <w:pgMar w:top="1440" w:right="1440" w:bottom="1440" w:left="1440" w:header="708" w:footer="708" w:gutter="0"/>
          <w:cols w:space="708"/>
          <w:docGrid w:linePitch="360"/>
        </w:sectPr>
      </w:pPr>
      <w:r w:rsidRPr="0046099A">
        <w:rPr>
          <w:rFonts w:ascii="Arial" w:hAnsi="Arial" w:cs="Arial"/>
          <w:noProof/>
        </w:rPr>
        <mc:AlternateContent>
          <mc:Choice Requires="wps">
            <w:drawing>
              <wp:anchor distT="45720" distB="45720" distL="114300" distR="114300" simplePos="0" relativeHeight="251685888" behindDoc="0" locked="0" layoutInCell="1" allowOverlap="1" wp14:anchorId="47E9B664" wp14:editId="3A0D57C8">
                <wp:simplePos x="0" y="0"/>
                <wp:positionH relativeFrom="column">
                  <wp:posOffset>5924550</wp:posOffset>
                </wp:positionH>
                <wp:positionV relativeFrom="paragraph">
                  <wp:posOffset>1052830</wp:posOffset>
                </wp:positionV>
                <wp:extent cx="3533775" cy="4385310"/>
                <wp:effectExtent l="19050" t="19050" r="28575" b="15240"/>
                <wp:wrapSquare wrapText="bothSides"/>
                <wp:docPr id="495701779" name="Text Box 49570177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3775" cy="4385310"/>
                        </a:xfrm>
                        <a:prstGeom prst="rect">
                          <a:avLst/>
                        </a:prstGeom>
                        <a:solidFill>
                          <a:srgbClr val="FFFFFF"/>
                        </a:solidFill>
                        <a:ln w="44450">
                          <a:solidFill>
                            <a:srgbClr val="000000"/>
                          </a:solidFill>
                          <a:miter lim="800000"/>
                          <a:headEnd/>
                          <a:tailEnd/>
                        </a:ln>
                        <a:effectLst>
                          <a:softEdge rad="25400"/>
                        </a:effectLst>
                      </wps:spPr>
                      <wps:txbx>
                        <w:txbxContent>
                          <w:p w14:paraId="75DE2814" w14:textId="77777777" w:rsidR="00972A7A" w:rsidRPr="00E81356" w:rsidRDefault="00972A7A" w:rsidP="000B6D7D">
                            <w:pPr>
                              <w:spacing w:line="240" w:lineRule="auto"/>
                              <w:rPr>
                                <w:rFonts w:ascii="Arial" w:hAnsi="Arial" w:cs="Arial"/>
                                <w:b/>
                                <w:bCs/>
                                <w:color w:val="385623" w:themeColor="accent6" w:themeShade="80"/>
                              </w:rPr>
                            </w:pPr>
                            <w:r w:rsidRPr="00E81356">
                              <w:rPr>
                                <w:rFonts w:ascii="Arial" w:hAnsi="Arial" w:cs="Arial"/>
                                <w:b/>
                                <w:bCs/>
                                <w:color w:val="385623" w:themeColor="accent6" w:themeShade="80"/>
                              </w:rPr>
                              <w:t>Current Functioning</w:t>
                            </w:r>
                          </w:p>
                          <w:p w14:paraId="66B48990" w14:textId="77777777" w:rsidR="00972A7A" w:rsidRPr="004438BB" w:rsidRDefault="00972A7A" w:rsidP="000B6D7D">
                            <w:pPr>
                              <w:spacing w:line="240" w:lineRule="auto"/>
                              <w:rPr>
                                <w:rFonts w:ascii="Arial" w:hAnsi="Arial" w:cs="Arial"/>
                                <w:sz w:val="14"/>
                                <w:szCs w:val="14"/>
                              </w:rPr>
                            </w:pPr>
                            <w:r w:rsidRPr="000B6D7D">
                              <w:rPr>
                                <w:rFonts w:ascii="Arial" w:hAnsi="Arial" w:cs="Arial"/>
                              </w:rPr>
                              <w:t>The sector is now covered by the national agreement the Department of Health and Social Care, NHS England and Community Pharmacy England have signed, the Community Pharmacy Contractual Framework (CPCF), which outlines the funding and the service expectations of the sector (House of Commons Library, 2026). In addition to supporting the supply of prescribed medicines, the NHS (NHS England, 2024) services have evolved to provide vaccinations, blood pressure monitoring, contraception and smoking cessation advice and support. The largest recent development is Pharmacy First, a GP referral for seven common conditions, where the GP would have been able to issue a GP referral for the condition and allow pharmacists to complete episodes of care and prescribe clinically appropriate medicines, such as POMs without GP referral (NHS England, 2024). During this time, from the launch until October 2025, pharmacy contractors reported a reimbursement for a pharmacy first consultation of 4.5 million (House of Commons Library, 2026), and they are now becoming more visible as an important means of helping to deliver services within general practice and to cut back on unwarranted GP consultations</w:t>
                            </w:r>
                            <w:r w:rsidRPr="004438BB">
                              <w:rPr>
                                <w:rFonts w:ascii="Arial" w:hAnsi="Arial" w:cs="Arial"/>
                                <w:sz w:val="14"/>
                                <w:szCs w:val="1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7E9B664" id="_x0000_t202" coordsize="21600,21600" o:spt="202" path="m,l,21600r21600,l21600,xe">
                <v:stroke joinstyle="miter"/>
                <v:path gradientshapeok="t" o:connecttype="rect"/>
              </v:shapetype>
              <v:shape id="Text Box 495701779" o:spid="_x0000_s1027" type="#_x0000_t202" style="position:absolute;margin-left:466.5pt;margin-top:82.9pt;width:278.25pt;height:345.3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" strokeweight="3.5pt">
                <v:textbox>
                  <w:txbxContent>
                    <w:p w14:paraId="75DE2814" w14:textId="77777777" w:rsidR="00972A7A" w:rsidRPr="00E81356" w:rsidRDefault="00972A7A" w:rsidP="000B6D7D">
                      <w:pPr>
                        <w:spacing w:line="240" w:lineRule="auto"/>
                        <w:rPr>
                          <w:rFonts w:ascii="Arial" w:hAnsi="Arial" w:cs="Arial"/>
                          <w:b/>
                          <w:bCs/>
                          <w:color w:val="385623" w:themeColor="accent6" w:themeShade="80"/>
                        </w:rPr>
                      </w:pPr>
                      <w:r w:rsidRPr="00E81356">
                        <w:rPr>
                          <w:rFonts w:ascii="Arial" w:hAnsi="Arial" w:cs="Arial"/>
                          <w:b/>
                          <w:bCs/>
                          <w:color w:val="385623" w:themeColor="accent6" w:themeShade="80"/>
                        </w:rPr>
                        <w:t>Current Functioning</w:t>
                      </w:r>
                    </w:p>
                    <w:p w14:paraId="66B48990" w14:textId="77777777" w:rsidR="00972A7A" w:rsidRPr="004438BB" w:rsidRDefault="00972A7A" w:rsidP="000B6D7D">
                      <w:pPr>
                        <w:spacing w:line="240" w:lineRule="auto"/>
                        <w:rPr>
                          <w:rFonts w:ascii="Arial" w:hAnsi="Arial" w:cs="Arial"/>
                          <w:sz w:val="14"/>
                          <w:szCs w:val="14"/>
                        </w:rPr>
                      </w:pPr>
                      <w:r w:rsidRPr="000B6D7D">
                        <w:rPr>
                          <w:rFonts w:ascii="Arial" w:hAnsi="Arial" w:cs="Arial"/>
                        </w:rPr>
                        <w:t>The sector is now covered by the national agreement the Department of Health and Social Care, NHS England and Community Pharmacy England have signed, the Community Pharmacy Contractual Framework (CPCF), which outlines the funding and the service expectations of the sector (House of Commons Library, 2026). In addition to supporting the supply of prescribed medicines, the NHS (NHS England, 2024) services have evolved to provide vaccinations, blood pressure monitoring, contraception and smoking cessation advice and support. The largest recent development is Pharmacy First, a GP referral for seven common conditions, where the GP would have been able to issue a GP referral for the condition and allow pharmacists to complete episodes of care and prescribe clinically appropriate medicines, such as POMs without GP referral (NHS England, 2024). During this time, from the launch until October 2025, pharmacy contractors reported a reimbursement for a pharmacy first consultation of 4.5 million (House of Commons Library, 2026), and they are now becoming more visible as an important means of helping to deliver services within general practice and to cut back on unwarranted GP consultations</w:t>
                      </w:r>
                      <w:r w:rsidRPr="004438BB">
                        <w:rPr>
                          <w:rFonts w:ascii="Arial" w:hAnsi="Arial" w:cs="Arial"/>
                          <w:sz w:val="14"/>
                          <w:szCs w:val="14"/>
                        </w:rPr>
                        <w:t xml:space="preserve">. </w:t>
                      </w:r>
                    </w:p>
                  </w:txbxContent>
                </v:textbox>
                <w10:wrap type="square"/>
              </v:shape>
            </w:pict>
          </mc:Fallback>
        </mc:AlternateContent>
      </w:r>
      <w:r w:rsidRPr="0046099A">
        <w:rPr>
          <w:rFonts w:ascii="Arial" w:hAnsi="Arial" w:cs="Arial"/>
          <w:noProof/>
        </w:rPr>
        <mc:AlternateContent>
          <mc:Choice Requires="wps">
            <w:drawing>
              <wp:anchor distT="45720" distB="45720" distL="114300" distR="114300" simplePos="0" relativeHeight="251683840" behindDoc="0" locked="0" layoutInCell="1" allowOverlap="1" wp14:anchorId="63F12ED9" wp14:editId="578B300C">
                <wp:simplePos x="0" y="0"/>
                <wp:positionH relativeFrom="margin">
                  <wp:posOffset>2472690</wp:posOffset>
                </wp:positionH>
                <wp:positionV relativeFrom="paragraph">
                  <wp:posOffset>1050925</wp:posOffset>
                </wp:positionV>
                <wp:extent cx="3248025" cy="4389120"/>
                <wp:effectExtent l="19050" t="19050" r="28575" b="11430"/>
                <wp:wrapSquare wrapText="bothSides"/>
                <wp:docPr id="1534692256" name="Text Box 15346922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48025" cy="4389120"/>
                        </a:xfrm>
                        <a:prstGeom prst="rect">
                          <a:avLst/>
                        </a:prstGeom>
                        <a:solidFill>
                          <a:srgbClr val="FFFFFF"/>
                        </a:solidFill>
                        <a:ln w="44450">
                          <a:solidFill>
                            <a:srgbClr val="000000"/>
                          </a:solidFill>
                          <a:miter lim="800000"/>
                          <a:headEnd/>
                          <a:tailEnd/>
                        </a:ln>
                        <a:effectLst>
                          <a:softEdge rad="25400"/>
                        </a:effectLst>
                      </wps:spPr>
                      <wps:txbx>
                        <w:txbxContent>
                          <w:p w14:paraId="370E54B8" w14:textId="77777777" w:rsidR="00972A7A" w:rsidRPr="00E81356" w:rsidRDefault="00972A7A" w:rsidP="00972A7A">
                            <w:pPr>
                              <w:rPr>
                                <w:rFonts w:ascii="Arial" w:hAnsi="Arial" w:cs="Arial"/>
                                <w:b/>
                                <w:bCs/>
                                <w:color w:val="385623" w:themeColor="accent6" w:themeShade="80"/>
                              </w:rPr>
                            </w:pPr>
                            <w:r w:rsidRPr="00E81356">
                              <w:rPr>
                                <w:rFonts w:ascii="Arial" w:hAnsi="Arial" w:cs="Arial"/>
                                <w:b/>
                                <w:bCs/>
                                <w:color w:val="385623" w:themeColor="accent6" w:themeShade="80"/>
                              </w:rPr>
                              <w:t>Brief History</w:t>
                            </w:r>
                          </w:p>
                          <w:p w14:paraId="3BD4F6E7" w14:textId="77777777" w:rsidR="00972A7A" w:rsidRPr="001E1718" w:rsidRDefault="00972A7A" w:rsidP="00972A7A">
                            <w:pPr>
                              <w:spacing w:line="240" w:lineRule="auto"/>
                              <w:jc w:val="both"/>
                              <w:rPr>
                                <w:rFonts w:ascii="Arial" w:hAnsi="Arial" w:cs="Arial"/>
                                <w:sz w:val="14"/>
                                <w:szCs w:val="14"/>
                              </w:rPr>
                            </w:pPr>
                            <w:r w:rsidRPr="000B6D7D">
                              <w:rPr>
                                <w:rFonts w:ascii="Arial" w:hAnsi="Arial" w:cs="Arial"/>
                              </w:rPr>
                              <w:t xml:space="preserve">The history of the role of the pharmacist as adviser is an old </w:t>
                            </w:r>
                            <w:proofErr w:type="gramStart"/>
                            <w:r w:rsidRPr="000B6D7D">
                              <w:rPr>
                                <w:rFonts w:ascii="Arial" w:hAnsi="Arial" w:cs="Arial"/>
                              </w:rPr>
                              <w:t>one, but</w:t>
                            </w:r>
                            <w:proofErr w:type="gramEnd"/>
                            <w:r w:rsidRPr="000B6D7D">
                              <w:rPr>
                                <w:rFonts w:ascii="Arial" w:hAnsi="Arial" w:cs="Arial"/>
                              </w:rPr>
                              <w:t xml:space="preserve"> has undergone limited resurgence since the NHS was formed in 1948, and reintroduced after a period of ministerial intervention in 1981 (Anderson, 2007). The job of a pharmacist was, up until then, mostly dispensary work with less consultation with the patients. The dispensing of prescriptions in community pharmacies was dramatically increased with the advent of the NHS in 1948, nearly allopathic medicine as the profession is now known, as the public were given the right to free prescriptions, with which almost overnight the normal working life of the profession changed (Pharmaceutical Journal 2018). Community pharmacy practice for the coming decades remained largely unchanged with emphasis on dispensing with little attention to counselling. Growing concerns about underutilisation of a highly educated workforce in the delivery of dispensing services led to the advent of the Nuffield Report (1986), which called for an "extended" role for the pharmacist, paving the way for the clinical services of today (Anderson, 2007).</w:t>
                            </w:r>
                            <w:r w:rsidRPr="001E1718">
                              <w:rPr>
                                <w:rFonts w:ascii="Arial" w:hAnsi="Arial" w:cs="Arial"/>
                                <w:sz w:val="14"/>
                                <w:szCs w:val="14"/>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F12ED9" id="Text Box 1534692256" o:spid="_x0000_s1028" type="#_x0000_t202" style="position:absolute;margin-left:194.7pt;margin-top:82.75pt;width:255.75pt;height:345.6pt;z-index:251683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" strokeweight="3.5pt">
                <v:textbox>
                  <w:txbxContent>
                    <w:p w14:paraId="370E54B8" w14:textId="77777777" w:rsidR="00972A7A" w:rsidRPr="00E81356" w:rsidRDefault="00972A7A" w:rsidP="00972A7A">
                      <w:pPr>
                        <w:rPr>
                          <w:rFonts w:ascii="Arial" w:hAnsi="Arial" w:cs="Arial"/>
                          <w:b/>
                          <w:bCs/>
                          <w:color w:val="385623" w:themeColor="accent6" w:themeShade="80"/>
                        </w:rPr>
                      </w:pPr>
                      <w:r w:rsidRPr="00E81356">
                        <w:rPr>
                          <w:rFonts w:ascii="Arial" w:hAnsi="Arial" w:cs="Arial"/>
                          <w:b/>
                          <w:bCs/>
                          <w:color w:val="385623" w:themeColor="accent6" w:themeShade="80"/>
                        </w:rPr>
                        <w:t>Brief History</w:t>
                      </w:r>
                    </w:p>
                    <w:p w14:paraId="3BD4F6E7" w14:textId="77777777" w:rsidR="00972A7A" w:rsidRPr="001E1718" w:rsidRDefault="00972A7A" w:rsidP="00972A7A">
                      <w:pPr>
                        <w:spacing w:line="240" w:lineRule="auto"/>
                        <w:jc w:val="both"/>
                        <w:rPr>
                          <w:rFonts w:ascii="Arial" w:hAnsi="Arial" w:cs="Arial"/>
                          <w:sz w:val="14"/>
                          <w:szCs w:val="14"/>
                        </w:rPr>
                      </w:pPr>
                      <w:r w:rsidRPr="000B6D7D">
                        <w:rPr>
                          <w:rFonts w:ascii="Arial" w:hAnsi="Arial" w:cs="Arial"/>
                        </w:rPr>
                        <w:t xml:space="preserve">The history of the role of the pharmacist as adviser is an old </w:t>
                      </w:r>
                      <w:proofErr w:type="gramStart"/>
                      <w:r w:rsidRPr="000B6D7D">
                        <w:rPr>
                          <w:rFonts w:ascii="Arial" w:hAnsi="Arial" w:cs="Arial"/>
                        </w:rPr>
                        <w:t>one, but</w:t>
                      </w:r>
                      <w:proofErr w:type="gramEnd"/>
                      <w:r w:rsidRPr="000B6D7D">
                        <w:rPr>
                          <w:rFonts w:ascii="Arial" w:hAnsi="Arial" w:cs="Arial"/>
                        </w:rPr>
                        <w:t xml:space="preserve"> has undergone limited resurgence since the NHS was formed in 1948, and reintroduced after a period of ministerial intervention in 1981 (Anderson, 2007). The job of a pharmacist was, up until then, mostly dispensary work with less consultation with the patients. The dispensing of prescriptions in community pharmacies was dramatically increased with the advent of the NHS in 1948, nearly allopathic medicine as the profession is now known, as the public were given the right to free prescriptions, with which almost overnight the normal working life of the profession changed (Pharmaceutical Journal 2018). Community pharmacy practice for the coming decades remained largely unchanged with emphasis on dispensing with little attention to counselling. Growing concerns about underutilisation of a highly educated workforce in the delivery of dispensing services led to the advent of the Nuffield Report (1986), which called for an "extended" role for the pharmacist, paving the way for the clinical services of today (Anderson, 2007).</w:t>
                      </w:r>
                      <w:r w:rsidRPr="001E1718">
                        <w:rPr>
                          <w:rFonts w:ascii="Arial" w:hAnsi="Arial" w:cs="Arial"/>
                          <w:sz w:val="14"/>
                          <w:szCs w:val="14"/>
                        </w:rPr>
                        <w:t xml:space="preserve"> </w:t>
                      </w:r>
                    </w:p>
                  </w:txbxContent>
                </v:textbox>
                <w10:wrap type="square" anchorx="margin"/>
              </v:shape>
            </w:pict>
          </mc:Fallback>
        </mc:AlternateContent>
      </w:r>
      <w:r w:rsidRPr="0046099A">
        <w:rPr>
          <w:rFonts w:ascii="Arial" w:hAnsi="Arial" w:cs="Arial"/>
          <w:noProof/>
        </w:rPr>
        <mc:AlternateContent>
          <mc:Choice Requires="wps">
            <w:drawing>
              <wp:anchor distT="45720" distB="45720" distL="114300" distR="114300" simplePos="0" relativeHeight="251682816" behindDoc="0" locked="0" layoutInCell="1" allowOverlap="1" wp14:anchorId="13DCAEA3" wp14:editId="03A0DBAA">
                <wp:simplePos x="0" y="0"/>
                <wp:positionH relativeFrom="page">
                  <wp:posOffset>49530</wp:posOffset>
                </wp:positionH>
                <wp:positionV relativeFrom="paragraph">
                  <wp:posOffset>254635</wp:posOffset>
                </wp:positionV>
                <wp:extent cx="2924175" cy="4888230"/>
                <wp:effectExtent l="19050" t="19050" r="47625" b="45720"/>
                <wp:wrapSquare wrapText="bothSides"/>
                <wp:docPr id="551346200" name="Text Box 5513462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4888230"/>
                        </a:xfrm>
                        <a:prstGeom prst="rect">
                          <a:avLst/>
                        </a:prstGeom>
                        <a:solidFill>
                          <a:srgbClr val="FFFFFF"/>
                        </a:solidFill>
                        <a:ln w="47625">
                          <a:solidFill>
                            <a:srgbClr val="ED7D31"/>
                          </a:solidFill>
                          <a:miter lim="800000"/>
                          <a:headEnd/>
                          <a:tailEnd/>
                        </a:ln>
                        <a:effectLst>
                          <a:softEdge rad="25400"/>
                        </a:effectLst>
                      </wps:spPr>
                      <wps:txbx>
                        <w:txbxContent>
                          <w:p w14:paraId="7BC36737" w14:textId="77777777" w:rsidR="000B6D7D" w:rsidRPr="00E81356" w:rsidRDefault="00972A7A" w:rsidP="000B6D7D">
                            <w:pPr>
                              <w:rPr>
                                <w:rFonts w:ascii="Arial" w:hAnsi="Arial" w:cs="Arial"/>
                                <w:b/>
                                <w:bCs/>
                                <w:color w:val="385623" w:themeColor="accent6" w:themeShade="80"/>
                              </w:rPr>
                            </w:pPr>
                            <w:r w:rsidRPr="00E81356">
                              <w:rPr>
                                <w:rFonts w:ascii="Arial" w:hAnsi="Arial" w:cs="Arial"/>
                                <w:b/>
                                <w:bCs/>
                                <w:color w:val="385623" w:themeColor="accent6" w:themeShade="80"/>
                              </w:rPr>
                              <w:t>Introduction</w:t>
                            </w:r>
                          </w:p>
                          <w:p w14:paraId="441C0E34" w14:textId="78089184" w:rsidR="00972A7A" w:rsidRPr="000B6D7D" w:rsidRDefault="000B6D7D" w:rsidP="000B6D7D">
                            <w:pPr>
                              <w:rPr>
                                <w:rFonts w:ascii="Arial" w:hAnsi="Arial" w:cs="Arial"/>
                                <w:b/>
                                <w:bCs/>
                                <w:color w:val="385623" w:themeColor="accent6" w:themeShade="80"/>
                              </w:rPr>
                            </w:pPr>
                            <w:r w:rsidRPr="000B6D7D">
                              <w:rPr>
                                <w:rFonts w:ascii="Arial" w:hAnsi="Arial" w:cs="Arial"/>
                                <w:color w:val="385623" w:themeColor="accent6" w:themeShade="80"/>
                              </w:rPr>
                              <w:t xml:space="preserve">Pharmacy services are an integral part of the UK health service supply and offer medicines, health information and advice and are now increasingly engaged in clinical consultations for millions of people annually. Community pharmacies are different to most other services provided by the NHS as they are funded for the service they provide, rather than being given a share of the revenue of voluntary providers. There is a very distinct difference between the model of service in the community sector and that of the voluntary sector (NHS England, 2024). </w:t>
                            </w:r>
                            <w:proofErr w:type="gramStart"/>
                            <w:r w:rsidRPr="000B6D7D">
                              <w:rPr>
                                <w:rFonts w:ascii="Arial" w:hAnsi="Arial" w:cs="Arial"/>
                                <w:color w:val="385623" w:themeColor="accent6" w:themeShade="80"/>
                              </w:rPr>
                              <w:t>The majority of</w:t>
                            </w:r>
                            <w:proofErr w:type="gramEnd"/>
                            <w:r w:rsidRPr="000B6D7D">
                              <w:rPr>
                                <w:rFonts w:ascii="Arial" w:hAnsi="Arial" w:cs="Arial"/>
                                <w:color w:val="385623" w:themeColor="accent6" w:themeShade="80"/>
                              </w:rPr>
                              <w:t xml:space="preserve"> people can access a pharmacy within a few minutes from home, and this access may be easier than access to a GP surgery, as far as working hours are concerned, and appointment availability (Community Pharmacy England, 2025). This ease of access has led to the pharmacy playing an important part in the Government's strategy to reduce </w:t>
                            </w:r>
                            <w:r w:rsidR="00972A7A" w:rsidRPr="000B6D7D">
                              <w:rPr>
                                <w:rFonts w:ascii="Arial" w:hAnsi="Arial" w:cs="Arial"/>
                                <w:color w:val="385623" w:themeColor="accent6" w:themeShade="80"/>
                              </w:rPr>
                              <w:t>on hospital and increase reliance on the community.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CAEA3" id="Text Box 551346200" o:spid="_x0000_s1029" type="#_x0000_t202" style="position:absolute;margin-left:3.9pt;margin-top:20.05pt;width:230.25pt;height:384.9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" strokecolor="#ed7d31" strokeweight="3.75pt">
                <v:textbox>
                  <w:txbxContent>
                    <w:p w14:paraId="7BC36737" w14:textId="77777777" w:rsidR="000B6D7D" w:rsidRPr="00E81356" w:rsidRDefault="00972A7A" w:rsidP="000B6D7D">
                      <w:pPr>
                        <w:rPr>
                          <w:rFonts w:ascii="Arial" w:hAnsi="Arial" w:cs="Arial"/>
                          <w:b/>
                          <w:bCs/>
                          <w:color w:val="385623" w:themeColor="accent6" w:themeShade="80"/>
                        </w:rPr>
                      </w:pPr>
                      <w:r w:rsidRPr="00E81356">
                        <w:rPr>
                          <w:rFonts w:ascii="Arial" w:hAnsi="Arial" w:cs="Arial"/>
                          <w:b/>
                          <w:bCs/>
                          <w:color w:val="385623" w:themeColor="accent6" w:themeShade="80"/>
                        </w:rPr>
                        <w:t>Introduction</w:t>
                      </w:r>
                    </w:p>
                    <w:p w14:paraId="441C0E34" w14:textId="78089184" w:rsidR="00972A7A" w:rsidRPr="000B6D7D" w:rsidRDefault="000B6D7D" w:rsidP="000B6D7D">
                      <w:pPr>
                        <w:rPr>
                          <w:rFonts w:ascii="Arial" w:hAnsi="Arial" w:cs="Arial"/>
                          <w:b/>
                          <w:bCs/>
                          <w:color w:val="385623" w:themeColor="accent6" w:themeShade="80"/>
                        </w:rPr>
                      </w:pPr>
                      <w:r w:rsidRPr="000B6D7D">
                        <w:rPr>
                          <w:rFonts w:ascii="Arial" w:hAnsi="Arial" w:cs="Arial"/>
                          <w:color w:val="385623" w:themeColor="accent6" w:themeShade="80"/>
                        </w:rPr>
                        <w:t xml:space="preserve">Pharmacy services are an integral part of the UK health service supply and offer medicines, health information and advice and are now increasingly engaged in clinical consultations for millions of people annually. Community pharmacies are different to most other services provided by the NHS as they are funded for the service they provide, rather than being given a share of the revenue of voluntary providers. There is a very distinct difference between the model of service in the community sector and that of the voluntary sector (NHS England, 2024). </w:t>
                      </w:r>
                      <w:proofErr w:type="gramStart"/>
                      <w:r w:rsidRPr="000B6D7D">
                        <w:rPr>
                          <w:rFonts w:ascii="Arial" w:hAnsi="Arial" w:cs="Arial"/>
                          <w:color w:val="385623" w:themeColor="accent6" w:themeShade="80"/>
                        </w:rPr>
                        <w:t>The majority of</w:t>
                      </w:r>
                      <w:proofErr w:type="gramEnd"/>
                      <w:r w:rsidRPr="000B6D7D">
                        <w:rPr>
                          <w:rFonts w:ascii="Arial" w:hAnsi="Arial" w:cs="Arial"/>
                          <w:color w:val="385623" w:themeColor="accent6" w:themeShade="80"/>
                        </w:rPr>
                        <w:t xml:space="preserve"> people can access a pharmacy within a few minutes from home, and this access may be easier than access to a GP surgery, as far as working hours are concerned, and appointment availability (Community Pharmacy England, 2025). This ease of access has led to the pharmacy playing an important part in the Government's strategy to reduce </w:t>
                      </w:r>
                      <w:r w:rsidR="00972A7A" w:rsidRPr="000B6D7D">
                        <w:rPr>
                          <w:rFonts w:ascii="Arial" w:hAnsi="Arial" w:cs="Arial"/>
                          <w:color w:val="385623" w:themeColor="accent6" w:themeShade="80"/>
                        </w:rPr>
                        <w:t>on hospital and increase reliance on the community.</w:t>
                      </w:r>
                    </w:p>
                  </w:txbxContent>
                </v:textbox>
                <w10:wrap type="square" anchorx="page"/>
              </v:shape>
            </w:pict>
          </mc:Fallback>
        </mc:AlternateContent>
      </w:r>
      <w:r w:rsidR="00972A7A">
        <w:rPr>
          <w:rFonts w:ascii="Arial" w:hAnsi="Arial" w:cs="Arial"/>
        </w:rPr>
        <w:br w:type="page"/>
      </w:r>
      <w:r w:rsidR="00972A7A" w:rsidRPr="0046099A">
        <w:rPr>
          <w:rFonts w:ascii="Arial" w:hAnsi="Arial" w:cs="Arial"/>
          <w:noProof/>
        </w:rPr>
        <mc:AlternateContent>
          <mc:Choice Requires="wps">
            <w:drawing>
              <wp:anchor distT="0" distB="0" distL="114300" distR="114300" simplePos="0" relativeHeight="251680768" behindDoc="1" locked="0" layoutInCell="1" allowOverlap="1" wp14:anchorId="7DFF4BC6" wp14:editId="3C91256E">
                <wp:simplePos x="0" y="0"/>
                <wp:positionH relativeFrom="page">
                  <wp:posOffset>-59055</wp:posOffset>
                </wp:positionH>
                <wp:positionV relativeFrom="paragraph">
                  <wp:posOffset>-837565</wp:posOffset>
                </wp:positionV>
                <wp:extent cx="10675620" cy="6457950"/>
                <wp:effectExtent l="0" t="0" r="11430" b="19050"/>
                <wp:wrapNone/>
                <wp:docPr id="509979744" name="Rectangle 509979744"/>
                <wp:cNvGraphicFramePr/>
                <a:graphic xmlns:a="http://schemas.openxmlformats.org/drawingml/2006/main">
                  <a:graphicData uri="http://schemas.microsoft.com/office/word/2010/wordprocessingShape">
                    <wps:wsp>
                      <wps:cNvSpPr/>
                      <wps:spPr>
                        <a:xfrm>
                          <a:off x="0" y="0"/>
                          <a:ext cx="10675620" cy="6457950"/>
                        </a:xfrm>
                        <a:prstGeom prst="rect">
                          <a:avLst/>
                        </a:prstGeom>
                        <a:solidFill>
                          <a:sysClr val="windowText" lastClr="000000">
                            <a:lumMod val="50000"/>
                            <a:lumOff val="50000"/>
                            <a:alpha val="46000"/>
                          </a:sysClr>
                        </a:solidFill>
                        <a:ln w="12700" cap="flat" cmpd="sng" algn="ctr">
                          <a:solidFill>
                            <a:srgbClr val="92D05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745C691A" id="Rectangle 509979744" o:spid="_x0000_s1026" style="position:absolute;margin-left:-4.65pt;margin-top:-65.95pt;width:840.6pt;height:508.5pt;z-index:-2516357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" fillcolor="#7f7f7f" strokecolor="#92d050" strokeweight="1pt">
                <v:fill opacity="30069f"/>
                <w10:wrap anchorx="page"/>
              </v:rect>
            </w:pict>
          </mc:Fallback>
        </mc:AlternateContent>
      </w:r>
    </w:p>
    <w:p w14:paraId="714F9327" w14:textId="7510D65D" w:rsidR="007E6642" w:rsidRDefault="009A3EB7">
      <w:pPr>
        <w:rPr>
          <w:rFonts w:ascii="Arial" w:hAnsi="Arial" w:cs="Arial"/>
        </w:rPr>
      </w:pPr>
      <w:r w:rsidRPr="0046099A">
        <w:rPr>
          <w:rFonts w:ascii="Arial" w:hAnsi="Arial" w:cs="Arial"/>
          <w:noProof/>
        </w:rPr>
        <w:lastRenderedPageBreak/>
        <mc:AlternateContent>
          <mc:Choice Requires="wps">
            <w:drawing>
              <wp:anchor distT="45720" distB="45720" distL="114300" distR="114300" simplePos="0" relativeHeight="251675648" behindDoc="0" locked="0" layoutInCell="1" allowOverlap="1" wp14:anchorId="1182A892" wp14:editId="00B27E91">
                <wp:simplePos x="0" y="0"/>
                <wp:positionH relativeFrom="page">
                  <wp:align>right</wp:align>
                </wp:positionH>
                <wp:positionV relativeFrom="paragraph">
                  <wp:posOffset>19050</wp:posOffset>
                </wp:positionV>
                <wp:extent cx="4362450" cy="347091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62450" cy="3470910"/>
                        </a:xfrm>
                        <a:prstGeom prst="rect">
                          <a:avLst/>
                        </a:prstGeom>
                        <a:solidFill>
                          <a:srgbClr val="FFFFFF"/>
                        </a:solidFill>
                        <a:ln w="47625">
                          <a:solidFill>
                            <a:srgbClr val="000000"/>
                          </a:solidFill>
                          <a:miter lim="800000"/>
                          <a:headEnd/>
                          <a:tailEnd/>
                        </a:ln>
                        <a:effectLst>
                          <a:softEdge rad="25400"/>
                        </a:effectLst>
                      </wps:spPr>
                      <wps:txbx>
                        <w:txbxContent>
                          <w:p w14:paraId="49401449" w14:textId="77777777" w:rsidR="007C12BA" w:rsidRPr="00E81356" w:rsidRDefault="007C12BA" w:rsidP="007C12BA">
                            <w:pPr>
                              <w:spacing w:line="240" w:lineRule="auto"/>
                              <w:rPr>
                                <w:rFonts w:ascii="Arial" w:hAnsi="Arial" w:cs="Arial"/>
                                <w:b/>
                                <w:bCs/>
                                <w:color w:val="385623" w:themeColor="accent6" w:themeShade="80"/>
                              </w:rPr>
                            </w:pPr>
                            <w:r w:rsidRPr="00E81356">
                              <w:rPr>
                                <w:rFonts w:ascii="Arial" w:hAnsi="Arial" w:cs="Arial"/>
                                <w:b/>
                                <w:bCs/>
                                <w:color w:val="385623" w:themeColor="accent6" w:themeShade="80"/>
                              </w:rPr>
                              <w:t>Challenge Two: Workforce and Service Pressures</w:t>
                            </w:r>
                          </w:p>
                          <w:p w14:paraId="0F5BD23B" w14:textId="39FE0559" w:rsidR="00BE6BE0" w:rsidRPr="009A3EB7" w:rsidRDefault="007C12BA" w:rsidP="007C12BA">
                            <w:pPr>
                              <w:spacing w:line="240" w:lineRule="auto"/>
                              <w:jc w:val="both"/>
                              <w:rPr>
                                <w:rFonts w:ascii="Arial" w:hAnsi="Arial" w:cs="Arial"/>
                                <w:sz w:val="20"/>
                                <w:szCs w:val="20"/>
                              </w:rPr>
                            </w:pPr>
                            <w:r w:rsidRPr="009A3EB7">
                              <w:rPr>
                                <w:rFonts w:ascii="Arial" w:hAnsi="Arial" w:cs="Arial"/>
                                <w:sz w:val="20"/>
                                <w:szCs w:val="20"/>
                              </w:rPr>
                              <w:t>The sector's labour shortages are intensifying, and mounting pressures of financial pressures are further complicating this task. Pharmacies are temporarily closed all over the country due to staff shortages, particularly in finding locums, according to Integrated Care Boards (House of Commons Library, 2016). Due to continued challenges with cost, pharmacy owners have thought about cancelling complimentary overnight prescription delivery, cutting employees and reducing extended hours, which would all directly impact patient access to care, according to a survey in 2025 (Medscape, 2025). Further, the professional transition of all newly qualified pharmacists to become independent prescribers will bring about significant changes for the profession and will necessitate significant additional investments in workforce training, supervision and transition support in the future (PMC, 2024).</w:t>
                            </w:r>
                          </w:p>
                          <w:p w14:paraId="4B89BEF7" w14:textId="2FCE0F4A" w:rsidR="007C12BA" w:rsidRDefault="007C12BA" w:rsidP="007C12BA">
                            <w:pPr>
                              <w:jc w:val="center"/>
                              <w:rPr>
                                <w:noProof/>
                              </w:rPr>
                            </w:pPr>
                            <w:r>
                              <w:rPr>
                                <w:noProof/>
                              </w:rPr>
                              <w:drawing>
                                <wp:inline distT="0" distB="0" distL="0" distR="0" wp14:anchorId="0F2D5A49" wp14:editId="1AC2ECEE">
                                  <wp:extent cx="2705100" cy="1113155"/>
                                  <wp:effectExtent l="0" t="0" r="0" b="0"/>
                                  <wp:docPr id="1336321950" name="Picture 12" descr="The growing gap in UK healthcare | Skills for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owing gap in UK healthcare | Skills for Health"/>
                                          <pic:cNvPicPr>
                                            <a:picLocks noChangeAspect="1" noChangeArrowheads="1"/>
                                          </pic:cNvPicPr>
                                        </pic:nvPicPr>
                                        <pic:blipFill rotWithShape="1">
                                          <a:blip r:embed="rId11">
                                            <a:extLst>
                                              <a:ext uri="{28A0092B-C50C-407E-A947-70E740481C1C}">
                                                <a14:useLocalDpi xmlns:a14="http://schemas.microsoft.com/office/drawing/2010/main" val="0"/>
                                              </a:ext>
                                            </a:extLst>
                                          </a:blip>
                                          <a:srcRect t="19598" b="28140"/>
                                          <a:stretch>
                                            <a:fillRect/>
                                          </a:stretch>
                                        </pic:blipFill>
                                        <pic:spPr bwMode="auto">
                                          <a:xfrm>
                                            <a:off x="0" y="0"/>
                                            <a:ext cx="2757416" cy="1134683"/>
                                          </a:xfrm>
                                          <a:prstGeom prst="rect">
                                            <a:avLst/>
                                          </a:prstGeom>
                                          <a:noFill/>
                                          <a:ln>
                                            <a:noFill/>
                                          </a:ln>
                                          <a:extLst>
                                            <a:ext uri="{53640926-AAD7-44D8-BBD7-CCE9431645EC}">
                                              <a14:shadowObscured xmlns:a14="http://schemas.microsoft.com/office/drawing/2010/main"/>
                                            </a:ext>
                                          </a:extLst>
                                        </pic:spPr>
                                      </pic:pic>
                                    </a:graphicData>
                                  </a:graphic>
                                </wp:inline>
                              </w:drawing>
                            </w:r>
                          </w:p>
                          <w:p w14:paraId="509CCEFE" w14:textId="5DA7E844"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30" type="#_x0000_t202" style="position:absolute;margin-left:292.3pt;margin-top:1.5pt;width:343.5pt;height:273.3pt;z-index:25167564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" strokeweight="3.75pt">
                <v:textbox>
                  <w:txbxContent>
                    <w:p w14:paraId="49401449" w14:textId="77777777" w:rsidR="007C12BA" w:rsidRPr="00E81356" w:rsidRDefault="007C12BA" w:rsidP="007C12BA">
                      <w:pPr>
                        <w:spacing w:line="240" w:lineRule="auto"/>
                        <w:rPr>
                          <w:rFonts w:ascii="Arial" w:hAnsi="Arial" w:cs="Arial"/>
                          <w:b/>
                          <w:bCs/>
                          <w:color w:val="385623" w:themeColor="accent6" w:themeShade="80"/>
                        </w:rPr>
                      </w:pPr>
                      <w:r w:rsidRPr="00E81356">
                        <w:rPr>
                          <w:rFonts w:ascii="Arial" w:hAnsi="Arial" w:cs="Arial"/>
                          <w:b/>
                          <w:bCs/>
                          <w:color w:val="385623" w:themeColor="accent6" w:themeShade="80"/>
                        </w:rPr>
                        <w:t>Challenge Two: Workforce and Service Pressures</w:t>
                      </w:r>
                    </w:p>
                    <w:p w14:paraId="0F5BD23B" w14:textId="39FE0559" w:rsidR="00BE6BE0" w:rsidRPr="009A3EB7" w:rsidRDefault="007C12BA" w:rsidP="007C12BA">
                      <w:pPr>
                        <w:spacing w:line="240" w:lineRule="auto"/>
                        <w:jc w:val="both"/>
                        <w:rPr>
                          <w:rFonts w:ascii="Arial" w:hAnsi="Arial" w:cs="Arial"/>
                          <w:sz w:val="20"/>
                          <w:szCs w:val="20"/>
                        </w:rPr>
                      </w:pPr>
                      <w:r w:rsidRPr="009A3EB7">
                        <w:rPr>
                          <w:rFonts w:ascii="Arial" w:hAnsi="Arial" w:cs="Arial"/>
                          <w:sz w:val="20"/>
                          <w:szCs w:val="20"/>
                        </w:rPr>
                        <w:t>The sector's labour shortages are intensifying, and mounting pressures of financial pressures are further complicating this task. Pharmacies are temporarily closed all over the country due to staff shortages, particularly in finding locums, according to Integrated Care Boards (House of Commons Library, 2016). Due to continued challenges with cost, pharmacy owners have thought about cancelling complimentary overnight prescription delivery, cutting employees and reducing extended hours, which would all directly impact patient access to care, according to a survey in 2025 (Medscape, 2025). Further, the professional transition of all newly qualified pharmacists to become independent prescribers will bring about significant changes for the profession and will necessitate significant additional investments in workforce training, supervision and transition support in the future (PMC, 2024).</w:t>
                      </w:r>
                    </w:p>
                    <w:p w14:paraId="4B89BEF7" w14:textId="2FCE0F4A" w:rsidR="007C12BA" w:rsidRDefault="007C12BA" w:rsidP="007C12BA">
                      <w:pPr>
                        <w:jc w:val="center"/>
                        <w:rPr>
                          <w:noProof/>
                        </w:rPr>
                      </w:pPr>
                      <w:r>
                        <w:rPr>
                          <w:noProof/>
                        </w:rPr>
                        <w:drawing>
                          <wp:inline distT="0" distB="0" distL="0" distR="0" wp14:anchorId="0F2D5A49" wp14:editId="1AC2ECEE">
                            <wp:extent cx="2705100" cy="1113155"/>
                            <wp:effectExtent l="0" t="0" r="0" b="0"/>
                            <wp:docPr id="1336321950" name="Picture 12" descr="The growing gap in UK healthcare | Skills for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rowing gap in UK healthcare | Skills for Health"/>
                                    <pic:cNvPicPr>
                                      <a:picLocks noChangeAspect="1" noChangeArrowheads="1"/>
                                    </pic:cNvPicPr>
                                  </pic:nvPicPr>
                                  <pic:blipFill rotWithShape="1">
                                    <a:blip r:embed="rId11">
                                      <a:extLst>
                                        <a:ext uri="{28A0092B-C50C-407E-A947-70E740481C1C}">
                                          <a14:useLocalDpi xmlns:a14="http://schemas.microsoft.com/office/drawing/2010/main" val="0"/>
                                        </a:ext>
                                      </a:extLst>
                                    </a:blip>
                                    <a:srcRect t="19598" b="28140"/>
                                    <a:stretch>
                                      <a:fillRect/>
                                    </a:stretch>
                                  </pic:blipFill>
                                  <pic:spPr bwMode="auto">
                                    <a:xfrm>
                                      <a:off x="0" y="0"/>
                                      <a:ext cx="2757416" cy="1134683"/>
                                    </a:xfrm>
                                    <a:prstGeom prst="rect">
                                      <a:avLst/>
                                    </a:prstGeom>
                                    <a:noFill/>
                                    <a:ln>
                                      <a:noFill/>
                                    </a:ln>
                                    <a:extLst>
                                      <a:ext uri="{53640926-AAD7-44D8-BBD7-CCE9431645EC}">
                                        <a14:shadowObscured xmlns:a14="http://schemas.microsoft.com/office/drawing/2010/main"/>
                                      </a:ext>
                                    </a:extLst>
                                  </pic:spPr>
                                </pic:pic>
                              </a:graphicData>
                            </a:graphic>
                          </wp:inline>
                        </w:drawing>
                      </w:r>
                    </w:p>
                    <w:p w14:paraId="509CCEFE" w14:textId="5DA7E844" w:rsidR="00BE6BE0" w:rsidRDefault="00BE6BE0" w:rsidP="00BE6BE0"/>
                  </w:txbxContent>
                </v:textbox>
                <w10:wrap type="square" anchorx="page"/>
              </v:shape>
            </w:pict>
          </mc:Fallback>
        </mc:AlternateContent>
      </w:r>
      <w:r w:rsidRPr="0046099A">
        <w:rPr>
          <w:rFonts w:ascii="Arial" w:hAnsi="Arial" w:cs="Arial"/>
          <w:noProof/>
        </w:rPr>
        <mc:AlternateContent>
          <mc:Choice Requires="wps">
            <w:drawing>
              <wp:anchor distT="0" distB="0" distL="114300" distR="114300" simplePos="0" relativeHeight="251659264" behindDoc="1" locked="0" layoutInCell="1" allowOverlap="1" wp14:anchorId="777A8668" wp14:editId="40AC8DEB">
                <wp:simplePos x="0" y="0"/>
                <wp:positionH relativeFrom="page">
                  <wp:align>right</wp:align>
                </wp:positionH>
                <wp:positionV relativeFrom="paragraph">
                  <wp:posOffset>-617855</wp:posOffset>
                </wp:positionV>
                <wp:extent cx="10675620" cy="645795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45795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rect w14:anchorId="10A987DD" id="Rectangle 1" o:spid="_x0000_s1026" style="position:absolute;margin-left:789.4pt;margin-top:-48.65pt;width:840.6pt;height:508.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" fillcolor="gray [1629]" strokecolor="#92d050" strokeweight="1pt">
                <v:fill opacity="30069f"/>
                <w10:wrap anchorx="page"/>
              </v:rect>
            </w:pict>
          </mc:Fallback>
        </mc:AlternateContent>
      </w:r>
    </w:p>
    <w:p w14:paraId="5AFFC33B" w14:textId="22B7825C" w:rsidR="003A000F" w:rsidRPr="0046099A" w:rsidRDefault="009A3EB7">
      <w:pPr>
        <w:rPr>
          <w:rFonts w:ascii="Arial" w:hAnsi="Arial" w:cs="Arial"/>
        </w:rPr>
        <w:sectPr w:rsidR="003A000F" w:rsidRPr="0046099A" w:rsidSect="003A000F">
          <w:pgSz w:w="16838" w:h="11906" w:orient="landscape"/>
          <w:pgMar w:top="1440" w:right="1440" w:bottom="1440" w:left="1440" w:header="708" w:footer="708" w:gutter="0"/>
          <w:cols w:space="708"/>
          <w:docGrid w:linePitch="360"/>
        </w:sectPr>
      </w:pPr>
      <w:r w:rsidRPr="0046099A">
        <w:rPr>
          <w:rFonts w:ascii="Arial" w:hAnsi="Arial" w:cs="Arial"/>
          <w:noProof/>
        </w:rPr>
        <mc:AlternateContent>
          <mc:Choice Requires="wps">
            <w:drawing>
              <wp:anchor distT="45720" distB="45720" distL="114300" distR="114300" simplePos="0" relativeHeight="251667456" behindDoc="0" locked="0" layoutInCell="1" allowOverlap="1" wp14:anchorId="2F5030E1" wp14:editId="43F0224A">
                <wp:simplePos x="0" y="0"/>
                <wp:positionH relativeFrom="margin">
                  <wp:posOffset>3284220</wp:posOffset>
                </wp:positionH>
                <wp:positionV relativeFrom="paragraph">
                  <wp:posOffset>3186430</wp:posOffset>
                </wp:positionV>
                <wp:extent cx="3627120" cy="2247900"/>
                <wp:effectExtent l="19050" t="19050" r="1143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27120" cy="2247900"/>
                        </a:xfrm>
                        <a:prstGeom prst="rect">
                          <a:avLst/>
                        </a:prstGeom>
                        <a:solidFill>
                          <a:srgbClr val="FFFFFF"/>
                        </a:solidFill>
                        <a:ln w="44450">
                          <a:solidFill>
                            <a:srgbClr val="000000"/>
                          </a:solidFill>
                          <a:miter lim="800000"/>
                          <a:headEnd/>
                          <a:tailEnd/>
                        </a:ln>
                        <a:effectLst>
                          <a:softEdge rad="25400"/>
                        </a:effectLst>
                      </wps:spPr>
                      <wps:txbx>
                        <w:txbxContent>
                          <w:p w14:paraId="69461F56" w14:textId="2538F649" w:rsidR="00BE6BE0" w:rsidRPr="00E81356" w:rsidRDefault="007C12BA" w:rsidP="00BE6BE0">
                            <w:pPr>
                              <w:rPr>
                                <w:rFonts w:ascii="Arial" w:hAnsi="Arial" w:cs="Arial"/>
                                <w:b/>
                                <w:bCs/>
                                <w:color w:val="385623" w:themeColor="accent6" w:themeShade="80"/>
                              </w:rPr>
                            </w:pPr>
                            <w:r w:rsidRPr="00E81356">
                              <w:rPr>
                                <w:rFonts w:ascii="Arial" w:hAnsi="Arial" w:cs="Arial"/>
                                <w:b/>
                                <w:bCs/>
                                <w:color w:val="385623" w:themeColor="accent6" w:themeShade="80"/>
                              </w:rPr>
                              <w:t>Conclusion</w:t>
                            </w:r>
                          </w:p>
                          <w:p w14:paraId="4BE1454B" w14:textId="2D6EA544" w:rsidR="007C12BA" w:rsidRPr="009A3EB7" w:rsidRDefault="007C12BA" w:rsidP="007C12BA">
                            <w:pPr>
                              <w:spacing w:line="240" w:lineRule="auto"/>
                              <w:jc w:val="both"/>
                              <w:rPr>
                                <w:rFonts w:ascii="Arial" w:hAnsi="Arial" w:cs="Arial"/>
                                <w:b/>
                                <w:bCs/>
                                <w:color w:val="385623" w:themeColor="accent6" w:themeShade="80"/>
                                <w:sz w:val="20"/>
                                <w:szCs w:val="20"/>
                              </w:rPr>
                            </w:pPr>
                            <w:r w:rsidRPr="009A3EB7">
                              <w:rPr>
                                <w:rFonts w:ascii="Arial" w:hAnsi="Arial" w:cs="Arial"/>
                                <w:b/>
                                <w:bCs/>
                                <w:color w:val="385623" w:themeColor="accent6" w:themeShade="80"/>
                                <w:sz w:val="20"/>
                                <w:szCs w:val="20"/>
                              </w:rPr>
                              <w:t xml:space="preserve">The role of the Pharmacy has grown beyond a simple advisory service to an integral part of NHS Primary Care and could be extended both in clinical </w:t>
                            </w:r>
                            <w:r w:rsidR="00E81356" w:rsidRPr="009A3EB7">
                              <w:rPr>
                                <w:rFonts w:ascii="Arial" w:hAnsi="Arial" w:cs="Arial"/>
                                <w:b/>
                                <w:bCs/>
                                <w:color w:val="385623" w:themeColor="accent6" w:themeShade="80"/>
                                <w:sz w:val="20"/>
                                <w:szCs w:val="20"/>
                              </w:rPr>
                              <w:t>working, Pharmacy</w:t>
                            </w:r>
                            <w:r w:rsidRPr="009A3EB7">
                              <w:rPr>
                                <w:rFonts w:ascii="Arial" w:hAnsi="Arial" w:cs="Arial"/>
                                <w:b/>
                                <w:bCs/>
                                <w:color w:val="385623" w:themeColor="accent6" w:themeShade="80"/>
                                <w:sz w:val="20"/>
                                <w:szCs w:val="20"/>
                              </w:rPr>
                              <w:t xml:space="preserve"> First and the role of the </w:t>
                            </w:r>
                            <w:r w:rsidR="00147CEE">
                              <w:rPr>
                                <w:rFonts w:ascii="Arial" w:hAnsi="Arial" w:cs="Arial"/>
                                <w:b/>
                                <w:bCs/>
                                <w:color w:val="385623" w:themeColor="accent6" w:themeShade="80"/>
                                <w:sz w:val="20"/>
                                <w:szCs w:val="20"/>
                              </w:rPr>
                              <w:t>Registered Pharmacist (</w:t>
                            </w:r>
                            <w:r w:rsidRPr="009A3EB7">
                              <w:rPr>
                                <w:rFonts w:ascii="Arial" w:hAnsi="Arial" w:cs="Arial"/>
                                <w:b/>
                                <w:bCs/>
                                <w:color w:val="385623" w:themeColor="accent6" w:themeShade="80"/>
                                <w:sz w:val="20"/>
                                <w:szCs w:val="20"/>
                              </w:rPr>
                              <w:t>RPh</w:t>
                            </w:r>
                            <w:r w:rsidR="00147CEE">
                              <w:rPr>
                                <w:rFonts w:ascii="Arial" w:hAnsi="Arial" w:cs="Arial"/>
                                <w:b/>
                                <w:bCs/>
                                <w:color w:val="385623" w:themeColor="accent6" w:themeShade="80"/>
                                <w:sz w:val="20"/>
                                <w:szCs w:val="20"/>
                              </w:rPr>
                              <w:t>)</w:t>
                            </w:r>
                            <w:r w:rsidRPr="009A3EB7">
                              <w:rPr>
                                <w:rFonts w:ascii="Arial" w:hAnsi="Arial" w:cs="Arial"/>
                                <w:b/>
                                <w:bCs/>
                                <w:color w:val="385623" w:themeColor="accent6" w:themeShade="80"/>
                                <w:sz w:val="20"/>
                                <w:szCs w:val="20"/>
                              </w:rPr>
                              <w:t>. Despite ongoing funding shortcomings and staffing challenges, however, the long-term sustainability of this key and very accessible service remains at risk, raising important questions about the future of this service in the bigger picture of the health system.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_x0000_s1031" type="#_x0000_t202" style="position:absolute;margin-left:258.6pt;margin-top:250.9pt;width:285.6pt;height:177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" strokeweight="3.5pt">
                <v:textbox>
                  <w:txbxContent>
                    <w:p w14:paraId="69461F56" w14:textId="2538F649" w:rsidR="00BE6BE0" w:rsidRPr="00E81356" w:rsidRDefault="007C12BA" w:rsidP="00BE6BE0">
                      <w:pPr>
                        <w:rPr>
                          <w:rFonts w:ascii="Arial" w:hAnsi="Arial" w:cs="Arial"/>
                          <w:b/>
                          <w:bCs/>
                          <w:color w:val="385623" w:themeColor="accent6" w:themeShade="80"/>
                        </w:rPr>
                      </w:pPr>
                      <w:r w:rsidRPr="00E81356">
                        <w:rPr>
                          <w:rFonts w:ascii="Arial" w:hAnsi="Arial" w:cs="Arial"/>
                          <w:b/>
                          <w:bCs/>
                          <w:color w:val="385623" w:themeColor="accent6" w:themeShade="80"/>
                        </w:rPr>
                        <w:t>Conclusion</w:t>
                      </w:r>
                    </w:p>
                    <w:p w14:paraId="4BE1454B" w14:textId="2D6EA544" w:rsidR="007C12BA" w:rsidRPr="009A3EB7" w:rsidRDefault="007C12BA" w:rsidP="007C12BA">
                      <w:pPr>
                        <w:spacing w:line="240" w:lineRule="auto"/>
                        <w:jc w:val="both"/>
                        <w:rPr>
                          <w:rFonts w:ascii="Arial" w:hAnsi="Arial" w:cs="Arial"/>
                          <w:b/>
                          <w:bCs/>
                          <w:color w:val="385623" w:themeColor="accent6" w:themeShade="80"/>
                          <w:sz w:val="20"/>
                          <w:szCs w:val="20"/>
                        </w:rPr>
                      </w:pPr>
                      <w:r w:rsidRPr="009A3EB7">
                        <w:rPr>
                          <w:rFonts w:ascii="Arial" w:hAnsi="Arial" w:cs="Arial"/>
                          <w:b/>
                          <w:bCs/>
                          <w:color w:val="385623" w:themeColor="accent6" w:themeShade="80"/>
                          <w:sz w:val="20"/>
                          <w:szCs w:val="20"/>
                        </w:rPr>
                        <w:t xml:space="preserve">The role of the Pharmacy has grown beyond a simple advisory service to an integral part of NHS Primary Care and could be extended both in clinical </w:t>
                      </w:r>
                      <w:r w:rsidR="00E81356" w:rsidRPr="009A3EB7">
                        <w:rPr>
                          <w:rFonts w:ascii="Arial" w:hAnsi="Arial" w:cs="Arial"/>
                          <w:b/>
                          <w:bCs/>
                          <w:color w:val="385623" w:themeColor="accent6" w:themeShade="80"/>
                          <w:sz w:val="20"/>
                          <w:szCs w:val="20"/>
                        </w:rPr>
                        <w:t>working, Pharmacy</w:t>
                      </w:r>
                      <w:r w:rsidRPr="009A3EB7">
                        <w:rPr>
                          <w:rFonts w:ascii="Arial" w:hAnsi="Arial" w:cs="Arial"/>
                          <w:b/>
                          <w:bCs/>
                          <w:color w:val="385623" w:themeColor="accent6" w:themeShade="80"/>
                          <w:sz w:val="20"/>
                          <w:szCs w:val="20"/>
                        </w:rPr>
                        <w:t xml:space="preserve"> First and the role of the </w:t>
                      </w:r>
                      <w:r w:rsidR="00147CEE">
                        <w:rPr>
                          <w:rFonts w:ascii="Arial" w:hAnsi="Arial" w:cs="Arial"/>
                          <w:b/>
                          <w:bCs/>
                          <w:color w:val="385623" w:themeColor="accent6" w:themeShade="80"/>
                          <w:sz w:val="20"/>
                          <w:szCs w:val="20"/>
                        </w:rPr>
                        <w:t>Registered Pharmacist (</w:t>
                      </w:r>
                      <w:r w:rsidRPr="009A3EB7">
                        <w:rPr>
                          <w:rFonts w:ascii="Arial" w:hAnsi="Arial" w:cs="Arial"/>
                          <w:b/>
                          <w:bCs/>
                          <w:color w:val="385623" w:themeColor="accent6" w:themeShade="80"/>
                          <w:sz w:val="20"/>
                          <w:szCs w:val="20"/>
                        </w:rPr>
                        <w:t>RPh</w:t>
                      </w:r>
                      <w:r w:rsidR="00147CEE">
                        <w:rPr>
                          <w:rFonts w:ascii="Arial" w:hAnsi="Arial" w:cs="Arial"/>
                          <w:b/>
                          <w:bCs/>
                          <w:color w:val="385623" w:themeColor="accent6" w:themeShade="80"/>
                          <w:sz w:val="20"/>
                          <w:szCs w:val="20"/>
                        </w:rPr>
                        <w:t>)</w:t>
                      </w:r>
                      <w:r w:rsidRPr="009A3EB7">
                        <w:rPr>
                          <w:rFonts w:ascii="Arial" w:hAnsi="Arial" w:cs="Arial"/>
                          <w:b/>
                          <w:bCs/>
                          <w:color w:val="385623" w:themeColor="accent6" w:themeShade="80"/>
                          <w:sz w:val="20"/>
                          <w:szCs w:val="20"/>
                        </w:rPr>
                        <w:t>. Despite ongoing funding shortcomings and staffing challenges, however, the long-term sustainability of this key and very accessible service remains at risk, raising important questions about the future of this service in the bigger picture of the health system.</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678720" behindDoc="0" locked="0" layoutInCell="1" allowOverlap="1" wp14:anchorId="10081B0D" wp14:editId="18971DF5">
                <wp:simplePos x="0" y="0"/>
                <wp:positionH relativeFrom="column">
                  <wp:posOffset>-617220</wp:posOffset>
                </wp:positionH>
                <wp:positionV relativeFrom="paragraph">
                  <wp:posOffset>616585</wp:posOffset>
                </wp:positionV>
                <wp:extent cx="1979295" cy="3825240"/>
                <wp:effectExtent l="0" t="0" r="20955" b="22860"/>
                <wp:wrapNone/>
                <wp:docPr id="2066637152" name="Text Box 9"/>
                <wp:cNvGraphicFramePr/>
                <a:graphic xmlns:a="http://schemas.openxmlformats.org/drawingml/2006/main">
                  <a:graphicData uri="http://schemas.microsoft.com/office/word/2010/wordprocessingShape">
                    <wps:wsp>
                      <wps:cNvSpPr txBox="1"/>
                      <wps:spPr>
                        <a:xfrm>
                          <a:off x="0" y="0"/>
                          <a:ext cx="1979295" cy="3825240"/>
                        </a:xfrm>
                        <a:prstGeom prst="rect">
                          <a:avLst/>
                        </a:prstGeom>
                        <a:solidFill>
                          <a:schemeClr val="lt1"/>
                        </a:solidFill>
                        <a:ln w="6350">
                          <a:solidFill>
                            <a:prstClr val="black"/>
                          </a:solidFill>
                        </a:ln>
                      </wps:spPr>
                      <wps:txbx>
                        <w:txbxContent>
                          <w:p w14:paraId="2AEF0F0B" w14:textId="5796CDF0" w:rsidR="004438BB" w:rsidRPr="009A3EB7" w:rsidRDefault="004438BB" w:rsidP="004438BB">
                            <w:pPr>
                              <w:spacing w:line="240" w:lineRule="auto"/>
                              <w:jc w:val="both"/>
                              <w:rPr>
                                <w:rFonts w:ascii="Arial" w:hAnsi="Arial" w:cs="Arial"/>
                                <w:sz w:val="20"/>
                                <w:szCs w:val="20"/>
                              </w:rPr>
                            </w:pPr>
                            <w:r w:rsidRPr="009A3EB7">
                              <w:rPr>
                                <w:rFonts w:ascii="Arial" w:hAnsi="Arial" w:cs="Arial"/>
                                <w:sz w:val="20"/>
                                <w:szCs w:val="20"/>
                              </w:rPr>
                              <w:t>Despite recent funding uplifts, pharmacies remain under severe financial strain. An independent economic analysis found that pharmacy costs exceeded NHS funding by approximately £2.3 billion in 2024–2025 alone (Medscape, 2025). Sector leaders report a 30% real-terms funding cut since 2015, and a 2024 survey found that nearly one in six pharmacies were considered at risk of closing within a year (Community Pharmacy England, 2025). Even with the 2025/26 settlement raising CPCF funding to £3.073 billion, representing the largest percentage uplift anywhere in the NHS that year, the sector itself acknowledges that the underlying funding gap remains far from resolved (GOV.UK,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
            <w:pict>
              <v:shape w14:anchorId="10081B0D" id="Text Box 9" o:spid="_x0000_s1032" type="#_x0000_t202" style="position:absolute;margin-left:-48.6pt;margin-top:48.55pt;width:155.85pt;height:301.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" fillcolor="white [3201]" strokeweight=".5pt">
                <v:textbox>
                  <w:txbxContent>
                    <w:p w14:paraId="2AEF0F0B" w14:textId="5796CDF0" w:rsidR="004438BB" w:rsidRPr="009A3EB7" w:rsidRDefault="004438BB" w:rsidP="004438BB">
                      <w:pPr>
                        <w:spacing w:line="240" w:lineRule="auto"/>
                        <w:jc w:val="both"/>
                        <w:rPr>
                          <w:rFonts w:ascii="Arial" w:hAnsi="Arial" w:cs="Arial"/>
                          <w:sz w:val="20"/>
                          <w:szCs w:val="20"/>
                        </w:rPr>
                      </w:pPr>
                      <w:r w:rsidRPr="009A3EB7">
                        <w:rPr>
                          <w:rFonts w:ascii="Arial" w:hAnsi="Arial" w:cs="Arial"/>
                          <w:sz w:val="20"/>
                          <w:szCs w:val="20"/>
                        </w:rPr>
                        <w:t>Despite recent funding uplifts, pharmacies remain under severe financial strain. An independent economic analysis found that pharmacy costs exceeded NHS funding by approximately £2.3 billion in 2024–2025 alone (Medscape, 2025). Sector leaders report a 30% real-terms funding cut since 2015, and a 2024 survey found that nearly one in six pharmacies were considered at risk of closing within a year (Community Pharmacy England, 2025). Even with the 2025/26 settlement raising CPCF funding to £3.073 billion, representing the largest percentage uplift anywhere in the NHS that year, the sector itself acknowledges that the underlying funding gap remains far from resolved (GOV.UK, 2025).</w:t>
                      </w:r>
                    </w:p>
                  </w:txbxContent>
                </v:textbox>
              </v:shape>
            </w:pict>
          </mc:Fallback>
        </mc:AlternateContent>
      </w:r>
      <w:r w:rsidRPr="0046099A">
        <w:rPr>
          <w:rFonts w:ascii="Arial" w:hAnsi="Arial" w:cs="Arial"/>
          <w:noProof/>
        </w:rPr>
        <mc:AlternateContent>
          <mc:Choice Requires="wps">
            <w:drawing>
              <wp:anchor distT="45720" distB="45720" distL="114300" distR="114300" simplePos="0" relativeHeight="251671552" behindDoc="0" locked="0" layoutInCell="1" allowOverlap="1" wp14:anchorId="5D749413" wp14:editId="260048F2">
                <wp:simplePos x="0" y="0"/>
                <wp:positionH relativeFrom="page">
                  <wp:posOffset>217170</wp:posOffset>
                </wp:positionH>
                <wp:positionV relativeFrom="paragraph">
                  <wp:posOffset>277495</wp:posOffset>
                </wp:positionV>
                <wp:extent cx="3933825" cy="4240530"/>
                <wp:effectExtent l="19050" t="19050" r="47625" b="4572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33825" cy="4240530"/>
                        </a:xfrm>
                        <a:prstGeom prst="rect">
                          <a:avLst/>
                        </a:prstGeom>
                        <a:solidFill>
                          <a:srgbClr val="FFFFFF"/>
                        </a:solidFill>
                        <a:ln w="47625">
                          <a:solidFill>
                            <a:srgbClr val="000000"/>
                          </a:solidFill>
                          <a:miter lim="800000"/>
                          <a:headEnd/>
                          <a:tailEnd/>
                        </a:ln>
                        <a:effectLst>
                          <a:softEdge rad="25400"/>
                        </a:effectLst>
                      </wps:spPr>
                      <wps:txbx>
                        <w:txbxContent>
                          <w:p w14:paraId="42887553" w14:textId="085622E0" w:rsidR="00BE6BE0" w:rsidRPr="00E81356" w:rsidRDefault="004438BB" w:rsidP="00BE6BE0">
                            <w:pPr>
                              <w:rPr>
                                <w:rFonts w:ascii="Arial" w:hAnsi="Arial" w:cs="Arial"/>
                                <w:b/>
                                <w:bCs/>
                              </w:rPr>
                            </w:pPr>
                            <w:r w:rsidRPr="00E81356">
                              <w:rPr>
                                <w:rFonts w:ascii="Arial" w:hAnsi="Arial" w:cs="Arial"/>
                                <w:b/>
                                <w:bCs/>
                              </w:rPr>
                              <w:t>Challenge One: Chronic Underfunding</w:t>
                            </w:r>
                          </w:p>
                          <w:p w14:paraId="0809CF7E" w14:textId="5B15A86F" w:rsidR="00BE6BE0" w:rsidRDefault="00BE6BE0" w:rsidP="00BE6BE0"/>
                          <w:p w14:paraId="4B63A4E5" w14:textId="60657DDD" w:rsidR="007C12BA" w:rsidRDefault="007C12BA" w:rsidP="004438BB">
                            <w:pPr>
                              <w:jc w:val="right"/>
                              <w:rPr>
                                <w:noProof/>
                              </w:rPr>
                            </w:pPr>
                            <w:r>
                              <w:rPr>
                                <w:noProof/>
                              </w:rPr>
                              <w:drawing>
                                <wp:inline distT="0" distB="0" distL="0" distR="0" wp14:anchorId="309A72E2" wp14:editId="785844C0">
                                  <wp:extent cx="1621155" cy="2423160"/>
                                  <wp:effectExtent l="0" t="0" r="0" b="0"/>
                                  <wp:docPr id="1865129095" name="Picture 10" descr="Chronic underfunding, broken equipment and asbestos in the ceilings: this  is the NHS in 2024 | Parth Patel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underfunding, broken equipment and asbestos in the ceilings: this  is the NHS in 2024 | Parth Patel | The Guardian"/>
                                          <pic:cNvPicPr>
                                            <a:picLocks noChangeAspect="1" noChangeArrowheads="1"/>
                                          </pic:cNvPicPr>
                                        </pic:nvPicPr>
                                        <pic:blipFill rotWithShape="1">
                                          <a:blip r:embed="rId12">
                                            <a:extLst>
                                              <a:ext uri="{28A0092B-C50C-407E-A947-70E740481C1C}">
                                                <a14:useLocalDpi xmlns:a14="http://schemas.microsoft.com/office/drawing/2010/main" val="0"/>
                                              </a:ext>
                                            </a:extLst>
                                          </a:blip>
                                          <a:srcRect l="18776" r="17929"/>
                                          <a:stretch>
                                            <a:fillRect/>
                                          </a:stretch>
                                        </pic:blipFill>
                                        <pic:spPr bwMode="auto">
                                          <a:xfrm>
                                            <a:off x="0" y="0"/>
                                            <a:ext cx="1687087" cy="2521710"/>
                                          </a:xfrm>
                                          <a:prstGeom prst="rect">
                                            <a:avLst/>
                                          </a:prstGeom>
                                          <a:noFill/>
                                          <a:ln>
                                            <a:noFill/>
                                          </a:ln>
                                          <a:extLst>
                                            <a:ext uri="{53640926-AAD7-44D8-BBD7-CCE9431645EC}">
                                              <a14:shadowObscured xmlns:a14="http://schemas.microsoft.com/office/drawing/2010/main"/>
                                            </a:ext>
                                          </a:extLst>
                                        </pic:spPr>
                                      </pic:pic>
                                    </a:graphicData>
                                  </a:graphic>
                                </wp:inline>
                              </w:drawing>
                            </w:r>
                          </w:p>
                          <w:p w14:paraId="7B69BC2F" w14:textId="198413B0" w:rsidR="00BE6BE0" w:rsidRDefault="00BE6BE0" w:rsidP="004438BB">
                            <w:pPr>
                              <w:jc w:val="right"/>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33" type="#_x0000_t202" style="position:absolute;margin-left:17.1pt;margin-top:21.85pt;width:309.75pt;height:333.9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" strokeweight="3.75pt">
                <v:textbox>
                  <w:txbxContent>
                    <w:p w14:paraId="42887553" w14:textId="085622E0" w:rsidR="00BE6BE0" w:rsidRPr="00E81356" w:rsidRDefault="004438BB" w:rsidP="00BE6BE0">
                      <w:pPr>
                        <w:rPr>
                          <w:rFonts w:ascii="Arial" w:hAnsi="Arial" w:cs="Arial"/>
                          <w:b/>
                          <w:bCs/>
                        </w:rPr>
                      </w:pPr>
                      <w:r w:rsidRPr="00E81356">
                        <w:rPr>
                          <w:rFonts w:ascii="Arial" w:hAnsi="Arial" w:cs="Arial"/>
                          <w:b/>
                          <w:bCs/>
                        </w:rPr>
                        <w:t>Challenge One: Chronic Underfunding</w:t>
                      </w:r>
                    </w:p>
                    <w:p w14:paraId="0809CF7E" w14:textId="5B15A86F" w:rsidR="00BE6BE0" w:rsidRDefault="00BE6BE0" w:rsidP="00BE6BE0"/>
                    <w:p w14:paraId="4B63A4E5" w14:textId="60657DDD" w:rsidR="007C12BA" w:rsidRDefault="007C12BA" w:rsidP="004438BB">
                      <w:pPr>
                        <w:jc w:val="right"/>
                        <w:rPr>
                          <w:noProof/>
                        </w:rPr>
                      </w:pPr>
                      <w:r>
                        <w:rPr>
                          <w:noProof/>
                        </w:rPr>
                        <w:drawing>
                          <wp:inline distT="0" distB="0" distL="0" distR="0" wp14:anchorId="309A72E2" wp14:editId="785844C0">
                            <wp:extent cx="1621155" cy="2423160"/>
                            <wp:effectExtent l="0" t="0" r="0" b="0"/>
                            <wp:docPr id="1865129095" name="Picture 10" descr="Chronic underfunding, broken equipment and asbestos in the ceilings: this  is the NHS in 2024 | Parth Patel | The 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underfunding, broken equipment and asbestos in the ceilings: this  is the NHS in 2024 | Parth Patel | The Guardian"/>
                                    <pic:cNvPicPr>
                                      <a:picLocks noChangeAspect="1" noChangeArrowheads="1"/>
                                    </pic:cNvPicPr>
                                  </pic:nvPicPr>
                                  <pic:blipFill rotWithShape="1">
                                    <a:blip r:embed="rId12">
                                      <a:extLst>
                                        <a:ext uri="{28A0092B-C50C-407E-A947-70E740481C1C}">
                                          <a14:useLocalDpi xmlns:a14="http://schemas.microsoft.com/office/drawing/2010/main" val="0"/>
                                        </a:ext>
                                      </a:extLst>
                                    </a:blip>
                                    <a:srcRect l="18776" r="17929"/>
                                    <a:stretch>
                                      <a:fillRect/>
                                    </a:stretch>
                                  </pic:blipFill>
                                  <pic:spPr bwMode="auto">
                                    <a:xfrm>
                                      <a:off x="0" y="0"/>
                                      <a:ext cx="1687087" cy="2521710"/>
                                    </a:xfrm>
                                    <a:prstGeom prst="rect">
                                      <a:avLst/>
                                    </a:prstGeom>
                                    <a:noFill/>
                                    <a:ln>
                                      <a:noFill/>
                                    </a:ln>
                                    <a:extLst>
                                      <a:ext uri="{53640926-AAD7-44D8-BBD7-CCE9431645EC}">
                                        <a14:shadowObscured xmlns:a14="http://schemas.microsoft.com/office/drawing/2010/main"/>
                                      </a:ext>
                                    </a:extLst>
                                  </pic:spPr>
                                </pic:pic>
                              </a:graphicData>
                            </a:graphic>
                          </wp:inline>
                        </w:drawing>
                      </w:r>
                    </w:p>
                    <w:p w14:paraId="7B69BC2F" w14:textId="198413B0" w:rsidR="00BE6BE0" w:rsidRDefault="00BE6BE0" w:rsidP="004438BB">
                      <w:pPr>
                        <w:jc w:val="right"/>
                      </w:pPr>
                    </w:p>
                  </w:txbxContent>
                </v:textbox>
                <w10:wrap type="square" anchorx="page"/>
              </v:shape>
            </w:pict>
          </mc:Fallback>
        </mc:AlternateContent>
      </w:r>
    </w:p>
    <w:p w14:paraId="20A28AFD" w14:textId="71850452" w:rsidR="007C12BA" w:rsidRPr="000F6449" w:rsidRDefault="000B6D7D" w:rsidP="000F6449">
      <w:pPr>
        <w:pStyle w:val="Heading1"/>
        <w:rPr>
          <w:rFonts w:ascii="Arial" w:hAnsi="Arial" w:cs="Arial"/>
          <w:b/>
          <w:bCs/>
        </w:rPr>
      </w:pPr>
      <w:bookmarkStart w:id="1" w:name="_Toc234404970"/>
      <w:r>
        <w:rPr>
          <w:rFonts w:ascii="Arial" w:hAnsi="Arial" w:cs="Arial"/>
          <w:b/>
          <w:bCs/>
        </w:rPr>
        <w:lastRenderedPageBreak/>
        <w:t xml:space="preserve">Element </w:t>
      </w:r>
      <w:r w:rsidR="007C12BA" w:rsidRPr="000F6449">
        <w:rPr>
          <w:rFonts w:ascii="Arial" w:hAnsi="Arial" w:cs="Arial"/>
          <w:b/>
          <w:bCs/>
        </w:rPr>
        <w:t>2: Community Mental Health Services in the UK</w:t>
      </w:r>
      <w:bookmarkEnd w:id="1"/>
    </w:p>
    <w:p w14:paraId="52BCB2D8" w14:textId="74C7660A" w:rsidR="0046099A" w:rsidRPr="007C12BA" w:rsidRDefault="0046099A" w:rsidP="000F6449">
      <w:pPr>
        <w:spacing w:line="360" w:lineRule="auto"/>
        <w:jc w:val="both"/>
        <w:rPr>
          <w:rFonts w:ascii="Arial" w:hAnsi="Arial" w:cs="Arial"/>
          <w:b/>
          <w:bCs/>
        </w:rPr>
      </w:pPr>
      <w:r w:rsidRPr="007C12BA">
        <w:rPr>
          <w:rFonts w:ascii="Arial" w:hAnsi="Arial" w:cs="Arial"/>
          <w:b/>
          <w:bCs/>
        </w:rPr>
        <w:t>Introduction</w:t>
      </w:r>
    </w:p>
    <w:p w14:paraId="2C25ED06" w14:textId="77777777" w:rsidR="0046099A" w:rsidRPr="0046099A" w:rsidRDefault="0046099A" w:rsidP="000F6449">
      <w:pPr>
        <w:spacing w:line="360" w:lineRule="auto"/>
        <w:jc w:val="both"/>
        <w:rPr>
          <w:rFonts w:ascii="Arial" w:hAnsi="Arial" w:cs="Arial"/>
        </w:rPr>
      </w:pPr>
      <w:r w:rsidRPr="0046099A">
        <w:rPr>
          <w:rFonts w:ascii="Arial" w:hAnsi="Arial" w:cs="Arial"/>
        </w:rPr>
        <w:t>Community mental health services help individuals with mental illnesses to live and to recover outside of a hospital environment as a team of professionals who provide assessment, treatment and ongoing care in their community. This essay follows the history of these services, critically examines current service provision and looks at the relevance of these services in terms of the quality of life of service users.</w:t>
      </w:r>
    </w:p>
    <w:p w14:paraId="6B9824D7" w14:textId="77777777" w:rsidR="007C12BA" w:rsidRPr="007C12BA" w:rsidRDefault="007C12BA" w:rsidP="000F6449">
      <w:pPr>
        <w:spacing w:line="360" w:lineRule="auto"/>
        <w:jc w:val="both"/>
        <w:rPr>
          <w:rFonts w:ascii="Arial" w:hAnsi="Arial" w:cs="Arial"/>
          <w:b/>
          <w:bCs/>
        </w:rPr>
      </w:pPr>
      <w:r w:rsidRPr="007C12BA">
        <w:rPr>
          <w:rFonts w:ascii="Arial" w:hAnsi="Arial" w:cs="Arial"/>
          <w:b/>
          <w:bCs/>
        </w:rPr>
        <w:t>Origins and Historical Context</w:t>
      </w:r>
    </w:p>
    <w:p w14:paraId="74EDB643" w14:textId="48010E8D" w:rsidR="0046099A" w:rsidRPr="0046099A" w:rsidRDefault="0046099A" w:rsidP="000F6449">
      <w:pPr>
        <w:spacing w:line="360" w:lineRule="auto"/>
        <w:jc w:val="both"/>
        <w:rPr>
          <w:rFonts w:ascii="Arial" w:hAnsi="Arial" w:cs="Arial"/>
        </w:rPr>
      </w:pPr>
      <w:r w:rsidRPr="0046099A">
        <w:rPr>
          <w:rFonts w:ascii="Arial" w:hAnsi="Arial" w:cs="Arial"/>
        </w:rPr>
        <w:t xml:space="preserve">In the UK until </w:t>
      </w:r>
      <w:r w:rsidR="001E1718">
        <w:rPr>
          <w:rFonts w:ascii="Arial" w:hAnsi="Arial" w:cs="Arial"/>
        </w:rPr>
        <w:t xml:space="preserve">the </w:t>
      </w:r>
      <w:r w:rsidRPr="0046099A">
        <w:rPr>
          <w:rFonts w:ascii="Arial" w:hAnsi="Arial" w:cs="Arial"/>
        </w:rPr>
        <w:t>mid-20th century</w:t>
      </w:r>
      <w:r w:rsidR="001E1718">
        <w:rPr>
          <w:rFonts w:ascii="Arial" w:hAnsi="Arial" w:cs="Arial"/>
        </w:rPr>
        <w:t>,</w:t>
      </w:r>
      <w:r w:rsidRPr="0046099A">
        <w:rPr>
          <w:rFonts w:ascii="Arial" w:hAnsi="Arial" w:cs="Arial"/>
        </w:rPr>
        <w:t xml:space="preserve"> care for mental illness took place mainly in the asylum (</w:t>
      </w:r>
      <w:proofErr w:type="spellStart"/>
      <w:r w:rsidRPr="0046099A">
        <w:rPr>
          <w:rFonts w:ascii="Arial" w:hAnsi="Arial" w:cs="Arial"/>
        </w:rPr>
        <w:t>Killaspy</w:t>
      </w:r>
      <w:proofErr w:type="spellEnd"/>
      <w:r w:rsidRPr="0046099A">
        <w:rPr>
          <w:rFonts w:ascii="Arial" w:hAnsi="Arial" w:cs="Arial"/>
        </w:rPr>
        <w:t xml:space="preserve">, 2006). </w:t>
      </w:r>
      <w:r w:rsidR="001E1718">
        <w:rPr>
          <w:rFonts w:ascii="Arial" w:hAnsi="Arial" w:cs="Arial"/>
        </w:rPr>
        <w:t>Community-based</w:t>
      </w:r>
      <w:r w:rsidRPr="0046099A">
        <w:rPr>
          <w:rFonts w:ascii="Arial" w:hAnsi="Arial" w:cs="Arial"/>
        </w:rPr>
        <w:t xml:space="preserve"> care has existed throughout the care continuum since the advent of voluntary admissions to mental health services and outpatient clinics in the Mental Health Act 1930</w:t>
      </w:r>
      <w:r w:rsidR="001E1718">
        <w:rPr>
          <w:rFonts w:ascii="Arial" w:hAnsi="Arial" w:cs="Arial"/>
        </w:rPr>
        <w:t>,</w:t>
      </w:r>
      <w:r w:rsidRPr="0046099A">
        <w:rPr>
          <w:rFonts w:ascii="Arial" w:hAnsi="Arial" w:cs="Arial"/>
        </w:rPr>
        <w:t xml:space="preserve"> in contrast to care models that are purely custodial in nature (</w:t>
      </w:r>
      <w:proofErr w:type="spellStart"/>
      <w:r w:rsidRPr="0046099A">
        <w:rPr>
          <w:rFonts w:ascii="Arial" w:hAnsi="Arial" w:cs="Arial"/>
        </w:rPr>
        <w:t>Killaspy</w:t>
      </w:r>
      <w:proofErr w:type="spellEnd"/>
      <w:r w:rsidRPr="0046099A">
        <w:rPr>
          <w:rFonts w:ascii="Arial" w:hAnsi="Arial" w:cs="Arial"/>
        </w:rPr>
        <w:t>, 2007). After the Second World War</w:t>
      </w:r>
      <w:r w:rsidR="001E1718">
        <w:rPr>
          <w:rFonts w:ascii="Arial" w:hAnsi="Arial" w:cs="Arial"/>
        </w:rPr>
        <w:t>,</w:t>
      </w:r>
      <w:r w:rsidRPr="0046099A">
        <w:rPr>
          <w:rFonts w:ascii="Arial" w:hAnsi="Arial" w:cs="Arial"/>
        </w:rPr>
        <w:t xml:space="preserve"> early practice developments started to appear</w:t>
      </w:r>
      <w:r w:rsidR="001E1718">
        <w:rPr>
          <w:rFonts w:ascii="Arial" w:hAnsi="Arial" w:cs="Arial"/>
        </w:rPr>
        <w:t>,</w:t>
      </w:r>
      <w:r w:rsidRPr="0046099A">
        <w:rPr>
          <w:rFonts w:ascii="Arial" w:hAnsi="Arial" w:cs="Arial"/>
        </w:rPr>
        <w:t xml:space="preserve"> including one of the first services that bid for patients to be discharged from institutions and available support could be given within the community (</w:t>
      </w:r>
      <w:proofErr w:type="spellStart"/>
      <w:r w:rsidRPr="0046099A">
        <w:rPr>
          <w:rFonts w:ascii="Arial" w:hAnsi="Arial" w:cs="Arial"/>
        </w:rPr>
        <w:t>Killaspy</w:t>
      </w:r>
      <w:proofErr w:type="spellEnd"/>
      <w:r w:rsidRPr="0046099A">
        <w:rPr>
          <w:rFonts w:ascii="Arial" w:hAnsi="Arial" w:cs="Arial"/>
        </w:rPr>
        <w:t>, 2007)</w:t>
      </w:r>
      <w:r w:rsidR="001E1718">
        <w:rPr>
          <w:rFonts w:ascii="Arial" w:hAnsi="Arial" w:cs="Arial"/>
        </w:rPr>
        <w:t>,</w:t>
      </w:r>
      <w:r w:rsidRPr="0046099A">
        <w:rPr>
          <w:rFonts w:ascii="Arial" w:hAnsi="Arial" w:cs="Arial"/>
        </w:rPr>
        <w:t xml:space="preserve"> the Marlborough Day Hospital in London in 1946. In 1948 the NHS was established</w:t>
      </w:r>
      <w:r w:rsidR="001E1718">
        <w:rPr>
          <w:rFonts w:ascii="Arial" w:hAnsi="Arial" w:cs="Arial"/>
        </w:rPr>
        <w:t>,</w:t>
      </w:r>
      <w:r w:rsidRPr="0046099A">
        <w:rPr>
          <w:rFonts w:ascii="Arial" w:hAnsi="Arial" w:cs="Arial"/>
        </w:rPr>
        <w:t xml:space="preserve"> and mental health services </w:t>
      </w:r>
      <w:r w:rsidR="001E1718">
        <w:rPr>
          <w:rFonts w:ascii="Arial" w:hAnsi="Arial" w:cs="Arial"/>
        </w:rPr>
        <w:t xml:space="preserve">were </w:t>
      </w:r>
      <w:r w:rsidRPr="0046099A">
        <w:rPr>
          <w:rFonts w:ascii="Arial" w:hAnsi="Arial" w:cs="Arial"/>
        </w:rPr>
        <w:t xml:space="preserve">subsumed into a single health system, albeit at first the hospitals were kept separately run, rather than integrated into general health services, and this continued until 1983 (Jones, 2023). The Mental Health Act 1959 had a major impact, with the establishment of follow-up services for discharged patients and local authorities having to provide an availability of accommodation and services for those in the </w:t>
      </w:r>
      <w:proofErr w:type="gramStart"/>
      <w:r w:rsidRPr="0046099A">
        <w:rPr>
          <w:rFonts w:ascii="Arial" w:hAnsi="Arial" w:cs="Arial"/>
        </w:rPr>
        <w:t>community, and</w:t>
      </w:r>
      <w:proofErr w:type="gramEnd"/>
      <w:r w:rsidRPr="0046099A">
        <w:rPr>
          <w:rFonts w:ascii="Arial" w:hAnsi="Arial" w:cs="Arial"/>
        </w:rPr>
        <w:t xml:space="preserve"> thus shaping the precursor to today's easily recognised sectorised community mental health teams (</w:t>
      </w:r>
      <w:proofErr w:type="spellStart"/>
      <w:r w:rsidRPr="0046099A">
        <w:rPr>
          <w:rFonts w:ascii="Arial" w:hAnsi="Arial" w:cs="Arial"/>
        </w:rPr>
        <w:t>Killaspy</w:t>
      </w:r>
      <w:proofErr w:type="spellEnd"/>
      <w:r w:rsidRPr="0046099A">
        <w:rPr>
          <w:rFonts w:ascii="Arial" w:hAnsi="Arial" w:cs="Arial"/>
        </w:rPr>
        <w:t>, 2007).</w:t>
      </w:r>
      <w:r>
        <w:rPr>
          <w:rFonts w:ascii="Arial" w:hAnsi="Arial" w:cs="Arial"/>
        </w:rPr>
        <w:t xml:space="preserve"> </w:t>
      </w:r>
      <w:r w:rsidRPr="0046099A">
        <w:rPr>
          <w:rFonts w:ascii="Arial" w:hAnsi="Arial" w:cs="Arial"/>
        </w:rPr>
        <w:t>The operation of the old asylum system was last merged in England with the NHS and Community Care Act 1990, which adopted the principle of providing care in the community rather than in an asylum, as the norm for mental health provision. (Jones, 2023)</w:t>
      </w:r>
    </w:p>
    <w:p w14:paraId="5E762C23" w14:textId="2414CDEC" w:rsidR="0046099A" w:rsidRPr="007C12BA" w:rsidRDefault="007C12BA" w:rsidP="000F6449">
      <w:pPr>
        <w:spacing w:line="360" w:lineRule="auto"/>
        <w:jc w:val="both"/>
        <w:rPr>
          <w:rFonts w:ascii="Arial" w:hAnsi="Arial" w:cs="Arial"/>
          <w:b/>
          <w:bCs/>
        </w:rPr>
      </w:pPr>
      <w:r w:rsidRPr="007C12BA">
        <w:rPr>
          <w:rFonts w:ascii="Arial" w:hAnsi="Arial" w:cs="Arial"/>
          <w:b/>
          <w:bCs/>
        </w:rPr>
        <w:t>Critical Evaluation of Current Functioning</w:t>
      </w:r>
    </w:p>
    <w:p w14:paraId="76882808" w14:textId="1AFE6535" w:rsidR="0046099A" w:rsidRPr="0046099A" w:rsidRDefault="0046099A" w:rsidP="000F6449">
      <w:pPr>
        <w:spacing w:line="360" w:lineRule="auto"/>
        <w:jc w:val="both"/>
        <w:rPr>
          <w:rFonts w:ascii="Arial" w:hAnsi="Arial" w:cs="Arial"/>
        </w:rPr>
      </w:pPr>
      <w:r w:rsidRPr="0046099A">
        <w:rPr>
          <w:rFonts w:ascii="Arial" w:hAnsi="Arial" w:cs="Arial"/>
        </w:rPr>
        <w:t xml:space="preserve">Community mental health teams are now multidisciplinary with a range of members from </w:t>
      </w:r>
      <w:proofErr w:type="gramStart"/>
      <w:r w:rsidRPr="0046099A">
        <w:rPr>
          <w:rFonts w:ascii="Arial" w:hAnsi="Arial" w:cs="Arial"/>
        </w:rPr>
        <w:t>all of</w:t>
      </w:r>
      <w:proofErr w:type="gramEnd"/>
      <w:r w:rsidRPr="0046099A">
        <w:rPr>
          <w:rFonts w:ascii="Arial" w:hAnsi="Arial" w:cs="Arial"/>
        </w:rPr>
        <w:t xml:space="preserve"> the disciplines, including psychiatrists, nurses, psychologists and social workers, and are looking at how to prevent admissions to hospital to be treated for mental health problems, wherever they can (NHS England, 2025). The government has recently reformed the distribution of care in the system, introducing new concepts that include integrated care, four weeks wait</w:t>
      </w:r>
      <w:r w:rsidR="001E1718">
        <w:rPr>
          <w:rFonts w:ascii="Arial" w:hAnsi="Arial" w:cs="Arial"/>
        </w:rPr>
        <w:t>,</w:t>
      </w:r>
      <w:r w:rsidRPr="0046099A">
        <w:rPr>
          <w:rFonts w:ascii="Arial" w:hAnsi="Arial" w:cs="Arial"/>
        </w:rPr>
        <w:t xml:space="preserve"> and 24/7 centres for mental health such as the East </w:t>
      </w:r>
      <w:r w:rsidR="001E1718">
        <w:rPr>
          <w:rFonts w:ascii="Arial" w:hAnsi="Arial" w:cs="Arial"/>
        </w:rPr>
        <w:t>London-based</w:t>
      </w:r>
      <w:r w:rsidRPr="0046099A">
        <w:rPr>
          <w:rFonts w:ascii="Arial" w:hAnsi="Arial" w:cs="Arial"/>
        </w:rPr>
        <w:t xml:space="preserve"> Barnsley Street centre (Health and Social Care Committee, 2025). However, as </w:t>
      </w:r>
      <w:r w:rsidR="001E1718">
        <w:rPr>
          <w:rFonts w:ascii="Arial" w:hAnsi="Arial" w:cs="Arial"/>
        </w:rPr>
        <w:t>the</w:t>
      </w:r>
      <w:r w:rsidRPr="0046099A">
        <w:rPr>
          <w:rFonts w:ascii="Arial" w:hAnsi="Arial" w:cs="Arial"/>
        </w:rPr>
        <w:t xml:space="preserve"> identification of need rises, there is a high level of strain</w:t>
      </w:r>
      <w:r w:rsidR="001E1718">
        <w:rPr>
          <w:rFonts w:ascii="Arial" w:hAnsi="Arial" w:cs="Arial"/>
        </w:rPr>
        <w:t>,</w:t>
      </w:r>
      <w:r w:rsidRPr="0046099A">
        <w:rPr>
          <w:rFonts w:ascii="Arial" w:hAnsi="Arial" w:cs="Arial"/>
        </w:rPr>
        <w:t xml:space="preserve"> with NHS-funded secondary mental health services </w:t>
      </w:r>
      <w:r w:rsidRPr="0046099A">
        <w:rPr>
          <w:rFonts w:ascii="Arial" w:hAnsi="Arial" w:cs="Arial"/>
        </w:rPr>
        <w:lastRenderedPageBreak/>
        <w:t xml:space="preserve">uptake rising by 24% between 2019/20 and 2022/24, far exceeding capacity (House of Commons Library, 2026). The Care Quality Commission (2025) identifies that high demand and lack of resources </w:t>
      </w:r>
      <w:r w:rsidR="001E1718">
        <w:rPr>
          <w:rFonts w:ascii="Arial" w:hAnsi="Arial" w:cs="Arial"/>
        </w:rPr>
        <w:t>are</w:t>
      </w:r>
      <w:r w:rsidRPr="0046099A">
        <w:rPr>
          <w:rFonts w:ascii="Arial" w:hAnsi="Arial" w:cs="Arial"/>
        </w:rPr>
        <w:t xml:space="preserve"> affecting a </w:t>
      </w:r>
      <w:r w:rsidR="001E1718">
        <w:rPr>
          <w:rFonts w:ascii="Arial" w:hAnsi="Arial" w:cs="Arial"/>
        </w:rPr>
        <w:t>person's ability</w:t>
      </w:r>
      <w:r w:rsidRPr="0046099A">
        <w:rPr>
          <w:rFonts w:ascii="Arial" w:hAnsi="Arial" w:cs="Arial"/>
        </w:rPr>
        <w:t xml:space="preserve"> to access assistance when it is needed most and that some service users are experiencing multiple changes to their care coordinator, some losing their continuity of care</w:t>
      </w:r>
      <w:r>
        <w:rPr>
          <w:rFonts w:ascii="Arial" w:hAnsi="Arial" w:cs="Arial"/>
        </w:rPr>
        <w:t xml:space="preserve"> </w:t>
      </w:r>
      <w:r w:rsidRPr="0046099A">
        <w:rPr>
          <w:rFonts w:ascii="Arial" w:hAnsi="Arial" w:cs="Arial"/>
        </w:rPr>
        <w:t xml:space="preserve">(Health and Social Care Committee, 2025). </w:t>
      </w:r>
    </w:p>
    <w:p w14:paraId="7D2B3A16" w14:textId="77777777" w:rsidR="000F6449" w:rsidRPr="000F6449" w:rsidRDefault="000F6449" w:rsidP="000F6449">
      <w:pPr>
        <w:spacing w:line="360" w:lineRule="auto"/>
        <w:jc w:val="both"/>
        <w:rPr>
          <w:rFonts w:ascii="Arial" w:hAnsi="Arial" w:cs="Arial"/>
          <w:b/>
          <w:bCs/>
        </w:rPr>
      </w:pPr>
      <w:r w:rsidRPr="000F6449">
        <w:rPr>
          <w:rFonts w:ascii="Arial" w:hAnsi="Arial" w:cs="Arial"/>
          <w:b/>
          <w:bCs/>
        </w:rPr>
        <w:t>Significance for Quality of Life</w:t>
      </w:r>
    </w:p>
    <w:p w14:paraId="794F1216" w14:textId="41ACDE0C" w:rsidR="0046099A" w:rsidRPr="0046099A" w:rsidRDefault="0046099A" w:rsidP="000F6449">
      <w:pPr>
        <w:spacing w:line="360" w:lineRule="auto"/>
        <w:jc w:val="both"/>
        <w:rPr>
          <w:rFonts w:ascii="Arial" w:hAnsi="Arial" w:cs="Arial"/>
        </w:rPr>
      </w:pPr>
      <w:r w:rsidRPr="0046099A">
        <w:rPr>
          <w:rFonts w:ascii="Arial" w:hAnsi="Arial" w:cs="Arial"/>
        </w:rPr>
        <w:t xml:space="preserve">Despite these challenges and difficulties, however, community mental health services are important to service users' </w:t>
      </w:r>
      <w:r w:rsidR="001E1718">
        <w:rPr>
          <w:rFonts w:ascii="Arial" w:hAnsi="Arial" w:cs="Arial"/>
        </w:rPr>
        <w:t>lives</w:t>
      </w:r>
      <w:r w:rsidRPr="0046099A">
        <w:rPr>
          <w:rFonts w:ascii="Arial" w:hAnsi="Arial" w:cs="Arial"/>
        </w:rPr>
        <w:t xml:space="preserve"> as a resource. These services allow people to remain living in their homes and communities, and to retain their sense of control, sociality and normalcy that was lost in a place of care, like the hospital setting (Jones, 2023). Constantly having the care coordinator present has been identified as a key factor in helping service users to feel cared for, not just managed (Care Quality Commission, 2025). When they are doing their jobs effectively, community teams also help to prevent and avert crisis and provide earlier intervention, decreasing the need for emergency hospital admission. Where there is discontinuity or lack of capacity, treatment programs will result in service users' relapse and losing a sense of trust in the treatment system</w:t>
      </w:r>
      <w:r w:rsidR="001E1718">
        <w:rPr>
          <w:rFonts w:ascii="Arial" w:hAnsi="Arial" w:cs="Arial"/>
        </w:rPr>
        <w:t>;</w:t>
      </w:r>
      <w:r w:rsidRPr="0046099A">
        <w:rPr>
          <w:rFonts w:ascii="Arial" w:hAnsi="Arial" w:cs="Arial"/>
        </w:rPr>
        <w:t xml:space="preserve"> </w:t>
      </w:r>
      <w:r w:rsidR="000F6449" w:rsidRPr="0046099A">
        <w:rPr>
          <w:rFonts w:ascii="Arial" w:hAnsi="Arial" w:cs="Arial"/>
        </w:rPr>
        <w:t>thus,</w:t>
      </w:r>
      <w:r w:rsidRPr="0046099A">
        <w:rPr>
          <w:rFonts w:ascii="Arial" w:hAnsi="Arial" w:cs="Arial"/>
        </w:rPr>
        <w:t xml:space="preserve"> proving effective and sustained investment and staffing in treatment programs is essential in providing treatment services which can be sustained in community care services to provide benefits in quality of life (Care Quality Commission</w:t>
      </w:r>
      <w:r w:rsidR="001E1718">
        <w:rPr>
          <w:rFonts w:ascii="Arial" w:hAnsi="Arial" w:cs="Arial"/>
        </w:rPr>
        <w:t>,</w:t>
      </w:r>
      <w:r w:rsidRPr="0046099A">
        <w:rPr>
          <w:rFonts w:ascii="Arial" w:hAnsi="Arial" w:cs="Arial"/>
        </w:rPr>
        <w:t xml:space="preserve"> 2025).</w:t>
      </w:r>
    </w:p>
    <w:p w14:paraId="6975C6D5" w14:textId="77777777" w:rsidR="0046099A" w:rsidRPr="000F6449" w:rsidRDefault="0046099A" w:rsidP="000F6449">
      <w:pPr>
        <w:spacing w:line="360" w:lineRule="auto"/>
        <w:jc w:val="both"/>
        <w:rPr>
          <w:rFonts w:ascii="Arial" w:hAnsi="Arial" w:cs="Arial"/>
          <w:b/>
          <w:bCs/>
        </w:rPr>
      </w:pPr>
      <w:r w:rsidRPr="000F6449">
        <w:rPr>
          <w:rFonts w:ascii="Arial" w:hAnsi="Arial" w:cs="Arial"/>
          <w:b/>
          <w:bCs/>
        </w:rPr>
        <w:t>Conclusion</w:t>
      </w:r>
    </w:p>
    <w:p w14:paraId="6B0F7769" w14:textId="5CA77162" w:rsidR="0046099A" w:rsidRPr="0046099A" w:rsidRDefault="0046099A" w:rsidP="000F6449">
      <w:pPr>
        <w:spacing w:line="360" w:lineRule="auto"/>
        <w:jc w:val="both"/>
        <w:rPr>
          <w:rFonts w:ascii="Arial" w:hAnsi="Arial" w:cs="Arial"/>
        </w:rPr>
      </w:pPr>
      <w:r w:rsidRPr="0046099A">
        <w:rPr>
          <w:rFonts w:ascii="Arial" w:hAnsi="Arial" w:cs="Arial"/>
        </w:rPr>
        <w:t xml:space="preserve">Community mental health services arose from a shift in policy that had taken place over the past </w:t>
      </w:r>
      <w:proofErr w:type="gramStart"/>
      <w:r w:rsidRPr="0046099A">
        <w:rPr>
          <w:rFonts w:ascii="Arial" w:hAnsi="Arial" w:cs="Arial"/>
        </w:rPr>
        <w:t>decades</w:t>
      </w:r>
      <w:proofErr w:type="gramEnd"/>
      <w:r w:rsidRPr="0046099A">
        <w:rPr>
          <w:rFonts w:ascii="Arial" w:hAnsi="Arial" w:cs="Arial"/>
        </w:rPr>
        <w:t xml:space="preserve"> and which had focused away from institutional treatment and towards community-based care. The current provision is the result of a sincere desire to provide integrated accessible care</w:t>
      </w:r>
      <w:r w:rsidR="001E1718">
        <w:rPr>
          <w:rFonts w:ascii="Arial" w:hAnsi="Arial" w:cs="Arial"/>
        </w:rPr>
        <w:t>,</w:t>
      </w:r>
      <w:r w:rsidRPr="0046099A">
        <w:rPr>
          <w:rFonts w:ascii="Arial" w:hAnsi="Arial" w:cs="Arial"/>
        </w:rPr>
        <w:t xml:space="preserve"> but the current level of funding and staffing constraints continue to restrict the provision and directly impact the quality of life it is intended to safeguard.</w:t>
      </w:r>
    </w:p>
    <w:p w14:paraId="20F1A3B3" w14:textId="70D53BD3" w:rsidR="0046099A" w:rsidRPr="0046099A" w:rsidRDefault="0046099A">
      <w:pPr>
        <w:rPr>
          <w:rFonts w:ascii="Arial" w:hAnsi="Arial" w:cs="Arial"/>
          <w:b/>
          <w:bCs/>
          <w:sz w:val="28"/>
          <w:szCs w:val="28"/>
        </w:rPr>
        <w:sectPr w:rsidR="0046099A" w:rsidRPr="0046099A" w:rsidSect="003A000F">
          <w:pgSz w:w="11906" w:h="16838"/>
          <w:pgMar w:top="1440" w:right="1440" w:bottom="1440" w:left="1440" w:header="708" w:footer="708" w:gutter="0"/>
          <w:cols w:space="708"/>
          <w:docGrid w:linePitch="360"/>
        </w:sectPr>
      </w:pPr>
    </w:p>
    <w:p w14:paraId="23578436" w14:textId="77777777" w:rsidR="00833470" w:rsidRPr="000F6449" w:rsidRDefault="00833470" w:rsidP="000F6449">
      <w:pPr>
        <w:pStyle w:val="Heading1"/>
        <w:rPr>
          <w:rFonts w:ascii="Arial" w:hAnsi="Arial" w:cs="Arial"/>
          <w:b/>
          <w:bCs/>
        </w:rPr>
      </w:pPr>
      <w:bookmarkStart w:id="2" w:name="_Toc234404971"/>
      <w:r w:rsidRPr="000F6449">
        <w:rPr>
          <w:rFonts w:ascii="Arial" w:hAnsi="Arial" w:cs="Arial"/>
          <w:b/>
          <w:bCs/>
        </w:rPr>
        <w:lastRenderedPageBreak/>
        <w:t>References</w:t>
      </w:r>
      <w:bookmarkEnd w:id="2"/>
    </w:p>
    <w:p w14:paraId="0ADBDAF7"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Anderson, S. (2007) 'Community pharmacy and public health in Great Britain, 1936 to 2006: how a phoenix rose from the ashes', </w:t>
      </w:r>
      <w:r w:rsidRPr="000F6449">
        <w:rPr>
          <w:rFonts w:ascii="Arial" w:hAnsi="Arial" w:cs="Arial"/>
          <w:i/>
          <w:iCs/>
          <w:lang w:val="en-SG"/>
        </w:rPr>
        <w:t>Journal of Epidemiology and Community Health</w:t>
      </w:r>
      <w:r w:rsidRPr="000F6449">
        <w:rPr>
          <w:rFonts w:ascii="Arial" w:hAnsi="Arial" w:cs="Arial"/>
          <w:lang w:val="en-SG"/>
        </w:rPr>
        <w:t xml:space="preserve">. Available at: </w:t>
      </w:r>
      <w:hyperlink r:id="rId13" w:history="1">
        <w:r w:rsidRPr="000F6449">
          <w:rPr>
            <w:rStyle w:val="Hyperlink"/>
            <w:rFonts w:ascii="Arial" w:hAnsi="Arial" w:cs="Arial"/>
            <w:lang w:val="en-SG"/>
          </w:rPr>
          <w:t>https://pmc.ncbi.nlm.nih.gov/articles/PMC2652958/</w:t>
        </w:r>
      </w:hyperlink>
      <w:r w:rsidRPr="000F6449">
        <w:rPr>
          <w:rFonts w:ascii="Arial" w:hAnsi="Arial" w:cs="Arial"/>
          <w:lang w:val="en-SG"/>
        </w:rPr>
        <w:t xml:space="preserve"> (Accessed: 8 July 2026).</w:t>
      </w:r>
    </w:p>
    <w:p w14:paraId="2F6BD99F"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Care Quality Commission (2025) </w:t>
      </w:r>
      <w:r w:rsidRPr="000F6449">
        <w:rPr>
          <w:rFonts w:ascii="Arial" w:hAnsi="Arial" w:cs="Arial"/>
          <w:i/>
          <w:iCs/>
          <w:lang w:val="en-SG"/>
        </w:rPr>
        <w:t>Mental health: State of Care 2024/25</w:t>
      </w:r>
      <w:r w:rsidRPr="000F6449">
        <w:rPr>
          <w:rFonts w:ascii="Arial" w:hAnsi="Arial" w:cs="Arial"/>
          <w:lang w:val="en-SG"/>
        </w:rPr>
        <w:t xml:space="preserve">. Available at: </w:t>
      </w:r>
      <w:hyperlink r:id="rId14" w:history="1">
        <w:r w:rsidRPr="000F6449">
          <w:rPr>
            <w:rStyle w:val="Hyperlink"/>
            <w:rFonts w:ascii="Arial" w:hAnsi="Arial" w:cs="Arial"/>
            <w:lang w:val="en-SG"/>
          </w:rPr>
          <w:t>https://www.cqc.org.uk/publications/major-report/state-care/2024-2025/access/mh</w:t>
        </w:r>
      </w:hyperlink>
      <w:r w:rsidRPr="000F6449">
        <w:rPr>
          <w:rFonts w:ascii="Arial" w:hAnsi="Arial" w:cs="Arial"/>
          <w:lang w:val="en-SG"/>
        </w:rPr>
        <w:t xml:space="preserve"> (Accessed: 8 July 2026).</w:t>
      </w:r>
    </w:p>
    <w:p w14:paraId="578882D3"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Community Pharmacy England (2025) </w:t>
      </w:r>
      <w:r w:rsidRPr="000F6449">
        <w:rPr>
          <w:rFonts w:ascii="Arial" w:hAnsi="Arial" w:cs="Arial"/>
          <w:i/>
          <w:iCs/>
          <w:lang w:val="en-SG"/>
        </w:rPr>
        <w:t>Nearly a sixth of pharmacies could close within a year, Pressures Survey indicates</w:t>
      </w:r>
      <w:r w:rsidRPr="000F6449">
        <w:rPr>
          <w:rFonts w:ascii="Arial" w:hAnsi="Arial" w:cs="Arial"/>
          <w:lang w:val="en-SG"/>
        </w:rPr>
        <w:t xml:space="preserve">. Available at: </w:t>
      </w:r>
      <w:hyperlink r:id="rId15" w:history="1">
        <w:r w:rsidRPr="000F6449">
          <w:rPr>
            <w:rStyle w:val="Hyperlink"/>
            <w:rFonts w:ascii="Arial" w:hAnsi="Arial" w:cs="Arial"/>
            <w:lang w:val="en-SG"/>
          </w:rPr>
          <w:t>https://cpe.org.uk/our-news/nearly-a-sixth-of-pharmacies-could-close-within-a-year-pressures-survey-indicates/</w:t>
        </w:r>
      </w:hyperlink>
      <w:r w:rsidRPr="000F6449">
        <w:rPr>
          <w:rFonts w:ascii="Arial" w:hAnsi="Arial" w:cs="Arial"/>
          <w:lang w:val="en-SG"/>
        </w:rPr>
        <w:t xml:space="preserve"> (Accessed: 8 July 2026).</w:t>
      </w:r>
    </w:p>
    <w:p w14:paraId="2B0FBF3B"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GOV.UK (2025) </w:t>
      </w:r>
      <w:r w:rsidRPr="000F6449">
        <w:rPr>
          <w:rFonts w:ascii="Arial" w:hAnsi="Arial" w:cs="Arial"/>
          <w:i/>
          <w:iCs/>
          <w:lang w:val="en-SG"/>
        </w:rPr>
        <w:t>New services for patients under record pharmacy funding deal</w:t>
      </w:r>
      <w:r w:rsidRPr="000F6449">
        <w:rPr>
          <w:rFonts w:ascii="Arial" w:hAnsi="Arial" w:cs="Arial"/>
          <w:lang w:val="en-SG"/>
        </w:rPr>
        <w:t xml:space="preserve">. Department of Health and Social Care. Available at: </w:t>
      </w:r>
      <w:hyperlink r:id="rId16" w:history="1">
        <w:r w:rsidRPr="000F6449">
          <w:rPr>
            <w:rStyle w:val="Hyperlink"/>
            <w:rFonts w:ascii="Arial" w:hAnsi="Arial" w:cs="Arial"/>
            <w:lang w:val="en-SG"/>
          </w:rPr>
          <w:t>https://www.gov.uk/government/news/new-services-for-patients-under-record-pharmacy-funding-deal</w:t>
        </w:r>
      </w:hyperlink>
      <w:r w:rsidRPr="000F6449">
        <w:rPr>
          <w:rFonts w:ascii="Arial" w:hAnsi="Arial" w:cs="Arial"/>
          <w:lang w:val="en-SG"/>
        </w:rPr>
        <w:t xml:space="preserve"> (Accessed: 8 July 2026).</w:t>
      </w:r>
    </w:p>
    <w:p w14:paraId="16280776"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Health and Social Care Committee (2025) </w:t>
      </w:r>
      <w:r w:rsidRPr="000F6449">
        <w:rPr>
          <w:rFonts w:ascii="Arial" w:hAnsi="Arial" w:cs="Arial"/>
          <w:i/>
          <w:iCs/>
          <w:lang w:val="en-SG"/>
        </w:rPr>
        <w:t>Community Mental Health Services</w:t>
      </w:r>
      <w:r w:rsidRPr="000F6449">
        <w:rPr>
          <w:rFonts w:ascii="Arial" w:hAnsi="Arial" w:cs="Arial"/>
          <w:lang w:val="en-SG"/>
        </w:rPr>
        <w:t xml:space="preserve">. UK Parliament. Available at: </w:t>
      </w:r>
      <w:hyperlink r:id="rId17" w:history="1">
        <w:r w:rsidRPr="000F6449">
          <w:rPr>
            <w:rStyle w:val="Hyperlink"/>
            <w:rFonts w:ascii="Arial" w:hAnsi="Arial" w:cs="Arial"/>
            <w:lang w:val="en-SG"/>
          </w:rPr>
          <w:t>https://publications.parliament.uk/pa/cm5901/cmselect/cmhealth/566/report.html</w:t>
        </w:r>
      </w:hyperlink>
      <w:r w:rsidRPr="000F6449">
        <w:rPr>
          <w:rFonts w:ascii="Arial" w:hAnsi="Arial" w:cs="Arial"/>
          <w:lang w:val="en-SG"/>
        </w:rPr>
        <w:t xml:space="preserve"> (Accessed: 8 July 2026).</w:t>
      </w:r>
    </w:p>
    <w:p w14:paraId="18B30938"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House of Commons Library (2026) </w:t>
      </w:r>
      <w:r w:rsidRPr="000F6449">
        <w:rPr>
          <w:rFonts w:ascii="Arial" w:hAnsi="Arial" w:cs="Arial"/>
          <w:i/>
          <w:iCs/>
          <w:lang w:val="en-SG"/>
        </w:rPr>
        <w:t>Community pharmacy in England</w:t>
      </w:r>
      <w:r w:rsidRPr="000F6449">
        <w:rPr>
          <w:rFonts w:ascii="Arial" w:hAnsi="Arial" w:cs="Arial"/>
          <w:lang w:val="en-SG"/>
        </w:rPr>
        <w:t xml:space="preserve">, Briefing Paper CBP 9854. Available at: </w:t>
      </w:r>
      <w:hyperlink r:id="rId18" w:history="1">
        <w:r w:rsidRPr="000F6449">
          <w:rPr>
            <w:rStyle w:val="Hyperlink"/>
            <w:rFonts w:ascii="Arial" w:hAnsi="Arial" w:cs="Arial"/>
            <w:lang w:val="en-SG"/>
          </w:rPr>
          <w:t>https://commonslibrary.parliament.uk/research-briefings/cbp-9854/</w:t>
        </w:r>
      </w:hyperlink>
      <w:r w:rsidRPr="000F6449">
        <w:rPr>
          <w:rFonts w:ascii="Arial" w:hAnsi="Arial" w:cs="Arial"/>
          <w:lang w:val="en-SG"/>
        </w:rPr>
        <w:t xml:space="preserve"> (Accessed: 8 July 2026).</w:t>
      </w:r>
    </w:p>
    <w:p w14:paraId="27756A88"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House of Commons Library (2026) </w:t>
      </w:r>
      <w:r w:rsidRPr="000F6449">
        <w:rPr>
          <w:rFonts w:ascii="Arial" w:hAnsi="Arial" w:cs="Arial"/>
          <w:i/>
          <w:iCs/>
          <w:lang w:val="en-SG"/>
        </w:rPr>
        <w:t>Mental health policy and services in England</w:t>
      </w:r>
      <w:r w:rsidRPr="000F6449">
        <w:rPr>
          <w:rFonts w:ascii="Arial" w:hAnsi="Arial" w:cs="Arial"/>
          <w:lang w:val="en-SG"/>
        </w:rPr>
        <w:t xml:space="preserve">, Briefing Paper CBP 7547. Available at: </w:t>
      </w:r>
      <w:hyperlink r:id="rId19" w:history="1">
        <w:r w:rsidRPr="000F6449">
          <w:rPr>
            <w:rStyle w:val="Hyperlink"/>
            <w:rFonts w:ascii="Arial" w:hAnsi="Arial" w:cs="Arial"/>
            <w:lang w:val="en-SG"/>
          </w:rPr>
          <w:t>https://commonslibrary.parliament.uk/research-briefings/cbp-7547/</w:t>
        </w:r>
      </w:hyperlink>
      <w:r w:rsidRPr="000F6449">
        <w:rPr>
          <w:rFonts w:ascii="Arial" w:hAnsi="Arial" w:cs="Arial"/>
          <w:lang w:val="en-SG"/>
        </w:rPr>
        <w:t xml:space="preserve"> (Accessed: 8 July 2026).</w:t>
      </w:r>
    </w:p>
    <w:p w14:paraId="5E84BE4B"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Jones, K. (2023) 'Madness and society in Britain', </w:t>
      </w:r>
      <w:r w:rsidRPr="000F6449">
        <w:rPr>
          <w:rFonts w:ascii="Arial" w:hAnsi="Arial" w:cs="Arial"/>
          <w:i/>
          <w:iCs/>
          <w:lang w:val="en-SG"/>
        </w:rPr>
        <w:t>PMC</w:t>
      </w:r>
      <w:r w:rsidRPr="000F6449">
        <w:rPr>
          <w:rFonts w:ascii="Arial" w:hAnsi="Arial" w:cs="Arial"/>
          <w:lang w:val="en-SG"/>
        </w:rPr>
        <w:t xml:space="preserve">. Available at: </w:t>
      </w:r>
      <w:hyperlink r:id="rId20" w:history="1">
        <w:r w:rsidRPr="000F6449">
          <w:rPr>
            <w:rStyle w:val="Hyperlink"/>
            <w:rFonts w:ascii="Arial" w:hAnsi="Arial" w:cs="Arial"/>
            <w:lang w:val="en-SG"/>
          </w:rPr>
          <w:t>https://www.ncbi.nlm.nih.gov/pmc/articles/PMC10214426/</w:t>
        </w:r>
      </w:hyperlink>
      <w:r w:rsidRPr="000F6449">
        <w:rPr>
          <w:rFonts w:ascii="Arial" w:hAnsi="Arial" w:cs="Arial"/>
          <w:lang w:val="en-SG"/>
        </w:rPr>
        <w:t xml:space="preserve"> (Accessed: 8 July 2026).</w:t>
      </w:r>
    </w:p>
    <w:p w14:paraId="258529C0" w14:textId="77777777" w:rsidR="000F6449" w:rsidRPr="000F6449" w:rsidRDefault="000F6449" w:rsidP="000F6449">
      <w:pPr>
        <w:spacing w:line="360" w:lineRule="auto"/>
        <w:jc w:val="both"/>
        <w:rPr>
          <w:rFonts w:ascii="Arial" w:hAnsi="Arial" w:cs="Arial"/>
          <w:lang w:val="en-SG"/>
        </w:rPr>
      </w:pPr>
      <w:proofErr w:type="spellStart"/>
      <w:r w:rsidRPr="000F6449">
        <w:rPr>
          <w:rFonts w:ascii="Arial" w:hAnsi="Arial" w:cs="Arial"/>
          <w:lang w:val="en-SG"/>
        </w:rPr>
        <w:t>Killaspy</w:t>
      </w:r>
      <w:proofErr w:type="spellEnd"/>
      <w:r w:rsidRPr="000F6449">
        <w:rPr>
          <w:rFonts w:ascii="Arial" w:hAnsi="Arial" w:cs="Arial"/>
          <w:lang w:val="en-SG"/>
        </w:rPr>
        <w:t xml:space="preserve">, H. (2006) 'The history of deinstitutionalization and </w:t>
      </w:r>
      <w:proofErr w:type="spellStart"/>
      <w:r w:rsidRPr="000F6449">
        <w:rPr>
          <w:rFonts w:ascii="Arial" w:hAnsi="Arial" w:cs="Arial"/>
          <w:lang w:val="en-SG"/>
        </w:rPr>
        <w:t>reinstitutionalization</w:t>
      </w:r>
      <w:proofErr w:type="spellEnd"/>
      <w:r w:rsidRPr="000F6449">
        <w:rPr>
          <w:rFonts w:ascii="Arial" w:hAnsi="Arial" w:cs="Arial"/>
          <w:lang w:val="en-SG"/>
        </w:rPr>
        <w:t xml:space="preserve">', </w:t>
      </w:r>
      <w:r w:rsidRPr="000F6449">
        <w:rPr>
          <w:rFonts w:ascii="Arial" w:hAnsi="Arial" w:cs="Arial"/>
          <w:i/>
          <w:iCs/>
          <w:lang w:val="en-SG"/>
        </w:rPr>
        <w:t>Psychiatry</w:t>
      </w:r>
      <w:r w:rsidRPr="000F6449">
        <w:rPr>
          <w:rFonts w:ascii="Arial" w:hAnsi="Arial" w:cs="Arial"/>
          <w:lang w:val="en-SG"/>
        </w:rPr>
        <w:t xml:space="preserve">, ScienceDirect. Available at: </w:t>
      </w:r>
      <w:hyperlink r:id="rId21" w:history="1">
        <w:r w:rsidRPr="000F6449">
          <w:rPr>
            <w:rStyle w:val="Hyperlink"/>
            <w:rFonts w:ascii="Arial" w:hAnsi="Arial" w:cs="Arial"/>
            <w:lang w:val="en-SG"/>
          </w:rPr>
          <w:t>https://sciencedirect.com/science/article/pii/S1476179306700908</w:t>
        </w:r>
      </w:hyperlink>
      <w:r w:rsidRPr="000F6449">
        <w:rPr>
          <w:rFonts w:ascii="Arial" w:hAnsi="Arial" w:cs="Arial"/>
          <w:lang w:val="en-SG"/>
        </w:rPr>
        <w:t xml:space="preserve"> (Accessed: 8 July 2026).</w:t>
      </w:r>
    </w:p>
    <w:p w14:paraId="009F70D0" w14:textId="77777777" w:rsidR="000F6449" w:rsidRPr="000F6449" w:rsidRDefault="000F6449" w:rsidP="000F6449">
      <w:pPr>
        <w:spacing w:line="360" w:lineRule="auto"/>
        <w:jc w:val="both"/>
        <w:rPr>
          <w:rFonts w:ascii="Arial" w:hAnsi="Arial" w:cs="Arial"/>
          <w:lang w:val="en-SG"/>
        </w:rPr>
      </w:pPr>
      <w:proofErr w:type="spellStart"/>
      <w:r w:rsidRPr="000F6449">
        <w:rPr>
          <w:rFonts w:ascii="Arial" w:hAnsi="Arial" w:cs="Arial"/>
          <w:lang w:val="en-SG"/>
        </w:rPr>
        <w:t>Killaspy</w:t>
      </w:r>
      <w:proofErr w:type="spellEnd"/>
      <w:r w:rsidRPr="000F6449">
        <w:rPr>
          <w:rFonts w:ascii="Arial" w:hAnsi="Arial" w:cs="Arial"/>
          <w:lang w:val="en-SG"/>
        </w:rPr>
        <w:t xml:space="preserve">, H. (2007) 'Community-Based Mental Health Care in Britain', </w:t>
      </w:r>
      <w:r w:rsidRPr="000F6449">
        <w:rPr>
          <w:rFonts w:ascii="Arial" w:hAnsi="Arial" w:cs="Arial"/>
          <w:i/>
          <w:iCs/>
          <w:lang w:val="en-SG"/>
        </w:rPr>
        <w:t>PMC</w:t>
      </w:r>
      <w:r w:rsidRPr="000F6449">
        <w:rPr>
          <w:rFonts w:ascii="Arial" w:hAnsi="Arial" w:cs="Arial"/>
          <w:lang w:val="en-SG"/>
        </w:rPr>
        <w:t xml:space="preserve">. Available at: </w:t>
      </w:r>
      <w:hyperlink r:id="rId22" w:history="1">
        <w:r w:rsidRPr="000F6449">
          <w:rPr>
            <w:rStyle w:val="Hyperlink"/>
            <w:rFonts w:ascii="Arial" w:hAnsi="Arial" w:cs="Arial"/>
            <w:lang w:val="en-SG"/>
          </w:rPr>
          <w:t>https://pmc.ncbi.nlm.nih.gov/articles/PMC11240127/</w:t>
        </w:r>
      </w:hyperlink>
      <w:r w:rsidRPr="000F6449">
        <w:rPr>
          <w:rFonts w:ascii="Arial" w:hAnsi="Arial" w:cs="Arial"/>
          <w:lang w:val="en-SG"/>
        </w:rPr>
        <w:t xml:space="preserve"> (Accessed: 8 July 2026).</w:t>
      </w:r>
    </w:p>
    <w:p w14:paraId="7FB788AA"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Medscape (2025) </w:t>
      </w:r>
      <w:r w:rsidRPr="000F6449">
        <w:rPr>
          <w:rFonts w:ascii="Arial" w:hAnsi="Arial" w:cs="Arial"/>
          <w:i/>
          <w:iCs/>
          <w:lang w:val="en-SG"/>
        </w:rPr>
        <w:t>Pharmacies Warn of Closures as Funding Falls Short</w:t>
      </w:r>
      <w:r w:rsidRPr="000F6449">
        <w:rPr>
          <w:rFonts w:ascii="Arial" w:hAnsi="Arial" w:cs="Arial"/>
          <w:lang w:val="en-SG"/>
        </w:rPr>
        <w:t xml:space="preserve">. Available at: </w:t>
      </w:r>
      <w:hyperlink r:id="rId23" w:history="1">
        <w:r w:rsidRPr="000F6449">
          <w:rPr>
            <w:rStyle w:val="Hyperlink"/>
            <w:rFonts w:ascii="Arial" w:hAnsi="Arial" w:cs="Arial"/>
            <w:lang w:val="en-SG"/>
          </w:rPr>
          <w:t>https://www.medscape.com/viewarticle/pharmacies-warn-closures-funding-falls-short-2025a1000mql</w:t>
        </w:r>
      </w:hyperlink>
      <w:r w:rsidRPr="000F6449">
        <w:rPr>
          <w:rFonts w:ascii="Arial" w:hAnsi="Arial" w:cs="Arial"/>
          <w:lang w:val="en-SG"/>
        </w:rPr>
        <w:t xml:space="preserve"> (Accessed: 8 July 2026).</w:t>
      </w:r>
    </w:p>
    <w:p w14:paraId="3F02EF4D"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lastRenderedPageBreak/>
        <w:t xml:space="preserve">NHS England (2024) </w:t>
      </w:r>
      <w:r w:rsidRPr="000F6449">
        <w:rPr>
          <w:rFonts w:ascii="Arial" w:hAnsi="Arial" w:cs="Arial"/>
          <w:i/>
          <w:iCs/>
          <w:lang w:val="en-SG"/>
        </w:rPr>
        <w:t>Pharmacy First</w:t>
      </w:r>
      <w:r w:rsidRPr="000F6449">
        <w:rPr>
          <w:rFonts w:ascii="Arial" w:hAnsi="Arial" w:cs="Arial"/>
          <w:lang w:val="en-SG"/>
        </w:rPr>
        <w:t xml:space="preserve">. Available at: </w:t>
      </w:r>
      <w:hyperlink r:id="rId24" w:history="1">
        <w:r w:rsidRPr="000F6449">
          <w:rPr>
            <w:rStyle w:val="Hyperlink"/>
            <w:rFonts w:ascii="Arial" w:hAnsi="Arial" w:cs="Arial"/>
            <w:lang w:val="en-SG"/>
          </w:rPr>
          <w:t>https://www.england.nhs.uk/primary-care/pharmacy/pharmacy-services/pharmacy-first/</w:t>
        </w:r>
      </w:hyperlink>
      <w:r w:rsidRPr="000F6449">
        <w:rPr>
          <w:rFonts w:ascii="Arial" w:hAnsi="Arial" w:cs="Arial"/>
          <w:lang w:val="en-SG"/>
        </w:rPr>
        <w:t xml:space="preserve"> (Accessed: 8 July 2026).</w:t>
      </w:r>
    </w:p>
    <w:p w14:paraId="6EA320A1"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NHS England (2025) </w:t>
      </w:r>
      <w:r w:rsidRPr="000F6449">
        <w:rPr>
          <w:rFonts w:ascii="Arial" w:hAnsi="Arial" w:cs="Arial"/>
          <w:i/>
          <w:iCs/>
          <w:lang w:val="en-SG"/>
        </w:rPr>
        <w:t>Community mental health services</w:t>
      </w:r>
      <w:r w:rsidRPr="000F6449">
        <w:rPr>
          <w:rFonts w:ascii="Arial" w:hAnsi="Arial" w:cs="Arial"/>
          <w:lang w:val="en-SG"/>
        </w:rPr>
        <w:t xml:space="preserve">. Available at: </w:t>
      </w:r>
      <w:hyperlink r:id="rId25" w:history="1">
        <w:r w:rsidRPr="000F6449">
          <w:rPr>
            <w:rStyle w:val="Hyperlink"/>
            <w:rFonts w:ascii="Arial" w:hAnsi="Arial" w:cs="Arial"/>
            <w:lang w:val="en-SG"/>
          </w:rPr>
          <w:t>https://www.england.nhs.uk/mental-health/adults/cmhs/</w:t>
        </w:r>
      </w:hyperlink>
      <w:r w:rsidRPr="000F6449">
        <w:rPr>
          <w:rFonts w:ascii="Arial" w:hAnsi="Arial" w:cs="Arial"/>
          <w:lang w:val="en-SG"/>
        </w:rPr>
        <w:t xml:space="preserve"> (Accessed: 8 July 2026).</w:t>
      </w:r>
    </w:p>
    <w:p w14:paraId="0327C185"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Pharmaceutical Journal (2018) </w:t>
      </w:r>
      <w:r w:rsidRPr="000F6449">
        <w:rPr>
          <w:rFonts w:ascii="Arial" w:hAnsi="Arial" w:cs="Arial"/>
          <w:i/>
          <w:iCs/>
          <w:lang w:val="en-SG"/>
        </w:rPr>
        <w:t>NHS70: major moments in pharmacy 1948–2018</w:t>
      </w:r>
      <w:r w:rsidRPr="000F6449">
        <w:rPr>
          <w:rFonts w:ascii="Arial" w:hAnsi="Arial" w:cs="Arial"/>
          <w:lang w:val="en-SG"/>
        </w:rPr>
        <w:t xml:space="preserve">. Royal Pharmaceutical Society. Available at: </w:t>
      </w:r>
      <w:hyperlink r:id="rId26" w:history="1">
        <w:r w:rsidRPr="000F6449">
          <w:rPr>
            <w:rStyle w:val="Hyperlink"/>
            <w:rFonts w:ascii="Arial" w:hAnsi="Arial" w:cs="Arial"/>
            <w:lang w:val="en-SG"/>
          </w:rPr>
          <w:t>https://pharmaceutical-journal.com/article/infographics/nhs70-major-moments-in-pharmacy-1948-2018</w:t>
        </w:r>
      </w:hyperlink>
      <w:r w:rsidRPr="000F6449">
        <w:rPr>
          <w:rFonts w:ascii="Arial" w:hAnsi="Arial" w:cs="Arial"/>
          <w:lang w:val="en-SG"/>
        </w:rPr>
        <w:t xml:space="preserve"> (Accessed: 8 July 2026).</w:t>
      </w:r>
    </w:p>
    <w:p w14:paraId="2737B6B4" w14:textId="77777777" w:rsidR="000F6449" w:rsidRPr="000F6449" w:rsidRDefault="000F6449" w:rsidP="000F6449">
      <w:pPr>
        <w:spacing w:line="360" w:lineRule="auto"/>
        <w:jc w:val="both"/>
        <w:rPr>
          <w:rFonts w:ascii="Arial" w:hAnsi="Arial" w:cs="Arial"/>
          <w:lang w:val="en-SG"/>
        </w:rPr>
      </w:pPr>
      <w:r w:rsidRPr="000F6449">
        <w:rPr>
          <w:rFonts w:ascii="Arial" w:hAnsi="Arial" w:cs="Arial"/>
          <w:lang w:val="en-SG"/>
        </w:rPr>
        <w:t xml:space="preserve">PMC (2024) 'Facilitating self-care through community pharmacy in England', </w:t>
      </w:r>
      <w:r w:rsidRPr="000F6449">
        <w:rPr>
          <w:rFonts w:ascii="Arial" w:hAnsi="Arial" w:cs="Arial"/>
          <w:i/>
          <w:iCs/>
          <w:lang w:val="en-SG"/>
        </w:rPr>
        <w:t>University of Portsmouth School of Pharmacy and Biomedical Sciences</w:t>
      </w:r>
      <w:r w:rsidRPr="000F6449">
        <w:rPr>
          <w:rFonts w:ascii="Arial" w:hAnsi="Arial" w:cs="Arial"/>
          <w:lang w:val="en-SG"/>
        </w:rPr>
        <w:t xml:space="preserve">. Available at: </w:t>
      </w:r>
      <w:hyperlink r:id="rId27" w:history="1">
        <w:r w:rsidRPr="000F6449">
          <w:rPr>
            <w:rStyle w:val="Hyperlink"/>
            <w:rFonts w:ascii="Arial" w:hAnsi="Arial" w:cs="Arial"/>
            <w:lang w:val="en-SG"/>
          </w:rPr>
          <w:t>https://pmc.ncbi.nlm.nih.gov/articles/PMC10826330/</w:t>
        </w:r>
      </w:hyperlink>
      <w:r w:rsidRPr="000F6449">
        <w:rPr>
          <w:rFonts w:ascii="Arial" w:hAnsi="Arial" w:cs="Arial"/>
          <w:lang w:val="en-SG"/>
        </w:rPr>
        <w:t xml:space="preserve"> (Accessed: 8 July 2026).</w:t>
      </w:r>
    </w:p>
    <w:p w14:paraId="17DB8B8D" w14:textId="77777777" w:rsidR="000F6449" w:rsidRPr="000F6449" w:rsidRDefault="000F6449" w:rsidP="000F6449">
      <w:pPr>
        <w:spacing w:line="360" w:lineRule="auto"/>
        <w:jc w:val="both"/>
        <w:rPr>
          <w:rFonts w:ascii="Arial" w:hAnsi="Arial" w:cs="Arial"/>
        </w:rPr>
      </w:pPr>
    </w:p>
    <w:p w14:paraId="27EBF8A3" w14:textId="77777777" w:rsidR="00EF3E35" w:rsidRPr="0046099A" w:rsidRDefault="00EF3E35">
      <w:pPr>
        <w:rPr>
          <w:rFonts w:ascii="Arial" w:hAnsi="Arial" w:cs="Arial"/>
        </w:rPr>
      </w:pPr>
    </w:p>
    <w:p w14:paraId="150E9E72" w14:textId="77777777" w:rsidR="00EF3E35" w:rsidRPr="0046099A" w:rsidRDefault="00EF3E35">
      <w:pPr>
        <w:rPr>
          <w:rFonts w:ascii="Arial" w:hAnsi="Arial" w:cs="Arial"/>
        </w:rPr>
      </w:pPr>
    </w:p>
    <w:p w14:paraId="14ED9CB8" w14:textId="77777777" w:rsidR="00EF3E35" w:rsidRPr="0046099A" w:rsidRDefault="00EF3E35">
      <w:pPr>
        <w:rPr>
          <w:rFonts w:ascii="Arial" w:hAnsi="Arial" w:cs="Arial"/>
        </w:rPr>
      </w:pPr>
    </w:p>
    <w:p w14:paraId="349765E8" w14:textId="77777777" w:rsidR="00EF3E35" w:rsidRPr="0046099A" w:rsidRDefault="00EF3E35">
      <w:pPr>
        <w:rPr>
          <w:rFonts w:ascii="Arial" w:hAnsi="Arial" w:cs="Arial"/>
        </w:rPr>
      </w:pPr>
    </w:p>
    <w:sectPr w:rsidR="00EF3E35" w:rsidRPr="0046099A"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209DA5" w14:textId="77777777" w:rsidR="00EC427C" w:rsidRDefault="00EC427C" w:rsidP="00BE6BE0">
      <w:pPr>
        <w:spacing w:after="0" w:line="240" w:lineRule="auto"/>
      </w:pPr>
      <w:r>
        <w:separator/>
      </w:r>
    </w:p>
  </w:endnote>
  <w:endnote w:type="continuationSeparator" w:id="0">
    <w:p w14:paraId="216FD5A1" w14:textId="77777777" w:rsidR="00EC427C" w:rsidRDefault="00EC427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9738610"/>
      <w:docPartObj>
        <w:docPartGallery w:val="Page Numbers (Bottom of Page)"/>
        <w:docPartUnique/>
      </w:docPartObj>
    </w:sdtPr>
    <w:sdtEndPr>
      <w:rPr>
        <w:noProof/>
      </w:rPr>
    </w:sdtEndPr>
    <w:sdtContent>
      <w:p w14:paraId="0163E9D9" w14:textId="5F47B429" w:rsidR="000F6449" w:rsidRDefault="000F64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E4E1F" w14:textId="77777777" w:rsidR="00EC427C" w:rsidRDefault="00EC427C" w:rsidP="00BE6BE0">
      <w:pPr>
        <w:spacing w:after="0" w:line="240" w:lineRule="auto"/>
      </w:pPr>
      <w:r>
        <w:separator/>
      </w:r>
    </w:p>
  </w:footnote>
  <w:footnote w:type="continuationSeparator" w:id="0">
    <w:p w14:paraId="5A32E878" w14:textId="77777777" w:rsidR="00EC427C" w:rsidRDefault="00EC427C"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881"/>
    <w:rsid w:val="00014361"/>
    <w:rsid w:val="00025A45"/>
    <w:rsid w:val="000464A0"/>
    <w:rsid w:val="00056EB1"/>
    <w:rsid w:val="000641BF"/>
    <w:rsid w:val="000B6D7D"/>
    <w:rsid w:val="000F6449"/>
    <w:rsid w:val="00147CEE"/>
    <w:rsid w:val="001E1718"/>
    <w:rsid w:val="002767BF"/>
    <w:rsid w:val="003320BD"/>
    <w:rsid w:val="003A000F"/>
    <w:rsid w:val="004438BB"/>
    <w:rsid w:val="00444462"/>
    <w:rsid w:val="0046099A"/>
    <w:rsid w:val="004868F1"/>
    <w:rsid w:val="00643993"/>
    <w:rsid w:val="006A6816"/>
    <w:rsid w:val="006E252C"/>
    <w:rsid w:val="00755C54"/>
    <w:rsid w:val="00783C03"/>
    <w:rsid w:val="007A73B5"/>
    <w:rsid w:val="007C12BA"/>
    <w:rsid w:val="007E6642"/>
    <w:rsid w:val="00804A7F"/>
    <w:rsid w:val="00833470"/>
    <w:rsid w:val="00925D5E"/>
    <w:rsid w:val="00972A7A"/>
    <w:rsid w:val="009A3EB7"/>
    <w:rsid w:val="009E257B"/>
    <w:rsid w:val="00A6165E"/>
    <w:rsid w:val="00A82690"/>
    <w:rsid w:val="00B00812"/>
    <w:rsid w:val="00B642EF"/>
    <w:rsid w:val="00BE6BE0"/>
    <w:rsid w:val="00C83A82"/>
    <w:rsid w:val="00E81356"/>
    <w:rsid w:val="00EC427C"/>
    <w:rsid w:val="00ED0D33"/>
    <w:rsid w:val="00EF3E35"/>
    <w:rsid w:val="00F36D02"/>
    <w:rsid w:val="00F64FBC"/>
    <w:rsid w:val="00FF07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2B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customStyle="1" w:styleId="Heading1Char">
    <w:name w:val="Heading 1 Char"/>
    <w:basedOn w:val="DefaultParagraphFont"/>
    <w:link w:val="Heading1"/>
    <w:uiPriority w:val="9"/>
    <w:rsid w:val="007C12B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F6449"/>
    <w:rPr>
      <w:color w:val="0563C1" w:themeColor="hyperlink"/>
      <w:u w:val="single"/>
    </w:rPr>
  </w:style>
  <w:style w:type="character" w:styleId="UnresolvedMention">
    <w:name w:val="Unresolved Mention"/>
    <w:basedOn w:val="DefaultParagraphFont"/>
    <w:uiPriority w:val="99"/>
    <w:semiHidden/>
    <w:unhideWhenUsed/>
    <w:rsid w:val="000F6449"/>
    <w:rPr>
      <w:color w:val="605E5C"/>
      <w:shd w:val="clear" w:color="auto" w:fill="E1DFDD"/>
    </w:rPr>
  </w:style>
  <w:style w:type="paragraph" w:styleId="TOCHeading">
    <w:name w:val="TOC Heading"/>
    <w:basedOn w:val="Heading1"/>
    <w:next w:val="Normal"/>
    <w:uiPriority w:val="39"/>
    <w:unhideWhenUsed/>
    <w:qFormat/>
    <w:rsid w:val="000F6449"/>
    <w:pPr>
      <w:outlineLvl w:val="9"/>
    </w:pPr>
    <w:rPr>
      <w:lang w:val="en-US" w:eastAsia="en-US"/>
    </w:rPr>
  </w:style>
  <w:style w:type="paragraph" w:styleId="TOC1">
    <w:name w:val="toc 1"/>
    <w:basedOn w:val="Normal"/>
    <w:next w:val="Normal"/>
    <w:autoRedefine/>
    <w:uiPriority w:val="39"/>
    <w:unhideWhenUsed/>
    <w:rsid w:val="000F644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mc.ncbi.nlm.nih.gov/articles/PMC2652958/" TargetMode="External"/><Relationship Id="rId18" Type="http://schemas.openxmlformats.org/officeDocument/2006/relationships/hyperlink" Target="https://commonslibrary.parliament.uk/research-briefings/cbp-9854/" TargetMode="External"/><Relationship Id="rId26" Type="http://schemas.openxmlformats.org/officeDocument/2006/relationships/hyperlink" Target="https://pharmaceutical-journal.com/article/infographics/nhs70-major-moments-in-pharmacy-1948-2018" TargetMode="External"/><Relationship Id="rId3" Type="http://schemas.openxmlformats.org/officeDocument/2006/relationships/settings" Target="settings.xml"/><Relationship Id="rId21" Type="http://schemas.openxmlformats.org/officeDocument/2006/relationships/hyperlink" Target="https://sciencedirect.com/science/article/pii/S1476179306700908" TargetMode="Externa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hyperlink" Target="https://publications.parliament.uk/pa/cm5901/cmselect/cmhealth/566/report.html" TargetMode="External"/><Relationship Id="rId25" Type="http://schemas.openxmlformats.org/officeDocument/2006/relationships/hyperlink" Target="https://www.england.nhs.uk/mental-health/adults/cmhs/" TargetMode="External"/><Relationship Id="rId2" Type="http://schemas.openxmlformats.org/officeDocument/2006/relationships/styles" Target="styles.xml"/><Relationship Id="rId16" Type="http://schemas.openxmlformats.org/officeDocument/2006/relationships/hyperlink" Target="https://www.gov.uk/government/news/new-services-for-patients-under-record-pharmacy-funding-deal" TargetMode="External"/><Relationship Id="rId20" Type="http://schemas.openxmlformats.org/officeDocument/2006/relationships/hyperlink" Target="https://www.ncbi.nlm.nih.gov/pmc/articles/PMC1021442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24" Type="http://schemas.openxmlformats.org/officeDocument/2006/relationships/hyperlink" Target="https://www.england.nhs.uk/primary-care/pharmacy/pharmacy-services/pharmacy-first/" TargetMode="External"/><Relationship Id="rId5" Type="http://schemas.openxmlformats.org/officeDocument/2006/relationships/footnotes" Target="footnotes.xml"/><Relationship Id="rId15" Type="http://schemas.openxmlformats.org/officeDocument/2006/relationships/hyperlink" Target="https://cpe.org.uk/our-news/nearly-a-sixth-of-pharmacies-could-close-within-a-year-pressures-survey-indicates/" TargetMode="External"/><Relationship Id="rId23" Type="http://schemas.openxmlformats.org/officeDocument/2006/relationships/hyperlink" Target="https://www.medscape.com/viewarticle/pharmacies-warn-closures-funding-falls-short-2025a1000mql" TargetMode="Externa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commonslibrary.parliament.uk/research-briefings/cbp-7547/"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cqc.org.uk/publications/major-report/state-care/2024-2025/access/mh" TargetMode="External"/><Relationship Id="rId22" Type="http://schemas.openxmlformats.org/officeDocument/2006/relationships/hyperlink" Target="https://pmc.ncbi.nlm.nih.gov/articles/PMC11240127/" TargetMode="External"/><Relationship Id="rId27" Type="http://schemas.openxmlformats.org/officeDocument/2006/relationships/hyperlink" Target="https://pmc.ncbi.nlm.nih.gov/articles/PMC1082633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TotalTime>
  <Pages>1</Pages>
  <Words>1445</Words>
  <Characters>8243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Teodora Stoyanova Ganchevska (2532550)</cp:lastModifiedBy>
  <cp:revision>10</cp:revision>
  <dcterms:created xsi:type="dcterms:W3CDTF">2023-07-06T11:47:00Z</dcterms:created>
  <dcterms:modified xsi:type="dcterms:W3CDTF">2026-07-12T12:21:00Z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5953ac7e-dea2-4edd-a379-1d364d546b2e</vt:lpwstr>
  </property>
</Properties>
</file>