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drawings/drawing1.xml" ContentType="application/vnd.openxmlformats-officedocument.drawingml.chartshapes+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D374DE" w14:textId="77777777" w:rsidR="002A7944" w:rsidRDefault="002A7944" w:rsidP="002A7944">
      <w:pPr>
        <w:spacing w:after="0" w:line="240" w:lineRule="auto"/>
        <w:jc w:val="center"/>
        <w:rPr>
          <w:rFonts w:ascii="Calibri" w:hAnsi="Calibri" w:cs="Calibri"/>
          <w:bCs/>
          <w:color w:val="auto"/>
          <w:sz w:val="48"/>
          <w:szCs w:val="18"/>
        </w:rPr>
      </w:pPr>
    </w:p>
    <w:p w14:paraId="77D26BD4" w14:textId="53E48BC9" w:rsidR="002A7944" w:rsidRPr="000352BE" w:rsidRDefault="002A7944" w:rsidP="002A7944">
      <w:pPr>
        <w:spacing w:after="0" w:line="240" w:lineRule="auto"/>
        <w:jc w:val="center"/>
        <w:rPr>
          <w:rFonts w:ascii="Calibri" w:hAnsi="Calibri" w:cs="Calibri"/>
          <w:bCs/>
          <w:color w:val="auto"/>
          <w:sz w:val="48"/>
          <w:szCs w:val="18"/>
        </w:rPr>
      </w:pPr>
      <w:r w:rsidRPr="000352BE">
        <w:rPr>
          <w:rFonts w:ascii="Calibri" w:hAnsi="Calibri" w:cs="Calibri"/>
          <w:bCs/>
          <w:color w:val="auto"/>
          <w:sz w:val="48"/>
          <w:szCs w:val="18"/>
        </w:rPr>
        <w:t>How does the EYFS data compare to a standardised test for Physical Development</w:t>
      </w:r>
    </w:p>
    <w:p w14:paraId="5E7FA57D" w14:textId="77777777" w:rsidR="002A7944" w:rsidRPr="000352BE" w:rsidRDefault="002A7944" w:rsidP="002A7944">
      <w:pPr>
        <w:spacing w:after="0" w:line="240" w:lineRule="auto"/>
        <w:jc w:val="center"/>
        <w:rPr>
          <w:rFonts w:ascii="Calibri" w:hAnsi="Calibri" w:cs="Calibri"/>
          <w:bCs/>
          <w:color w:val="auto"/>
          <w:sz w:val="48"/>
          <w:szCs w:val="18"/>
        </w:rPr>
      </w:pPr>
    </w:p>
    <w:p w14:paraId="61FCA7D1" w14:textId="77777777" w:rsidR="002A7944" w:rsidRPr="000352BE" w:rsidRDefault="002A7944" w:rsidP="002A7944">
      <w:pPr>
        <w:spacing w:after="0" w:line="240" w:lineRule="auto"/>
        <w:jc w:val="center"/>
        <w:rPr>
          <w:rFonts w:ascii="Calibri" w:hAnsi="Calibri" w:cs="Calibri"/>
          <w:bCs/>
          <w:color w:val="auto"/>
          <w:sz w:val="48"/>
          <w:szCs w:val="18"/>
        </w:rPr>
      </w:pPr>
    </w:p>
    <w:p w14:paraId="34BEDCFC" w14:textId="77777777" w:rsidR="002A7944" w:rsidRPr="000352BE" w:rsidRDefault="002A7944" w:rsidP="002A7944">
      <w:pPr>
        <w:spacing w:after="0" w:line="240" w:lineRule="auto"/>
        <w:jc w:val="center"/>
        <w:rPr>
          <w:rFonts w:ascii="Calibri" w:hAnsi="Calibri" w:cs="Calibri"/>
          <w:bCs/>
          <w:color w:val="auto"/>
          <w:sz w:val="48"/>
          <w:szCs w:val="18"/>
        </w:rPr>
      </w:pPr>
    </w:p>
    <w:p w14:paraId="19308425" w14:textId="77777777" w:rsidR="002A7944" w:rsidRPr="000352BE" w:rsidRDefault="002A7944" w:rsidP="002A7944">
      <w:pPr>
        <w:spacing w:after="0" w:line="240" w:lineRule="auto"/>
        <w:jc w:val="center"/>
        <w:rPr>
          <w:rFonts w:ascii="Calibri" w:hAnsi="Calibri" w:cs="Calibri"/>
          <w:bCs/>
          <w:color w:val="auto"/>
          <w:sz w:val="48"/>
          <w:szCs w:val="18"/>
        </w:rPr>
      </w:pPr>
    </w:p>
    <w:p w14:paraId="754A35B0" w14:textId="77777777" w:rsidR="002A7944" w:rsidRPr="000352BE" w:rsidRDefault="002A7944" w:rsidP="002A7944">
      <w:pPr>
        <w:spacing w:after="0" w:line="240" w:lineRule="auto"/>
        <w:jc w:val="center"/>
        <w:rPr>
          <w:rFonts w:ascii="Calibri" w:hAnsi="Calibri" w:cs="Calibri"/>
          <w:bCs/>
          <w:color w:val="auto"/>
          <w:sz w:val="48"/>
          <w:szCs w:val="18"/>
        </w:rPr>
      </w:pPr>
    </w:p>
    <w:p w14:paraId="3AFA8E42" w14:textId="77777777" w:rsidR="002A7944" w:rsidRPr="000352BE" w:rsidRDefault="002A7944" w:rsidP="002A7944">
      <w:pPr>
        <w:spacing w:after="0" w:line="240" w:lineRule="auto"/>
        <w:jc w:val="center"/>
        <w:rPr>
          <w:rFonts w:ascii="Calibri" w:hAnsi="Calibri" w:cs="Calibri"/>
          <w:bCs/>
          <w:color w:val="auto"/>
          <w:sz w:val="48"/>
          <w:szCs w:val="18"/>
        </w:rPr>
      </w:pPr>
    </w:p>
    <w:p w14:paraId="3930546A" w14:textId="77777777" w:rsidR="002A7944" w:rsidRPr="000352BE" w:rsidRDefault="002A7944" w:rsidP="002A7944">
      <w:pPr>
        <w:spacing w:after="0" w:line="240" w:lineRule="auto"/>
        <w:jc w:val="center"/>
        <w:rPr>
          <w:rFonts w:ascii="Calibri" w:hAnsi="Calibri" w:cs="Calibri"/>
          <w:bCs/>
          <w:color w:val="auto"/>
          <w:sz w:val="48"/>
          <w:szCs w:val="18"/>
        </w:rPr>
      </w:pPr>
    </w:p>
    <w:p w14:paraId="0E234991" w14:textId="77777777" w:rsidR="002A7944" w:rsidRPr="000352BE" w:rsidRDefault="002A7944" w:rsidP="002A7944">
      <w:pPr>
        <w:spacing w:after="0" w:line="240" w:lineRule="auto"/>
        <w:rPr>
          <w:rFonts w:ascii="Calibri" w:hAnsi="Calibri" w:cs="Calibri"/>
          <w:bCs/>
          <w:color w:val="auto"/>
          <w:sz w:val="48"/>
          <w:szCs w:val="18"/>
        </w:rPr>
      </w:pPr>
    </w:p>
    <w:p w14:paraId="7AC9F818" w14:textId="77777777" w:rsidR="002A7944" w:rsidRPr="000352BE" w:rsidRDefault="002A7944" w:rsidP="002A7944">
      <w:pPr>
        <w:spacing w:after="0" w:line="240" w:lineRule="auto"/>
        <w:jc w:val="center"/>
        <w:rPr>
          <w:rFonts w:ascii="Calibri" w:hAnsi="Calibri" w:cs="Calibri"/>
          <w:bCs/>
          <w:color w:val="auto"/>
          <w:sz w:val="48"/>
          <w:szCs w:val="18"/>
        </w:rPr>
      </w:pPr>
    </w:p>
    <w:p w14:paraId="313FA84E" w14:textId="77777777" w:rsidR="002A7944" w:rsidRPr="000352BE" w:rsidRDefault="002A7944" w:rsidP="002A7944">
      <w:pPr>
        <w:spacing w:after="0" w:line="240" w:lineRule="auto"/>
        <w:jc w:val="center"/>
        <w:rPr>
          <w:rFonts w:ascii="Calibri" w:hAnsi="Calibri" w:cs="Calibri"/>
          <w:bCs/>
          <w:color w:val="auto"/>
          <w:sz w:val="48"/>
          <w:szCs w:val="18"/>
        </w:rPr>
      </w:pPr>
      <w:r w:rsidRPr="000352BE">
        <w:rPr>
          <w:rFonts w:ascii="Calibri" w:hAnsi="Calibri" w:cs="Calibri"/>
          <w:bCs/>
          <w:color w:val="auto"/>
          <w:sz w:val="48"/>
          <w:szCs w:val="18"/>
        </w:rPr>
        <w:t>Tom Feighan 2111499</w:t>
      </w:r>
    </w:p>
    <w:p w14:paraId="72288E47" w14:textId="77777777" w:rsidR="002A7944" w:rsidRPr="000352BE" w:rsidRDefault="002A7944" w:rsidP="002A7944">
      <w:pPr>
        <w:spacing w:after="0" w:line="240" w:lineRule="auto"/>
        <w:rPr>
          <w:rFonts w:ascii="Calibri" w:hAnsi="Calibri" w:cs="Calibri"/>
          <w:bCs/>
          <w:color w:val="auto"/>
          <w:sz w:val="48"/>
          <w:szCs w:val="18"/>
        </w:rPr>
      </w:pPr>
    </w:p>
    <w:p w14:paraId="18E720BF" w14:textId="77777777" w:rsidR="002A7944" w:rsidRPr="000352BE" w:rsidRDefault="002A7944" w:rsidP="002A7944">
      <w:pPr>
        <w:spacing w:after="0" w:line="240" w:lineRule="auto"/>
        <w:jc w:val="center"/>
        <w:rPr>
          <w:rFonts w:ascii="Calibri" w:hAnsi="Calibri" w:cs="Calibri"/>
          <w:bCs/>
          <w:color w:val="auto"/>
          <w:sz w:val="48"/>
          <w:szCs w:val="18"/>
        </w:rPr>
      </w:pPr>
    </w:p>
    <w:p w14:paraId="75E0090A" w14:textId="77777777" w:rsidR="002A7944" w:rsidRPr="000352BE" w:rsidRDefault="002A7944" w:rsidP="002A7944">
      <w:pPr>
        <w:spacing w:after="0" w:line="240" w:lineRule="auto"/>
        <w:jc w:val="center"/>
        <w:rPr>
          <w:rFonts w:ascii="Calibri" w:hAnsi="Calibri" w:cs="Calibri"/>
          <w:bCs/>
          <w:color w:val="auto"/>
          <w:sz w:val="48"/>
          <w:szCs w:val="18"/>
        </w:rPr>
      </w:pPr>
    </w:p>
    <w:p w14:paraId="2EC7B3AE" w14:textId="77777777" w:rsidR="002A7944" w:rsidRPr="000352BE" w:rsidRDefault="002A7944" w:rsidP="002A7944">
      <w:pPr>
        <w:spacing w:after="0" w:line="240" w:lineRule="auto"/>
        <w:jc w:val="center"/>
        <w:rPr>
          <w:rFonts w:ascii="Calibri" w:hAnsi="Calibri" w:cs="Calibri"/>
          <w:bCs/>
          <w:color w:val="auto"/>
          <w:sz w:val="48"/>
          <w:szCs w:val="18"/>
        </w:rPr>
      </w:pPr>
    </w:p>
    <w:p w14:paraId="3E44D52E" w14:textId="77777777" w:rsidR="002A7944" w:rsidRPr="000352BE" w:rsidRDefault="002A7944" w:rsidP="002A7944">
      <w:pPr>
        <w:spacing w:after="0" w:line="240" w:lineRule="auto"/>
        <w:jc w:val="center"/>
        <w:rPr>
          <w:rFonts w:ascii="Calibri" w:hAnsi="Calibri" w:cs="Calibri"/>
          <w:bCs/>
          <w:color w:val="auto"/>
          <w:sz w:val="48"/>
          <w:szCs w:val="18"/>
        </w:rPr>
      </w:pPr>
    </w:p>
    <w:p w14:paraId="71B31DAD" w14:textId="77777777" w:rsidR="002A7944" w:rsidRPr="000352BE" w:rsidRDefault="002A7944" w:rsidP="002A7944">
      <w:pPr>
        <w:spacing w:after="0" w:line="240" w:lineRule="auto"/>
        <w:jc w:val="center"/>
        <w:rPr>
          <w:rFonts w:ascii="Calibri" w:hAnsi="Calibri" w:cs="Calibri"/>
          <w:bCs/>
          <w:color w:val="auto"/>
          <w:sz w:val="48"/>
          <w:szCs w:val="18"/>
        </w:rPr>
      </w:pPr>
    </w:p>
    <w:p w14:paraId="7F865920" w14:textId="77777777" w:rsidR="002A7944" w:rsidRPr="000352BE" w:rsidRDefault="002A7944" w:rsidP="002A7944">
      <w:pPr>
        <w:spacing w:after="0" w:line="240" w:lineRule="auto"/>
        <w:jc w:val="center"/>
        <w:rPr>
          <w:rFonts w:ascii="Calibri" w:hAnsi="Calibri" w:cs="Calibri"/>
          <w:bCs/>
          <w:color w:val="auto"/>
          <w:sz w:val="48"/>
          <w:szCs w:val="18"/>
        </w:rPr>
      </w:pPr>
    </w:p>
    <w:p w14:paraId="60161463" w14:textId="77777777" w:rsidR="002A7944" w:rsidRPr="000352BE" w:rsidRDefault="002A7944" w:rsidP="002A7944">
      <w:pPr>
        <w:spacing w:after="0" w:line="240" w:lineRule="auto"/>
        <w:jc w:val="center"/>
        <w:rPr>
          <w:rFonts w:ascii="Calibri" w:hAnsi="Calibri" w:cs="Calibri"/>
          <w:bCs/>
          <w:color w:val="auto"/>
          <w:sz w:val="36"/>
          <w:szCs w:val="12"/>
        </w:rPr>
      </w:pPr>
    </w:p>
    <w:p w14:paraId="4A190C3B" w14:textId="77777777" w:rsidR="002A7944" w:rsidRPr="000352BE" w:rsidRDefault="002A7944" w:rsidP="002A7944">
      <w:pPr>
        <w:spacing w:after="0" w:line="240" w:lineRule="auto"/>
        <w:jc w:val="center"/>
        <w:rPr>
          <w:rFonts w:ascii="Calibri" w:hAnsi="Calibri" w:cs="Calibri"/>
          <w:bCs/>
          <w:color w:val="auto"/>
          <w:sz w:val="48"/>
          <w:szCs w:val="18"/>
        </w:rPr>
      </w:pPr>
      <w:r w:rsidRPr="000352BE">
        <w:rPr>
          <w:rFonts w:ascii="Calibri" w:hAnsi="Calibri" w:cs="Calibri"/>
          <w:bCs/>
          <w:color w:val="auto"/>
          <w:sz w:val="48"/>
          <w:szCs w:val="18"/>
        </w:rPr>
        <w:t>MA Physical Education, Sport and Physical Literacy</w:t>
      </w:r>
    </w:p>
    <w:p w14:paraId="3DF70D59" w14:textId="77777777" w:rsidR="002A7944" w:rsidRPr="000352BE" w:rsidRDefault="002A7944" w:rsidP="002A7944">
      <w:pPr>
        <w:spacing w:after="0" w:line="240" w:lineRule="auto"/>
        <w:jc w:val="center"/>
        <w:rPr>
          <w:rFonts w:ascii="Calibri" w:hAnsi="Calibri" w:cs="Calibri"/>
          <w:bCs/>
          <w:color w:val="auto"/>
          <w:sz w:val="48"/>
          <w:szCs w:val="18"/>
        </w:rPr>
      </w:pPr>
      <w:r w:rsidRPr="000352BE">
        <w:rPr>
          <w:rFonts w:ascii="Calibri" w:hAnsi="Calibri" w:cs="Calibri"/>
          <w:bCs/>
          <w:color w:val="auto"/>
          <w:sz w:val="48"/>
          <w:szCs w:val="18"/>
        </w:rPr>
        <w:t>University of Wales Trinty St David</w:t>
      </w:r>
    </w:p>
    <w:p w14:paraId="77967D22" w14:textId="42943541" w:rsidR="002A7944" w:rsidRDefault="002A7944" w:rsidP="009A402A">
      <w:pPr>
        <w:spacing w:after="0" w:line="240" w:lineRule="auto"/>
        <w:jc w:val="center"/>
        <w:rPr>
          <w:rFonts w:ascii="Calibri" w:hAnsi="Calibri" w:cs="Calibri"/>
          <w:bCs/>
          <w:color w:val="auto"/>
          <w:sz w:val="48"/>
          <w:szCs w:val="18"/>
        </w:rPr>
      </w:pPr>
      <w:r w:rsidRPr="000352BE">
        <w:rPr>
          <w:rFonts w:ascii="Calibri" w:hAnsi="Calibri" w:cs="Calibri"/>
          <w:bCs/>
          <w:color w:val="auto"/>
          <w:sz w:val="48"/>
          <w:szCs w:val="18"/>
        </w:rPr>
        <w:t>2025</w:t>
      </w:r>
    </w:p>
    <w:p w14:paraId="61F55EEC" w14:textId="1B6794E3" w:rsidR="002A7944" w:rsidRPr="009A402A" w:rsidRDefault="009A402A" w:rsidP="002A7944">
      <w:pPr>
        <w:spacing w:after="0" w:line="240" w:lineRule="auto"/>
        <w:jc w:val="center"/>
        <w:rPr>
          <w:rFonts w:ascii="Calibri" w:hAnsi="Calibri" w:cs="Calibri"/>
          <w:bCs/>
          <w:color w:val="auto"/>
          <w:sz w:val="24"/>
          <w:szCs w:val="6"/>
        </w:rPr>
      </w:pPr>
      <w:r w:rsidRPr="009A402A">
        <w:rPr>
          <w:rFonts w:ascii="Calibri" w:hAnsi="Calibri" w:cs="Calibri"/>
          <w:bCs/>
          <w:color w:val="auto"/>
          <w:sz w:val="24"/>
          <w:szCs w:val="6"/>
        </w:rPr>
        <w:t>Supervised by Dr Nalda Wainwright</w:t>
      </w:r>
    </w:p>
    <w:p w14:paraId="56EEB5CA" w14:textId="77777777" w:rsidR="002A7944" w:rsidRDefault="002A7944" w:rsidP="002A7944">
      <w:pPr>
        <w:spacing w:after="0" w:line="240" w:lineRule="auto"/>
        <w:jc w:val="center"/>
        <w:rPr>
          <w:rFonts w:ascii="Calibri" w:hAnsi="Calibri" w:cs="Calibri"/>
          <w:bCs/>
          <w:color w:val="auto"/>
          <w:sz w:val="48"/>
          <w:szCs w:val="18"/>
        </w:rPr>
      </w:pPr>
    </w:p>
    <w:p w14:paraId="08DCD015" w14:textId="77777777" w:rsidR="009A402A" w:rsidRDefault="009A402A" w:rsidP="002A7944">
      <w:pPr>
        <w:spacing w:after="0" w:line="240" w:lineRule="auto"/>
        <w:jc w:val="center"/>
        <w:rPr>
          <w:rFonts w:ascii="Calibri" w:hAnsi="Calibri" w:cs="Calibri"/>
          <w:bCs/>
          <w:color w:val="auto"/>
          <w:sz w:val="48"/>
          <w:szCs w:val="18"/>
        </w:rPr>
      </w:pPr>
    </w:p>
    <w:p w14:paraId="1A1CF124" w14:textId="77777777" w:rsidR="002A7944" w:rsidRPr="00DA53C0" w:rsidRDefault="002A7944" w:rsidP="002A7944">
      <w:pPr>
        <w:rPr>
          <w:rFonts w:ascii="Calibri" w:hAnsi="Calibri" w:cs="Calibri"/>
          <w:bCs/>
          <w:color w:val="auto"/>
          <w:sz w:val="32"/>
          <w:szCs w:val="24"/>
        </w:rPr>
      </w:pPr>
      <w:r w:rsidRPr="00DA53C0">
        <w:rPr>
          <w:rFonts w:ascii="Calibri" w:hAnsi="Calibri" w:cs="Calibri"/>
          <w:bCs/>
          <w:color w:val="auto"/>
          <w:sz w:val="44"/>
          <w:szCs w:val="16"/>
        </w:rPr>
        <w:lastRenderedPageBreak/>
        <w:t>CONTENTS</w:t>
      </w:r>
    </w:p>
    <w:p w14:paraId="635BAAB9" w14:textId="77777777" w:rsidR="002A7944" w:rsidRPr="000352BE" w:rsidRDefault="002A7944" w:rsidP="002A7944">
      <w:pPr>
        <w:spacing w:line="360" w:lineRule="auto"/>
        <w:ind w:right="-199"/>
        <w:rPr>
          <w:rFonts w:ascii="Calibri" w:hAnsi="Calibri" w:cs="Calibri"/>
          <w:b/>
          <w:color w:val="auto"/>
        </w:rPr>
      </w:pPr>
    </w:p>
    <w:tbl>
      <w:tblPr>
        <w:tblW w:w="107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776"/>
        <w:gridCol w:w="992"/>
      </w:tblGrid>
      <w:tr w:rsidR="00C71D52" w:rsidRPr="000352BE" w14:paraId="5FEA055D" w14:textId="77777777" w:rsidTr="00C71D52">
        <w:trPr>
          <w:trHeight w:val="624"/>
        </w:trPr>
        <w:tc>
          <w:tcPr>
            <w:tcW w:w="9776" w:type="dxa"/>
            <w:vAlign w:val="center"/>
          </w:tcPr>
          <w:p w14:paraId="4EB16155" w14:textId="77777777" w:rsidR="00C71D52" w:rsidRPr="000352BE" w:rsidRDefault="00C71D52" w:rsidP="00C71D52">
            <w:pPr>
              <w:spacing w:after="0" w:line="240" w:lineRule="auto"/>
              <w:ind w:right="144"/>
              <w:rPr>
                <w:rFonts w:ascii="Calibri" w:hAnsi="Calibri" w:cs="Calibri"/>
                <w:color w:val="auto"/>
                <w:sz w:val="22"/>
                <w:szCs w:val="22"/>
              </w:rPr>
            </w:pPr>
            <w:r w:rsidRPr="000352BE">
              <w:rPr>
                <w:rFonts w:ascii="Calibri" w:hAnsi="Calibri" w:cs="Calibri"/>
                <w:color w:val="auto"/>
                <w:sz w:val="22"/>
                <w:szCs w:val="22"/>
              </w:rPr>
              <w:t>Declaration</w:t>
            </w:r>
          </w:p>
        </w:tc>
        <w:tc>
          <w:tcPr>
            <w:tcW w:w="992" w:type="dxa"/>
            <w:vAlign w:val="center"/>
          </w:tcPr>
          <w:p w14:paraId="05EFE9D3" w14:textId="230A3669" w:rsidR="00C71D52" w:rsidRPr="00C71D52" w:rsidRDefault="00C71D52" w:rsidP="00C71D52">
            <w:pPr>
              <w:spacing w:after="0" w:line="240" w:lineRule="auto"/>
              <w:ind w:right="-199"/>
              <w:rPr>
                <w:rFonts w:ascii="Calibri" w:hAnsi="Calibri" w:cs="Calibri"/>
                <w:color w:val="auto"/>
                <w:sz w:val="22"/>
                <w:szCs w:val="22"/>
              </w:rPr>
            </w:pPr>
          </w:p>
        </w:tc>
      </w:tr>
      <w:tr w:rsidR="00C71D52" w:rsidRPr="000352BE" w14:paraId="2DA75DC6" w14:textId="77777777" w:rsidTr="00C71D52">
        <w:trPr>
          <w:trHeight w:val="624"/>
        </w:trPr>
        <w:tc>
          <w:tcPr>
            <w:tcW w:w="9776" w:type="dxa"/>
            <w:vAlign w:val="center"/>
          </w:tcPr>
          <w:p w14:paraId="2FDCA617" w14:textId="77777777" w:rsidR="00C71D52" w:rsidRPr="000352BE" w:rsidRDefault="00C71D52" w:rsidP="00C71D52">
            <w:pPr>
              <w:spacing w:after="0" w:line="240" w:lineRule="auto"/>
              <w:ind w:right="144"/>
              <w:rPr>
                <w:rFonts w:ascii="Calibri" w:hAnsi="Calibri" w:cs="Calibri"/>
                <w:color w:val="auto"/>
                <w:sz w:val="22"/>
                <w:szCs w:val="22"/>
              </w:rPr>
            </w:pPr>
            <w:r w:rsidRPr="000352BE">
              <w:rPr>
                <w:rFonts w:ascii="Calibri" w:hAnsi="Calibri" w:cs="Calibri"/>
                <w:color w:val="auto"/>
                <w:sz w:val="22"/>
                <w:szCs w:val="22"/>
              </w:rPr>
              <w:t>Abstract</w:t>
            </w:r>
          </w:p>
        </w:tc>
        <w:tc>
          <w:tcPr>
            <w:tcW w:w="992" w:type="dxa"/>
            <w:vAlign w:val="center"/>
          </w:tcPr>
          <w:p w14:paraId="3EDC8A03" w14:textId="6808574E" w:rsidR="00C71D52" w:rsidRPr="00C71D52" w:rsidRDefault="00C71D52" w:rsidP="00C71D52">
            <w:pPr>
              <w:spacing w:after="0" w:line="240" w:lineRule="auto"/>
              <w:ind w:right="-199"/>
              <w:rPr>
                <w:rFonts w:ascii="Calibri" w:hAnsi="Calibri" w:cs="Calibri"/>
                <w:color w:val="auto"/>
                <w:sz w:val="22"/>
                <w:szCs w:val="22"/>
              </w:rPr>
            </w:pPr>
            <w:r w:rsidRPr="00242478">
              <w:rPr>
                <w:rFonts w:ascii="Calibri" w:hAnsi="Calibri" w:cs="Calibri"/>
                <w:color w:val="auto"/>
                <w:sz w:val="22"/>
                <w:szCs w:val="22"/>
              </w:rPr>
              <w:t xml:space="preserve">Page </w:t>
            </w:r>
            <w:r w:rsidR="00323DD9">
              <w:rPr>
                <w:rFonts w:ascii="Calibri" w:hAnsi="Calibri" w:cs="Calibri"/>
                <w:color w:val="auto"/>
                <w:sz w:val="22"/>
                <w:szCs w:val="22"/>
              </w:rPr>
              <w:t>1</w:t>
            </w:r>
          </w:p>
        </w:tc>
      </w:tr>
      <w:tr w:rsidR="00C71D52" w:rsidRPr="000352BE" w14:paraId="2C0297D1" w14:textId="77777777" w:rsidTr="00C71D52">
        <w:trPr>
          <w:trHeight w:val="624"/>
        </w:trPr>
        <w:tc>
          <w:tcPr>
            <w:tcW w:w="9776" w:type="dxa"/>
            <w:vAlign w:val="center"/>
          </w:tcPr>
          <w:p w14:paraId="08C52FC1" w14:textId="77777777" w:rsidR="00C71D52" w:rsidRPr="000352BE" w:rsidRDefault="00C71D52" w:rsidP="00C71D52">
            <w:pPr>
              <w:spacing w:after="0" w:line="240" w:lineRule="auto"/>
              <w:ind w:right="144"/>
              <w:rPr>
                <w:rFonts w:ascii="Calibri" w:hAnsi="Calibri" w:cs="Calibri"/>
                <w:color w:val="auto"/>
                <w:sz w:val="22"/>
                <w:szCs w:val="22"/>
              </w:rPr>
            </w:pPr>
            <w:r w:rsidRPr="000352BE">
              <w:rPr>
                <w:rFonts w:ascii="Calibri" w:hAnsi="Calibri" w:cs="Calibri"/>
                <w:color w:val="auto"/>
                <w:sz w:val="22"/>
                <w:szCs w:val="22"/>
              </w:rPr>
              <w:t>Acknowledgements</w:t>
            </w:r>
          </w:p>
        </w:tc>
        <w:tc>
          <w:tcPr>
            <w:tcW w:w="992" w:type="dxa"/>
            <w:vAlign w:val="center"/>
          </w:tcPr>
          <w:p w14:paraId="0FC5A2C8" w14:textId="331FDA59" w:rsidR="00C71D52" w:rsidRPr="00C71D52" w:rsidRDefault="00C71D52" w:rsidP="00C71D52">
            <w:pPr>
              <w:spacing w:after="0" w:line="240" w:lineRule="auto"/>
              <w:ind w:right="-199"/>
              <w:rPr>
                <w:rFonts w:ascii="Calibri" w:hAnsi="Calibri" w:cs="Calibri"/>
                <w:color w:val="auto"/>
                <w:sz w:val="22"/>
                <w:szCs w:val="22"/>
              </w:rPr>
            </w:pPr>
            <w:r w:rsidRPr="00242478">
              <w:rPr>
                <w:rFonts w:ascii="Calibri" w:hAnsi="Calibri" w:cs="Calibri"/>
                <w:color w:val="auto"/>
                <w:sz w:val="22"/>
                <w:szCs w:val="22"/>
              </w:rPr>
              <w:t xml:space="preserve">Page </w:t>
            </w:r>
            <w:r w:rsidR="00323DD9">
              <w:rPr>
                <w:rFonts w:ascii="Calibri" w:hAnsi="Calibri" w:cs="Calibri"/>
                <w:color w:val="auto"/>
                <w:sz w:val="22"/>
                <w:szCs w:val="22"/>
              </w:rPr>
              <w:t>2</w:t>
            </w:r>
          </w:p>
        </w:tc>
      </w:tr>
      <w:tr w:rsidR="00C71D52" w:rsidRPr="000352BE" w14:paraId="5B645A31" w14:textId="77777777" w:rsidTr="00C71D52">
        <w:trPr>
          <w:trHeight w:val="624"/>
        </w:trPr>
        <w:tc>
          <w:tcPr>
            <w:tcW w:w="9776" w:type="dxa"/>
            <w:vAlign w:val="center"/>
          </w:tcPr>
          <w:p w14:paraId="7A86F980" w14:textId="77777777" w:rsidR="00C71D52" w:rsidRPr="000352BE" w:rsidRDefault="00C71D52" w:rsidP="00C71D52">
            <w:pPr>
              <w:spacing w:after="0" w:line="240" w:lineRule="auto"/>
              <w:ind w:right="144"/>
              <w:rPr>
                <w:rFonts w:ascii="Calibri" w:hAnsi="Calibri" w:cs="Calibri"/>
                <w:color w:val="auto"/>
                <w:sz w:val="22"/>
                <w:szCs w:val="22"/>
              </w:rPr>
            </w:pPr>
            <w:r w:rsidRPr="000352BE">
              <w:rPr>
                <w:rFonts w:ascii="Calibri" w:hAnsi="Calibri" w:cs="Calibri"/>
                <w:color w:val="auto"/>
                <w:sz w:val="22"/>
                <w:szCs w:val="22"/>
              </w:rPr>
              <w:t>Glossary of terms</w:t>
            </w:r>
          </w:p>
        </w:tc>
        <w:tc>
          <w:tcPr>
            <w:tcW w:w="992" w:type="dxa"/>
            <w:vAlign w:val="center"/>
          </w:tcPr>
          <w:p w14:paraId="271E95C4" w14:textId="17FBD4CF" w:rsidR="00C71D52" w:rsidRPr="00C71D52" w:rsidRDefault="00C71D52" w:rsidP="00C71D52">
            <w:pPr>
              <w:spacing w:after="0" w:line="240" w:lineRule="auto"/>
              <w:ind w:right="-199"/>
              <w:rPr>
                <w:rFonts w:ascii="Calibri" w:hAnsi="Calibri" w:cs="Calibri"/>
                <w:color w:val="auto"/>
                <w:sz w:val="22"/>
                <w:szCs w:val="22"/>
              </w:rPr>
            </w:pPr>
            <w:r w:rsidRPr="00242478">
              <w:rPr>
                <w:rFonts w:ascii="Calibri" w:hAnsi="Calibri" w:cs="Calibri"/>
                <w:color w:val="auto"/>
                <w:sz w:val="22"/>
                <w:szCs w:val="22"/>
              </w:rPr>
              <w:t xml:space="preserve">Page </w:t>
            </w:r>
            <w:r w:rsidR="00323DD9">
              <w:rPr>
                <w:rFonts w:ascii="Calibri" w:hAnsi="Calibri" w:cs="Calibri"/>
                <w:color w:val="auto"/>
                <w:sz w:val="22"/>
                <w:szCs w:val="22"/>
              </w:rPr>
              <w:t>3</w:t>
            </w:r>
          </w:p>
        </w:tc>
      </w:tr>
      <w:tr w:rsidR="00C71D52" w:rsidRPr="000352BE" w14:paraId="47253638" w14:textId="77777777" w:rsidTr="00C71D52">
        <w:trPr>
          <w:trHeight w:val="624"/>
        </w:trPr>
        <w:tc>
          <w:tcPr>
            <w:tcW w:w="9776" w:type="dxa"/>
            <w:vAlign w:val="center"/>
          </w:tcPr>
          <w:p w14:paraId="33E4E969" w14:textId="77777777" w:rsidR="00C71D52" w:rsidRPr="000352BE" w:rsidRDefault="00C71D52" w:rsidP="00C71D52">
            <w:pPr>
              <w:spacing w:after="0" w:line="240" w:lineRule="auto"/>
              <w:ind w:right="144"/>
              <w:rPr>
                <w:rFonts w:ascii="Calibri" w:hAnsi="Calibri" w:cs="Calibri"/>
                <w:color w:val="auto"/>
                <w:sz w:val="22"/>
                <w:szCs w:val="22"/>
              </w:rPr>
            </w:pPr>
            <w:r w:rsidRPr="000352BE">
              <w:rPr>
                <w:rFonts w:ascii="Calibri" w:hAnsi="Calibri" w:cs="Calibri"/>
                <w:color w:val="auto"/>
                <w:sz w:val="22"/>
                <w:szCs w:val="22"/>
              </w:rPr>
              <w:t>List of Tables (if applicable)</w:t>
            </w:r>
          </w:p>
        </w:tc>
        <w:tc>
          <w:tcPr>
            <w:tcW w:w="992" w:type="dxa"/>
            <w:vAlign w:val="center"/>
          </w:tcPr>
          <w:p w14:paraId="6FDB324A" w14:textId="13258DD0" w:rsidR="00C71D52" w:rsidRPr="00C71D52" w:rsidRDefault="00C71D52" w:rsidP="00C71D52">
            <w:pPr>
              <w:spacing w:after="0" w:line="240" w:lineRule="auto"/>
              <w:ind w:right="-199"/>
              <w:rPr>
                <w:rFonts w:ascii="Calibri" w:hAnsi="Calibri" w:cs="Calibri"/>
                <w:color w:val="auto"/>
                <w:sz w:val="22"/>
                <w:szCs w:val="22"/>
              </w:rPr>
            </w:pPr>
            <w:r w:rsidRPr="00242478">
              <w:rPr>
                <w:rFonts w:ascii="Calibri" w:hAnsi="Calibri" w:cs="Calibri"/>
                <w:color w:val="auto"/>
                <w:sz w:val="22"/>
                <w:szCs w:val="22"/>
              </w:rPr>
              <w:t xml:space="preserve">Page </w:t>
            </w:r>
            <w:r w:rsidR="00323DD9">
              <w:rPr>
                <w:rFonts w:ascii="Calibri" w:hAnsi="Calibri" w:cs="Calibri"/>
                <w:color w:val="auto"/>
                <w:sz w:val="22"/>
                <w:szCs w:val="22"/>
              </w:rPr>
              <w:t>3</w:t>
            </w:r>
          </w:p>
        </w:tc>
      </w:tr>
      <w:tr w:rsidR="00C71D52" w:rsidRPr="000352BE" w14:paraId="1C6AA19B" w14:textId="77777777" w:rsidTr="00C71D52">
        <w:trPr>
          <w:trHeight w:val="624"/>
        </w:trPr>
        <w:tc>
          <w:tcPr>
            <w:tcW w:w="9776" w:type="dxa"/>
            <w:vAlign w:val="center"/>
          </w:tcPr>
          <w:p w14:paraId="3632AF4D" w14:textId="77777777" w:rsidR="00C71D52" w:rsidRPr="000352BE" w:rsidRDefault="00C71D52" w:rsidP="002030F9">
            <w:pPr>
              <w:spacing w:after="0" w:line="240" w:lineRule="auto"/>
              <w:ind w:right="144"/>
              <w:rPr>
                <w:rFonts w:ascii="Calibri" w:hAnsi="Calibri" w:cs="Calibri"/>
                <w:color w:val="auto"/>
                <w:sz w:val="22"/>
                <w:szCs w:val="22"/>
              </w:rPr>
            </w:pPr>
            <w:r w:rsidRPr="000352BE">
              <w:rPr>
                <w:rFonts w:ascii="Calibri" w:hAnsi="Calibri" w:cs="Calibri"/>
                <w:color w:val="auto"/>
                <w:sz w:val="22"/>
                <w:szCs w:val="22"/>
              </w:rPr>
              <w:t>Chapter 1: Introduction</w:t>
            </w:r>
          </w:p>
        </w:tc>
        <w:tc>
          <w:tcPr>
            <w:tcW w:w="992" w:type="dxa"/>
            <w:vAlign w:val="center"/>
          </w:tcPr>
          <w:p w14:paraId="517BFB75" w14:textId="656B8E37" w:rsidR="00C71D52" w:rsidRPr="00C71D52" w:rsidRDefault="00C71D52" w:rsidP="00C71D52">
            <w:pPr>
              <w:spacing w:after="0" w:line="240" w:lineRule="auto"/>
              <w:ind w:right="-199"/>
              <w:rPr>
                <w:rFonts w:ascii="Calibri" w:hAnsi="Calibri" w:cs="Calibri"/>
                <w:color w:val="auto"/>
                <w:sz w:val="22"/>
                <w:szCs w:val="22"/>
              </w:rPr>
            </w:pPr>
            <w:r w:rsidRPr="00242478">
              <w:rPr>
                <w:rFonts w:ascii="Calibri" w:hAnsi="Calibri" w:cs="Calibri"/>
                <w:color w:val="auto"/>
                <w:sz w:val="22"/>
                <w:szCs w:val="22"/>
              </w:rPr>
              <w:t xml:space="preserve">Page </w:t>
            </w:r>
            <w:r w:rsidR="00323DD9">
              <w:rPr>
                <w:rFonts w:ascii="Calibri" w:hAnsi="Calibri" w:cs="Calibri"/>
                <w:color w:val="auto"/>
                <w:sz w:val="22"/>
                <w:szCs w:val="22"/>
              </w:rPr>
              <w:t>4</w:t>
            </w:r>
          </w:p>
        </w:tc>
      </w:tr>
      <w:tr w:rsidR="00C71D52" w:rsidRPr="000352BE" w14:paraId="5D06CE51" w14:textId="77777777" w:rsidTr="00C71D52">
        <w:trPr>
          <w:trHeight w:val="624"/>
        </w:trPr>
        <w:tc>
          <w:tcPr>
            <w:tcW w:w="9776" w:type="dxa"/>
            <w:vAlign w:val="center"/>
          </w:tcPr>
          <w:p w14:paraId="41C67294" w14:textId="6545CB04" w:rsidR="00C71D52" w:rsidRPr="000352BE" w:rsidRDefault="00C71D52" w:rsidP="002030F9">
            <w:pPr>
              <w:spacing w:after="0" w:line="240" w:lineRule="auto"/>
              <w:ind w:right="144"/>
              <w:rPr>
                <w:rFonts w:ascii="Calibri" w:hAnsi="Calibri" w:cs="Calibri"/>
                <w:color w:val="auto"/>
                <w:sz w:val="22"/>
                <w:szCs w:val="22"/>
              </w:rPr>
            </w:pPr>
            <w:r w:rsidRPr="000352BE">
              <w:rPr>
                <w:rFonts w:ascii="Calibri" w:hAnsi="Calibri" w:cs="Calibri"/>
                <w:color w:val="auto"/>
                <w:sz w:val="22"/>
                <w:szCs w:val="22"/>
              </w:rPr>
              <w:t xml:space="preserve">Chapter 2: </w:t>
            </w:r>
            <w:r w:rsidR="005B19DC" w:rsidRPr="000352BE">
              <w:rPr>
                <w:rFonts w:ascii="Calibri" w:hAnsi="Calibri" w:cs="Calibri"/>
                <w:color w:val="auto"/>
                <w:sz w:val="22"/>
                <w:szCs w:val="22"/>
              </w:rPr>
              <w:t>Review of literature</w:t>
            </w:r>
          </w:p>
        </w:tc>
        <w:tc>
          <w:tcPr>
            <w:tcW w:w="992" w:type="dxa"/>
            <w:vAlign w:val="center"/>
          </w:tcPr>
          <w:p w14:paraId="7526653D" w14:textId="03EAE54E" w:rsidR="00C71D52" w:rsidRPr="00C71D52" w:rsidRDefault="00C71D52" w:rsidP="00C71D52">
            <w:pPr>
              <w:spacing w:after="0" w:line="240" w:lineRule="auto"/>
              <w:ind w:right="-199"/>
              <w:rPr>
                <w:rFonts w:ascii="Calibri" w:hAnsi="Calibri" w:cs="Calibri"/>
                <w:color w:val="auto"/>
                <w:sz w:val="22"/>
                <w:szCs w:val="22"/>
              </w:rPr>
            </w:pPr>
            <w:r w:rsidRPr="00242478">
              <w:rPr>
                <w:rFonts w:ascii="Calibri" w:hAnsi="Calibri" w:cs="Calibri"/>
                <w:color w:val="auto"/>
                <w:sz w:val="22"/>
                <w:szCs w:val="22"/>
              </w:rPr>
              <w:t xml:space="preserve">Page </w:t>
            </w:r>
            <w:r w:rsidR="00323DD9">
              <w:rPr>
                <w:rFonts w:ascii="Calibri" w:hAnsi="Calibri" w:cs="Calibri"/>
                <w:color w:val="auto"/>
                <w:sz w:val="22"/>
                <w:szCs w:val="22"/>
              </w:rPr>
              <w:t>6</w:t>
            </w:r>
          </w:p>
        </w:tc>
      </w:tr>
      <w:tr w:rsidR="005B19DC" w:rsidRPr="000352BE" w14:paraId="6DE8053F" w14:textId="77777777" w:rsidTr="005B19DC">
        <w:trPr>
          <w:trHeight w:val="624"/>
        </w:trPr>
        <w:tc>
          <w:tcPr>
            <w:tcW w:w="9776" w:type="dxa"/>
            <w:vAlign w:val="center"/>
          </w:tcPr>
          <w:p w14:paraId="6925EEB0" w14:textId="418A427A" w:rsidR="005B19DC" w:rsidRPr="000352BE" w:rsidRDefault="005B19DC" w:rsidP="005B19DC">
            <w:pPr>
              <w:spacing w:after="0" w:line="240" w:lineRule="auto"/>
              <w:ind w:right="144"/>
              <w:rPr>
                <w:rFonts w:ascii="Calibri" w:hAnsi="Calibri" w:cs="Calibri"/>
                <w:color w:val="auto"/>
                <w:sz w:val="22"/>
                <w:szCs w:val="22"/>
              </w:rPr>
            </w:pPr>
            <w:r w:rsidRPr="000352BE">
              <w:rPr>
                <w:rFonts w:ascii="Calibri" w:hAnsi="Calibri" w:cs="Calibri"/>
                <w:color w:val="auto"/>
                <w:sz w:val="22"/>
                <w:szCs w:val="22"/>
              </w:rPr>
              <w:t xml:space="preserve">Chapter 3: </w:t>
            </w:r>
            <w:r w:rsidRPr="000352BE">
              <w:rPr>
                <w:rFonts w:ascii="Calibri" w:hAnsi="Calibri" w:cs="Calibri"/>
                <w:color w:val="auto"/>
                <w:sz w:val="22"/>
                <w:szCs w:val="22"/>
              </w:rPr>
              <w:t>Methodology</w:t>
            </w:r>
          </w:p>
        </w:tc>
        <w:tc>
          <w:tcPr>
            <w:tcW w:w="992" w:type="dxa"/>
            <w:vAlign w:val="center"/>
          </w:tcPr>
          <w:p w14:paraId="6F42BA0A" w14:textId="13A7FC43" w:rsidR="005B19DC" w:rsidRPr="00C71D52" w:rsidRDefault="005B19DC" w:rsidP="005B19DC">
            <w:pPr>
              <w:spacing w:after="0" w:line="240" w:lineRule="auto"/>
              <w:ind w:right="-199"/>
              <w:rPr>
                <w:rFonts w:ascii="Calibri" w:hAnsi="Calibri" w:cs="Calibri"/>
                <w:color w:val="auto"/>
                <w:sz w:val="22"/>
                <w:szCs w:val="22"/>
              </w:rPr>
            </w:pPr>
            <w:r w:rsidRPr="002330FF">
              <w:rPr>
                <w:rFonts w:ascii="Calibri" w:hAnsi="Calibri" w:cs="Calibri"/>
                <w:color w:val="auto"/>
                <w:sz w:val="22"/>
                <w:szCs w:val="22"/>
              </w:rPr>
              <w:t>Page</w:t>
            </w:r>
            <w:r w:rsidR="00A97298">
              <w:rPr>
                <w:rFonts w:ascii="Calibri" w:hAnsi="Calibri" w:cs="Calibri"/>
                <w:color w:val="auto"/>
                <w:sz w:val="22"/>
                <w:szCs w:val="22"/>
              </w:rPr>
              <w:t xml:space="preserve"> 11</w:t>
            </w:r>
            <w:r w:rsidRPr="002330FF">
              <w:rPr>
                <w:rFonts w:ascii="Calibri" w:hAnsi="Calibri" w:cs="Calibri"/>
                <w:color w:val="auto"/>
                <w:sz w:val="22"/>
                <w:szCs w:val="22"/>
              </w:rPr>
              <w:t xml:space="preserve"> </w:t>
            </w:r>
          </w:p>
        </w:tc>
      </w:tr>
      <w:tr w:rsidR="005B19DC" w:rsidRPr="000352BE" w14:paraId="1B69FE42" w14:textId="77777777" w:rsidTr="005B19DC">
        <w:trPr>
          <w:trHeight w:val="624"/>
        </w:trPr>
        <w:tc>
          <w:tcPr>
            <w:tcW w:w="9776" w:type="dxa"/>
            <w:vAlign w:val="center"/>
          </w:tcPr>
          <w:p w14:paraId="020187AC" w14:textId="6CEDC1E0" w:rsidR="005B19DC" w:rsidRPr="000352BE" w:rsidRDefault="005B19DC" w:rsidP="005B19DC">
            <w:pPr>
              <w:spacing w:after="0" w:line="240" w:lineRule="auto"/>
              <w:ind w:right="144"/>
              <w:rPr>
                <w:rFonts w:ascii="Calibri" w:hAnsi="Calibri" w:cs="Calibri"/>
                <w:color w:val="auto"/>
                <w:sz w:val="22"/>
                <w:szCs w:val="22"/>
              </w:rPr>
            </w:pPr>
            <w:r w:rsidRPr="000352BE">
              <w:rPr>
                <w:rFonts w:ascii="Calibri" w:hAnsi="Calibri" w:cs="Calibri"/>
                <w:color w:val="auto"/>
                <w:sz w:val="22"/>
                <w:szCs w:val="22"/>
              </w:rPr>
              <w:t>Chapter 4</w:t>
            </w:r>
            <w:r>
              <w:rPr>
                <w:rFonts w:ascii="Calibri" w:hAnsi="Calibri" w:cs="Calibri"/>
                <w:color w:val="auto"/>
                <w:sz w:val="22"/>
                <w:szCs w:val="22"/>
              </w:rPr>
              <w:t>: Results</w:t>
            </w:r>
          </w:p>
        </w:tc>
        <w:tc>
          <w:tcPr>
            <w:tcW w:w="992" w:type="dxa"/>
            <w:vAlign w:val="center"/>
          </w:tcPr>
          <w:p w14:paraId="0FBE87BC" w14:textId="4D9E03DE" w:rsidR="005B19DC" w:rsidRDefault="005B19DC" w:rsidP="005B19DC">
            <w:pPr>
              <w:spacing w:after="0" w:line="240" w:lineRule="auto"/>
              <w:ind w:right="-199"/>
              <w:rPr>
                <w:rFonts w:ascii="Calibri" w:hAnsi="Calibri" w:cs="Calibri"/>
                <w:color w:val="auto"/>
                <w:sz w:val="22"/>
                <w:szCs w:val="22"/>
              </w:rPr>
            </w:pPr>
            <w:r w:rsidRPr="002330FF">
              <w:rPr>
                <w:rFonts w:ascii="Calibri" w:hAnsi="Calibri" w:cs="Calibri"/>
                <w:color w:val="auto"/>
                <w:sz w:val="22"/>
                <w:szCs w:val="22"/>
              </w:rPr>
              <w:t xml:space="preserve">Page </w:t>
            </w:r>
            <w:r w:rsidR="00A97298">
              <w:rPr>
                <w:rFonts w:ascii="Calibri" w:hAnsi="Calibri" w:cs="Calibri"/>
                <w:color w:val="auto"/>
                <w:sz w:val="22"/>
                <w:szCs w:val="22"/>
              </w:rPr>
              <w:t>15</w:t>
            </w:r>
          </w:p>
        </w:tc>
      </w:tr>
      <w:tr w:rsidR="005B19DC" w:rsidRPr="000352BE" w14:paraId="493B6C8D" w14:textId="77777777" w:rsidTr="005B19DC">
        <w:trPr>
          <w:trHeight w:val="624"/>
        </w:trPr>
        <w:tc>
          <w:tcPr>
            <w:tcW w:w="9776" w:type="dxa"/>
            <w:vAlign w:val="center"/>
          </w:tcPr>
          <w:p w14:paraId="791E2636" w14:textId="6FCF16E3" w:rsidR="005B19DC" w:rsidRPr="000352BE" w:rsidRDefault="005B19DC" w:rsidP="005B19DC">
            <w:pPr>
              <w:spacing w:after="0" w:line="240" w:lineRule="auto"/>
              <w:ind w:right="144"/>
              <w:rPr>
                <w:rFonts w:ascii="Calibri" w:hAnsi="Calibri" w:cs="Calibri"/>
                <w:color w:val="auto"/>
                <w:sz w:val="22"/>
                <w:szCs w:val="22"/>
              </w:rPr>
            </w:pPr>
            <w:r w:rsidRPr="000352BE">
              <w:rPr>
                <w:rFonts w:ascii="Calibri" w:hAnsi="Calibri" w:cs="Calibri"/>
                <w:color w:val="auto"/>
                <w:sz w:val="22"/>
                <w:szCs w:val="22"/>
              </w:rPr>
              <w:t xml:space="preserve">Chapter 5: </w:t>
            </w:r>
            <w:r>
              <w:rPr>
                <w:rFonts w:ascii="Calibri" w:hAnsi="Calibri" w:cs="Calibri"/>
                <w:color w:val="auto"/>
                <w:sz w:val="22"/>
                <w:szCs w:val="22"/>
              </w:rPr>
              <w:t>D</w:t>
            </w:r>
            <w:r w:rsidRPr="000352BE">
              <w:rPr>
                <w:rFonts w:ascii="Calibri" w:hAnsi="Calibri" w:cs="Calibri"/>
                <w:color w:val="auto"/>
                <w:sz w:val="22"/>
                <w:szCs w:val="22"/>
              </w:rPr>
              <w:t>iscussion</w:t>
            </w:r>
          </w:p>
        </w:tc>
        <w:tc>
          <w:tcPr>
            <w:tcW w:w="992" w:type="dxa"/>
            <w:vAlign w:val="center"/>
          </w:tcPr>
          <w:p w14:paraId="14ACEE37" w14:textId="2C5EEE45" w:rsidR="005B19DC" w:rsidRPr="00C71D52" w:rsidRDefault="005B19DC" w:rsidP="005B19DC">
            <w:pPr>
              <w:spacing w:after="0" w:line="240" w:lineRule="auto"/>
              <w:ind w:right="-199"/>
              <w:rPr>
                <w:rFonts w:ascii="Calibri" w:hAnsi="Calibri" w:cs="Calibri"/>
                <w:color w:val="auto"/>
                <w:sz w:val="22"/>
                <w:szCs w:val="22"/>
              </w:rPr>
            </w:pPr>
            <w:r w:rsidRPr="002330FF">
              <w:rPr>
                <w:rFonts w:ascii="Calibri" w:hAnsi="Calibri" w:cs="Calibri"/>
                <w:color w:val="auto"/>
                <w:sz w:val="22"/>
                <w:szCs w:val="22"/>
              </w:rPr>
              <w:t xml:space="preserve">Page </w:t>
            </w:r>
            <w:r w:rsidR="00A97298">
              <w:rPr>
                <w:rFonts w:ascii="Calibri" w:hAnsi="Calibri" w:cs="Calibri"/>
                <w:color w:val="auto"/>
                <w:sz w:val="22"/>
                <w:szCs w:val="22"/>
              </w:rPr>
              <w:t>25</w:t>
            </w:r>
          </w:p>
        </w:tc>
      </w:tr>
      <w:tr w:rsidR="005B19DC" w:rsidRPr="000352BE" w14:paraId="4EDDF6AC" w14:textId="77777777" w:rsidTr="005B19DC">
        <w:trPr>
          <w:trHeight w:val="624"/>
        </w:trPr>
        <w:tc>
          <w:tcPr>
            <w:tcW w:w="9776" w:type="dxa"/>
            <w:vAlign w:val="center"/>
          </w:tcPr>
          <w:p w14:paraId="07C03C63" w14:textId="10B6C7DE" w:rsidR="005B19DC" w:rsidRPr="000352BE" w:rsidRDefault="005B19DC" w:rsidP="005B19DC">
            <w:pPr>
              <w:spacing w:after="0" w:line="240" w:lineRule="auto"/>
              <w:ind w:right="144"/>
              <w:rPr>
                <w:rFonts w:ascii="Calibri" w:hAnsi="Calibri" w:cs="Calibri"/>
                <w:color w:val="auto"/>
                <w:sz w:val="22"/>
                <w:szCs w:val="22"/>
              </w:rPr>
            </w:pPr>
            <w:r w:rsidRPr="000352BE">
              <w:rPr>
                <w:rFonts w:ascii="Calibri" w:hAnsi="Calibri" w:cs="Calibri"/>
                <w:color w:val="auto"/>
                <w:sz w:val="22"/>
                <w:szCs w:val="22"/>
              </w:rPr>
              <w:t xml:space="preserve">Chapter </w:t>
            </w:r>
            <w:r>
              <w:rPr>
                <w:rFonts w:ascii="Calibri" w:hAnsi="Calibri" w:cs="Calibri"/>
                <w:color w:val="auto"/>
                <w:sz w:val="22"/>
                <w:szCs w:val="22"/>
              </w:rPr>
              <w:t>6</w:t>
            </w:r>
            <w:r w:rsidRPr="000352BE">
              <w:rPr>
                <w:rFonts w:ascii="Calibri" w:hAnsi="Calibri" w:cs="Calibri"/>
                <w:color w:val="auto"/>
                <w:sz w:val="22"/>
                <w:szCs w:val="22"/>
              </w:rPr>
              <w:t>: Conclusion</w:t>
            </w:r>
          </w:p>
        </w:tc>
        <w:tc>
          <w:tcPr>
            <w:tcW w:w="992" w:type="dxa"/>
            <w:vAlign w:val="center"/>
          </w:tcPr>
          <w:p w14:paraId="74D9494D" w14:textId="5F7700EC" w:rsidR="005B19DC" w:rsidRPr="00C71D52" w:rsidRDefault="005B19DC" w:rsidP="005B19DC">
            <w:pPr>
              <w:spacing w:after="0" w:line="240" w:lineRule="auto"/>
              <w:ind w:right="-199"/>
              <w:rPr>
                <w:rFonts w:ascii="Calibri" w:hAnsi="Calibri" w:cs="Calibri"/>
                <w:color w:val="auto"/>
                <w:sz w:val="22"/>
                <w:szCs w:val="22"/>
              </w:rPr>
            </w:pPr>
            <w:r w:rsidRPr="002330FF">
              <w:rPr>
                <w:rFonts w:ascii="Calibri" w:hAnsi="Calibri" w:cs="Calibri"/>
                <w:color w:val="auto"/>
                <w:sz w:val="22"/>
                <w:szCs w:val="22"/>
              </w:rPr>
              <w:t xml:space="preserve">Page </w:t>
            </w:r>
            <w:r w:rsidR="00A97298">
              <w:rPr>
                <w:rFonts w:ascii="Calibri" w:hAnsi="Calibri" w:cs="Calibri"/>
                <w:color w:val="auto"/>
                <w:sz w:val="22"/>
                <w:szCs w:val="22"/>
              </w:rPr>
              <w:t>31</w:t>
            </w:r>
          </w:p>
        </w:tc>
      </w:tr>
      <w:tr w:rsidR="005B19DC" w:rsidRPr="000352BE" w14:paraId="43FB3D2D" w14:textId="77777777" w:rsidTr="005B19DC">
        <w:trPr>
          <w:trHeight w:val="624"/>
        </w:trPr>
        <w:tc>
          <w:tcPr>
            <w:tcW w:w="9776" w:type="dxa"/>
            <w:vAlign w:val="center"/>
          </w:tcPr>
          <w:p w14:paraId="344D0D4F" w14:textId="77777777" w:rsidR="005B19DC" w:rsidRPr="000352BE" w:rsidRDefault="005B19DC" w:rsidP="005B19DC">
            <w:pPr>
              <w:spacing w:after="0" w:line="240" w:lineRule="auto"/>
              <w:ind w:right="144"/>
              <w:rPr>
                <w:rFonts w:ascii="Calibri" w:hAnsi="Calibri" w:cs="Calibri"/>
                <w:color w:val="auto"/>
                <w:sz w:val="22"/>
                <w:szCs w:val="22"/>
              </w:rPr>
            </w:pPr>
            <w:r w:rsidRPr="000352BE">
              <w:rPr>
                <w:rFonts w:ascii="Calibri" w:hAnsi="Calibri" w:cs="Calibri"/>
                <w:color w:val="auto"/>
                <w:sz w:val="22"/>
                <w:szCs w:val="22"/>
              </w:rPr>
              <w:t>Bibliography</w:t>
            </w:r>
          </w:p>
        </w:tc>
        <w:tc>
          <w:tcPr>
            <w:tcW w:w="992" w:type="dxa"/>
            <w:vAlign w:val="center"/>
          </w:tcPr>
          <w:p w14:paraId="0B046DF6" w14:textId="738A90B5" w:rsidR="005B19DC" w:rsidRPr="00C71D52" w:rsidRDefault="005B19DC" w:rsidP="005B19DC">
            <w:pPr>
              <w:spacing w:after="0" w:line="240" w:lineRule="auto"/>
              <w:ind w:right="-199"/>
              <w:rPr>
                <w:rFonts w:ascii="Calibri" w:hAnsi="Calibri" w:cs="Calibri"/>
                <w:color w:val="auto"/>
                <w:sz w:val="22"/>
                <w:szCs w:val="22"/>
              </w:rPr>
            </w:pPr>
            <w:r w:rsidRPr="002330FF">
              <w:rPr>
                <w:rFonts w:ascii="Calibri" w:hAnsi="Calibri" w:cs="Calibri"/>
                <w:color w:val="auto"/>
                <w:sz w:val="22"/>
                <w:szCs w:val="22"/>
              </w:rPr>
              <w:t xml:space="preserve">Page </w:t>
            </w:r>
            <w:r w:rsidR="00A97298">
              <w:rPr>
                <w:rFonts w:ascii="Calibri" w:hAnsi="Calibri" w:cs="Calibri"/>
                <w:color w:val="auto"/>
                <w:sz w:val="22"/>
                <w:szCs w:val="22"/>
              </w:rPr>
              <w:t>37</w:t>
            </w:r>
          </w:p>
        </w:tc>
      </w:tr>
    </w:tbl>
    <w:p w14:paraId="1866B3C7" w14:textId="77777777" w:rsidR="002A7944" w:rsidRPr="000352BE" w:rsidRDefault="002A7944" w:rsidP="002A7944"/>
    <w:tbl>
      <w:tblPr>
        <w:tblW w:w="107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68"/>
      </w:tblGrid>
      <w:tr w:rsidR="002030F9" w:rsidRPr="000352BE" w14:paraId="43506D3E" w14:textId="77777777" w:rsidTr="00F804A3">
        <w:trPr>
          <w:trHeight w:val="624"/>
        </w:trPr>
        <w:tc>
          <w:tcPr>
            <w:tcW w:w="10768" w:type="dxa"/>
            <w:vAlign w:val="center"/>
          </w:tcPr>
          <w:p w14:paraId="52B6A122" w14:textId="6A192556" w:rsidR="002030F9" w:rsidRPr="000352BE" w:rsidRDefault="002030F9" w:rsidP="002030F9">
            <w:pPr>
              <w:spacing w:after="0" w:line="240" w:lineRule="auto"/>
              <w:ind w:right="-199"/>
              <w:rPr>
                <w:rFonts w:ascii="Calibri" w:hAnsi="Calibri" w:cs="Calibri"/>
                <w:color w:val="auto"/>
              </w:rPr>
            </w:pPr>
            <w:r w:rsidRPr="000352BE">
              <w:rPr>
                <w:rFonts w:ascii="Calibri" w:hAnsi="Calibri" w:cs="Calibri"/>
                <w:color w:val="auto"/>
                <w:sz w:val="22"/>
                <w:szCs w:val="22"/>
              </w:rPr>
              <w:t xml:space="preserve">Appendix 1: </w:t>
            </w:r>
            <w:r>
              <w:rPr>
                <w:rFonts w:ascii="Calibri" w:hAnsi="Calibri" w:cs="Calibri"/>
                <w:color w:val="auto"/>
                <w:sz w:val="22"/>
                <w:szCs w:val="22"/>
              </w:rPr>
              <w:t>P</w:t>
            </w:r>
            <w:r w:rsidRPr="000352BE">
              <w:rPr>
                <w:rFonts w:ascii="Calibri" w:hAnsi="Calibri" w:cs="Calibri"/>
                <w:color w:val="auto"/>
                <w:sz w:val="22"/>
                <w:szCs w:val="22"/>
              </w:rPr>
              <w:t xml:space="preserve">articipants </w:t>
            </w:r>
            <w:r>
              <w:rPr>
                <w:rFonts w:ascii="Calibri" w:hAnsi="Calibri" w:cs="Calibri"/>
                <w:color w:val="auto"/>
                <w:sz w:val="22"/>
                <w:szCs w:val="22"/>
              </w:rPr>
              <w:t>C</w:t>
            </w:r>
            <w:r w:rsidRPr="000352BE">
              <w:rPr>
                <w:rFonts w:ascii="Calibri" w:hAnsi="Calibri" w:cs="Calibri"/>
                <w:color w:val="auto"/>
                <w:sz w:val="22"/>
                <w:szCs w:val="22"/>
              </w:rPr>
              <w:t xml:space="preserve">onsent </w:t>
            </w:r>
            <w:r>
              <w:rPr>
                <w:rFonts w:ascii="Calibri" w:hAnsi="Calibri" w:cs="Calibri"/>
                <w:color w:val="auto"/>
                <w:sz w:val="22"/>
                <w:szCs w:val="22"/>
              </w:rPr>
              <w:t>F</w:t>
            </w:r>
            <w:r w:rsidRPr="000352BE">
              <w:rPr>
                <w:rFonts w:ascii="Calibri" w:hAnsi="Calibri" w:cs="Calibri"/>
                <w:color w:val="auto"/>
                <w:sz w:val="22"/>
                <w:szCs w:val="22"/>
              </w:rPr>
              <w:t>orm</w:t>
            </w:r>
          </w:p>
        </w:tc>
      </w:tr>
    </w:tbl>
    <w:p w14:paraId="7F7BBFD5" w14:textId="77777777" w:rsidR="002A7944" w:rsidRPr="000352BE" w:rsidRDefault="002A7944" w:rsidP="002A7944">
      <w:pPr>
        <w:spacing w:after="0" w:line="360" w:lineRule="auto"/>
        <w:jc w:val="both"/>
        <w:rPr>
          <w:rFonts w:ascii="Calibri" w:hAnsi="Calibri" w:cs="Calibri"/>
          <w:caps/>
          <w:color w:val="auto"/>
          <w:sz w:val="48"/>
          <w:szCs w:val="48"/>
        </w:rPr>
      </w:pPr>
    </w:p>
    <w:p w14:paraId="6727AABB" w14:textId="77777777" w:rsidR="002A7944" w:rsidRPr="000352BE" w:rsidRDefault="002A7944" w:rsidP="002A7944">
      <w:pPr>
        <w:spacing w:after="0" w:line="240" w:lineRule="auto"/>
        <w:jc w:val="center"/>
        <w:rPr>
          <w:rFonts w:ascii="Calibri" w:hAnsi="Calibri" w:cs="Calibri"/>
          <w:bCs/>
          <w:vanish/>
          <w:color w:val="auto"/>
          <w:sz w:val="48"/>
          <w:szCs w:val="18"/>
        </w:rPr>
      </w:pPr>
    </w:p>
    <w:p w14:paraId="151B10BA" w14:textId="77777777" w:rsidR="002A7944" w:rsidRPr="000352BE" w:rsidRDefault="002A7944" w:rsidP="002A7944">
      <w:pPr>
        <w:spacing w:after="0" w:line="240" w:lineRule="auto"/>
        <w:jc w:val="center"/>
        <w:rPr>
          <w:rFonts w:ascii="Calibri" w:hAnsi="Calibri" w:cs="Calibri"/>
          <w:bCs/>
          <w:color w:val="auto"/>
          <w:sz w:val="72"/>
          <w:szCs w:val="24"/>
        </w:rPr>
      </w:pPr>
    </w:p>
    <w:p w14:paraId="5B442D99" w14:textId="77777777" w:rsidR="000544F2" w:rsidRDefault="000544F2"/>
    <w:p w14:paraId="0A62B2CC" w14:textId="77777777" w:rsidR="002A7944" w:rsidRDefault="002A7944"/>
    <w:p w14:paraId="3A099344" w14:textId="77777777" w:rsidR="002A7944" w:rsidRDefault="002A7944"/>
    <w:p w14:paraId="2EA2EC30" w14:textId="77777777" w:rsidR="002A7944" w:rsidRDefault="002A7944"/>
    <w:p w14:paraId="607CF643" w14:textId="77777777" w:rsidR="002A7944" w:rsidRDefault="002A7944"/>
    <w:p w14:paraId="69DA43A2" w14:textId="77777777" w:rsidR="002A7944" w:rsidRDefault="002A7944"/>
    <w:p w14:paraId="3BF0DCA8" w14:textId="77777777" w:rsidR="002A7944" w:rsidRDefault="002A7944"/>
    <w:p w14:paraId="22B32EF6" w14:textId="77777777" w:rsidR="002A7944" w:rsidRDefault="002A7944"/>
    <w:p w14:paraId="362A24FB" w14:textId="77777777" w:rsidR="002A7944" w:rsidRDefault="002A7944"/>
    <w:p w14:paraId="76E2D770" w14:textId="77777777" w:rsidR="002A7944" w:rsidRDefault="002A7944"/>
    <w:p w14:paraId="1ADCAFB3" w14:textId="77777777" w:rsidR="002A7944" w:rsidRDefault="002A7944"/>
    <w:p w14:paraId="6B8D7EE5" w14:textId="77777777" w:rsidR="002A7944" w:rsidRDefault="002A7944"/>
    <w:p w14:paraId="3BAA2CFE" w14:textId="2353C4E6" w:rsidR="005B19DC" w:rsidRPr="005B19DC" w:rsidRDefault="005B19DC" w:rsidP="00A65EA8">
      <w:pPr>
        <w:spacing w:after="0" w:line="360" w:lineRule="auto"/>
        <w:rPr>
          <w:rFonts w:ascii="Calibri" w:hAnsi="Calibri" w:cs="Calibri"/>
          <w:b/>
          <w:caps/>
          <w:color w:val="auto"/>
          <w:sz w:val="44"/>
          <w:szCs w:val="44"/>
        </w:rPr>
      </w:pPr>
      <w:r w:rsidRPr="005B19DC">
        <w:rPr>
          <w:rFonts w:ascii="Calibri" w:hAnsi="Calibri" w:cs="Calibri"/>
          <w:caps/>
          <w:color w:val="auto"/>
          <w:sz w:val="44"/>
          <w:szCs w:val="44"/>
        </w:rPr>
        <w:lastRenderedPageBreak/>
        <w:drawing>
          <wp:anchor distT="0" distB="0" distL="114300" distR="114300" simplePos="0" relativeHeight="251669504" behindDoc="1" locked="0" layoutInCell="1" allowOverlap="1" wp14:anchorId="63868BB3" wp14:editId="121195F3">
            <wp:simplePos x="0" y="0"/>
            <wp:positionH relativeFrom="column">
              <wp:posOffset>4993005</wp:posOffset>
            </wp:positionH>
            <wp:positionV relativeFrom="paragraph">
              <wp:posOffset>40005</wp:posOffset>
            </wp:positionV>
            <wp:extent cx="1362075" cy="534264"/>
            <wp:effectExtent l="0" t="0" r="0" b="0"/>
            <wp:wrapNone/>
            <wp:docPr id="1556278411" name="Picture 2" descr="A logo with text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A logo with text and black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t="19450" b="21605"/>
                    <a:stretch>
                      <a:fillRect/>
                    </a:stretch>
                  </pic:blipFill>
                  <pic:spPr bwMode="auto">
                    <a:xfrm>
                      <a:off x="0" y="0"/>
                      <a:ext cx="1362075" cy="534264"/>
                    </a:xfrm>
                    <a:prstGeom prst="rect">
                      <a:avLst/>
                    </a:prstGeom>
                    <a:noFill/>
                  </pic:spPr>
                </pic:pic>
              </a:graphicData>
            </a:graphic>
            <wp14:sizeRelH relativeFrom="page">
              <wp14:pctWidth>0</wp14:pctWidth>
            </wp14:sizeRelH>
            <wp14:sizeRelV relativeFrom="page">
              <wp14:pctHeight>0</wp14:pctHeight>
            </wp14:sizeRelV>
          </wp:anchor>
        </w:drawing>
      </w:r>
      <w:r w:rsidRPr="005B19DC">
        <w:rPr>
          <w:rFonts w:ascii="Calibri" w:hAnsi="Calibri" w:cs="Calibri"/>
          <w:b/>
          <w:caps/>
          <w:color w:val="auto"/>
          <w:sz w:val="44"/>
          <w:szCs w:val="44"/>
        </w:rPr>
        <w:t>DECLARATION FORM</w:t>
      </w:r>
    </w:p>
    <w:p w14:paraId="5796188A" w14:textId="77777777" w:rsidR="005B19DC" w:rsidRPr="005B19DC" w:rsidRDefault="005B19DC" w:rsidP="00A65EA8">
      <w:pPr>
        <w:spacing w:after="0" w:line="360" w:lineRule="auto"/>
        <w:rPr>
          <w:rFonts w:ascii="Calibri" w:hAnsi="Calibri" w:cs="Calibri"/>
          <w:b/>
          <w:caps/>
          <w:color w:val="auto"/>
          <w:sz w:val="22"/>
          <w:szCs w:val="22"/>
        </w:rPr>
      </w:pPr>
    </w:p>
    <w:p w14:paraId="6C150F79" w14:textId="677719CC" w:rsidR="005B19DC" w:rsidRPr="005B19DC" w:rsidRDefault="005B19DC" w:rsidP="00A65EA8">
      <w:pPr>
        <w:spacing w:after="0" w:line="360" w:lineRule="auto"/>
        <w:rPr>
          <w:rFonts w:ascii="Calibri" w:hAnsi="Calibri" w:cs="Calibri"/>
          <w:b/>
          <w:caps/>
          <w:color w:val="auto"/>
          <w:sz w:val="22"/>
          <w:szCs w:val="22"/>
        </w:rPr>
      </w:pPr>
      <w:r w:rsidRPr="005B19DC">
        <w:rPr>
          <w:rFonts w:ascii="Calibri" w:hAnsi="Calibri" w:cs="Calibri"/>
          <w:b/>
          <w:caps/>
          <w:color w:val="auto"/>
          <w:sz w:val="22"/>
          <w:szCs w:val="22"/>
        </w:rPr>
        <w:t>Master’s Degrees by Examination and Dissertation Declaration Form</w:t>
      </w:r>
    </w:p>
    <w:p w14:paraId="2BA2F352" w14:textId="5B124893" w:rsidR="005B19DC" w:rsidRPr="005B19DC" w:rsidRDefault="005B19DC" w:rsidP="00A65EA8">
      <w:pPr>
        <w:numPr>
          <w:ilvl w:val="0"/>
          <w:numId w:val="16"/>
        </w:numPr>
        <w:spacing w:after="0" w:line="360" w:lineRule="auto"/>
        <w:rPr>
          <w:rFonts w:ascii="Calibri" w:hAnsi="Calibri" w:cs="Calibri"/>
          <w:bCs/>
          <w:color w:val="auto"/>
          <w:sz w:val="22"/>
          <w:szCs w:val="22"/>
        </w:rPr>
      </w:pPr>
      <w:r w:rsidRPr="005B19DC">
        <w:rPr>
          <w:rFonts w:ascii="Calibri" w:hAnsi="Calibri" w:cs="Calibri"/>
          <w:bCs/>
          <w:color w:val="auto"/>
          <w:sz w:val="22"/>
          <w:szCs w:val="22"/>
        </w:rPr>
        <w:t>This work has not previously been accepted in substance for any degree and is not being concurrently submitted in candidature for any degree.</w:t>
      </w:r>
    </w:p>
    <w:p w14:paraId="06FC6BC6" w14:textId="7FE7EB53" w:rsidR="005B19DC" w:rsidRPr="005B19DC" w:rsidRDefault="005B19DC" w:rsidP="00A65EA8">
      <w:pPr>
        <w:spacing w:after="0" w:line="360" w:lineRule="auto"/>
        <w:rPr>
          <w:rFonts w:ascii="Lucida Handwriting" w:hAnsi="Lucida Handwriting" w:cs="Calibri"/>
          <w:bCs/>
          <w:caps/>
          <w:color w:val="auto"/>
          <w:sz w:val="36"/>
          <w:szCs w:val="36"/>
        </w:rPr>
      </w:pPr>
      <w:r w:rsidRPr="005B19DC">
        <w:rPr>
          <w:rFonts w:ascii="Calibri" w:hAnsi="Calibri" w:cs="Calibri"/>
          <w:bCs/>
          <w:caps/>
          <w:color w:val="auto"/>
          <w:sz w:val="22"/>
          <w:szCs w:val="22"/>
        </w:rPr>
        <w:t>Signed:</w:t>
      </w:r>
      <w:r w:rsidR="00A65EA8">
        <w:rPr>
          <w:rFonts w:ascii="Calibri" w:hAnsi="Calibri" w:cs="Calibri"/>
          <w:bCs/>
          <w:caps/>
          <w:color w:val="auto"/>
          <w:sz w:val="22"/>
          <w:szCs w:val="22"/>
        </w:rPr>
        <w:t xml:space="preserve"> </w:t>
      </w:r>
      <w:r w:rsidR="00A65EA8" w:rsidRPr="00A65EA8">
        <w:rPr>
          <w:rFonts w:ascii="Lucida Handwriting" w:hAnsi="Lucida Handwriting" w:cs="Calibri"/>
          <w:bCs/>
          <w:color w:val="auto"/>
          <w:sz w:val="24"/>
          <w:szCs w:val="24"/>
        </w:rPr>
        <w:t>Tom Feighan</w:t>
      </w:r>
    </w:p>
    <w:p w14:paraId="1CBF454D" w14:textId="2F535A93" w:rsidR="005B19DC" w:rsidRPr="005B19DC" w:rsidRDefault="005B19DC" w:rsidP="00A65EA8">
      <w:pPr>
        <w:spacing w:after="0" w:line="360" w:lineRule="auto"/>
        <w:rPr>
          <w:rFonts w:ascii="Calibri" w:hAnsi="Calibri" w:cs="Calibri"/>
          <w:bCs/>
          <w:caps/>
          <w:color w:val="auto"/>
          <w:sz w:val="22"/>
          <w:szCs w:val="22"/>
        </w:rPr>
      </w:pPr>
      <w:r w:rsidRPr="005B19DC">
        <w:rPr>
          <w:rFonts w:ascii="Calibri" w:hAnsi="Calibri" w:cs="Calibri"/>
          <w:bCs/>
          <w:caps/>
          <w:color w:val="auto"/>
          <w:sz w:val="22"/>
          <w:szCs w:val="22"/>
        </w:rPr>
        <w:t xml:space="preserve">Date: </w:t>
      </w:r>
      <w:r w:rsidR="00A65EA8">
        <w:rPr>
          <w:rFonts w:ascii="Calibri" w:hAnsi="Calibri" w:cs="Calibri"/>
          <w:bCs/>
          <w:caps/>
          <w:color w:val="auto"/>
          <w:sz w:val="22"/>
          <w:szCs w:val="22"/>
        </w:rPr>
        <w:t xml:space="preserve"> </w:t>
      </w:r>
      <w:r w:rsidR="00A65EA8" w:rsidRPr="00A65EA8">
        <w:rPr>
          <w:rFonts w:ascii="Lucida Handwriting" w:hAnsi="Lucida Handwriting" w:cs="Calibri"/>
          <w:bCs/>
          <w:caps/>
          <w:color w:val="auto"/>
          <w:sz w:val="28"/>
          <w:szCs w:val="28"/>
        </w:rPr>
        <w:t>22/09/2025</w:t>
      </w:r>
    </w:p>
    <w:p w14:paraId="70D2618D" w14:textId="77777777" w:rsidR="005B19DC" w:rsidRPr="005B19DC" w:rsidRDefault="005B19DC" w:rsidP="00A65EA8">
      <w:pPr>
        <w:spacing w:after="0" w:line="360" w:lineRule="auto"/>
        <w:rPr>
          <w:rFonts w:ascii="Calibri" w:hAnsi="Calibri" w:cs="Calibri"/>
          <w:bCs/>
          <w:caps/>
          <w:color w:val="auto"/>
          <w:sz w:val="22"/>
          <w:szCs w:val="22"/>
        </w:rPr>
      </w:pPr>
    </w:p>
    <w:p w14:paraId="321DFA57" w14:textId="29C9EF69" w:rsidR="005B19DC" w:rsidRPr="005B19DC" w:rsidRDefault="005B19DC" w:rsidP="00A65EA8">
      <w:pPr>
        <w:numPr>
          <w:ilvl w:val="0"/>
          <w:numId w:val="16"/>
        </w:numPr>
        <w:spacing w:after="0" w:line="360" w:lineRule="auto"/>
        <w:rPr>
          <w:rFonts w:ascii="Calibri" w:hAnsi="Calibri" w:cs="Calibri"/>
          <w:bCs/>
          <w:color w:val="auto"/>
          <w:sz w:val="22"/>
          <w:szCs w:val="22"/>
        </w:rPr>
      </w:pPr>
      <w:r w:rsidRPr="005B19DC">
        <w:rPr>
          <w:rFonts w:ascii="Calibri" w:hAnsi="Calibri" w:cs="Calibri"/>
          <w:bCs/>
          <w:color w:val="auto"/>
          <w:sz w:val="22"/>
          <w:szCs w:val="22"/>
        </w:rPr>
        <w:t>This dissertation is being submitted in partial fulfilment of the requirements for the degree of MA in Outdoor Education.</w:t>
      </w:r>
    </w:p>
    <w:p w14:paraId="2E7E86B8" w14:textId="77777777" w:rsidR="00A65EA8" w:rsidRPr="005B19DC" w:rsidRDefault="00A65EA8" w:rsidP="00A65EA8">
      <w:pPr>
        <w:spacing w:after="0" w:line="360" w:lineRule="auto"/>
        <w:rPr>
          <w:rFonts w:ascii="Lucida Handwriting" w:hAnsi="Lucida Handwriting" w:cs="Calibri"/>
          <w:bCs/>
          <w:caps/>
          <w:color w:val="auto"/>
          <w:sz w:val="36"/>
          <w:szCs w:val="36"/>
        </w:rPr>
      </w:pPr>
      <w:r w:rsidRPr="005B19DC">
        <w:rPr>
          <w:rFonts w:ascii="Calibri" w:hAnsi="Calibri" w:cs="Calibri"/>
          <w:bCs/>
          <w:caps/>
          <w:color w:val="auto"/>
          <w:sz w:val="22"/>
          <w:szCs w:val="22"/>
        </w:rPr>
        <w:t>Signed:</w:t>
      </w:r>
      <w:r>
        <w:rPr>
          <w:rFonts w:ascii="Calibri" w:hAnsi="Calibri" w:cs="Calibri"/>
          <w:bCs/>
          <w:caps/>
          <w:color w:val="auto"/>
          <w:sz w:val="22"/>
          <w:szCs w:val="22"/>
        </w:rPr>
        <w:t xml:space="preserve"> </w:t>
      </w:r>
      <w:r w:rsidRPr="00A65EA8">
        <w:rPr>
          <w:rFonts w:ascii="Lucida Handwriting" w:hAnsi="Lucida Handwriting" w:cs="Calibri"/>
          <w:bCs/>
          <w:color w:val="auto"/>
          <w:sz w:val="24"/>
          <w:szCs w:val="24"/>
        </w:rPr>
        <w:t>Tom Feighan</w:t>
      </w:r>
    </w:p>
    <w:p w14:paraId="1625603C" w14:textId="5B26B423" w:rsidR="005B19DC" w:rsidRDefault="00A65EA8" w:rsidP="00A65EA8">
      <w:pPr>
        <w:spacing w:after="0" w:line="360" w:lineRule="auto"/>
        <w:rPr>
          <w:rFonts w:ascii="Lucida Handwriting" w:hAnsi="Lucida Handwriting" w:cs="Calibri"/>
          <w:bCs/>
          <w:caps/>
          <w:color w:val="auto"/>
          <w:sz w:val="28"/>
          <w:szCs w:val="28"/>
        </w:rPr>
      </w:pPr>
      <w:r w:rsidRPr="005B19DC">
        <w:rPr>
          <w:rFonts w:ascii="Calibri" w:hAnsi="Calibri" w:cs="Calibri"/>
          <w:bCs/>
          <w:caps/>
          <w:color w:val="auto"/>
          <w:sz w:val="22"/>
          <w:szCs w:val="22"/>
        </w:rPr>
        <w:t xml:space="preserve">Date: </w:t>
      </w:r>
      <w:r>
        <w:rPr>
          <w:rFonts w:ascii="Calibri" w:hAnsi="Calibri" w:cs="Calibri"/>
          <w:bCs/>
          <w:caps/>
          <w:color w:val="auto"/>
          <w:sz w:val="22"/>
          <w:szCs w:val="22"/>
        </w:rPr>
        <w:t xml:space="preserve"> </w:t>
      </w:r>
      <w:r w:rsidRPr="00A65EA8">
        <w:rPr>
          <w:rFonts w:ascii="Lucida Handwriting" w:hAnsi="Lucida Handwriting" w:cs="Calibri"/>
          <w:bCs/>
          <w:caps/>
          <w:color w:val="auto"/>
          <w:sz w:val="28"/>
          <w:szCs w:val="28"/>
        </w:rPr>
        <w:t>22/09/2025</w:t>
      </w:r>
    </w:p>
    <w:p w14:paraId="68D4DBAA" w14:textId="77777777" w:rsidR="00A65EA8" w:rsidRPr="005B19DC" w:rsidRDefault="00A65EA8" w:rsidP="00A65EA8">
      <w:pPr>
        <w:spacing w:after="0" w:line="360" w:lineRule="auto"/>
        <w:rPr>
          <w:rFonts w:ascii="Calibri" w:hAnsi="Calibri" w:cs="Calibri"/>
          <w:bCs/>
          <w:caps/>
          <w:color w:val="auto"/>
          <w:sz w:val="22"/>
          <w:szCs w:val="22"/>
        </w:rPr>
      </w:pPr>
    </w:p>
    <w:p w14:paraId="4717C959" w14:textId="393396F3" w:rsidR="005B19DC" w:rsidRPr="005B19DC" w:rsidRDefault="005B19DC" w:rsidP="00A65EA8">
      <w:pPr>
        <w:numPr>
          <w:ilvl w:val="0"/>
          <w:numId w:val="16"/>
        </w:numPr>
        <w:spacing w:after="0" w:line="360" w:lineRule="auto"/>
        <w:rPr>
          <w:rFonts w:ascii="Calibri" w:hAnsi="Calibri" w:cs="Calibri"/>
          <w:bCs/>
          <w:color w:val="auto"/>
          <w:sz w:val="22"/>
          <w:szCs w:val="22"/>
        </w:rPr>
      </w:pPr>
      <w:r w:rsidRPr="005B19DC">
        <w:rPr>
          <w:rFonts w:ascii="Calibri" w:hAnsi="Calibri" w:cs="Calibri"/>
          <w:bCs/>
          <w:color w:val="auto"/>
          <w:sz w:val="22"/>
          <w:szCs w:val="22"/>
        </w:rPr>
        <w:t>This dissertation is the result of my own independent work / investigation, except where otherwise stated.</w:t>
      </w:r>
    </w:p>
    <w:p w14:paraId="769444FA" w14:textId="77777777" w:rsidR="005B19DC" w:rsidRPr="005B19DC" w:rsidRDefault="005B19DC" w:rsidP="00A65EA8">
      <w:pPr>
        <w:spacing w:after="0" w:line="360" w:lineRule="auto"/>
        <w:rPr>
          <w:rFonts w:ascii="Calibri" w:hAnsi="Calibri" w:cs="Calibri"/>
          <w:bCs/>
          <w:color w:val="auto"/>
          <w:sz w:val="22"/>
          <w:szCs w:val="22"/>
        </w:rPr>
      </w:pPr>
      <w:r w:rsidRPr="005B19DC">
        <w:rPr>
          <w:rFonts w:ascii="Calibri" w:hAnsi="Calibri" w:cs="Calibri"/>
          <w:bCs/>
          <w:color w:val="auto"/>
          <w:sz w:val="22"/>
          <w:szCs w:val="22"/>
        </w:rPr>
        <w:t>Other sources are acknowledged by explicit references. A bibliography is appended.</w:t>
      </w:r>
    </w:p>
    <w:p w14:paraId="56F2CD6D" w14:textId="77777777" w:rsidR="00A65EA8" w:rsidRPr="00A65EA8" w:rsidRDefault="00A65EA8" w:rsidP="00A65EA8">
      <w:pPr>
        <w:spacing w:after="0" w:line="360" w:lineRule="auto"/>
        <w:rPr>
          <w:rFonts w:ascii="Lucida Handwriting" w:hAnsi="Lucida Handwriting" w:cs="Calibri"/>
          <w:bCs/>
          <w:caps/>
          <w:color w:val="auto"/>
          <w:sz w:val="24"/>
          <w:szCs w:val="24"/>
        </w:rPr>
      </w:pPr>
      <w:r w:rsidRPr="00A65EA8">
        <w:rPr>
          <w:rFonts w:ascii="Calibri" w:hAnsi="Calibri" w:cs="Calibri"/>
          <w:bCs/>
          <w:caps/>
          <w:color w:val="auto"/>
          <w:sz w:val="22"/>
          <w:szCs w:val="22"/>
        </w:rPr>
        <w:t xml:space="preserve">Signed: </w:t>
      </w:r>
      <w:r w:rsidRPr="00A65EA8">
        <w:rPr>
          <w:rFonts w:ascii="Lucida Handwriting" w:hAnsi="Lucida Handwriting" w:cs="Calibri"/>
          <w:bCs/>
          <w:color w:val="auto"/>
          <w:sz w:val="24"/>
          <w:szCs w:val="24"/>
        </w:rPr>
        <w:t>Tom Feighan</w:t>
      </w:r>
    </w:p>
    <w:p w14:paraId="3BBFBA45" w14:textId="77777777" w:rsidR="00A65EA8" w:rsidRDefault="00A65EA8" w:rsidP="00A65EA8">
      <w:pPr>
        <w:spacing w:after="0" w:line="360" w:lineRule="auto"/>
        <w:rPr>
          <w:rFonts w:ascii="Lucida Handwriting" w:hAnsi="Lucida Handwriting" w:cs="Calibri"/>
          <w:bCs/>
          <w:caps/>
          <w:color w:val="auto"/>
          <w:sz w:val="28"/>
          <w:szCs w:val="28"/>
        </w:rPr>
      </w:pPr>
      <w:r w:rsidRPr="00A65EA8">
        <w:rPr>
          <w:rFonts w:ascii="Calibri" w:hAnsi="Calibri" w:cs="Calibri"/>
          <w:bCs/>
          <w:caps/>
          <w:color w:val="auto"/>
          <w:sz w:val="22"/>
          <w:szCs w:val="22"/>
        </w:rPr>
        <w:t xml:space="preserve">Date:  </w:t>
      </w:r>
      <w:r w:rsidRPr="00A65EA8">
        <w:rPr>
          <w:rFonts w:ascii="Lucida Handwriting" w:hAnsi="Lucida Handwriting" w:cs="Calibri"/>
          <w:bCs/>
          <w:caps/>
          <w:color w:val="auto"/>
          <w:sz w:val="28"/>
          <w:szCs w:val="28"/>
        </w:rPr>
        <w:t>22/09/2025</w:t>
      </w:r>
    </w:p>
    <w:p w14:paraId="3A951C91" w14:textId="77777777" w:rsidR="00A65EA8" w:rsidRPr="00A65EA8" w:rsidRDefault="00A65EA8" w:rsidP="00A65EA8">
      <w:pPr>
        <w:spacing w:after="0" w:line="360" w:lineRule="auto"/>
        <w:rPr>
          <w:rFonts w:ascii="Lucida Handwriting" w:hAnsi="Lucida Handwriting" w:cs="Calibri"/>
          <w:bCs/>
          <w:caps/>
          <w:color w:val="auto"/>
          <w:sz w:val="28"/>
          <w:szCs w:val="28"/>
        </w:rPr>
      </w:pPr>
    </w:p>
    <w:p w14:paraId="18D2E7C6" w14:textId="7AFABFB4" w:rsidR="005B19DC" w:rsidRPr="005B19DC" w:rsidRDefault="005B19DC" w:rsidP="00A65EA8">
      <w:pPr>
        <w:numPr>
          <w:ilvl w:val="0"/>
          <w:numId w:val="16"/>
        </w:numPr>
        <w:spacing w:after="0" w:line="360" w:lineRule="auto"/>
        <w:rPr>
          <w:rFonts w:ascii="Calibri" w:hAnsi="Calibri" w:cs="Calibri"/>
          <w:bCs/>
          <w:color w:val="auto"/>
          <w:sz w:val="22"/>
          <w:szCs w:val="22"/>
        </w:rPr>
      </w:pPr>
      <w:r w:rsidRPr="005B19DC">
        <w:rPr>
          <w:rFonts w:ascii="Calibri" w:hAnsi="Calibri" w:cs="Calibri"/>
          <w:bCs/>
          <w:color w:val="auto"/>
          <w:sz w:val="22"/>
          <w:szCs w:val="22"/>
        </w:rPr>
        <w:t>I hereby give consent for my dissertation, if accepted, to be available for photocopying, inter-library loan, and for deposit in the University’s digital repository.</w:t>
      </w:r>
    </w:p>
    <w:p w14:paraId="2338FC67" w14:textId="77777777" w:rsidR="00A65EA8" w:rsidRPr="00A65EA8" w:rsidRDefault="00A65EA8" w:rsidP="00A65EA8">
      <w:pPr>
        <w:spacing w:after="0" w:line="360" w:lineRule="auto"/>
        <w:rPr>
          <w:rFonts w:ascii="Lucida Handwriting" w:hAnsi="Lucida Handwriting" w:cs="Calibri"/>
          <w:bCs/>
          <w:caps/>
          <w:color w:val="auto"/>
          <w:sz w:val="24"/>
          <w:szCs w:val="24"/>
        </w:rPr>
      </w:pPr>
      <w:r w:rsidRPr="00A65EA8">
        <w:rPr>
          <w:rFonts w:ascii="Calibri" w:hAnsi="Calibri" w:cs="Calibri"/>
          <w:bCs/>
          <w:caps/>
          <w:color w:val="auto"/>
          <w:sz w:val="22"/>
          <w:szCs w:val="22"/>
        </w:rPr>
        <w:t xml:space="preserve">Signed: </w:t>
      </w:r>
      <w:r w:rsidRPr="00A65EA8">
        <w:rPr>
          <w:rFonts w:ascii="Lucida Handwriting" w:hAnsi="Lucida Handwriting" w:cs="Calibri"/>
          <w:bCs/>
          <w:color w:val="auto"/>
          <w:sz w:val="24"/>
          <w:szCs w:val="24"/>
        </w:rPr>
        <w:t>Tom Feighan</w:t>
      </w:r>
    </w:p>
    <w:p w14:paraId="0E2B7EE0" w14:textId="48D80B5E" w:rsidR="00A65EA8" w:rsidRDefault="00A65EA8" w:rsidP="00A65EA8">
      <w:pPr>
        <w:spacing w:after="0" w:line="360" w:lineRule="auto"/>
        <w:rPr>
          <w:rFonts w:ascii="Lucida Handwriting" w:hAnsi="Lucida Handwriting" w:cs="Calibri"/>
          <w:bCs/>
          <w:caps/>
          <w:color w:val="auto"/>
          <w:sz w:val="28"/>
          <w:szCs w:val="28"/>
        </w:rPr>
      </w:pPr>
      <w:r w:rsidRPr="00A65EA8">
        <w:rPr>
          <w:rFonts w:ascii="Calibri" w:hAnsi="Calibri" w:cs="Calibri"/>
          <w:bCs/>
          <w:caps/>
          <w:color w:val="auto"/>
          <w:sz w:val="22"/>
          <w:szCs w:val="22"/>
        </w:rPr>
        <w:t xml:space="preserve">Date:  </w:t>
      </w:r>
      <w:r w:rsidRPr="00A65EA8">
        <w:rPr>
          <w:rFonts w:ascii="Lucida Handwriting" w:hAnsi="Lucida Handwriting" w:cs="Calibri"/>
          <w:bCs/>
          <w:caps/>
          <w:color w:val="auto"/>
          <w:sz w:val="28"/>
          <w:szCs w:val="28"/>
        </w:rPr>
        <w:t>22/09/2025</w:t>
      </w:r>
    </w:p>
    <w:p w14:paraId="60F804F2" w14:textId="77777777" w:rsidR="00A65EA8" w:rsidRPr="00A65EA8" w:rsidRDefault="00A65EA8" w:rsidP="00A65EA8">
      <w:pPr>
        <w:spacing w:after="0" w:line="360" w:lineRule="auto"/>
        <w:rPr>
          <w:rFonts w:ascii="Lucida Handwriting" w:hAnsi="Lucida Handwriting" w:cs="Calibri"/>
          <w:bCs/>
          <w:caps/>
          <w:color w:val="auto"/>
          <w:sz w:val="36"/>
          <w:szCs w:val="36"/>
        </w:rPr>
      </w:pPr>
    </w:p>
    <w:p w14:paraId="593083F1" w14:textId="6146AA10" w:rsidR="005B19DC" w:rsidRPr="005B19DC" w:rsidRDefault="005B19DC" w:rsidP="00A65EA8">
      <w:pPr>
        <w:spacing w:after="0" w:line="360" w:lineRule="auto"/>
        <w:rPr>
          <w:rFonts w:ascii="Calibri" w:hAnsi="Calibri" w:cs="Calibri"/>
          <w:b/>
          <w:color w:val="auto"/>
          <w:sz w:val="22"/>
          <w:szCs w:val="22"/>
        </w:rPr>
      </w:pPr>
      <w:r w:rsidRPr="005B19DC">
        <w:rPr>
          <w:rFonts w:ascii="Calibri" w:hAnsi="Calibri" w:cs="Calibri"/>
          <w:b/>
          <w:color w:val="auto"/>
          <w:sz w:val="22"/>
          <w:szCs w:val="22"/>
        </w:rPr>
        <w:t>Supervisor’s Declaration.</w:t>
      </w:r>
    </w:p>
    <w:p w14:paraId="354288FF" w14:textId="77777777" w:rsidR="005B19DC" w:rsidRPr="005B19DC" w:rsidRDefault="005B19DC" w:rsidP="00A65EA8">
      <w:pPr>
        <w:spacing w:after="0" w:line="360" w:lineRule="auto"/>
        <w:rPr>
          <w:rFonts w:ascii="Calibri" w:hAnsi="Calibri" w:cs="Calibri"/>
          <w:bCs/>
          <w:color w:val="auto"/>
          <w:sz w:val="22"/>
          <w:szCs w:val="22"/>
        </w:rPr>
      </w:pPr>
      <w:r w:rsidRPr="005B19DC">
        <w:rPr>
          <w:rFonts w:ascii="Calibri" w:hAnsi="Calibri" w:cs="Calibri"/>
          <w:bCs/>
          <w:color w:val="auto"/>
          <w:sz w:val="22"/>
          <w:szCs w:val="22"/>
        </w:rPr>
        <w:t>I am satisfied that this work is the result of the student’s own efforts.</w:t>
      </w:r>
    </w:p>
    <w:p w14:paraId="548E6D4F" w14:textId="77777777" w:rsidR="005B19DC" w:rsidRPr="005B19DC" w:rsidRDefault="005B19DC" w:rsidP="00A65EA8">
      <w:pPr>
        <w:spacing w:after="0" w:line="360" w:lineRule="auto"/>
        <w:rPr>
          <w:rFonts w:ascii="Calibri" w:hAnsi="Calibri" w:cs="Calibri"/>
          <w:bCs/>
          <w:caps/>
          <w:color w:val="auto"/>
          <w:sz w:val="22"/>
          <w:szCs w:val="22"/>
        </w:rPr>
      </w:pPr>
    </w:p>
    <w:p w14:paraId="77046542" w14:textId="25E2A2D7" w:rsidR="005B19DC" w:rsidRPr="005B19DC" w:rsidRDefault="005B19DC" w:rsidP="00A65EA8">
      <w:pPr>
        <w:spacing w:after="0" w:line="360" w:lineRule="auto"/>
        <w:rPr>
          <w:rFonts w:ascii="Calibri" w:hAnsi="Calibri" w:cs="Calibri"/>
          <w:bCs/>
          <w:caps/>
          <w:color w:val="auto"/>
          <w:sz w:val="22"/>
          <w:szCs w:val="22"/>
        </w:rPr>
      </w:pPr>
      <w:r w:rsidRPr="005B19DC">
        <w:rPr>
          <w:rFonts w:ascii="Calibri" w:hAnsi="Calibri" w:cs="Calibri"/>
          <w:bCs/>
          <w:caps/>
          <w:color w:val="auto"/>
          <w:sz w:val="22"/>
          <w:szCs w:val="22"/>
        </w:rPr>
        <w:t>Signed:</w:t>
      </w:r>
    </w:p>
    <w:p w14:paraId="7EAD94F3" w14:textId="77777777" w:rsidR="005B19DC" w:rsidRPr="005B19DC" w:rsidRDefault="005B19DC" w:rsidP="00A65EA8">
      <w:pPr>
        <w:spacing w:after="0" w:line="360" w:lineRule="auto"/>
        <w:rPr>
          <w:rFonts w:ascii="Calibri" w:hAnsi="Calibri" w:cs="Calibri"/>
          <w:bCs/>
          <w:caps/>
          <w:color w:val="auto"/>
          <w:sz w:val="22"/>
          <w:szCs w:val="22"/>
        </w:rPr>
      </w:pPr>
    </w:p>
    <w:p w14:paraId="643837C5" w14:textId="1509C97C" w:rsidR="005B19DC" w:rsidRPr="005B19DC" w:rsidRDefault="005B19DC" w:rsidP="00A65EA8">
      <w:pPr>
        <w:spacing w:after="0" w:line="360" w:lineRule="auto"/>
        <w:rPr>
          <w:rFonts w:ascii="Calibri" w:hAnsi="Calibri" w:cs="Calibri"/>
          <w:bCs/>
          <w:caps/>
          <w:color w:val="auto"/>
          <w:sz w:val="22"/>
          <w:szCs w:val="22"/>
        </w:rPr>
      </w:pPr>
      <w:r w:rsidRPr="005B19DC">
        <w:rPr>
          <w:rFonts w:ascii="Calibri" w:hAnsi="Calibri" w:cs="Calibri"/>
          <w:bCs/>
          <w:caps/>
          <w:color w:val="auto"/>
          <w:sz w:val="22"/>
          <w:szCs w:val="22"/>
        </w:rPr>
        <w:t>Dated:</w:t>
      </w:r>
    </w:p>
    <w:p w14:paraId="37649F4E" w14:textId="77777777" w:rsidR="002A7944" w:rsidRDefault="002A7944">
      <w:pPr>
        <w:sectPr w:rsidR="002A7944" w:rsidSect="002A7944">
          <w:pgSz w:w="11906" w:h="16838"/>
          <w:pgMar w:top="567" w:right="567" w:bottom="567" w:left="567" w:header="709" w:footer="709" w:gutter="0"/>
          <w:pgNumType w:start="1"/>
          <w:cols w:space="708"/>
          <w:docGrid w:linePitch="360"/>
        </w:sectPr>
      </w:pPr>
    </w:p>
    <w:p w14:paraId="2CF5795F" w14:textId="77777777" w:rsidR="002A7944" w:rsidRPr="00DA53C0" w:rsidRDefault="002A7944" w:rsidP="002A7944">
      <w:pPr>
        <w:spacing w:after="0" w:line="360" w:lineRule="auto"/>
        <w:jc w:val="both"/>
        <w:rPr>
          <w:rFonts w:ascii="Calibri" w:hAnsi="Calibri" w:cs="Calibri"/>
          <w:caps/>
          <w:color w:val="auto"/>
          <w:sz w:val="44"/>
          <w:szCs w:val="44"/>
        </w:rPr>
      </w:pPr>
      <w:r w:rsidRPr="00DA53C0">
        <w:rPr>
          <w:rFonts w:ascii="Calibri" w:hAnsi="Calibri" w:cs="Calibri"/>
          <w:caps/>
          <w:color w:val="auto"/>
          <w:sz w:val="44"/>
          <w:szCs w:val="44"/>
        </w:rPr>
        <w:lastRenderedPageBreak/>
        <w:t>abstract</w:t>
      </w:r>
    </w:p>
    <w:p w14:paraId="603E02CF" w14:textId="5AEB6945" w:rsidR="002A7944" w:rsidRPr="000352BE" w:rsidRDefault="002A7944" w:rsidP="002A7944">
      <w:pPr>
        <w:spacing w:after="0" w:line="360" w:lineRule="auto"/>
        <w:jc w:val="both"/>
        <w:rPr>
          <w:rFonts w:ascii="Calibri" w:hAnsi="Calibri" w:cs="Calibri"/>
          <w:color w:val="auto"/>
          <w:sz w:val="22"/>
          <w:szCs w:val="22"/>
        </w:rPr>
      </w:pPr>
      <w:r w:rsidRPr="000352BE">
        <w:rPr>
          <w:rFonts w:ascii="Calibri" w:hAnsi="Calibri" w:cs="Calibri"/>
          <w:color w:val="auto"/>
          <w:sz w:val="22"/>
          <w:szCs w:val="22"/>
        </w:rPr>
        <w:t xml:space="preserve">Physical Development in the early years is an important part of children’s growth, </w:t>
      </w:r>
      <w:r w:rsidR="00E14360" w:rsidRPr="00E14360">
        <w:rPr>
          <w:rFonts w:ascii="Calibri" w:hAnsi="Calibri" w:cs="Calibri"/>
          <w:color w:val="auto"/>
          <w:sz w:val="22"/>
          <w:szCs w:val="22"/>
        </w:rPr>
        <w:t>shaping their health, learning and overall confidence</w:t>
      </w:r>
      <w:r w:rsidRPr="000352BE">
        <w:rPr>
          <w:rFonts w:ascii="Calibri" w:hAnsi="Calibri" w:cs="Calibri"/>
          <w:color w:val="auto"/>
          <w:sz w:val="22"/>
          <w:szCs w:val="22"/>
        </w:rPr>
        <w:t>. In the Early Years Foundation Stage (EYFS), teachers assess children’s progress in physical development through observations linked to the Early Learning Goals (ELGs). While this approach gives a broad picture of how children are developing, there are concerns that it may not always pick up on more subtle motor difficulties. Standardised assessments, such as the Movement Assessment Battery for Children – Second Edition (MABC-2), offer a different perspective by providing objective, detailed data on children’s motor skills.</w:t>
      </w:r>
    </w:p>
    <w:p w14:paraId="45FE9C1C" w14:textId="77777777" w:rsidR="002A7944" w:rsidRPr="000352BE" w:rsidRDefault="002A7944" w:rsidP="002A7944">
      <w:pPr>
        <w:spacing w:after="0" w:line="360" w:lineRule="auto"/>
        <w:jc w:val="both"/>
        <w:rPr>
          <w:rFonts w:ascii="Calibri" w:hAnsi="Calibri" w:cs="Calibri"/>
          <w:color w:val="auto"/>
          <w:sz w:val="22"/>
          <w:szCs w:val="22"/>
        </w:rPr>
      </w:pPr>
    </w:p>
    <w:p w14:paraId="53B7C100" w14:textId="77777777" w:rsidR="002A7944" w:rsidRPr="000352BE" w:rsidRDefault="002A7944" w:rsidP="002A7944">
      <w:pPr>
        <w:spacing w:after="0" w:line="360" w:lineRule="auto"/>
        <w:jc w:val="both"/>
        <w:rPr>
          <w:rFonts w:ascii="Calibri" w:hAnsi="Calibri" w:cs="Calibri"/>
          <w:color w:val="auto"/>
          <w:sz w:val="22"/>
          <w:szCs w:val="22"/>
        </w:rPr>
      </w:pPr>
      <w:r w:rsidRPr="000352BE">
        <w:rPr>
          <w:rFonts w:ascii="Calibri" w:hAnsi="Calibri" w:cs="Calibri"/>
          <w:color w:val="auto"/>
          <w:sz w:val="22"/>
          <w:szCs w:val="22"/>
        </w:rPr>
        <w:t>This dissertation looks at how EYFS physical development data compares with results from the MABC-2. A quantitative approach was used, with children assessed under both frameworks. The analysis explored where the two sets of results agreed, where they differed, and what this means for early identification of movement difficulties.</w:t>
      </w:r>
    </w:p>
    <w:p w14:paraId="4B740D3E" w14:textId="77777777" w:rsidR="002A7944" w:rsidRPr="000352BE" w:rsidRDefault="002A7944" w:rsidP="002A7944">
      <w:pPr>
        <w:spacing w:after="0" w:line="360" w:lineRule="auto"/>
        <w:jc w:val="both"/>
        <w:rPr>
          <w:rFonts w:ascii="Calibri" w:hAnsi="Calibri" w:cs="Calibri"/>
          <w:color w:val="auto"/>
          <w:sz w:val="22"/>
          <w:szCs w:val="22"/>
        </w:rPr>
      </w:pPr>
      <w:r w:rsidRPr="000352BE">
        <w:rPr>
          <w:rFonts w:ascii="Calibri" w:hAnsi="Calibri" w:cs="Calibri"/>
          <w:color w:val="auto"/>
          <w:sz w:val="22"/>
          <w:szCs w:val="22"/>
        </w:rPr>
        <w:t>Findings showed that there was some overlap between the two, especially in relation to gross motor skills, which teachers tended to notice more easily. However, fine motor skills, such as hand–eye coordination and precise control, were less consistently identified through EYFS assessments. This suggests that children with subtle difficulties may not always be recognised through observation alone.</w:t>
      </w:r>
    </w:p>
    <w:p w14:paraId="3E2CE11C" w14:textId="77777777" w:rsidR="002A7944" w:rsidRPr="000352BE" w:rsidRDefault="002A7944" w:rsidP="002A7944">
      <w:pPr>
        <w:spacing w:after="0" w:line="360" w:lineRule="auto"/>
        <w:jc w:val="both"/>
        <w:rPr>
          <w:rFonts w:ascii="Calibri" w:hAnsi="Calibri" w:cs="Calibri"/>
          <w:color w:val="auto"/>
          <w:sz w:val="22"/>
          <w:szCs w:val="22"/>
        </w:rPr>
      </w:pPr>
    </w:p>
    <w:p w14:paraId="5AC4C3FD" w14:textId="77777777" w:rsidR="002A7944" w:rsidRPr="000352BE" w:rsidRDefault="002A7944" w:rsidP="002A7944">
      <w:pPr>
        <w:spacing w:after="0" w:line="360" w:lineRule="auto"/>
        <w:jc w:val="both"/>
        <w:rPr>
          <w:rFonts w:ascii="Calibri" w:hAnsi="Calibri" w:cs="Calibri"/>
          <w:color w:val="auto"/>
          <w:sz w:val="22"/>
          <w:szCs w:val="22"/>
        </w:rPr>
      </w:pPr>
      <w:r w:rsidRPr="000352BE">
        <w:rPr>
          <w:rFonts w:ascii="Calibri" w:hAnsi="Calibri" w:cs="Calibri"/>
          <w:color w:val="auto"/>
          <w:sz w:val="22"/>
          <w:szCs w:val="22"/>
        </w:rPr>
        <w:t>The study concludes that both approaches have value. Teacher observations give rich insight into children’s everyday abilities, while standardised assessments provide objective evidence that can highlight issues that might otherwise be missed. A more combined approach to assessment could therefore give a fuller and fairer picture of children’s physical development. The findings have implications for teacher training, assessment practice, and policy, and point to the need for more support in identifying movement difficulties early so that children can be better prepared for school and beyond.</w:t>
      </w:r>
    </w:p>
    <w:p w14:paraId="70E56F8D" w14:textId="77777777" w:rsidR="002A7944" w:rsidRDefault="002A7944"/>
    <w:p w14:paraId="51322374" w14:textId="77777777" w:rsidR="002A7944" w:rsidRDefault="002A7944"/>
    <w:p w14:paraId="53AB72C7" w14:textId="77777777" w:rsidR="002A7944" w:rsidRDefault="002A7944"/>
    <w:p w14:paraId="2187CC09" w14:textId="77777777" w:rsidR="002A7944" w:rsidRDefault="002A7944"/>
    <w:p w14:paraId="501E63D9" w14:textId="77777777" w:rsidR="002A7944" w:rsidRDefault="002A7944"/>
    <w:p w14:paraId="6CB06053" w14:textId="77777777" w:rsidR="002A7944" w:rsidRDefault="002A7944"/>
    <w:p w14:paraId="63AA6EF7" w14:textId="77777777" w:rsidR="002A7944" w:rsidRDefault="002A7944"/>
    <w:p w14:paraId="0A2B2D2B" w14:textId="77777777" w:rsidR="002A7944" w:rsidRDefault="002A7944"/>
    <w:p w14:paraId="3AE6D11F" w14:textId="77777777" w:rsidR="002A7944" w:rsidRDefault="002A7944"/>
    <w:p w14:paraId="1E3D6519" w14:textId="77777777" w:rsidR="002A7944" w:rsidRDefault="002A7944"/>
    <w:p w14:paraId="4D571BEC" w14:textId="77777777" w:rsidR="002A7944" w:rsidRDefault="002A7944"/>
    <w:p w14:paraId="5365CD14" w14:textId="77777777" w:rsidR="002A7944" w:rsidRDefault="002A7944"/>
    <w:p w14:paraId="62972D3A" w14:textId="77777777" w:rsidR="002A7944" w:rsidRDefault="002A7944"/>
    <w:p w14:paraId="3D75874A" w14:textId="77777777" w:rsidR="002A7944" w:rsidRDefault="002A7944"/>
    <w:p w14:paraId="3F69DA02" w14:textId="77777777" w:rsidR="002A7944" w:rsidRDefault="002A7944"/>
    <w:p w14:paraId="79285E02" w14:textId="77777777" w:rsidR="002A7944" w:rsidRDefault="002A7944"/>
    <w:p w14:paraId="76CF9884" w14:textId="77777777" w:rsidR="002A7944" w:rsidRDefault="002A7944"/>
    <w:p w14:paraId="44FF1197" w14:textId="77777777" w:rsidR="002A7944" w:rsidRDefault="002A7944"/>
    <w:p w14:paraId="49687486" w14:textId="77777777" w:rsidR="002A7944" w:rsidRPr="00DA53C0" w:rsidRDefault="002A7944" w:rsidP="002A7944">
      <w:pPr>
        <w:spacing w:after="0" w:line="360" w:lineRule="auto"/>
        <w:jc w:val="both"/>
        <w:rPr>
          <w:rFonts w:ascii="Calibri" w:hAnsi="Calibri" w:cs="Calibri"/>
          <w:caps/>
          <w:color w:val="auto"/>
          <w:sz w:val="44"/>
          <w:szCs w:val="44"/>
        </w:rPr>
      </w:pPr>
      <w:r w:rsidRPr="00DA53C0">
        <w:rPr>
          <w:rFonts w:ascii="Calibri" w:hAnsi="Calibri" w:cs="Calibri"/>
          <w:caps/>
          <w:color w:val="auto"/>
          <w:sz w:val="44"/>
          <w:szCs w:val="44"/>
        </w:rPr>
        <w:lastRenderedPageBreak/>
        <w:t>acknowledgement</w:t>
      </w:r>
    </w:p>
    <w:p w14:paraId="474B0F99" w14:textId="77777777" w:rsidR="002A7944" w:rsidRPr="000352BE" w:rsidRDefault="002A7944" w:rsidP="002A7944">
      <w:pPr>
        <w:spacing w:after="0" w:line="360" w:lineRule="auto"/>
        <w:jc w:val="both"/>
        <w:rPr>
          <w:rFonts w:ascii="Calibri" w:hAnsi="Calibri" w:cs="Calibri"/>
          <w:color w:val="auto"/>
          <w:sz w:val="22"/>
          <w:szCs w:val="22"/>
        </w:rPr>
      </w:pPr>
      <w:r w:rsidRPr="000352BE">
        <w:rPr>
          <w:rFonts w:ascii="Calibri" w:hAnsi="Calibri" w:cs="Calibri"/>
          <w:color w:val="auto"/>
          <w:sz w:val="22"/>
          <w:szCs w:val="22"/>
        </w:rPr>
        <w:t>I would like to express my gratitude to my supervisor, Dr. Nalda Wainwright, for her outstanding guidance, constructive feedback, and encouragement throughout the course of this dissertation. Her expertise in physical development and education has been invaluable in shaping the direction of this research. She has consistently challenged me to think critically, refine my ideas, and strengthen my arguments, and for that I am truly thankful.</w:t>
      </w:r>
    </w:p>
    <w:p w14:paraId="25A22F09" w14:textId="77777777" w:rsidR="002A7944" w:rsidRPr="000352BE" w:rsidRDefault="002A7944" w:rsidP="002A7944">
      <w:pPr>
        <w:spacing w:after="0" w:line="360" w:lineRule="auto"/>
        <w:jc w:val="both"/>
        <w:rPr>
          <w:rFonts w:ascii="Calibri" w:hAnsi="Calibri" w:cs="Calibri"/>
          <w:color w:val="auto"/>
          <w:sz w:val="22"/>
          <w:szCs w:val="22"/>
        </w:rPr>
      </w:pPr>
    </w:p>
    <w:p w14:paraId="59F32690" w14:textId="77777777" w:rsidR="002A7944" w:rsidRPr="000352BE" w:rsidRDefault="002A7944" w:rsidP="002A7944">
      <w:pPr>
        <w:spacing w:after="0" w:line="360" w:lineRule="auto"/>
        <w:jc w:val="both"/>
        <w:rPr>
          <w:rFonts w:ascii="Calibri" w:hAnsi="Calibri" w:cs="Calibri"/>
          <w:color w:val="auto"/>
          <w:sz w:val="22"/>
          <w:szCs w:val="22"/>
        </w:rPr>
      </w:pPr>
      <w:r w:rsidRPr="000352BE">
        <w:rPr>
          <w:rFonts w:ascii="Calibri" w:hAnsi="Calibri" w:cs="Calibri"/>
          <w:color w:val="auto"/>
          <w:sz w:val="22"/>
          <w:szCs w:val="22"/>
        </w:rPr>
        <w:t>I am also sincerely grateful to Phil Daniels and the Cheshire, Merseyside and Greater Manchester Teacher Training Consortium for their financial support in providing the funding that made this study possible. Their belief in the value of this research has been a constant source of motivation and has enabled me to carry out the project to its fullest potential.</w:t>
      </w:r>
    </w:p>
    <w:p w14:paraId="601B484A" w14:textId="77777777" w:rsidR="002A7944" w:rsidRPr="000352BE" w:rsidRDefault="002A7944" w:rsidP="002A7944">
      <w:pPr>
        <w:spacing w:after="0" w:line="360" w:lineRule="auto"/>
        <w:jc w:val="both"/>
        <w:rPr>
          <w:rFonts w:ascii="Calibri" w:hAnsi="Calibri" w:cs="Calibri"/>
          <w:color w:val="auto"/>
          <w:sz w:val="22"/>
          <w:szCs w:val="22"/>
        </w:rPr>
      </w:pPr>
    </w:p>
    <w:p w14:paraId="11B120E4" w14:textId="77777777" w:rsidR="002A7944" w:rsidRPr="000352BE" w:rsidRDefault="002A7944" w:rsidP="002A7944">
      <w:pPr>
        <w:spacing w:after="0" w:line="360" w:lineRule="auto"/>
        <w:jc w:val="both"/>
        <w:rPr>
          <w:rFonts w:ascii="Calibri" w:hAnsi="Calibri" w:cs="Calibri"/>
          <w:color w:val="auto"/>
          <w:sz w:val="22"/>
          <w:szCs w:val="22"/>
        </w:rPr>
      </w:pPr>
      <w:r w:rsidRPr="000352BE">
        <w:rPr>
          <w:rFonts w:ascii="Calibri" w:hAnsi="Calibri" w:cs="Calibri"/>
          <w:color w:val="auto"/>
          <w:sz w:val="22"/>
          <w:szCs w:val="22"/>
        </w:rPr>
        <w:t>Special thanks are owed to the schools, teachers, and children who so generously gave their time to participate in this study. Without their willingness to engage, contribute, and share their experiences, this dissertation would not have been possible. Their involvement not only provided the data that underpins this research but also reminded me of the real-world significance of improving practice in early years education.</w:t>
      </w:r>
    </w:p>
    <w:p w14:paraId="534794C8" w14:textId="77777777" w:rsidR="002A7944" w:rsidRPr="000352BE" w:rsidRDefault="002A7944" w:rsidP="002A7944">
      <w:pPr>
        <w:spacing w:after="0" w:line="360" w:lineRule="auto"/>
        <w:jc w:val="both"/>
        <w:rPr>
          <w:rFonts w:ascii="Calibri" w:hAnsi="Calibri" w:cs="Calibri"/>
          <w:color w:val="auto"/>
          <w:sz w:val="22"/>
          <w:szCs w:val="22"/>
        </w:rPr>
      </w:pPr>
    </w:p>
    <w:p w14:paraId="7C23A135" w14:textId="77777777" w:rsidR="002A7944" w:rsidRPr="000352BE" w:rsidRDefault="002A7944" w:rsidP="002A7944">
      <w:pPr>
        <w:spacing w:after="0" w:line="360" w:lineRule="auto"/>
        <w:jc w:val="both"/>
        <w:rPr>
          <w:rFonts w:ascii="Calibri" w:hAnsi="Calibri" w:cs="Calibri"/>
          <w:color w:val="auto"/>
          <w:sz w:val="22"/>
          <w:szCs w:val="22"/>
        </w:rPr>
      </w:pPr>
      <w:r w:rsidRPr="000352BE">
        <w:rPr>
          <w:rFonts w:ascii="Calibri" w:hAnsi="Calibri" w:cs="Calibri"/>
          <w:color w:val="auto"/>
          <w:sz w:val="22"/>
          <w:szCs w:val="22"/>
        </w:rPr>
        <w:t>I would also like to acknowledge the support of my colleagues and peers at Edstart Sports Coaching, who offered both professional insight and moral encouragement during this process. The opportunity to share ideas and discuss challenges with others has been invaluable.</w:t>
      </w:r>
    </w:p>
    <w:p w14:paraId="7DEC6550" w14:textId="77777777" w:rsidR="002A7944" w:rsidRPr="000352BE" w:rsidRDefault="002A7944" w:rsidP="002A7944">
      <w:pPr>
        <w:spacing w:after="0" w:line="360" w:lineRule="auto"/>
        <w:jc w:val="both"/>
        <w:rPr>
          <w:rFonts w:ascii="Calibri" w:hAnsi="Calibri" w:cs="Calibri"/>
          <w:color w:val="auto"/>
          <w:sz w:val="22"/>
          <w:szCs w:val="22"/>
        </w:rPr>
      </w:pPr>
    </w:p>
    <w:p w14:paraId="70F7A007" w14:textId="77777777" w:rsidR="002A7944" w:rsidRPr="000352BE" w:rsidRDefault="002A7944" w:rsidP="002A7944">
      <w:pPr>
        <w:spacing w:after="0" w:line="360" w:lineRule="auto"/>
        <w:jc w:val="both"/>
        <w:rPr>
          <w:rFonts w:ascii="Calibri" w:hAnsi="Calibri" w:cs="Calibri"/>
          <w:color w:val="auto"/>
          <w:sz w:val="22"/>
          <w:szCs w:val="22"/>
        </w:rPr>
      </w:pPr>
      <w:r w:rsidRPr="000352BE">
        <w:rPr>
          <w:rFonts w:ascii="Calibri" w:hAnsi="Calibri" w:cs="Calibri"/>
          <w:color w:val="auto"/>
          <w:sz w:val="22"/>
          <w:szCs w:val="22"/>
        </w:rPr>
        <w:t>Finally, I want to give my biggest thanks to my family for being by my side through every step of this process. From the long hours of writing to the moments of stress and self-doubt, you’ve been there with encouragement, patience, and constant belief in me. I couldn’t have got through this without you, and this achievement belongs to all of us.</w:t>
      </w:r>
    </w:p>
    <w:p w14:paraId="407AFDD4" w14:textId="77777777" w:rsidR="002A7944" w:rsidRDefault="002A7944"/>
    <w:p w14:paraId="5A173C1F" w14:textId="77777777" w:rsidR="002A7944" w:rsidRDefault="002A7944"/>
    <w:p w14:paraId="3242C56F" w14:textId="77777777" w:rsidR="002A7944" w:rsidRDefault="002A7944"/>
    <w:p w14:paraId="12CF6D45" w14:textId="77777777" w:rsidR="002A7944" w:rsidRDefault="002A7944"/>
    <w:p w14:paraId="181E4B02" w14:textId="77777777" w:rsidR="002A7944" w:rsidRDefault="002A7944"/>
    <w:p w14:paraId="21BB7F9F" w14:textId="77777777" w:rsidR="002A7944" w:rsidRDefault="002A7944"/>
    <w:p w14:paraId="0FFC79B4" w14:textId="77777777" w:rsidR="002A7944" w:rsidRDefault="002A7944"/>
    <w:p w14:paraId="1573360A" w14:textId="77777777" w:rsidR="002A7944" w:rsidRDefault="002A7944"/>
    <w:p w14:paraId="3C8640AE" w14:textId="77777777" w:rsidR="002A7944" w:rsidRDefault="002A7944"/>
    <w:p w14:paraId="1F853A5E" w14:textId="77777777" w:rsidR="002A7944" w:rsidRDefault="002A7944"/>
    <w:p w14:paraId="4F6D176F" w14:textId="77777777" w:rsidR="002A7944" w:rsidRDefault="002A7944"/>
    <w:p w14:paraId="65F2AAFF" w14:textId="77777777" w:rsidR="002A7944" w:rsidRDefault="002A7944"/>
    <w:p w14:paraId="1B7F93B3" w14:textId="77777777" w:rsidR="002A7944" w:rsidRDefault="002A7944"/>
    <w:p w14:paraId="4CAC2188" w14:textId="77777777" w:rsidR="002A7944" w:rsidRDefault="002A7944"/>
    <w:p w14:paraId="4BCF5629" w14:textId="77777777" w:rsidR="002A7944" w:rsidRDefault="002A7944"/>
    <w:p w14:paraId="06FA4ABB" w14:textId="77777777" w:rsidR="002A7944" w:rsidRDefault="002A7944"/>
    <w:p w14:paraId="66CEC984" w14:textId="77777777" w:rsidR="002A7944" w:rsidRDefault="002A7944"/>
    <w:p w14:paraId="104DAB08" w14:textId="77777777" w:rsidR="002A7944" w:rsidRPr="00DA53C0" w:rsidRDefault="002A7944" w:rsidP="002A7944">
      <w:pPr>
        <w:spacing w:after="0" w:line="360" w:lineRule="auto"/>
        <w:jc w:val="both"/>
        <w:rPr>
          <w:rFonts w:ascii="Calibri" w:hAnsi="Calibri" w:cs="Calibri"/>
          <w:caps/>
          <w:color w:val="auto"/>
          <w:sz w:val="44"/>
          <w:szCs w:val="44"/>
        </w:rPr>
      </w:pPr>
      <w:r w:rsidRPr="00DA53C0">
        <w:rPr>
          <w:rFonts w:ascii="Calibri" w:hAnsi="Calibri" w:cs="Calibri"/>
          <w:caps/>
          <w:color w:val="auto"/>
          <w:sz w:val="44"/>
          <w:szCs w:val="44"/>
        </w:rPr>
        <w:lastRenderedPageBreak/>
        <w:t>glossary of terms</w:t>
      </w:r>
    </w:p>
    <w:tbl>
      <w:tblPr>
        <w:tblStyle w:val="TableGrid"/>
        <w:tblW w:w="10910" w:type="dxa"/>
        <w:tblLook w:val="04A0" w:firstRow="1" w:lastRow="0" w:firstColumn="1" w:lastColumn="0" w:noHBand="0" w:noVBand="1"/>
      </w:tblPr>
      <w:tblGrid>
        <w:gridCol w:w="4390"/>
        <w:gridCol w:w="992"/>
        <w:gridCol w:w="283"/>
        <w:gridCol w:w="4253"/>
        <w:gridCol w:w="992"/>
      </w:tblGrid>
      <w:tr w:rsidR="002A7944" w:rsidRPr="000352BE" w14:paraId="6E9A778D" w14:textId="77777777" w:rsidTr="00006714">
        <w:trPr>
          <w:trHeight w:val="624"/>
        </w:trPr>
        <w:tc>
          <w:tcPr>
            <w:tcW w:w="4390" w:type="dxa"/>
            <w:vAlign w:val="center"/>
          </w:tcPr>
          <w:p w14:paraId="0EA6FD85" w14:textId="77777777" w:rsidR="002A7944" w:rsidRPr="000352BE" w:rsidRDefault="002A7944" w:rsidP="00006714">
            <w:pPr>
              <w:spacing w:after="0" w:line="240" w:lineRule="auto"/>
              <w:rPr>
                <w:rFonts w:ascii="Calibri" w:hAnsi="Calibri" w:cs="Calibri"/>
                <w:color w:val="auto"/>
                <w:sz w:val="22"/>
                <w:szCs w:val="22"/>
              </w:rPr>
            </w:pPr>
            <w:r w:rsidRPr="000352BE">
              <w:rPr>
                <w:rFonts w:ascii="Calibri" w:hAnsi="Calibri" w:cs="Calibri"/>
                <w:color w:val="auto"/>
                <w:sz w:val="22"/>
                <w:szCs w:val="22"/>
              </w:rPr>
              <w:t>Physical Development</w:t>
            </w:r>
          </w:p>
        </w:tc>
        <w:tc>
          <w:tcPr>
            <w:tcW w:w="992" w:type="dxa"/>
            <w:tcBorders>
              <w:right w:val="single" w:sz="4" w:space="0" w:color="auto"/>
            </w:tcBorders>
            <w:vAlign w:val="center"/>
          </w:tcPr>
          <w:p w14:paraId="37587FDA" w14:textId="77777777" w:rsidR="002A7944" w:rsidRPr="000352BE" w:rsidRDefault="002A7944" w:rsidP="00006714">
            <w:pPr>
              <w:spacing w:after="0" w:line="240" w:lineRule="auto"/>
              <w:rPr>
                <w:rFonts w:ascii="Calibri" w:hAnsi="Calibri" w:cs="Calibri"/>
                <w:b/>
                <w:bCs/>
                <w:color w:val="auto"/>
                <w:sz w:val="22"/>
                <w:szCs w:val="22"/>
              </w:rPr>
            </w:pPr>
            <w:r w:rsidRPr="000352BE">
              <w:rPr>
                <w:rFonts w:ascii="Calibri" w:hAnsi="Calibri" w:cs="Calibri"/>
                <w:b/>
                <w:bCs/>
                <w:color w:val="auto"/>
                <w:sz w:val="22"/>
                <w:szCs w:val="22"/>
              </w:rPr>
              <w:t>PD</w:t>
            </w:r>
          </w:p>
        </w:tc>
        <w:tc>
          <w:tcPr>
            <w:tcW w:w="283" w:type="dxa"/>
            <w:tcBorders>
              <w:top w:val="nil"/>
              <w:left w:val="single" w:sz="4" w:space="0" w:color="auto"/>
              <w:bottom w:val="nil"/>
              <w:right w:val="single" w:sz="4" w:space="0" w:color="auto"/>
            </w:tcBorders>
            <w:vAlign w:val="center"/>
          </w:tcPr>
          <w:p w14:paraId="592DB24C" w14:textId="77777777" w:rsidR="002A7944" w:rsidRPr="000352BE" w:rsidRDefault="002A7944" w:rsidP="00006714">
            <w:pPr>
              <w:spacing w:after="0" w:line="240" w:lineRule="auto"/>
              <w:rPr>
                <w:rFonts w:ascii="Calibri" w:hAnsi="Calibri" w:cs="Calibri"/>
                <w:color w:val="auto"/>
                <w:sz w:val="22"/>
                <w:szCs w:val="22"/>
              </w:rPr>
            </w:pPr>
          </w:p>
        </w:tc>
        <w:tc>
          <w:tcPr>
            <w:tcW w:w="4253" w:type="dxa"/>
            <w:tcBorders>
              <w:left w:val="single" w:sz="4" w:space="0" w:color="auto"/>
            </w:tcBorders>
            <w:vAlign w:val="center"/>
          </w:tcPr>
          <w:p w14:paraId="491E0139" w14:textId="77777777" w:rsidR="002A7944" w:rsidRPr="000352BE" w:rsidRDefault="002A7944" w:rsidP="00006714">
            <w:pPr>
              <w:spacing w:after="0" w:line="240" w:lineRule="auto"/>
              <w:rPr>
                <w:rFonts w:ascii="Calibri" w:hAnsi="Calibri" w:cs="Calibri"/>
                <w:color w:val="auto"/>
                <w:sz w:val="22"/>
                <w:szCs w:val="22"/>
              </w:rPr>
            </w:pPr>
            <w:r w:rsidRPr="000352BE">
              <w:rPr>
                <w:rFonts w:ascii="Calibri" w:hAnsi="Calibri" w:cs="Calibri"/>
                <w:color w:val="auto"/>
                <w:sz w:val="22"/>
                <w:szCs w:val="22"/>
              </w:rPr>
              <w:t>Gross Motor Skills</w:t>
            </w:r>
          </w:p>
        </w:tc>
        <w:tc>
          <w:tcPr>
            <w:tcW w:w="992" w:type="dxa"/>
            <w:vAlign w:val="center"/>
          </w:tcPr>
          <w:p w14:paraId="1F21CBF7" w14:textId="77777777" w:rsidR="002A7944" w:rsidRPr="000352BE" w:rsidRDefault="002A7944" w:rsidP="00006714">
            <w:pPr>
              <w:spacing w:after="0" w:line="240" w:lineRule="auto"/>
              <w:rPr>
                <w:rFonts w:ascii="Calibri" w:hAnsi="Calibri" w:cs="Calibri"/>
                <w:b/>
                <w:bCs/>
                <w:color w:val="auto"/>
                <w:sz w:val="22"/>
                <w:szCs w:val="22"/>
              </w:rPr>
            </w:pPr>
            <w:r w:rsidRPr="000352BE">
              <w:rPr>
                <w:rFonts w:ascii="Calibri" w:hAnsi="Calibri" w:cs="Calibri"/>
                <w:b/>
                <w:bCs/>
                <w:color w:val="auto"/>
                <w:sz w:val="22"/>
                <w:szCs w:val="22"/>
              </w:rPr>
              <w:t>GMS</w:t>
            </w:r>
          </w:p>
        </w:tc>
      </w:tr>
      <w:tr w:rsidR="002A7944" w:rsidRPr="000352BE" w14:paraId="45F22634" w14:textId="77777777" w:rsidTr="00006714">
        <w:trPr>
          <w:trHeight w:val="624"/>
        </w:trPr>
        <w:tc>
          <w:tcPr>
            <w:tcW w:w="4390" w:type="dxa"/>
            <w:vAlign w:val="center"/>
          </w:tcPr>
          <w:p w14:paraId="36E95E99" w14:textId="77777777" w:rsidR="002A7944" w:rsidRPr="000352BE" w:rsidRDefault="002A7944" w:rsidP="00006714">
            <w:pPr>
              <w:spacing w:after="0" w:line="240" w:lineRule="auto"/>
              <w:rPr>
                <w:rFonts w:ascii="Calibri" w:hAnsi="Calibri" w:cs="Calibri"/>
                <w:color w:val="auto"/>
                <w:sz w:val="22"/>
                <w:szCs w:val="22"/>
              </w:rPr>
            </w:pPr>
            <w:r w:rsidRPr="000352BE">
              <w:rPr>
                <w:rFonts w:ascii="Calibri" w:hAnsi="Calibri" w:cs="Calibri"/>
                <w:color w:val="auto"/>
                <w:sz w:val="22"/>
                <w:szCs w:val="22"/>
              </w:rPr>
              <w:t>Physical Literacy</w:t>
            </w:r>
          </w:p>
        </w:tc>
        <w:tc>
          <w:tcPr>
            <w:tcW w:w="992" w:type="dxa"/>
            <w:tcBorders>
              <w:right w:val="single" w:sz="4" w:space="0" w:color="auto"/>
            </w:tcBorders>
            <w:vAlign w:val="center"/>
          </w:tcPr>
          <w:p w14:paraId="31DEEF85" w14:textId="77777777" w:rsidR="002A7944" w:rsidRPr="000352BE" w:rsidRDefault="002A7944" w:rsidP="00006714">
            <w:pPr>
              <w:spacing w:after="0" w:line="240" w:lineRule="auto"/>
              <w:rPr>
                <w:rFonts w:ascii="Calibri" w:hAnsi="Calibri" w:cs="Calibri"/>
                <w:b/>
                <w:bCs/>
                <w:color w:val="auto"/>
                <w:sz w:val="22"/>
                <w:szCs w:val="22"/>
              </w:rPr>
            </w:pPr>
            <w:r w:rsidRPr="000352BE">
              <w:rPr>
                <w:rFonts w:ascii="Calibri" w:hAnsi="Calibri" w:cs="Calibri"/>
                <w:b/>
                <w:bCs/>
                <w:color w:val="auto"/>
                <w:sz w:val="22"/>
                <w:szCs w:val="22"/>
              </w:rPr>
              <w:t>PL</w:t>
            </w:r>
          </w:p>
        </w:tc>
        <w:tc>
          <w:tcPr>
            <w:tcW w:w="283" w:type="dxa"/>
            <w:tcBorders>
              <w:top w:val="nil"/>
              <w:left w:val="single" w:sz="4" w:space="0" w:color="auto"/>
              <w:bottom w:val="nil"/>
              <w:right w:val="single" w:sz="4" w:space="0" w:color="auto"/>
            </w:tcBorders>
            <w:vAlign w:val="center"/>
          </w:tcPr>
          <w:p w14:paraId="50979649" w14:textId="77777777" w:rsidR="002A7944" w:rsidRPr="000352BE" w:rsidRDefault="002A7944" w:rsidP="00006714">
            <w:pPr>
              <w:spacing w:after="0" w:line="240" w:lineRule="auto"/>
              <w:rPr>
                <w:rFonts w:ascii="Calibri" w:hAnsi="Calibri" w:cs="Calibri"/>
                <w:color w:val="auto"/>
                <w:sz w:val="22"/>
                <w:szCs w:val="22"/>
              </w:rPr>
            </w:pPr>
          </w:p>
        </w:tc>
        <w:tc>
          <w:tcPr>
            <w:tcW w:w="4253" w:type="dxa"/>
            <w:tcBorders>
              <w:left w:val="single" w:sz="4" w:space="0" w:color="auto"/>
            </w:tcBorders>
            <w:vAlign w:val="center"/>
          </w:tcPr>
          <w:p w14:paraId="626D479C" w14:textId="77777777" w:rsidR="002A7944" w:rsidRPr="000352BE" w:rsidRDefault="002A7944" w:rsidP="00006714">
            <w:pPr>
              <w:spacing w:after="0" w:line="240" w:lineRule="auto"/>
              <w:rPr>
                <w:rFonts w:ascii="Calibri" w:hAnsi="Calibri" w:cs="Calibri"/>
                <w:color w:val="auto"/>
                <w:sz w:val="22"/>
                <w:szCs w:val="22"/>
              </w:rPr>
            </w:pPr>
            <w:r w:rsidRPr="000352BE">
              <w:rPr>
                <w:rFonts w:ascii="Calibri" w:hAnsi="Calibri" w:cs="Calibri"/>
                <w:color w:val="auto"/>
                <w:sz w:val="22"/>
                <w:szCs w:val="22"/>
              </w:rPr>
              <w:t>Fine Motor Skills</w:t>
            </w:r>
          </w:p>
        </w:tc>
        <w:tc>
          <w:tcPr>
            <w:tcW w:w="992" w:type="dxa"/>
            <w:vAlign w:val="center"/>
          </w:tcPr>
          <w:p w14:paraId="15610464" w14:textId="77777777" w:rsidR="002A7944" w:rsidRPr="000352BE" w:rsidRDefault="002A7944" w:rsidP="00006714">
            <w:pPr>
              <w:spacing w:after="0" w:line="240" w:lineRule="auto"/>
              <w:rPr>
                <w:rFonts w:ascii="Calibri" w:hAnsi="Calibri" w:cs="Calibri"/>
                <w:b/>
                <w:bCs/>
                <w:color w:val="auto"/>
                <w:sz w:val="22"/>
                <w:szCs w:val="22"/>
              </w:rPr>
            </w:pPr>
            <w:r w:rsidRPr="000352BE">
              <w:rPr>
                <w:rFonts w:ascii="Calibri" w:hAnsi="Calibri" w:cs="Calibri"/>
                <w:b/>
                <w:bCs/>
                <w:color w:val="auto"/>
                <w:sz w:val="22"/>
                <w:szCs w:val="22"/>
              </w:rPr>
              <w:t>FMS</w:t>
            </w:r>
          </w:p>
        </w:tc>
      </w:tr>
      <w:tr w:rsidR="002A7944" w:rsidRPr="000352BE" w14:paraId="657A3C82" w14:textId="77777777" w:rsidTr="00006714">
        <w:trPr>
          <w:trHeight w:val="624"/>
        </w:trPr>
        <w:tc>
          <w:tcPr>
            <w:tcW w:w="4390" w:type="dxa"/>
            <w:vAlign w:val="center"/>
          </w:tcPr>
          <w:p w14:paraId="75B0635E" w14:textId="77777777" w:rsidR="002A7944" w:rsidRPr="000352BE" w:rsidRDefault="002A7944" w:rsidP="00006714">
            <w:pPr>
              <w:spacing w:after="0" w:line="240" w:lineRule="auto"/>
              <w:rPr>
                <w:rFonts w:ascii="Calibri" w:hAnsi="Calibri" w:cs="Calibri"/>
                <w:color w:val="auto"/>
                <w:sz w:val="22"/>
                <w:szCs w:val="22"/>
              </w:rPr>
            </w:pPr>
            <w:r w:rsidRPr="000352BE">
              <w:rPr>
                <w:rFonts w:ascii="Calibri" w:hAnsi="Calibri" w:cs="Calibri"/>
                <w:color w:val="auto"/>
                <w:sz w:val="22"/>
                <w:szCs w:val="22"/>
              </w:rPr>
              <w:t xml:space="preserve">Physical Education </w:t>
            </w:r>
          </w:p>
        </w:tc>
        <w:tc>
          <w:tcPr>
            <w:tcW w:w="992" w:type="dxa"/>
            <w:tcBorders>
              <w:right w:val="single" w:sz="4" w:space="0" w:color="auto"/>
            </w:tcBorders>
            <w:vAlign w:val="center"/>
          </w:tcPr>
          <w:p w14:paraId="0AE0FC1F" w14:textId="77777777" w:rsidR="002A7944" w:rsidRPr="000352BE" w:rsidRDefault="002A7944" w:rsidP="00006714">
            <w:pPr>
              <w:spacing w:after="0" w:line="240" w:lineRule="auto"/>
              <w:rPr>
                <w:rFonts w:ascii="Calibri" w:hAnsi="Calibri" w:cs="Calibri"/>
                <w:b/>
                <w:bCs/>
                <w:color w:val="auto"/>
                <w:sz w:val="22"/>
                <w:szCs w:val="22"/>
              </w:rPr>
            </w:pPr>
            <w:r w:rsidRPr="000352BE">
              <w:rPr>
                <w:rFonts w:ascii="Calibri" w:hAnsi="Calibri" w:cs="Calibri"/>
                <w:b/>
                <w:bCs/>
                <w:color w:val="auto"/>
                <w:sz w:val="22"/>
                <w:szCs w:val="22"/>
              </w:rPr>
              <w:t>PE</w:t>
            </w:r>
          </w:p>
        </w:tc>
        <w:tc>
          <w:tcPr>
            <w:tcW w:w="283" w:type="dxa"/>
            <w:tcBorders>
              <w:top w:val="nil"/>
              <w:left w:val="single" w:sz="4" w:space="0" w:color="auto"/>
              <w:bottom w:val="nil"/>
              <w:right w:val="single" w:sz="4" w:space="0" w:color="auto"/>
            </w:tcBorders>
            <w:vAlign w:val="center"/>
          </w:tcPr>
          <w:p w14:paraId="7434E52F" w14:textId="77777777" w:rsidR="002A7944" w:rsidRPr="000352BE" w:rsidRDefault="002A7944" w:rsidP="00006714">
            <w:pPr>
              <w:spacing w:after="0" w:line="240" w:lineRule="auto"/>
              <w:rPr>
                <w:rFonts w:ascii="Calibri" w:hAnsi="Calibri" w:cs="Calibri"/>
                <w:color w:val="auto"/>
                <w:sz w:val="22"/>
                <w:szCs w:val="22"/>
              </w:rPr>
            </w:pPr>
          </w:p>
        </w:tc>
        <w:tc>
          <w:tcPr>
            <w:tcW w:w="4253" w:type="dxa"/>
            <w:tcBorders>
              <w:left w:val="single" w:sz="4" w:space="0" w:color="auto"/>
            </w:tcBorders>
            <w:vAlign w:val="center"/>
          </w:tcPr>
          <w:p w14:paraId="2C49378F" w14:textId="77777777" w:rsidR="002A7944" w:rsidRPr="000352BE" w:rsidRDefault="002A7944" w:rsidP="00006714">
            <w:pPr>
              <w:spacing w:after="0" w:line="240" w:lineRule="auto"/>
              <w:rPr>
                <w:rFonts w:ascii="Calibri" w:hAnsi="Calibri" w:cs="Calibri"/>
                <w:color w:val="auto"/>
                <w:sz w:val="22"/>
                <w:szCs w:val="22"/>
              </w:rPr>
            </w:pPr>
            <w:r w:rsidRPr="000352BE">
              <w:rPr>
                <w:rFonts w:ascii="Calibri" w:hAnsi="Calibri" w:cs="Calibri"/>
                <w:color w:val="auto"/>
                <w:sz w:val="22"/>
                <w:szCs w:val="22"/>
              </w:rPr>
              <w:t>Early Years</w:t>
            </w:r>
          </w:p>
        </w:tc>
        <w:tc>
          <w:tcPr>
            <w:tcW w:w="992" w:type="dxa"/>
            <w:vAlign w:val="center"/>
          </w:tcPr>
          <w:p w14:paraId="0FE5299E" w14:textId="77777777" w:rsidR="002A7944" w:rsidRPr="000352BE" w:rsidRDefault="002A7944" w:rsidP="00006714">
            <w:pPr>
              <w:spacing w:after="0" w:line="240" w:lineRule="auto"/>
              <w:rPr>
                <w:rFonts w:ascii="Calibri" w:hAnsi="Calibri" w:cs="Calibri"/>
                <w:b/>
                <w:bCs/>
                <w:color w:val="auto"/>
                <w:sz w:val="22"/>
                <w:szCs w:val="22"/>
              </w:rPr>
            </w:pPr>
            <w:r w:rsidRPr="000352BE">
              <w:rPr>
                <w:rFonts w:ascii="Calibri" w:hAnsi="Calibri" w:cs="Calibri"/>
                <w:b/>
                <w:bCs/>
                <w:color w:val="auto"/>
                <w:sz w:val="22"/>
                <w:szCs w:val="22"/>
              </w:rPr>
              <w:t>EY</w:t>
            </w:r>
          </w:p>
        </w:tc>
      </w:tr>
      <w:tr w:rsidR="002A7944" w:rsidRPr="000352BE" w14:paraId="100E71B5" w14:textId="77777777" w:rsidTr="00006714">
        <w:trPr>
          <w:trHeight w:val="624"/>
        </w:trPr>
        <w:tc>
          <w:tcPr>
            <w:tcW w:w="4390" w:type="dxa"/>
            <w:vAlign w:val="center"/>
          </w:tcPr>
          <w:p w14:paraId="1D702437" w14:textId="721E5102" w:rsidR="002A7944" w:rsidRPr="000352BE" w:rsidRDefault="002A7944" w:rsidP="00006714">
            <w:pPr>
              <w:spacing w:after="0" w:line="240" w:lineRule="auto"/>
              <w:rPr>
                <w:rFonts w:ascii="Calibri" w:hAnsi="Calibri" w:cs="Calibri"/>
                <w:color w:val="auto"/>
                <w:sz w:val="22"/>
                <w:szCs w:val="22"/>
              </w:rPr>
            </w:pPr>
            <w:r w:rsidRPr="000352BE">
              <w:rPr>
                <w:rFonts w:ascii="Calibri" w:hAnsi="Calibri" w:cs="Calibri"/>
                <w:color w:val="auto"/>
                <w:sz w:val="22"/>
                <w:szCs w:val="22"/>
              </w:rPr>
              <w:t xml:space="preserve">Motor Assessment Battery for Children </w:t>
            </w:r>
            <w:r w:rsidR="00723EFC">
              <w:rPr>
                <w:rFonts w:ascii="Calibri" w:hAnsi="Calibri" w:cs="Calibri"/>
                <w:color w:val="auto"/>
                <w:sz w:val="22"/>
                <w:szCs w:val="22"/>
              </w:rPr>
              <w:t>–</w:t>
            </w:r>
            <w:r w:rsidRPr="000352BE">
              <w:rPr>
                <w:rFonts w:ascii="Calibri" w:hAnsi="Calibri" w:cs="Calibri"/>
                <w:color w:val="auto"/>
                <w:sz w:val="22"/>
                <w:szCs w:val="22"/>
              </w:rPr>
              <w:t xml:space="preserve"> 2</w:t>
            </w:r>
            <w:r w:rsidR="00723EFC" w:rsidRPr="00723EFC">
              <w:rPr>
                <w:rFonts w:ascii="Calibri" w:hAnsi="Calibri" w:cs="Calibri"/>
                <w:color w:val="auto"/>
                <w:sz w:val="22"/>
                <w:szCs w:val="22"/>
                <w:vertAlign w:val="superscript"/>
              </w:rPr>
              <w:t>nd</w:t>
            </w:r>
            <w:r w:rsidR="00723EFC">
              <w:rPr>
                <w:rFonts w:ascii="Calibri" w:hAnsi="Calibri" w:cs="Calibri"/>
                <w:color w:val="auto"/>
                <w:sz w:val="22"/>
                <w:szCs w:val="22"/>
              </w:rPr>
              <w:t xml:space="preserve"> Edition</w:t>
            </w:r>
          </w:p>
        </w:tc>
        <w:tc>
          <w:tcPr>
            <w:tcW w:w="992" w:type="dxa"/>
            <w:tcBorders>
              <w:right w:val="single" w:sz="4" w:space="0" w:color="auto"/>
            </w:tcBorders>
            <w:vAlign w:val="center"/>
          </w:tcPr>
          <w:p w14:paraId="722A156A" w14:textId="77777777" w:rsidR="002A7944" w:rsidRPr="000352BE" w:rsidRDefault="002A7944" w:rsidP="00006714">
            <w:pPr>
              <w:spacing w:after="0" w:line="240" w:lineRule="auto"/>
              <w:rPr>
                <w:rFonts w:ascii="Calibri" w:hAnsi="Calibri" w:cs="Calibri"/>
                <w:b/>
                <w:bCs/>
                <w:color w:val="auto"/>
                <w:sz w:val="22"/>
                <w:szCs w:val="22"/>
              </w:rPr>
            </w:pPr>
            <w:r w:rsidRPr="000352BE">
              <w:rPr>
                <w:rFonts w:ascii="Calibri" w:hAnsi="Calibri" w:cs="Calibri"/>
                <w:b/>
                <w:bCs/>
                <w:color w:val="auto"/>
                <w:sz w:val="22"/>
                <w:szCs w:val="22"/>
              </w:rPr>
              <w:t>MABC-2</w:t>
            </w:r>
          </w:p>
        </w:tc>
        <w:tc>
          <w:tcPr>
            <w:tcW w:w="283" w:type="dxa"/>
            <w:tcBorders>
              <w:top w:val="nil"/>
              <w:left w:val="single" w:sz="4" w:space="0" w:color="auto"/>
              <w:bottom w:val="nil"/>
              <w:right w:val="single" w:sz="4" w:space="0" w:color="auto"/>
            </w:tcBorders>
            <w:vAlign w:val="center"/>
          </w:tcPr>
          <w:p w14:paraId="53846FA1" w14:textId="77777777" w:rsidR="002A7944" w:rsidRPr="000352BE" w:rsidRDefault="002A7944" w:rsidP="00006714">
            <w:pPr>
              <w:spacing w:after="0" w:line="240" w:lineRule="auto"/>
              <w:rPr>
                <w:rFonts w:ascii="Calibri" w:hAnsi="Calibri" w:cs="Calibri"/>
                <w:color w:val="auto"/>
                <w:sz w:val="22"/>
                <w:szCs w:val="22"/>
              </w:rPr>
            </w:pPr>
          </w:p>
        </w:tc>
        <w:tc>
          <w:tcPr>
            <w:tcW w:w="4253" w:type="dxa"/>
            <w:tcBorders>
              <w:left w:val="single" w:sz="4" w:space="0" w:color="auto"/>
            </w:tcBorders>
            <w:vAlign w:val="center"/>
          </w:tcPr>
          <w:p w14:paraId="1ABB5187" w14:textId="77777777" w:rsidR="002A7944" w:rsidRPr="000352BE" w:rsidRDefault="002A7944" w:rsidP="00006714">
            <w:pPr>
              <w:spacing w:after="0" w:line="240" w:lineRule="auto"/>
              <w:rPr>
                <w:rFonts w:ascii="Calibri" w:hAnsi="Calibri" w:cs="Calibri"/>
                <w:color w:val="auto"/>
                <w:sz w:val="22"/>
                <w:szCs w:val="22"/>
              </w:rPr>
            </w:pPr>
            <w:r w:rsidRPr="000352BE">
              <w:rPr>
                <w:rFonts w:ascii="Calibri" w:hAnsi="Calibri" w:cs="Calibri"/>
                <w:color w:val="auto"/>
                <w:sz w:val="22"/>
                <w:szCs w:val="22"/>
              </w:rPr>
              <w:t>Early Learning Goals</w:t>
            </w:r>
          </w:p>
        </w:tc>
        <w:tc>
          <w:tcPr>
            <w:tcW w:w="992" w:type="dxa"/>
            <w:vAlign w:val="center"/>
          </w:tcPr>
          <w:p w14:paraId="1F3359F3" w14:textId="77777777" w:rsidR="002A7944" w:rsidRPr="000352BE" w:rsidRDefault="002A7944" w:rsidP="00006714">
            <w:pPr>
              <w:spacing w:after="0" w:line="240" w:lineRule="auto"/>
              <w:rPr>
                <w:rFonts w:ascii="Calibri" w:hAnsi="Calibri" w:cs="Calibri"/>
                <w:b/>
                <w:bCs/>
                <w:color w:val="auto"/>
                <w:sz w:val="22"/>
                <w:szCs w:val="22"/>
              </w:rPr>
            </w:pPr>
            <w:r w:rsidRPr="000352BE">
              <w:rPr>
                <w:rFonts w:ascii="Calibri" w:hAnsi="Calibri" w:cs="Calibri"/>
                <w:b/>
                <w:bCs/>
                <w:color w:val="auto"/>
                <w:sz w:val="22"/>
                <w:szCs w:val="22"/>
              </w:rPr>
              <w:t>ELG</w:t>
            </w:r>
          </w:p>
        </w:tc>
      </w:tr>
      <w:tr w:rsidR="002A7944" w:rsidRPr="000352BE" w14:paraId="06285EB8" w14:textId="77777777" w:rsidTr="00006714">
        <w:trPr>
          <w:trHeight w:val="624"/>
        </w:trPr>
        <w:tc>
          <w:tcPr>
            <w:tcW w:w="4390" w:type="dxa"/>
            <w:vAlign w:val="center"/>
          </w:tcPr>
          <w:p w14:paraId="152CE999" w14:textId="77777777" w:rsidR="002A7944" w:rsidRPr="000352BE" w:rsidRDefault="002A7944" w:rsidP="00006714">
            <w:pPr>
              <w:spacing w:after="0" w:line="240" w:lineRule="auto"/>
              <w:rPr>
                <w:rFonts w:ascii="Calibri" w:hAnsi="Calibri" w:cs="Calibri"/>
                <w:color w:val="auto"/>
                <w:sz w:val="22"/>
                <w:szCs w:val="22"/>
              </w:rPr>
            </w:pPr>
            <w:r w:rsidRPr="000352BE">
              <w:rPr>
                <w:rFonts w:ascii="Calibri" w:hAnsi="Calibri" w:cs="Calibri"/>
                <w:color w:val="auto"/>
                <w:sz w:val="22"/>
                <w:szCs w:val="22"/>
              </w:rPr>
              <w:t>Early Years Foundation Stage</w:t>
            </w:r>
          </w:p>
        </w:tc>
        <w:tc>
          <w:tcPr>
            <w:tcW w:w="992" w:type="dxa"/>
            <w:tcBorders>
              <w:right w:val="single" w:sz="4" w:space="0" w:color="auto"/>
            </w:tcBorders>
            <w:vAlign w:val="center"/>
          </w:tcPr>
          <w:p w14:paraId="770A58F0" w14:textId="77777777" w:rsidR="002A7944" w:rsidRPr="000352BE" w:rsidRDefault="002A7944" w:rsidP="00006714">
            <w:pPr>
              <w:spacing w:after="0" w:line="240" w:lineRule="auto"/>
              <w:rPr>
                <w:rFonts w:ascii="Calibri" w:hAnsi="Calibri" w:cs="Calibri"/>
                <w:b/>
                <w:bCs/>
                <w:color w:val="auto"/>
                <w:sz w:val="22"/>
                <w:szCs w:val="22"/>
              </w:rPr>
            </w:pPr>
            <w:r w:rsidRPr="000352BE">
              <w:rPr>
                <w:rFonts w:ascii="Calibri" w:hAnsi="Calibri" w:cs="Calibri"/>
                <w:b/>
                <w:bCs/>
                <w:color w:val="auto"/>
                <w:sz w:val="22"/>
                <w:szCs w:val="22"/>
              </w:rPr>
              <w:t>EYFS</w:t>
            </w:r>
          </w:p>
        </w:tc>
        <w:tc>
          <w:tcPr>
            <w:tcW w:w="283" w:type="dxa"/>
            <w:tcBorders>
              <w:top w:val="nil"/>
              <w:left w:val="single" w:sz="4" w:space="0" w:color="auto"/>
              <w:bottom w:val="nil"/>
              <w:right w:val="single" w:sz="4" w:space="0" w:color="auto"/>
            </w:tcBorders>
            <w:vAlign w:val="center"/>
          </w:tcPr>
          <w:p w14:paraId="6302DE87" w14:textId="77777777" w:rsidR="002A7944" w:rsidRPr="000352BE" w:rsidRDefault="002A7944" w:rsidP="00006714">
            <w:pPr>
              <w:spacing w:after="0" w:line="240" w:lineRule="auto"/>
              <w:rPr>
                <w:rFonts w:ascii="Calibri" w:hAnsi="Calibri" w:cs="Calibri"/>
                <w:color w:val="auto"/>
                <w:sz w:val="22"/>
                <w:szCs w:val="22"/>
              </w:rPr>
            </w:pPr>
          </w:p>
        </w:tc>
        <w:tc>
          <w:tcPr>
            <w:tcW w:w="4253" w:type="dxa"/>
            <w:tcBorders>
              <w:left w:val="single" w:sz="4" w:space="0" w:color="auto"/>
            </w:tcBorders>
            <w:vAlign w:val="center"/>
          </w:tcPr>
          <w:p w14:paraId="001FDE41" w14:textId="77777777" w:rsidR="002A7944" w:rsidRPr="000352BE" w:rsidRDefault="002A7944" w:rsidP="00006714">
            <w:pPr>
              <w:spacing w:after="0" w:line="240" w:lineRule="auto"/>
              <w:rPr>
                <w:rFonts w:ascii="Calibri" w:hAnsi="Calibri" w:cs="Calibri"/>
                <w:color w:val="auto"/>
                <w:sz w:val="22"/>
                <w:szCs w:val="22"/>
              </w:rPr>
            </w:pPr>
            <w:r w:rsidRPr="000352BE">
              <w:rPr>
                <w:rFonts w:ascii="Calibri" w:hAnsi="Calibri" w:cs="Calibri"/>
                <w:color w:val="auto"/>
                <w:sz w:val="22"/>
                <w:szCs w:val="22"/>
              </w:rPr>
              <w:t>Developmental Coordination Disorder</w:t>
            </w:r>
          </w:p>
        </w:tc>
        <w:tc>
          <w:tcPr>
            <w:tcW w:w="992" w:type="dxa"/>
            <w:vAlign w:val="center"/>
          </w:tcPr>
          <w:p w14:paraId="619E04BB" w14:textId="77777777" w:rsidR="002A7944" w:rsidRPr="000352BE" w:rsidRDefault="002A7944" w:rsidP="00006714">
            <w:pPr>
              <w:spacing w:after="0" w:line="240" w:lineRule="auto"/>
              <w:rPr>
                <w:rFonts w:ascii="Calibri" w:hAnsi="Calibri" w:cs="Calibri"/>
                <w:b/>
                <w:bCs/>
                <w:color w:val="auto"/>
                <w:sz w:val="22"/>
                <w:szCs w:val="22"/>
              </w:rPr>
            </w:pPr>
            <w:r w:rsidRPr="000352BE">
              <w:rPr>
                <w:rFonts w:ascii="Calibri" w:hAnsi="Calibri" w:cs="Calibri"/>
                <w:b/>
                <w:bCs/>
                <w:color w:val="auto"/>
                <w:sz w:val="22"/>
                <w:szCs w:val="22"/>
              </w:rPr>
              <w:t>DCD</w:t>
            </w:r>
          </w:p>
        </w:tc>
      </w:tr>
      <w:tr w:rsidR="002A7944" w:rsidRPr="000352BE" w14:paraId="5639DB2B" w14:textId="77777777" w:rsidTr="00006714">
        <w:trPr>
          <w:trHeight w:val="624"/>
        </w:trPr>
        <w:tc>
          <w:tcPr>
            <w:tcW w:w="4390" w:type="dxa"/>
            <w:vAlign w:val="center"/>
          </w:tcPr>
          <w:p w14:paraId="55C6601B" w14:textId="77777777" w:rsidR="002A7944" w:rsidRPr="000352BE" w:rsidRDefault="002A7944" w:rsidP="00006714">
            <w:pPr>
              <w:spacing w:after="0" w:line="240" w:lineRule="auto"/>
              <w:rPr>
                <w:rFonts w:ascii="Calibri" w:hAnsi="Calibri" w:cs="Calibri"/>
                <w:color w:val="auto"/>
                <w:sz w:val="22"/>
                <w:szCs w:val="22"/>
              </w:rPr>
            </w:pPr>
            <w:r w:rsidRPr="000352BE">
              <w:rPr>
                <w:rFonts w:ascii="Calibri" w:hAnsi="Calibri" w:cs="Calibri"/>
                <w:color w:val="auto"/>
                <w:sz w:val="22"/>
                <w:szCs w:val="22"/>
              </w:rPr>
              <w:t>Early Years Foundation Stage Framework</w:t>
            </w:r>
          </w:p>
        </w:tc>
        <w:tc>
          <w:tcPr>
            <w:tcW w:w="992" w:type="dxa"/>
            <w:tcBorders>
              <w:right w:val="single" w:sz="4" w:space="0" w:color="auto"/>
            </w:tcBorders>
            <w:vAlign w:val="center"/>
          </w:tcPr>
          <w:p w14:paraId="3661CC8B" w14:textId="77777777" w:rsidR="002A7944" w:rsidRPr="000352BE" w:rsidRDefault="002A7944" w:rsidP="00006714">
            <w:pPr>
              <w:spacing w:after="0" w:line="240" w:lineRule="auto"/>
              <w:rPr>
                <w:rFonts w:ascii="Calibri" w:hAnsi="Calibri" w:cs="Calibri"/>
                <w:b/>
                <w:bCs/>
                <w:color w:val="auto"/>
                <w:sz w:val="22"/>
                <w:szCs w:val="22"/>
              </w:rPr>
            </w:pPr>
            <w:r w:rsidRPr="000352BE">
              <w:rPr>
                <w:rFonts w:ascii="Calibri" w:hAnsi="Calibri" w:cs="Calibri"/>
                <w:b/>
                <w:bCs/>
                <w:color w:val="auto"/>
                <w:sz w:val="22"/>
                <w:szCs w:val="22"/>
              </w:rPr>
              <w:t>EYFSF</w:t>
            </w:r>
          </w:p>
        </w:tc>
        <w:tc>
          <w:tcPr>
            <w:tcW w:w="283" w:type="dxa"/>
            <w:tcBorders>
              <w:top w:val="nil"/>
              <w:left w:val="single" w:sz="4" w:space="0" w:color="auto"/>
              <w:bottom w:val="nil"/>
              <w:right w:val="single" w:sz="4" w:space="0" w:color="auto"/>
            </w:tcBorders>
            <w:vAlign w:val="center"/>
          </w:tcPr>
          <w:p w14:paraId="60F0B714" w14:textId="77777777" w:rsidR="002A7944" w:rsidRPr="000352BE" w:rsidRDefault="002A7944" w:rsidP="00006714">
            <w:pPr>
              <w:spacing w:after="0" w:line="240" w:lineRule="auto"/>
              <w:rPr>
                <w:rFonts w:ascii="Calibri" w:hAnsi="Calibri" w:cs="Calibri"/>
                <w:color w:val="auto"/>
                <w:sz w:val="22"/>
                <w:szCs w:val="22"/>
              </w:rPr>
            </w:pPr>
          </w:p>
        </w:tc>
        <w:tc>
          <w:tcPr>
            <w:tcW w:w="4253" w:type="dxa"/>
            <w:tcBorders>
              <w:left w:val="single" w:sz="4" w:space="0" w:color="auto"/>
            </w:tcBorders>
            <w:vAlign w:val="center"/>
          </w:tcPr>
          <w:p w14:paraId="0DAC5827" w14:textId="77777777" w:rsidR="002A7944" w:rsidRPr="000352BE" w:rsidRDefault="002A7944" w:rsidP="00006714">
            <w:pPr>
              <w:spacing w:after="0" w:line="240" w:lineRule="auto"/>
              <w:rPr>
                <w:rFonts w:ascii="Calibri" w:hAnsi="Calibri" w:cs="Calibri"/>
                <w:color w:val="auto"/>
                <w:sz w:val="22"/>
                <w:szCs w:val="22"/>
              </w:rPr>
            </w:pPr>
            <w:r w:rsidRPr="000352BE">
              <w:rPr>
                <w:rFonts w:ascii="Calibri" w:hAnsi="Calibri" w:cs="Calibri"/>
                <w:color w:val="auto"/>
                <w:sz w:val="22"/>
                <w:szCs w:val="22"/>
              </w:rPr>
              <w:t>Department for Education</w:t>
            </w:r>
          </w:p>
        </w:tc>
        <w:tc>
          <w:tcPr>
            <w:tcW w:w="992" w:type="dxa"/>
            <w:vAlign w:val="center"/>
          </w:tcPr>
          <w:p w14:paraId="27BE9A80" w14:textId="77777777" w:rsidR="002A7944" w:rsidRPr="000352BE" w:rsidRDefault="002A7944" w:rsidP="00006714">
            <w:pPr>
              <w:spacing w:after="0" w:line="240" w:lineRule="auto"/>
              <w:rPr>
                <w:rFonts w:ascii="Calibri" w:hAnsi="Calibri" w:cs="Calibri"/>
                <w:b/>
                <w:bCs/>
                <w:color w:val="auto"/>
                <w:sz w:val="22"/>
                <w:szCs w:val="22"/>
              </w:rPr>
            </w:pPr>
            <w:r w:rsidRPr="000352BE">
              <w:rPr>
                <w:rFonts w:ascii="Calibri" w:hAnsi="Calibri" w:cs="Calibri"/>
                <w:b/>
                <w:bCs/>
                <w:color w:val="auto"/>
                <w:sz w:val="22"/>
                <w:szCs w:val="22"/>
              </w:rPr>
              <w:t>DfE</w:t>
            </w:r>
          </w:p>
        </w:tc>
      </w:tr>
    </w:tbl>
    <w:p w14:paraId="0499E315" w14:textId="77777777" w:rsidR="002A7944" w:rsidRPr="000352BE" w:rsidRDefault="002A7944" w:rsidP="002A7944">
      <w:pPr>
        <w:spacing w:after="0" w:line="240" w:lineRule="auto"/>
        <w:jc w:val="both"/>
        <w:rPr>
          <w:rFonts w:ascii="Calibri" w:hAnsi="Calibri" w:cs="Calibri"/>
          <w:caps/>
          <w:color w:val="auto"/>
          <w:sz w:val="48"/>
          <w:szCs w:val="48"/>
        </w:rPr>
      </w:pPr>
    </w:p>
    <w:p w14:paraId="1EA943AB" w14:textId="77777777" w:rsidR="002A7944" w:rsidRPr="00E712E4" w:rsidRDefault="002A7944" w:rsidP="002A7944">
      <w:pPr>
        <w:spacing w:after="0" w:line="240" w:lineRule="auto"/>
        <w:jc w:val="both"/>
        <w:rPr>
          <w:rFonts w:ascii="Calibri" w:hAnsi="Calibri" w:cs="Calibri"/>
          <w:caps/>
          <w:color w:val="auto"/>
          <w:sz w:val="44"/>
          <w:szCs w:val="44"/>
        </w:rPr>
      </w:pPr>
      <w:r w:rsidRPr="00E712E4">
        <w:rPr>
          <w:rFonts w:ascii="Calibri" w:hAnsi="Calibri" w:cs="Calibri"/>
          <w:caps/>
          <w:color w:val="auto"/>
          <w:sz w:val="44"/>
          <w:szCs w:val="44"/>
        </w:rPr>
        <w:t>list of tables</w:t>
      </w:r>
    </w:p>
    <w:p w14:paraId="5E95C2F2" w14:textId="77777777" w:rsidR="002A7944" w:rsidRPr="000352BE" w:rsidRDefault="002A7944" w:rsidP="002A7944">
      <w:pPr>
        <w:spacing w:after="0" w:line="240" w:lineRule="auto"/>
        <w:jc w:val="both"/>
        <w:rPr>
          <w:rFonts w:ascii="Calibri" w:hAnsi="Calibri" w:cs="Calibri"/>
          <w:caps/>
          <w:color w:val="auto"/>
          <w:sz w:val="20"/>
          <w:szCs w:val="20"/>
        </w:rPr>
      </w:pPr>
    </w:p>
    <w:tbl>
      <w:tblPr>
        <w:tblStyle w:val="TableGrid"/>
        <w:tblW w:w="10910" w:type="dxa"/>
        <w:tblLook w:val="04A0" w:firstRow="1" w:lastRow="0" w:firstColumn="1" w:lastColumn="0" w:noHBand="0" w:noVBand="1"/>
      </w:tblPr>
      <w:tblGrid>
        <w:gridCol w:w="562"/>
        <w:gridCol w:w="4820"/>
        <w:gridCol w:w="283"/>
        <w:gridCol w:w="567"/>
        <w:gridCol w:w="4678"/>
      </w:tblGrid>
      <w:tr w:rsidR="00E712E4" w:rsidRPr="00E712E4" w14:paraId="51E1F376" w14:textId="77777777" w:rsidTr="00E712E4">
        <w:trPr>
          <w:trHeight w:val="510"/>
        </w:trPr>
        <w:tc>
          <w:tcPr>
            <w:tcW w:w="562" w:type="dxa"/>
            <w:vAlign w:val="center"/>
          </w:tcPr>
          <w:p w14:paraId="3264B739" w14:textId="77777777" w:rsidR="00E712E4" w:rsidRPr="00E712E4" w:rsidRDefault="00E712E4" w:rsidP="00E712E4">
            <w:pPr>
              <w:spacing w:after="0" w:line="240" w:lineRule="auto"/>
              <w:jc w:val="center"/>
              <w:rPr>
                <w:rFonts w:ascii="Calibri" w:hAnsi="Calibri" w:cs="Calibri"/>
                <w:color w:val="auto"/>
                <w:sz w:val="22"/>
                <w:szCs w:val="22"/>
              </w:rPr>
            </w:pPr>
            <w:r w:rsidRPr="00E712E4">
              <w:rPr>
                <w:rFonts w:ascii="Calibri" w:hAnsi="Calibri" w:cs="Calibri"/>
                <w:color w:val="auto"/>
                <w:sz w:val="22"/>
                <w:szCs w:val="22"/>
              </w:rPr>
              <w:t>1</w:t>
            </w:r>
          </w:p>
        </w:tc>
        <w:tc>
          <w:tcPr>
            <w:tcW w:w="4820" w:type="dxa"/>
            <w:tcBorders>
              <w:right w:val="single" w:sz="4" w:space="0" w:color="auto"/>
            </w:tcBorders>
            <w:vAlign w:val="center"/>
          </w:tcPr>
          <w:p w14:paraId="5CD5E278" w14:textId="0FA320AF" w:rsidR="00E712E4" w:rsidRPr="00E712E4" w:rsidRDefault="00E712E4" w:rsidP="00E712E4">
            <w:pPr>
              <w:spacing w:after="0" w:line="240" w:lineRule="auto"/>
              <w:rPr>
                <w:rFonts w:ascii="Calibri" w:hAnsi="Calibri" w:cs="Calibri"/>
                <w:color w:val="auto"/>
                <w:sz w:val="22"/>
                <w:szCs w:val="22"/>
              </w:rPr>
            </w:pPr>
            <w:r w:rsidRPr="00E712E4">
              <w:rPr>
                <w:rFonts w:ascii="Calibri" w:hAnsi="Calibri" w:cs="Calibri"/>
                <w:color w:val="auto"/>
                <w:sz w:val="22"/>
                <w:szCs w:val="22"/>
              </w:rPr>
              <w:t>Gender Distribution</w:t>
            </w:r>
          </w:p>
        </w:tc>
        <w:tc>
          <w:tcPr>
            <w:tcW w:w="283" w:type="dxa"/>
            <w:tcBorders>
              <w:top w:val="nil"/>
              <w:left w:val="single" w:sz="4" w:space="0" w:color="auto"/>
              <w:bottom w:val="nil"/>
              <w:right w:val="single" w:sz="4" w:space="0" w:color="auto"/>
            </w:tcBorders>
            <w:vAlign w:val="center"/>
          </w:tcPr>
          <w:p w14:paraId="145DEA7E" w14:textId="77777777" w:rsidR="00E712E4" w:rsidRPr="00E712E4" w:rsidRDefault="00E712E4" w:rsidP="00E712E4">
            <w:pPr>
              <w:spacing w:after="0" w:line="240" w:lineRule="auto"/>
              <w:rPr>
                <w:rFonts w:ascii="Calibri" w:hAnsi="Calibri" w:cs="Calibri"/>
                <w:color w:val="auto"/>
                <w:sz w:val="22"/>
                <w:szCs w:val="22"/>
              </w:rPr>
            </w:pPr>
          </w:p>
        </w:tc>
        <w:tc>
          <w:tcPr>
            <w:tcW w:w="567" w:type="dxa"/>
            <w:tcBorders>
              <w:left w:val="single" w:sz="4" w:space="0" w:color="auto"/>
            </w:tcBorders>
            <w:vAlign w:val="center"/>
          </w:tcPr>
          <w:p w14:paraId="71F98F87" w14:textId="2538F4DF" w:rsidR="00E712E4" w:rsidRPr="00E712E4" w:rsidRDefault="00E712E4" w:rsidP="00E712E4">
            <w:pPr>
              <w:spacing w:after="0" w:line="240" w:lineRule="auto"/>
              <w:jc w:val="center"/>
              <w:rPr>
                <w:rFonts w:ascii="Calibri" w:hAnsi="Calibri" w:cs="Calibri"/>
                <w:color w:val="auto"/>
                <w:sz w:val="22"/>
                <w:szCs w:val="22"/>
              </w:rPr>
            </w:pPr>
            <w:r w:rsidRPr="00E712E4">
              <w:rPr>
                <w:rFonts w:ascii="Calibri" w:hAnsi="Calibri" w:cs="Calibri"/>
                <w:color w:val="auto"/>
                <w:sz w:val="22"/>
                <w:szCs w:val="22"/>
              </w:rPr>
              <w:t>5</w:t>
            </w:r>
          </w:p>
        </w:tc>
        <w:tc>
          <w:tcPr>
            <w:tcW w:w="4678" w:type="dxa"/>
            <w:vAlign w:val="center"/>
          </w:tcPr>
          <w:p w14:paraId="0E04313F" w14:textId="46E4CADD" w:rsidR="00E712E4" w:rsidRPr="00E712E4" w:rsidRDefault="00E712E4" w:rsidP="00E712E4">
            <w:pPr>
              <w:pStyle w:val="Default"/>
              <w:rPr>
                <w:color w:val="auto"/>
                <w:sz w:val="22"/>
                <w:szCs w:val="22"/>
              </w:rPr>
            </w:pPr>
            <w:r w:rsidRPr="00E712E4">
              <w:rPr>
                <w:color w:val="auto"/>
                <w:sz w:val="22"/>
                <w:szCs w:val="22"/>
              </w:rPr>
              <w:t xml:space="preserve">Crosstabulation for each school for MABC-2 </w:t>
            </w:r>
          </w:p>
        </w:tc>
      </w:tr>
      <w:tr w:rsidR="00E712E4" w:rsidRPr="00E712E4" w14:paraId="36952EA7" w14:textId="77777777" w:rsidTr="00E712E4">
        <w:trPr>
          <w:trHeight w:val="510"/>
        </w:trPr>
        <w:tc>
          <w:tcPr>
            <w:tcW w:w="562" w:type="dxa"/>
            <w:vAlign w:val="center"/>
          </w:tcPr>
          <w:p w14:paraId="6445CAD5" w14:textId="77777777" w:rsidR="00E712E4" w:rsidRPr="00E712E4" w:rsidRDefault="00E712E4" w:rsidP="00E712E4">
            <w:pPr>
              <w:spacing w:after="0" w:line="240" w:lineRule="auto"/>
              <w:jc w:val="center"/>
              <w:rPr>
                <w:rFonts w:ascii="Calibri" w:hAnsi="Calibri" w:cs="Calibri"/>
                <w:color w:val="auto"/>
                <w:sz w:val="22"/>
                <w:szCs w:val="22"/>
              </w:rPr>
            </w:pPr>
            <w:r w:rsidRPr="00E712E4">
              <w:rPr>
                <w:rFonts w:ascii="Calibri" w:hAnsi="Calibri" w:cs="Calibri"/>
                <w:color w:val="auto"/>
                <w:sz w:val="22"/>
                <w:szCs w:val="22"/>
              </w:rPr>
              <w:t>2</w:t>
            </w:r>
          </w:p>
        </w:tc>
        <w:tc>
          <w:tcPr>
            <w:tcW w:w="4820" w:type="dxa"/>
            <w:tcBorders>
              <w:right w:val="single" w:sz="4" w:space="0" w:color="auto"/>
            </w:tcBorders>
            <w:vAlign w:val="center"/>
          </w:tcPr>
          <w:p w14:paraId="64834CD4" w14:textId="0F5DB295" w:rsidR="00E712E4" w:rsidRPr="00E712E4" w:rsidRDefault="00E712E4" w:rsidP="00E712E4">
            <w:pPr>
              <w:spacing w:after="0" w:line="240" w:lineRule="auto"/>
              <w:rPr>
                <w:rFonts w:ascii="Calibri" w:hAnsi="Calibri" w:cs="Calibri"/>
                <w:color w:val="auto"/>
                <w:sz w:val="22"/>
                <w:szCs w:val="22"/>
              </w:rPr>
            </w:pPr>
            <w:r w:rsidRPr="00E712E4">
              <w:rPr>
                <w:rFonts w:ascii="Calibri" w:hAnsi="Calibri" w:cs="Calibri"/>
                <w:color w:val="auto"/>
                <w:sz w:val="22"/>
                <w:szCs w:val="22"/>
              </w:rPr>
              <w:t>Results from the EYFS Data</w:t>
            </w:r>
          </w:p>
        </w:tc>
        <w:tc>
          <w:tcPr>
            <w:tcW w:w="283" w:type="dxa"/>
            <w:tcBorders>
              <w:top w:val="nil"/>
              <w:left w:val="single" w:sz="4" w:space="0" w:color="auto"/>
              <w:bottom w:val="nil"/>
              <w:right w:val="single" w:sz="4" w:space="0" w:color="auto"/>
            </w:tcBorders>
            <w:vAlign w:val="center"/>
          </w:tcPr>
          <w:p w14:paraId="1C276019" w14:textId="77777777" w:rsidR="00E712E4" w:rsidRPr="00E712E4" w:rsidRDefault="00E712E4" w:rsidP="00E712E4">
            <w:pPr>
              <w:spacing w:after="0" w:line="240" w:lineRule="auto"/>
              <w:rPr>
                <w:rFonts w:ascii="Calibri" w:hAnsi="Calibri" w:cs="Calibri"/>
                <w:color w:val="auto"/>
                <w:sz w:val="22"/>
                <w:szCs w:val="22"/>
              </w:rPr>
            </w:pPr>
          </w:p>
        </w:tc>
        <w:tc>
          <w:tcPr>
            <w:tcW w:w="567" w:type="dxa"/>
            <w:tcBorders>
              <w:left w:val="single" w:sz="4" w:space="0" w:color="auto"/>
            </w:tcBorders>
            <w:vAlign w:val="center"/>
          </w:tcPr>
          <w:p w14:paraId="2D9E54F5" w14:textId="1516C676" w:rsidR="00E712E4" w:rsidRPr="00E712E4" w:rsidRDefault="00E712E4" w:rsidP="00E712E4">
            <w:pPr>
              <w:spacing w:after="0" w:line="240" w:lineRule="auto"/>
              <w:jc w:val="center"/>
              <w:rPr>
                <w:rFonts w:ascii="Calibri" w:hAnsi="Calibri" w:cs="Calibri"/>
                <w:color w:val="auto"/>
                <w:sz w:val="22"/>
                <w:szCs w:val="22"/>
              </w:rPr>
            </w:pPr>
            <w:r w:rsidRPr="00E712E4">
              <w:rPr>
                <w:rFonts w:ascii="Calibri" w:hAnsi="Calibri" w:cs="Calibri"/>
                <w:color w:val="auto"/>
                <w:sz w:val="22"/>
                <w:szCs w:val="22"/>
              </w:rPr>
              <w:t>6</w:t>
            </w:r>
          </w:p>
        </w:tc>
        <w:tc>
          <w:tcPr>
            <w:tcW w:w="4678" w:type="dxa"/>
            <w:vAlign w:val="center"/>
          </w:tcPr>
          <w:p w14:paraId="2E2E057C" w14:textId="524754F4" w:rsidR="00E712E4" w:rsidRPr="00E712E4" w:rsidRDefault="00E712E4" w:rsidP="00E712E4">
            <w:pPr>
              <w:pStyle w:val="Default"/>
              <w:rPr>
                <w:color w:val="auto"/>
                <w:sz w:val="22"/>
                <w:szCs w:val="22"/>
              </w:rPr>
            </w:pPr>
            <w:r w:rsidRPr="00E712E4">
              <w:rPr>
                <w:color w:val="auto"/>
                <w:sz w:val="22"/>
                <w:szCs w:val="22"/>
              </w:rPr>
              <w:t xml:space="preserve">Crosstabulation of MANUAL DEXTERITY for Gender and School </w:t>
            </w:r>
          </w:p>
        </w:tc>
      </w:tr>
      <w:tr w:rsidR="00E712E4" w:rsidRPr="00E712E4" w14:paraId="449911E3" w14:textId="77777777" w:rsidTr="00E712E4">
        <w:trPr>
          <w:trHeight w:val="510"/>
        </w:trPr>
        <w:tc>
          <w:tcPr>
            <w:tcW w:w="562" w:type="dxa"/>
            <w:vAlign w:val="center"/>
          </w:tcPr>
          <w:p w14:paraId="142B96E2" w14:textId="77777777" w:rsidR="00E712E4" w:rsidRPr="00E712E4" w:rsidRDefault="00E712E4" w:rsidP="00E712E4">
            <w:pPr>
              <w:spacing w:after="0" w:line="240" w:lineRule="auto"/>
              <w:jc w:val="center"/>
              <w:rPr>
                <w:rFonts w:ascii="Calibri" w:hAnsi="Calibri" w:cs="Calibri"/>
                <w:color w:val="auto"/>
                <w:sz w:val="22"/>
                <w:szCs w:val="22"/>
              </w:rPr>
            </w:pPr>
            <w:r w:rsidRPr="00E712E4">
              <w:rPr>
                <w:rFonts w:ascii="Calibri" w:hAnsi="Calibri" w:cs="Calibri"/>
                <w:color w:val="auto"/>
                <w:sz w:val="22"/>
                <w:szCs w:val="22"/>
              </w:rPr>
              <w:t>3</w:t>
            </w:r>
          </w:p>
        </w:tc>
        <w:tc>
          <w:tcPr>
            <w:tcW w:w="4820" w:type="dxa"/>
            <w:tcBorders>
              <w:right w:val="single" w:sz="4" w:space="0" w:color="auto"/>
            </w:tcBorders>
            <w:vAlign w:val="center"/>
          </w:tcPr>
          <w:p w14:paraId="67482A40" w14:textId="76103028" w:rsidR="00E712E4" w:rsidRPr="00E712E4" w:rsidRDefault="00E712E4" w:rsidP="00E712E4">
            <w:pPr>
              <w:pStyle w:val="Default"/>
              <w:rPr>
                <w:sz w:val="22"/>
                <w:szCs w:val="22"/>
              </w:rPr>
            </w:pPr>
            <w:r w:rsidRPr="00E712E4">
              <w:rPr>
                <w:sz w:val="22"/>
                <w:szCs w:val="22"/>
              </w:rPr>
              <w:t xml:space="preserve">Table 3: Gross and Fine Motor Skill breakdown. </w:t>
            </w:r>
          </w:p>
        </w:tc>
        <w:tc>
          <w:tcPr>
            <w:tcW w:w="283" w:type="dxa"/>
            <w:tcBorders>
              <w:top w:val="nil"/>
              <w:left w:val="single" w:sz="4" w:space="0" w:color="auto"/>
              <w:bottom w:val="nil"/>
              <w:right w:val="single" w:sz="4" w:space="0" w:color="auto"/>
            </w:tcBorders>
            <w:vAlign w:val="center"/>
          </w:tcPr>
          <w:p w14:paraId="5689C465" w14:textId="77777777" w:rsidR="00E712E4" w:rsidRPr="00E712E4" w:rsidRDefault="00E712E4" w:rsidP="00E712E4">
            <w:pPr>
              <w:spacing w:after="0" w:line="240" w:lineRule="auto"/>
              <w:rPr>
                <w:rFonts w:ascii="Calibri" w:hAnsi="Calibri" w:cs="Calibri"/>
                <w:color w:val="auto"/>
                <w:sz w:val="22"/>
                <w:szCs w:val="22"/>
              </w:rPr>
            </w:pPr>
          </w:p>
        </w:tc>
        <w:tc>
          <w:tcPr>
            <w:tcW w:w="567" w:type="dxa"/>
            <w:tcBorders>
              <w:left w:val="single" w:sz="4" w:space="0" w:color="auto"/>
            </w:tcBorders>
            <w:vAlign w:val="center"/>
          </w:tcPr>
          <w:p w14:paraId="7E404D26" w14:textId="0A2FB85A" w:rsidR="00E712E4" w:rsidRPr="00E712E4" w:rsidRDefault="00E712E4" w:rsidP="00E712E4">
            <w:pPr>
              <w:spacing w:after="0" w:line="240" w:lineRule="auto"/>
              <w:jc w:val="center"/>
              <w:rPr>
                <w:rFonts w:ascii="Calibri" w:hAnsi="Calibri" w:cs="Calibri"/>
                <w:color w:val="auto"/>
                <w:sz w:val="22"/>
                <w:szCs w:val="22"/>
              </w:rPr>
            </w:pPr>
            <w:r w:rsidRPr="00E712E4">
              <w:rPr>
                <w:rFonts w:ascii="Calibri" w:hAnsi="Calibri" w:cs="Calibri"/>
                <w:color w:val="auto"/>
                <w:sz w:val="22"/>
                <w:szCs w:val="22"/>
              </w:rPr>
              <w:t>7</w:t>
            </w:r>
          </w:p>
        </w:tc>
        <w:tc>
          <w:tcPr>
            <w:tcW w:w="4678" w:type="dxa"/>
            <w:vAlign w:val="center"/>
          </w:tcPr>
          <w:p w14:paraId="03DCB1AE" w14:textId="09168314" w:rsidR="00E712E4" w:rsidRPr="00E712E4" w:rsidRDefault="00E712E4" w:rsidP="00E712E4">
            <w:pPr>
              <w:spacing w:after="0" w:line="240" w:lineRule="auto"/>
              <w:rPr>
                <w:rFonts w:ascii="Calibri" w:hAnsi="Calibri" w:cs="Calibri"/>
                <w:color w:val="auto"/>
                <w:sz w:val="22"/>
                <w:szCs w:val="22"/>
              </w:rPr>
            </w:pPr>
            <w:r w:rsidRPr="00E712E4">
              <w:rPr>
                <w:rFonts w:ascii="Calibri" w:hAnsi="Calibri" w:cs="Calibri"/>
                <w:color w:val="auto"/>
                <w:sz w:val="22"/>
                <w:szCs w:val="22"/>
              </w:rPr>
              <w:t xml:space="preserve">Crosstabulation of AIMING &amp; CATCHING for Gender and School </w:t>
            </w:r>
          </w:p>
        </w:tc>
      </w:tr>
      <w:tr w:rsidR="00E712E4" w:rsidRPr="00E712E4" w14:paraId="2F45D099" w14:textId="77777777" w:rsidTr="00E712E4">
        <w:trPr>
          <w:trHeight w:val="510"/>
        </w:trPr>
        <w:tc>
          <w:tcPr>
            <w:tcW w:w="562" w:type="dxa"/>
            <w:vAlign w:val="center"/>
          </w:tcPr>
          <w:p w14:paraId="3F501BB7" w14:textId="77777777" w:rsidR="00E712E4" w:rsidRPr="00E712E4" w:rsidRDefault="00E712E4" w:rsidP="00E712E4">
            <w:pPr>
              <w:spacing w:after="0" w:line="240" w:lineRule="auto"/>
              <w:jc w:val="center"/>
              <w:rPr>
                <w:rFonts w:ascii="Calibri" w:hAnsi="Calibri" w:cs="Calibri"/>
                <w:color w:val="auto"/>
                <w:sz w:val="22"/>
                <w:szCs w:val="22"/>
              </w:rPr>
            </w:pPr>
            <w:r w:rsidRPr="00E712E4">
              <w:rPr>
                <w:rFonts w:ascii="Calibri" w:hAnsi="Calibri" w:cs="Calibri"/>
                <w:color w:val="auto"/>
                <w:sz w:val="22"/>
                <w:szCs w:val="22"/>
              </w:rPr>
              <w:t>4</w:t>
            </w:r>
          </w:p>
        </w:tc>
        <w:tc>
          <w:tcPr>
            <w:tcW w:w="4820" w:type="dxa"/>
            <w:tcBorders>
              <w:right w:val="single" w:sz="4" w:space="0" w:color="auto"/>
            </w:tcBorders>
            <w:vAlign w:val="center"/>
          </w:tcPr>
          <w:p w14:paraId="7F4404AF" w14:textId="39C4C2E6" w:rsidR="00E712E4" w:rsidRPr="00E712E4" w:rsidRDefault="00E712E4" w:rsidP="00E712E4">
            <w:pPr>
              <w:pStyle w:val="Default"/>
              <w:rPr>
                <w:sz w:val="22"/>
                <w:szCs w:val="22"/>
              </w:rPr>
            </w:pPr>
            <w:r w:rsidRPr="00E712E4">
              <w:rPr>
                <w:sz w:val="22"/>
                <w:szCs w:val="22"/>
              </w:rPr>
              <w:t xml:space="preserve">Crosstabulation via Gender for MABC-2 </w:t>
            </w:r>
          </w:p>
        </w:tc>
        <w:tc>
          <w:tcPr>
            <w:tcW w:w="283" w:type="dxa"/>
            <w:tcBorders>
              <w:top w:val="nil"/>
              <w:left w:val="single" w:sz="4" w:space="0" w:color="auto"/>
              <w:bottom w:val="nil"/>
              <w:right w:val="single" w:sz="4" w:space="0" w:color="auto"/>
            </w:tcBorders>
            <w:vAlign w:val="center"/>
          </w:tcPr>
          <w:p w14:paraId="6F74992B" w14:textId="77777777" w:rsidR="00E712E4" w:rsidRPr="00E712E4" w:rsidRDefault="00E712E4" w:rsidP="00E712E4">
            <w:pPr>
              <w:spacing w:after="0" w:line="240" w:lineRule="auto"/>
              <w:rPr>
                <w:rFonts w:ascii="Calibri" w:hAnsi="Calibri" w:cs="Calibri"/>
                <w:color w:val="auto"/>
                <w:sz w:val="22"/>
                <w:szCs w:val="22"/>
              </w:rPr>
            </w:pPr>
          </w:p>
        </w:tc>
        <w:tc>
          <w:tcPr>
            <w:tcW w:w="567" w:type="dxa"/>
            <w:tcBorders>
              <w:left w:val="single" w:sz="4" w:space="0" w:color="auto"/>
            </w:tcBorders>
            <w:vAlign w:val="center"/>
          </w:tcPr>
          <w:p w14:paraId="67250087" w14:textId="579C21F3" w:rsidR="00E712E4" w:rsidRPr="00E712E4" w:rsidRDefault="00E712E4" w:rsidP="00E712E4">
            <w:pPr>
              <w:spacing w:after="0" w:line="240" w:lineRule="auto"/>
              <w:jc w:val="center"/>
              <w:rPr>
                <w:rFonts w:ascii="Calibri" w:hAnsi="Calibri" w:cs="Calibri"/>
                <w:color w:val="auto"/>
                <w:sz w:val="22"/>
                <w:szCs w:val="22"/>
              </w:rPr>
            </w:pPr>
            <w:r w:rsidRPr="00E712E4">
              <w:rPr>
                <w:rFonts w:ascii="Calibri" w:hAnsi="Calibri" w:cs="Calibri"/>
                <w:color w:val="auto"/>
                <w:sz w:val="22"/>
                <w:szCs w:val="22"/>
              </w:rPr>
              <w:t>8</w:t>
            </w:r>
          </w:p>
        </w:tc>
        <w:tc>
          <w:tcPr>
            <w:tcW w:w="4678" w:type="dxa"/>
            <w:vAlign w:val="center"/>
          </w:tcPr>
          <w:p w14:paraId="11922944" w14:textId="3FAF5CEC" w:rsidR="00E712E4" w:rsidRPr="00E712E4" w:rsidRDefault="00E712E4" w:rsidP="00E712E4">
            <w:pPr>
              <w:spacing w:after="0" w:line="240" w:lineRule="auto"/>
              <w:rPr>
                <w:rFonts w:ascii="Calibri" w:hAnsi="Calibri" w:cs="Calibri"/>
                <w:color w:val="auto"/>
                <w:sz w:val="22"/>
                <w:szCs w:val="22"/>
              </w:rPr>
            </w:pPr>
            <w:r w:rsidRPr="00E712E4">
              <w:rPr>
                <w:rFonts w:ascii="Calibri" w:hAnsi="Calibri" w:cs="Calibri"/>
                <w:color w:val="auto"/>
                <w:sz w:val="22"/>
                <w:szCs w:val="22"/>
              </w:rPr>
              <w:t xml:space="preserve">Crosstabulation of BALANCE for Gender and School </w:t>
            </w:r>
          </w:p>
        </w:tc>
      </w:tr>
    </w:tbl>
    <w:p w14:paraId="683A3A61" w14:textId="77777777" w:rsidR="002A7944" w:rsidRPr="00E712E4" w:rsidRDefault="002A7944" w:rsidP="002A7944">
      <w:pPr>
        <w:spacing w:after="0" w:line="240" w:lineRule="auto"/>
        <w:jc w:val="both"/>
        <w:rPr>
          <w:rFonts w:ascii="Calibri" w:hAnsi="Calibri" w:cs="Calibri"/>
          <w:caps/>
          <w:color w:val="auto"/>
          <w:sz w:val="22"/>
          <w:szCs w:val="22"/>
        </w:rPr>
      </w:pPr>
    </w:p>
    <w:p w14:paraId="1CDE8D35" w14:textId="77777777" w:rsidR="002A7944" w:rsidRPr="00E712E4" w:rsidRDefault="002A7944" w:rsidP="002A7944">
      <w:pPr>
        <w:spacing w:after="0" w:line="240" w:lineRule="auto"/>
        <w:jc w:val="both"/>
        <w:rPr>
          <w:rFonts w:ascii="Calibri" w:hAnsi="Calibri" w:cs="Calibri"/>
          <w:caps/>
          <w:color w:val="auto"/>
          <w:sz w:val="44"/>
          <w:szCs w:val="44"/>
        </w:rPr>
      </w:pPr>
      <w:r w:rsidRPr="00E712E4">
        <w:rPr>
          <w:rFonts w:ascii="Calibri" w:hAnsi="Calibri" w:cs="Calibri"/>
          <w:caps/>
          <w:color w:val="auto"/>
          <w:sz w:val="44"/>
          <w:szCs w:val="44"/>
        </w:rPr>
        <w:t>list of chARTS</w:t>
      </w:r>
    </w:p>
    <w:p w14:paraId="20DBE84C" w14:textId="77777777" w:rsidR="002A7944" w:rsidRPr="00E712E4" w:rsidRDefault="002A7944" w:rsidP="002A7944">
      <w:pPr>
        <w:spacing w:after="0" w:line="240" w:lineRule="auto"/>
        <w:jc w:val="both"/>
        <w:rPr>
          <w:rFonts w:ascii="Calibri" w:hAnsi="Calibri" w:cs="Calibri"/>
          <w:caps/>
          <w:color w:val="auto"/>
          <w:sz w:val="22"/>
          <w:szCs w:val="22"/>
        </w:rPr>
      </w:pPr>
    </w:p>
    <w:tbl>
      <w:tblPr>
        <w:tblStyle w:val="TableGrid"/>
        <w:tblW w:w="10910" w:type="dxa"/>
        <w:tblLook w:val="04A0" w:firstRow="1" w:lastRow="0" w:firstColumn="1" w:lastColumn="0" w:noHBand="0" w:noVBand="1"/>
      </w:tblPr>
      <w:tblGrid>
        <w:gridCol w:w="562"/>
        <w:gridCol w:w="4820"/>
        <w:gridCol w:w="283"/>
        <w:gridCol w:w="567"/>
        <w:gridCol w:w="4678"/>
      </w:tblGrid>
      <w:tr w:rsidR="00B57160" w:rsidRPr="00E712E4" w14:paraId="0608754A" w14:textId="77777777" w:rsidTr="00E712E4">
        <w:trPr>
          <w:trHeight w:val="510"/>
        </w:trPr>
        <w:tc>
          <w:tcPr>
            <w:tcW w:w="562" w:type="dxa"/>
            <w:vAlign w:val="center"/>
          </w:tcPr>
          <w:p w14:paraId="2F6B6E5F" w14:textId="77777777" w:rsidR="00B57160" w:rsidRPr="00E712E4" w:rsidRDefault="00B57160" w:rsidP="00E712E4">
            <w:pPr>
              <w:spacing w:after="0" w:line="240" w:lineRule="auto"/>
              <w:jc w:val="center"/>
              <w:rPr>
                <w:rFonts w:ascii="Calibri" w:hAnsi="Calibri" w:cs="Calibri"/>
                <w:color w:val="auto"/>
                <w:sz w:val="22"/>
                <w:szCs w:val="22"/>
              </w:rPr>
            </w:pPr>
            <w:r w:rsidRPr="00E712E4">
              <w:rPr>
                <w:rFonts w:ascii="Calibri" w:hAnsi="Calibri" w:cs="Calibri"/>
                <w:color w:val="auto"/>
                <w:sz w:val="22"/>
                <w:szCs w:val="22"/>
              </w:rPr>
              <w:t>1</w:t>
            </w:r>
          </w:p>
        </w:tc>
        <w:tc>
          <w:tcPr>
            <w:tcW w:w="4820" w:type="dxa"/>
            <w:tcBorders>
              <w:right w:val="single" w:sz="4" w:space="0" w:color="auto"/>
            </w:tcBorders>
            <w:vAlign w:val="center"/>
          </w:tcPr>
          <w:p w14:paraId="47760648" w14:textId="36D9CACC" w:rsidR="00B57160" w:rsidRPr="00E712E4" w:rsidRDefault="00B57160" w:rsidP="00B57160">
            <w:pPr>
              <w:spacing w:after="0" w:line="240" w:lineRule="auto"/>
              <w:rPr>
                <w:rFonts w:ascii="Calibri" w:hAnsi="Calibri" w:cs="Calibri"/>
                <w:color w:val="auto"/>
                <w:sz w:val="22"/>
                <w:szCs w:val="22"/>
              </w:rPr>
            </w:pPr>
            <w:r w:rsidRPr="00E712E4">
              <w:rPr>
                <w:rFonts w:ascii="Calibri" w:hAnsi="Calibri" w:cs="Calibri"/>
                <w:color w:val="auto"/>
                <w:sz w:val="22"/>
                <w:szCs w:val="22"/>
              </w:rPr>
              <w:t>Results from the EYFS Data</w:t>
            </w:r>
          </w:p>
        </w:tc>
        <w:tc>
          <w:tcPr>
            <w:tcW w:w="283" w:type="dxa"/>
            <w:tcBorders>
              <w:top w:val="nil"/>
              <w:left w:val="single" w:sz="4" w:space="0" w:color="auto"/>
              <w:bottom w:val="nil"/>
              <w:right w:val="single" w:sz="4" w:space="0" w:color="auto"/>
            </w:tcBorders>
            <w:vAlign w:val="center"/>
          </w:tcPr>
          <w:p w14:paraId="15DBD4D8" w14:textId="77777777" w:rsidR="00B57160" w:rsidRPr="00E712E4" w:rsidRDefault="00B57160" w:rsidP="00B57160">
            <w:pPr>
              <w:spacing w:after="0" w:line="240" w:lineRule="auto"/>
              <w:rPr>
                <w:rFonts w:ascii="Calibri" w:hAnsi="Calibri" w:cs="Calibri"/>
                <w:color w:val="auto"/>
                <w:sz w:val="22"/>
                <w:szCs w:val="22"/>
              </w:rPr>
            </w:pPr>
          </w:p>
        </w:tc>
        <w:tc>
          <w:tcPr>
            <w:tcW w:w="567" w:type="dxa"/>
            <w:tcBorders>
              <w:left w:val="single" w:sz="4" w:space="0" w:color="auto"/>
            </w:tcBorders>
            <w:vAlign w:val="center"/>
          </w:tcPr>
          <w:p w14:paraId="2D813065" w14:textId="53D716C5" w:rsidR="00B57160" w:rsidRPr="00E712E4" w:rsidRDefault="00E712E4" w:rsidP="00E712E4">
            <w:pPr>
              <w:spacing w:after="0" w:line="240" w:lineRule="auto"/>
              <w:jc w:val="center"/>
              <w:rPr>
                <w:rFonts w:ascii="Calibri" w:hAnsi="Calibri" w:cs="Calibri"/>
                <w:color w:val="auto"/>
                <w:sz w:val="22"/>
                <w:szCs w:val="22"/>
              </w:rPr>
            </w:pPr>
            <w:r w:rsidRPr="00E712E4">
              <w:rPr>
                <w:rFonts w:ascii="Calibri" w:hAnsi="Calibri" w:cs="Calibri"/>
                <w:color w:val="auto"/>
                <w:sz w:val="22"/>
                <w:szCs w:val="22"/>
              </w:rPr>
              <w:t>6</w:t>
            </w:r>
          </w:p>
        </w:tc>
        <w:tc>
          <w:tcPr>
            <w:tcW w:w="4678" w:type="dxa"/>
            <w:vAlign w:val="center"/>
          </w:tcPr>
          <w:p w14:paraId="502A68EF" w14:textId="05BF04C9" w:rsidR="00B57160" w:rsidRPr="00E712E4" w:rsidRDefault="00E712E4" w:rsidP="00B57160">
            <w:pPr>
              <w:spacing w:after="0" w:line="240" w:lineRule="auto"/>
              <w:rPr>
                <w:rFonts w:ascii="Calibri" w:hAnsi="Calibri" w:cs="Calibri"/>
                <w:color w:val="auto"/>
                <w:sz w:val="22"/>
                <w:szCs w:val="22"/>
              </w:rPr>
            </w:pPr>
            <w:r w:rsidRPr="00E712E4">
              <w:rPr>
                <w:rFonts w:ascii="Calibri" w:hAnsi="Calibri" w:cs="Calibri"/>
                <w:color w:val="auto"/>
                <w:sz w:val="22"/>
                <w:szCs w:val="22"/>
              </w:rPr>
              <w:t>Male / Female Split for Gross and Fine Motor Skills</w:t>
            </w:r>
          </w:p>
        </w:tc>
      </w:tr>
      <w:tr w:rsidR="00B57160" w:rsidRPr="00E712E4" w14:paraId="7DFE6011" w14:textId="77777777" w:rsidTr="00E712E4">
        <w:trPr>
          <w:trHeight w:val="510"/>
        </w:trPr>
        <w:tc>
          <w:tcPr>
            <w:tcW w:w="562" w:type="dxa"/>
            <w:vAlign w:val="center"/>
          </w:tcPr>
          <w:p w14:paraId="0D8850E8" w14:textId="77777777" w:rsidR="00B57160" w:rsidRPr="00E712E4" w:rsidRDefault="00B57160" w:rsidP="00E712E4">
            <w:pPr>
              <w:spacing w:after="0" w:line="240" w:lineRule="auto"/>
              <w:jc w:val="center"/>
              <w:rPr>
                <w:rFonts w:ascii="Calibri" w:hAnsi="Calibri" w:cs="Calibri"/>
                <w:color w:val="auto"/>
                <w:sz w:val="22"/>
                <w:szCs w:val="22"/>
              </w:rPr>
            </w:pPr>
            <w:r w:rsidRPr="00E712E4">
              <w:rPr>
                <w:rFonts w:ascii="Calibri" w:hAnsi="Calibri" w:cs="Calibri"/>
                <w:color w:val="auto"/>
                <w:sz w:val="22"/>
                <w:szCs w:val="22"/>
              </w:rPr>
              <w:t>2</w:t>
            </w:r>
          </w:p>
        </w:tc>
        <w:tc>
          <w:tcPr>
            <w:tcW w:w="4820" w:type="dxa"/>
            <w:tcBorders>
              <w:right w:val="single" w:sz="4" w:space="0" w:color="auto"/>
            </w:tcBorders>
            <w:vAlign w:val="center"/>
          </w:tcPr>
          <w:p w14:paraId="41949086" w14:textId="7002A873" w:rsidR="00B57160" w:rsidRPr="00E712E4" w:rsidRDefault="00B57160" w:rsidP="00B57160">
            <w:pPr>
              <w:spacing w:after="0" w:line="240" w:lineRule="auto"/>
              <w:rPr>
                <w:rFonts w:ascii="Calibri" w:hAnsi="Calibri" w:cs="Calibri"/>
                <w:color w:val="auto"/>
                <w:sz w:val="22"/>
                <w:szCs w:val="22"/>
              </w:rPr>
            </w:pPr>
            <w:r w:rsidRPr="00E712E4">
              <w:rPr>
                <w:rFonts w:ascii="Calibri" w:hAnsi="Calibri" w:cs="Calibri"/>
                <w:color w:val="auto"/>
                <w:sz w:val="22"/>
                <w:szCs w:val="22"/>
              </w:rPr>
              <w:t>Male Distribution for EYFS Data</w:t>
            </w:r>
          </w:p>
        </w:tc>
        <w:tc>
          <w:tcPr>
            <w:tcW w:w="283" w:type="dxa"/>
            <w:tcBorders>
              <w:top w:val="nil"/>
              <w:left w:val="single" w:sz="4" w:space="0" w:color="auto"/>
              <w:bottom w:val="nil"/>
              <w:right w:val="single" w:sz="4" w:space="0" w:color="auto"/>
            </w:tcBorders>
            <w:vAlign w:val="center"/>
          </w:tcPr>
          <w:p w14:paraId="7B794004" w14:textId="77777777" w:rsidR="00B57160" w:rsidRPr="00E712E4" w:rsidRDefault="00B57160" w:rsidP="00B57160">
            <w:pPr>
              <w:spacing w:after="0" w:line="240" w:lineRule="auto"/>
              <w:rPr>
                <w:rFonts w:ascii="Calibri" w:hAnsi="Calibri" w:cs="Calibri"/>
                <w:color w:val="auto"/>
                <w:sz w:val="22"/>
                <w:szCs w:val="22"/>
              </w:rPr>
            </w:pPr>
          </w:p>
        </w:tc>
        <w:tc>
          <w:tcPr>
            <w:tcW w:w="567" w:type="dxa"/>
            <w:tcBorders>
              <w:left w:val="single" w:sz="4" w:space="0" w:color="auto"/>
            </w:tcBorders>
            <w:vAlign w:val="center"/>
          </w:tcPr>
          <w:p w14:paraId="7599C366" w14:textId="118C4B4D" w:rsidR="00B57160" w:rsidRPr="00E712E4" w:rsidRDefault="00E712E4" w:rsidP="00E712E4">
            <w:pPr>
              <w:spacing w:after="0" w:line="240" w:lineRule="auto"/>
              <w:jc w:val="center"/>
              <w:rPr>
                <w:rFonts w:ascii="Calibri" w:hAnsi="Calibri" w:cs="Calibri"/>
                <w:color w:val="auto"/>
                <w:sz w:val="22"/>
                <w:szCs w:val="22"/>
              </w:rPr>
            </w:pPr>
            <w:r w:rsidRPr="00E712E4">
              <w:rPr>
                <w:rFonts w:ascii="Calibri" w:hAnsi="Calibri" w:cs="Calibri"/>
                <w:color w:val="auto"/>
                <w:sz w:val="22"/>
                <w:szCs w:val="22"/>
              </w:rPr>
              <w:t>7</w:t>
            </w:r>
          </w:p>
        </w:tc>
        <w:tc>
          <w:tcPr>
            <w:tcW w:w="4678" w:type="dxa"/>
            <w:vAlign w:val="center"/>
          </w:tcPr>
          <w:p w14:paraId="26EA1A44" w14:textId="076DF663" w:rsidR="00B57160" w:rsidRPr="00E712E4" w:rsidRDefault="00E712E4" w:rsidP="00B57160">
            <w:pPr>
              <w:spacing w:after="0" w:line="240" w:lineRule="auto"/>
              <w:rPr>
                <w:rFonts w:ascii="Calibri" w:hAnsi="Calibri" w:cs="Calibri"/>
                <w:color w:val="auto"/>
                <w:sz w:val="22"/>
                <w:szCs w:val="22"/>
              </w:rPr>
            </w:pPr>
            <w:r w:rsidRPr="00E712E4">
              <w:rPr>
                <w:rFonts w:ascii="Calibri" w:hAnsi="Calibri" w:cs="Calibri"/>
                <w:color w:val="auto"/>
                <w:sz w:val="22"/>
                <w:szCs w:val="22"/>
              </w:rPr>
              <w:t>MABC-2 Results</w:t>
            </w:r>
          </w:p>
        </w:tc>
      </w:tr>
      <w:tr w:rsidR="00E712E4" w:rsidRPr="00E712E4" w14:paraId="118995DE" w14:textId="77777777" w:rsidTr="00E712E4">
        <w:trPr>
          <w:trHeight w:val="510"/>
        </w:trPr>
        <w:tc>
          <w:tcPr>
            <w:tcW w:w="562" w:type="dxa"/>
            <w:vAlign w:val="center"/>
          </w:tcPr>
          <w:p w14:paraId="22B86350" w14:textId="77777777" w:rsidR="00E712E4" w:rsidRPr="00E712E4" w:rsidRDefault="00E712E4" w:rsidP="00E712E4">
            <w:pPr>
              <w:spacing w:after="0" w:line="240" w:lineRule="auto"/>
              <w:jc w:val="center"/>
              <w:rPr>
                <w:rFonts w:ascii="Calibri" w:hAnsi="Calibri" w:cs="Calibri"/>
                <w:color w:val="auto"/>
                <w:sz w:val="22"/>
                <w:szCs w:val="22"/>
              </w:rPr>
            </w:pPr>
            <w:r w:rsidRPr="00E712E4">
              <w:rPr>
                <w:rFonts w:ascii="Calibri" w:hAnsi="Calibri" w:cs="Calibri"/>
                <w:color w:val="auto"/>
                <w:sz w:val="22"/>
                <w:szCs w:val="22"/>
              </w:rPr>
              <w:t>3</w:t>
            </w:r>
          </w:p>
        </w:tc>
        <w:tc>
          <w:tcPr>
            <w:tcW w:w="4820" w:type="dxa"/>
            <w:tcBorders>
              <w:right w:val="single" w:sz="4" w:space="0" w:color="auto"/>
            </w:tcBorders>
            <w:vAlign w:val="center"/>
          </w:tcPr>
          <w:p w14:paraId="16C6C6B6" w14:textId="40181BC1" w:rsidR="00E712E4" w:rsidRPr="00E712E4" w:rsidRDefault="00E712E4" w:rsidP="00E712E4">
            <w:pPr>
              <w:spacing w:after="0" w:line="240" w:lineRule="auto"/>
              <w:rPr>
                <w:rFonts w:ascii="Calibri" w:hAnsi="Calibri" w:cs="Calibri"/>
                <w:color w:val="auto"/>
                <w:sz w:val="22"/>
                <w:szCs w:val="22"/>
              </w:rPr>
            </w:pPr>
            <w:r w:rsidRPr="00E712E4">
              <w:rPr>
                <w:rFonts w:ascii="Calibri" w:hAnsi="Calibri" w:cs="Calibri"/>
                <w:color w:val="auto"/>
                <w:sz w:val="22"/>
                <w:szCs w:val="22"/>
              </w:rPr>
              <w:t>Female Distribution for EYFS Data</w:t>
            </w:r>
          </w:p>
        </w:tc>
        <w:tc>
          <w:tcPr>
            <w:tcW w:w="283" w:type="dxa"/>
            <w:tcBorders>
              <w:top w:val="nil"/>
              <w:left w:val="single" w:sz="4" w:space="0" w:color="auto"/>
              <w:bottom w:val="nil"/>
              <w:right w:val="single" w:sz="4" w:space="0" w:color="auto"/>
            </w:tcBorders>
            <w:vAlign w:val="center"/>
          </w:tcPr>
          <w:p w14:paraId="62C1F501" w14:textId="77777777" w:rsidR="00E712E4" w:rsidRPr="00E712E4" w:rsidRDefault="00E712E4" w:rsidP="00E712E4">
            <w:pPr>
              <w:spacing w:after="0" w:line="240" w:lineRule="auto"/>
              <w:rPr>
                <w:rFonts w:ascii="Calibri" w:hAnsi="Calibri" w:cs="Calibri"/>
                <w:color w:val="auto"/>
                <w:sz w:val="22"/>
                <w:szCs w:val="22"/>
              </w:rPr>
            </w:pPr>
          </w:p>
        </w:tc>
        <w:tc>
          <w:tcPr>
            <w:tcW w:w="567" w:type="dxa"/>
            <w:tcBorders>
              <w:left w:val="single" w:sz="4" w:space="0" w:color="auto"/>
            </w:tcBorders>
            <w:vAlign w:val="center"/>
          </w:tcPr>
          <w:p w14:paraId="45E10CBE" w14:textId="0A5F88F9" w:rsidR="00E712E4" w:rsidRPr="00E712E4" w:rsidRDefault="00E712E4" w:rsidP="00E712E4">
            <w:pPr>
              <w:spacing w:after="0" w:line="240" w:lineRule="auto"/>
              <w:jc w:val="center"/>
              <w:rPr>
                <w:rFonts w:ascii="Calibri" w:hAnsi="Calibri" w:cs="Calibri"/>
                <w:color w:val="auto"/>
                <w:sz w:val="22"/>
                <w:szCs w:val="22"/>
              </w:rPr>
            </w:pPr>
            <w:r w:rsidRPr="00E712E4">
              <w:rPr>
                <w:rFonts w:ascii="Calibri" w:hAnsi="Calibri" w:cs="Calibri"/>
                <w:color w:val="auto"/>
                <w:sz w:val="22"/>
                <w:szCs w:val="22"/>
              </w:rPr>
              <w:t>8</w:t>
            </w:r>
          </w:p>
        </w:tc>
        <w:tc>
          <w:tcPr>
            <w:tcW w:w="4678" w:type="dxa"/>
            <w:vAlign w:val="center"/>
          </w:tcPr>
          <w:p w14:paraId="65B2A5A5" w14:textId="2C3F0389" w:rsidR="00E712E4" w:rsidRPr="00E712E4" w:rsidRDefault="00E712E4" w:rsidP="00E712E4">
            <w:pPr>
              <w:spacing w:after="0" w:line="240" w:lineRule="auto"/>
              <w:rPr>
                <w:rFonts w:ascii="Calibri" w:hAnsi="Calibri" w:cs="Calibri"/>
                <w:color w:val="auto"/>
                <w:sz w:val="22"/>
                <w:szCs w:val="22"/>
              </w:rPr>
            </w:pPr>
            <w:r w:rsidRPr="00E712E4">
              <w:rPr>
                <w:rFonts w:ascii="Calibri" w:hAnsi="Calibri" w:cs="Calibri"/>
                <w:color w:val="auto"/>
                <w:sz w:val="22"/>
                <w:szCs w:val="22"/>
              </w:rPr>
              <w:t>School A MABC-2 Distribution</w:t>
            </w:r>
          </w:p>
        </w:tc>
      </w:tr>
      <w:tr w:rsidR="00E712E4" w:rsidRPr="00E712E4" w14:paraId="1886A2FF" w14:textId="77777777" w:rsidTr="00E712E4">
        <w:trPr>
          <w:trHeight w:val="510"/>
        </w:trPr>
        <w:tc>
          <w:tcPr>
            <w:tcW w:w="562" w:type="dxa"/>
            <w:vAlign w:val="center"/>
          </w:tcPr>
          <w:p w14:paraId="664720D7" w14:textId="77777777" w:rsidR="00E712E4" w:rsidRPr="00E712E4" w:rsidRDefault="00E712E4" w:rsidP="00E712E4">
            <w:pPr>
              <w:spacing w:after="0" w:line="240" w:lineRule="auto"/>
              <w:jc w:val="center"/>
              <w:rPr>
                <w:rFonts w:ascii="Calibri" w:hAnsi="Calibri" w:cs="Calibri"/>
                <w:color w:val="auto"/>
                <w:sz w:val="22"/>
                <w:szCs w:val="22"/>
              </w:rPr>
            </w:pPr>
            <w:r w:rsidRPr="00E712E4">
              <w:rPr>
                <w:rFonts w:ascii="Calibri" w:hAnsi="Calibri" w:cs="Calibri"/>
                <w:color w:val="auto"/>
                <w:sz w:val="22"/>
                <w:szCs w:val="22"/>
              </w:rPr>
              <w:t>4</w:t>
            </w:r>
          </w:p>
        </w:tc>
        <w:tc>
          <w:tcPr>
            <w:tcW w:w="4820" w:type="dxa"/>
            <w:tcBorders>
              <w:right w:val="single" w:sz="4" w:space="0" w:color="auto"/>
            </w:tcBorders>
            <w:vAlign w:val="center"/>
          </w:tcPr>
          <w:p w14:paraId="51C3C4FA" w14:textId="7AD011AA" w:rsidR="00E712E4" w:rsidRPr="00E712E4" w:rsidRDefault="00E712E4" w:rsidP="00E712E4">
            <w:pPr>
              <w:spacing w:after="0" w:line="240" w:lineRule="auto"/>
              <w:rPr>
                <w:rFonts w:ascii="Calibri" w:hAnsi="Calibri" w:cs="Calibri"/>
                <w:color w:val="auto"/>
                <w:sz w:val="22"/>
                <w:szCs w:val="22"/>
              </w:rPr>
            </w:pPr>
            <w:r w:rsidRPr="00E712E4">
              <w:rPr>
                <w:rFonts w:ascii="Calibri" w:hAnsi="Calibri" w:cs="Calibri"/>
                <w:color w:val="auto"/>
                <w:sz w:val="22"/>
                <w:szCs w:val="22"/>
              </w:rPr>
              <w:t>Gross Motor Skill breakdown</w:t>
            </w:r>
          </w:p>
        </w:tc>
        <w:tc>
          <w:tcPr>
            <w:tcW w:w="283" w:type="dxa"/>
            <w:tcBorders>
              <w:top w:val="nil"/>
              <w:left w:val="single" w:sz="4" w:space="0" w:color="auto"/>
              <w:bottom w:val="nil"/>
              <w:right w:val="single" w:sz="4" w:space="0" w:color="auto"/>
            </w:tcBorders>
            <w:vAlign w:val="center"/>
          </w:tcPr>
          <w:p w14:paraId="5E6881BC" w14:textId="77777777" w:rsidR="00E712E4" w:rsidRPr="00E712E4" w:rsidRDefault="00E712E4" w:rsidP="00E712E4">
            <w:pPr>
              <w:spacing w:after="0" w:line="240" w:lineRule="auto"/>
              <w:rPr>
                <w:rFonts w:ascii="Calibri" w:hAnsi="Calibri" w:cs="Calibri"/>
                <w:color w:val="auto"/>
                <w:sz w:val="22"/>
                <w:szCs w:val="22"/>
              </w:rPr>
            </w:pPr>
          </w:p>
        </w:tc>
        <w:tc>
          <w:tcPr>
            <w:tcW w:w="567" w:type="dxa"/>
            <w:tcBorders>
              <w:left w:val="single" w:sz="4" w:space="0" w:color="auto"/>
            </w:tcBorders>
            <w:vAlign w:val="center"/>
          </w:tcPr>
          <w:p w14:paraId="6A45FE1C" w14:textId="0E166F88" w:rsidR="00E712E4" w:rsidRPr="00E712E4" w:rsidRDefault="00E712E4" w:rsidP="00E712E4">
            <w:pPr>
              <w:spacing w:after="0" w:line="240" w:lineRule="auto"/>
              <w:jc w:val="center"/>
              <w:rPr>
                <w:rFonts w:ascii="Calibri" w:hAnsi="Calibri" w:cs="Calibri"/>
                <w:color w:val="auto"/>
                <w:sz w:val="22"/>
                <w:szCs w:val="22"/>
              </w:rPr>
            </w:pPr>
            <w:r w:rsidRPr="00E712E4">
              <w:rPr>
                <w:rFonts w:ascii="Calibri" w:hAnsi="Calibri" w:cs="Calibri"/>
                <w:color w:val="auto"/>
                <w:sz w:val="22"/>
                <w:szCs w:val="22"/>
              </w:rPr>
              <w:t>9</w:t>
            </w:r>
          </w:p>
        </w:tc>
        <w:tc>
          <w:tcPr>
            <w:tcW w:w="4678" w:type="dxa"/>
            <w:vAlign w:val="center"/>
          </w:tcPr>
          <w:p w14:paraId="1A3258D5" w14:textId="08777371" w:rsidR="00E712E4" w:rsidRPr="00E712E4" w:rsidRDefault="00E712E4" w:rsidP="00E712E4">
            <w:pPr>
              <w:spacing w:after="0" w:line="240" w:lineRule="auto"/>
              <w:rPr>
                <w:rFonts w:ascii="Calibri" w:hAnsi="Calibri" w:cs="Calibri"/>
                <w:color w:val="auto"/>
                <w:sz w:val="22"/>
                <w:szCs w:val="22"/>
              </w:rPr>
            </w:pPr>
            <w:r w:rsidRPr="00E712E4">
              <w:rPr>
                <w:rFonts w:ascii="Calibri" w:hAnsi="Calibri" w:cs="Calibri"/>
                <w:color w:val="auto"/>
                <w:sz w:val="22"/>
                <w:szCs w:val="22"/>
              </w:rPr>
              <w:t>School B MABC-2 Distribution</w:t>
            </w:r>
          </w:p>
        </w:tc>
      </w:tr>
      <w:tr w:rsidR="00E712E4" w:rsidRPr="00E712E4" w14:paraId="4BB0D528" w14:textId="77777777" w:rsidTr="00E712E4">
        <w:trPr>
          <w:trHeight w:val="510"/>
        </w:trPr>
        <w:tc>
          <w:tcPr>
            <w:tcW w:w="562" w:type="dxa"/>
            <w:vAlign w:val="center"/>
          </w:tcPr>
          <w:p w14:paraId="0027CC49" w14:textId="77777777" w:rsidR="00E712E4" w:rsidRPr="00E712E4" w:rsidRDefault="00E712E4" w:rsidP="00E712E4">
            <w:pPr>
              <w:spacing w:after="0" w:line="240" w:lineRule="auto"/>
              <w:jc w:val="center"/>
              <w:rPr>
                <w:rFonts w:ascii="Calibri" w:hAnsi="Calibri" w:cs="Calibri"/>
                <w:color w:val="auto"/>
                <w:sz w:val="22"/>
                <w:szCs w:val="22"/>
              </w:rPr>
            </w:pPr>
            <w:r w:rsidRPr="00E712E4">
              <w:rPr>
                <w:rFonts w:ascii="Calibri" w:hAnsi="Calibri" w:cs="Calibri"/>
                <w:color w:val="auto"/>
                <w:sz w:val="22"/>
                <w:szCs w:val="22"/>
              </w:rPr>
              <w:t>5</w:t>
            </w:r>
          </w:p>
        </w:tc>
        <w:tc>
          <w:tcPr>
            <w:tcW w:w="4820" w:type="dxa"/>
            <w:tcBorders>
              <w:right w:val="single" w:sz="4" w:space="0" w:color="auto"/>
            </w:tcBorders>
            <w:vAlign w:val="center"/>
          </w:tcPr>
          <w:p w14:paraId="11D4B01D" w14:textId="73B12004" w:rsidR="00E712E4" w:rsidRPr="00E712E4" w:rsidRDefault="00E712E4" w:rsidP="00E712E4">
            <w:pPr>
              <w:spacing w:after="0" w:line="240" w:lineRule="auto"/>
              <w:rPr>
                <w:rFonts w:ascii="Calibri" w:hAnsi="Calibri" w:cs="Calibri"/>
                <w:color w:val="auto"/>
                <w:sz w:val="22"/>
                <w:szCs w:val="22"/>
              </w:rPr>
            </w:pPr>
            <w:r w:rsidRPr="00E712E4">
              <w:rPr>
                <w:rFonts w:ascii="Calibri" w:hAnsi="Calibri" w:cs="Calibri"/>
                <w:color w:val="auto"/>
                <w:sz w:val="22"/>
                <w:szCs w:val="22"/>
              </w:rPr>
              <w:t>Fine Motor Skill breakdown</w:t>
            </w:r>
          </w:p>
        </w:tc>
        <w:tc>
          <w:tcPr>
            <w:tcW w:w="283" w:type="dxa"/>
            <w:tcBorders>
              <w:top w:val="nil"/>
              <w:left w:val="single" w:sz="4" w:space="0" w:color="auto"/>
              <w:bottom w:val="nil"/>
              <w:right w:val="single" w:sz="4" w:space="0" w:color="auto"/>
            </w:tcBorders>
            <w:vAlign w:val="center"/>
          </w:tcPr>
          <w:p w14:paraId="277506BB" w14:textId="77777777" w:rsidR="00E712E4" w:rsidRPr="00E712E4" w:rsidRDefault="00E712E4" w:rsidP="00E712E4">
            <w:pPr>
              <w:spacing w:after="0" w:line="240" w:lineRule="auto"/>
              <w:rPr>
                <w:rFonts w:ascii="Calibri" w:hAnsi="Calibri" w:cs="Calibri"/>
                <w:color w:val="auto"/>
                <w:sz w:val="22"/>
                <w:szCs w:val="22"/>
              </w:rPr>
            </w:pPr>
          </w:p>
        </w:tc>
        <w:tc>
          <w:tcPr>
            <w:tcW w:w="567" w:type="dxa"/>
            <w:tcBorders>
              <w:left w:val="single" w:sz="4" w:space="0" w:color="auto"/>
            </w:tcBorders>
            <w:vAlign w:val="center"/>
          </w:tcPr>
          <w:p w14:paraId="4F8FECA3" w14:textId="35278444" w:rsidR="00E712E4" w:rsidRPr="00E712E4" w:rsidRDefault="00E712E4" w:rsidP="00E712E4">
            <w:pPr>
              <w:spacing w:after="0" w:line="240" w:lineRule="auto"/>
              <w:jc w:val="center"/>
              <w:rPr>
                <w:rFonts w:ascii="Calibri" w:hAnsi="Calibri" w:cs="Calibri"/>
                <w:color w:val="auto"/>
                <w:sz w:val="22"/>
                <w:szCs w:val="22"/>
              </w:rPr>
            </w:pPr>
          </w:p>
        </w:tc>
        <w:tc>
          <w:tcPr>
            <w:tcW w:w="4678" w:type="dxa"/>
            <w:vAlign w:val="center"/>
          </w:tcPr>
          <w:p w14:paraId="5F75F7D0" w14:textId="21CB24B7" w:rsidR="00E712E4" w:rsidRPr="00E712E4" w:rsidRDefault="00E712E4" w:rsidP="00E712E4">
            <w:pPr>
              <w:spacing w:after="0" w:line="240" w:lineRule="auto"/>
              <w:rPr>
                <w:rFonts w:ascii="Calibri" w:hAnsi="Calibri" w:cs="Calibri"/>
                <w:color w:val="auto"/>
                <w:sz w:val="22"/>
                <w:szCs w:val="22"/>
              </w:rPr>
            </w:pPr>
          </w:p>
        </w:tc>
      </w:tr>
    </w:tbl>
    <w:p w14:paraId="0545DA8F" w14:textId="77777777" w:rsidR="002A7944" w:rsidRPr="00E712E4" w:rsidRDefault="002A7944" w:rsidP="002A7944">
      <w:pPr>
        <w:spacing w:after="0" w:line="360" w:lineRule="auto"/>
        <w:jc w:val="center"/>
        <w:rPr>
          <w:rFonts w:ascii="Calibri" w:hAnsi="Calibri" w:cs="Calibri"/>
          <w:caps/>
          <w:color w:val="auto"/>
          <w:sz w:val="22"/>
          <w:szCs w:val="22"/>
        </w:rPr>
        <w:sectPr w:rsidR="002A7944" w:rsidRPr="00E712E4" w:rsidSect="002A7944">
          <w:footerReference w:type="default" r:id="rId8"/>
          <w:pgSz w:w="11906" w:h="16838"/>
          <w:pgMar w:top="567" w:right="567" w:bottom="567" w:left="567" w:header="709" w:footer="709" w:gutter="0"/>
          <w:pgNumType w:start="1"/>
          <w:cols w:space="708"/>
          <w:docGrid w:linePitch="360"/>
        </w:sectPr>
      </w:pPr>
    </w:p>
    <w:p w14:paraId="7635FBFE" w14:textId="77777777" w:rsidR="002A7944" w:rsidRPr="000352BE" w:rsidRDefault="002A7944" w:rsidP="002A7944">
      <w:pPr>
        <w:spacing w:after="0" w:line="240" w:lineRule="auto"/>
        <w:jc w:val="center"/>
        <w:rPr>
          <w:rFonts w:ascii="Calibri" w:hAnsi="Calibri" w:cs="Calibri"/>
          <w:bCs/>
          <w:color w:val="auto"/>
          <w:sz w:val="28"/>
          <w:szCs w:val="8"/>
        </w:rPr>
      </w:pPr>
      <w:r w:rsidRPr="000352BE">
        <w:rPr>
          <w:rFonts w:ascii="Calibri" w:hAnsi="Calibri" w:cs="Calibri"/>
          <w:bCs/>
          <w:color w:val="auto"/>
          <w:sz w:val="28"/>
          <w:szCs w:val="8"/>
        </w:rPr>
        <w:lastRenderedPageBreak/>
        <w:t>How does the EYFS data compare to a standardised test for Physical Development</w:t>
      </w:r>
    </w:p>
    <w:p w14:paraId="10114148" w14:textId="77777777" w:rsidR="002A7944" w:rsidRPr="000352BE" w:rsidRDefault="002A7944" w:rsidP="002A7944">
      <w:pPr>
        <w:spacing w:after="0" w:line="240" w:lineRule="auto"/>
        <w:jc w:val="center"/>
        <w:rPr>
          <w:rFonts w:ascii="Calibri" w:hAnsi="Calibri" w:cs="Calibri"/>
          <w:bCs/>
          <w:color w:val="auto"/>
          <w:sz w:val="48"/>
          <w:szCs w:val="18"/>
        </w:rPr>
      </w:pPr>
    </w:p>
    <w:p w14:paraId="010210E5" w14:textId="77777777" w:rsidR="002A7944" w:rsidRPr="000352BE" w:rsidRDefault="002A7944" w:rsidP="002A7944">
      <w:pPr>
        <w:spacing w:after="0" w:line="360" w:lineRule="auto"/>
        <w:jc w:val="both"/>
        <w:rPr>
          <w:rFonts w:ascii="Calibri" w:hAnsi="Calibri" w:cs="Calibri"/>
          <w:caps/>
          <w:color w:val="auto"/>
          <w:sz w:val="44"/>
          <w:szCs w:val="44"/>
        </w:rPr>
      </w:pPr>
      <w:r w:rsidRPr="000352BE">
        <w:rPr>
          <w:rFonts w:ascii="Calibri" w:hAnsi="Calibri" w:cs="Calibri"/>
          <w:caps/>
          <w:color w:val="auto"/>
          <w:sz w:val="44"/>
          <w:szCs w:val="44"/>
        </w:rPr>
        <w:t>Introduction</w:t>
      </w:r>
    </w:p>
    <w:p w14:paraId="474EDB56" w14:textId="77777777" w:rsidR="002A7944" w:rsidRPr="000352BE" w:rsidRDefault="002A7944" w:rsidP="002A7944">
      <w:pPr>
        <w:spacing w:after="0" w:line="360" w:lineRule="auto"/>
        <w:jc w:val="both"/>
        <w:rPr>
          <w:rFonts w:ascii="Calibri" w:hAnsi="Calibri" w:cs="Calibri"/>
          <w:color w:val="auto"/>
          <w:sz w:val="22"/>
          <w:szCs w:val="22"/>
        </w:rPr>
      </w:pPr>
      <w:r w:rsidRPr="000352BE">
        <w:rPr>
          <w:rFonts w:ascii="Calibri" w:hAnsi="Calibri" w:cs="Calibri"/>
          <w:color w:val="auto"/>
          <w:sz w:val="22"/>
          <w:szCs w:val="22"/>
        </w:rPr>
        <w:t xml:space="preserve">The chapter provides the foundation for this dissertation, setting out the background, context, and purpose of the research which examines the difference between teacher led observations and standardised testing outcomes, highlighting the implications for early identification of developmental delays. </w:t>
      </w:r>
    </w:p>
    <w:p w14:paraId="37414A49" w14:textId="77777777" w:rsidR="002A7944" w:rsidRPr="000352BE" w:rsidRDefault="002A7944" w:rsidP="002A7944">
      <w:pPr>
        <w:spacing w:after="0" w:line="360" w:lineRule="auto"/>
        <w:jc w:val="both"/>
        <w:rPr>
          <w:rFonts w:ascii="Calibri" w:hAnsi="Calibri" w:cs="Calibri"/>
          <w:color w:val="auto"/>
          <w:sz w:val="22"/>
          <w:szCs w:val="22"/>
        </w:rPr>
      </w:pPr>
    </w:p>
    <w:p w14:paraId="5ECBA1DE" w14:textId="0E67B1A4" w:rsidR="002A7944" w:rsidRPr="000352BE" w:rsidRDefault="002A7944" w:rsidP="002A7944">
      <w:pPr>
        <w:spacing w:after="0" w:line="360" w:lineRule="auto"/>
        <w:jc w:val="both"/>
        <w:rPr>
          <w:rFonts w:ascii="Calibri" w:hAnsi="Calibri" w:cs="Calibri"/>
          <w:color w:val="auto"/>
          <w:sz w:val="22"/>
          <w:szCs w:val="22"/>
        </w:rPr>
      </w:pPr>
      <w:r w:rsidRPr="000352BE">
        <w:rPr>
          <w:rFonts w:ascii="Calibri" w:hAnsi="Calibri" w:cs="Calibri"/>
          <w:color w:val="auto"/>
          <w:sz w:val="22"/>
          <w:szCs w:val="22"/>
        </w:rPr>
        <w:t xml:space="preserve">Early childhood is a critical period for PD, laying the foundation for many aspects of a child’s future learning, health, and social functioning. From birth to the age of five, children's bodies and brains are growing rapidly, and </w:t>
      </w:r>
      <w:r w:rsidR="00CD2813" w:rsidRPr="00CD2813">
        <w:rPr>
          <w:rFonts w:ascii="Calibri" w:hAnsi="Calibri" w:cs="Calibri"/>
          <w:color w:val="auto"/>
          <w:sz w:val="22"/>
          <w:szCs w:val="22"/>
        </w:rPr>
        <w:t>their ability to move and control their bodies</w:t>
      </w:r>
      <w:r w:rsidRPr="000352BE">
        <w:rPr>
          <w:rFonts w:ascii="Calibri" w:hAnsi="Calibri" w:cs="Calibri"/>
          <w:color w:val="auto"/>
          <w:sz w:val="22"/>
          <w:szCs w:val="22"/>
        </w:rPr>
        <w:t>. PD in these early years includes both gross motor skills (GMS) and fine motor skills (FMS).</w:t>
      </w:r>
      <w:r w:rsidRPr="000352BE">
        <w:t xml:space="preserve"> </w:t>
      </w:r>
      <w:r w:rsidRPr="000352BE">
        <w:rPr>
          <w:rFonts w:ascii="Calibri" w:hAnsi="Calibri" w:cs="Calibri"/>
          <w:color w:val="auto"/>
          <w:sz w:val="22"/>
          <w:szCs w:val="22"/>
        </w:rPr>
        <w:t xml:space="preserve">(Cameron et al., 2016; </w:t>
      </w:r>
      <w:r w:rsidR="00320059">
        <w:rPr>
          <w:rFonts w:ascii="Calibri" w:hAnsi="Calibri" w:cs="Calibri"/>
          <w:color w:val="auto"/>
          <w:sz w:val="22"/>
          <w:szCs w:val="22"/>
        </w:rPr>
        <w:t>DfE</w:t>
      </w:r>
      <w:r w:rsidRPr="000352BE">
        <w:rPr>
          <w:rFonts w:ascii="Calibri" w:hAnsi="Calibri" w:cs="Calibri"/>
          <w:color w:val="auto"/>
          <w:sz w:val="22"/>
          <w:szCs w:val="22"/>
        </w:rPr>
        <w:t>, 2021). How well children develop these skills can significantly influence their educational progress, confidence, and wellbeing throughout their school years and beyond (</w:t>
      </w:r>
      <w:r w:rsidR="00320059">
        <w:rPr>
          <w:rFonts w:ascii="Calibri" w:hAnsi="Calibri" w:cs="Calibri"/>
          <w:color w:val="auto"/>
          <w:sz w:val="22"/>
          <w:szCs w:val="22"/>
        </w:rPr>
        <w:t>DfE</w:t>
      </w:r>
      <w:r w:rsidRPr="000352BE">
        <w:rPr>
          <w:rFonts w:ascii="Calibri" w:hAnsi="Calibri" w:cs="Calibri"/>
          <w:color w:val="auto"/>
          <w:sz w:val="22"/>
          <w:szCs w:val="22"/>
        </w:rPr>
        <w:t>, 2021).</w:t>
      </w:r>
    </w:p>
    <w:p w14:paraId="450DA933" w14:textId="008E8F50" w:rsidR="002A7944" w:rsidRPr="000352BE" w:rsidRDefault="002A7944" w:rsidP="002A7944">
      <w:pPr>
        <w:spacing w:after="0" w:line="360" w:lineRule="auto"/>
        <w:jc w:val="both"/>
        <w:rPr>
          <w:rFonts w:ascii="Calibri" w:hAnsi="Calibri" w:cs="Calibri"/>
          <w:color w:val="auto"/>
          <w:sz w:val="22"/>
          <w:szCs w:val="22"/>
        </w:rPr>
      </w:pPr>
      <w:r w:rsidRPr="000352BE">
        <w:rPr>
          <w:rFonts w:ascii="Calibri" w:hAnsi="Calibri" w:cs="Calibri"/>
          <w:color w:val="auto"/>
          <w:sz w:val="22"/>
          <w:szCs w:val="22"/>
        </w:rPr>
        <w:t xml:space="preserve">PD is a vital component of early childhood education and is embedded as one of the three prime areas of </w:t>
      </w:r>
      <w:r w:rsidR="001D7378">
        <w:rPr>
          <w:rFonts w:ascii="Calibri" w:hAnsi="Calibri" w:cs="Calibri"/>
          <w:color w:val="auto"/>
          <w:sz w:val="22"/>
          <w:szCs w:val="22"/>
        </w:rPr>
        <w:t>l</w:t>
      </w:r>
      <w:r w:rsidRPr="000352BE">
        <w:rPr>
          <w:rFonts w:ascii="Calibri" w:hAnsi="Calibri" w:cs="Calibri"/>
          <w:color w:val="auto"/>
          <w:sz w:val="22"/>
          <w:szCs w:val="22"/>
        </w:rPr>
        <w:t>earning within the E</w:t>
      </w:r>
      <w:r w:rsidR="001D7378">
        <w:rPr>
          <w:rFonts w:ascii="Calibri" w:hAnsi="Calibri" w:cs="Calibri"/>
          <w:color w:val="auto"/>
          <w:sz w:val="22"/>
          <w:szCs w:val="22"/>
        </w:rPr>
        <w:t xml:space="preserve">arly </w:t>
      </w:r>
      <w:r w:rsidRPr="000352BE">
        <w:rPr>
          <w:rFonts w:ascii="Calibri" w:hAnsi="Calibri" w:cs="Calibri"/>
          <w:color w:val="auto"/>
          <w:sz w:val="22"/>
          <w:szCs w:val="22"/>
        </w:rPr>
        <w:t>Y</w:t>
      </w:r>
      <w:r w:rsidR="001D7378">
        <w:rPr>
          <w:rFonts w:ascii="Calibri" w:hAnsi="Calibri" w:cs="Calibri"/>
          <w:color w:val="auto"/>
          <w:sz w:val="22"/>
          <w:szCs w:val="22"/>
        </w:rPr>
        <w:t>ears Foundation Stage</w:t>
      </w:r>
      <w:r w:rsidRPr="000352BE">
        <w:rPr>
          <w:rFonts w:ascii="Calibri" w:hAnsi="Calibri" w:cs="Calibri"/>
          <w:color w:val="auto"/>
          <w:sz w:val="22"/>
          <w:szCs w:val="22"/>
        </w:rPr>
        <w:t xml:space="preserve"> </w:t>
      </w:r>
      <w:r w:rsidR="001D7378">
        <w:rPr>
          <w:rFonts w:ascii="Calibri" w:hAnsi="Calibri" w:cs="Calibri"/>
          <w:color w:val="auto"/>
          <w:sz w:val="22"/>
          <w:szCs w:val="22"/>
        </w:rPr>
        <w:t>F</w:t>
      </w:r>
      <w:r w:rsidRPr="000352BE">
        <w:rPr>
          <w:rFonts w:ascii="Calibri" w:hAnsi="Calibri" w:cs="Calibri"/>
          <w:color w:val="auto"/>
          <w:sz w:val="22"/>
          <w:szCs w:val="22"/>
        </w:rPr>
        <w:t>ramework</w:t>
      </w:r>
      <w:r w:rsidR="001D7378">
        <w:rPr>
          <w:rFonts w:ascii="Calibri" w:hAnsi="Calibri" w:cs="Calibri"/>
          <w:color w:val="auto"/>
          <w:sz w:val="22"/>
          <w:szCs w:val="22"/>
        </w:rPr>
        <w:t xml:space="preserve"> (EYFSF)</w:t>
      </w:r>
      <w:r w:rsidRPr="000352BE">
        <w:rPr>
          <w:rFonts w:ascii="Calibri" w:hAnsi="Calibri" w:cs="Calibri"/>
          <w:color w:val="auto"/>
          <w:sz w:val="22"/>
          <w:szCs w:val="22"/>
        </w:rPr>
        <w:t xml:space="preserve"> (</w:t>
      </w:r>
      <w:r w:rsidR="00320059">
        <w:rPr>
          <w:rFonts w:ascii="Calibri" w:hAnsi="Calibri" w:cs="Calibri"/>
          <w:color w:val="auto"/>
          <w:sz w:val="22"/>
          <w:szCs w:val="22"/>
        </w:rPr>
        <w:t>DfE</w:t>
      </w:r>
      <w:r w:rsidRPr="000352BE">
        <w:rPr>
          <w:rFonts w:ascii="Calibri" w:hAnsi="Calibri" w:cs="Calibri"/>
          <w:color w:val="auto"/>
          <w:sz w:val="22"/>
          <w:szCs w:val="22"/>
        </w:rPr>
        <w:t>, 2021). GMS and FMS underpin not only physical health and activity but also cognitive, social, and academic readiness. Children who demonstrate delays in these areas often encounter wider challenges in both learning and wellbeing, with research consistently linking motor competence to school readiness, social confidence, and long-term participation in physical activity (Piek et al., 2008; Stodden et al., 2008).</w:t>
      </w:r>
    </w:p>
    <w:p w14:paraId="3820E46B" w14:textId="77777777" w:rsidR="002A7944" w:rsidRPr="000352BE" w:rsidRDefault="002A7944" w:rsidP="002A7944">
      <w:pPr>
        <w:spacing w:after="0" w:line="360" w:lineRule="auto"/>
        <w:jc w:val="both"/>
        <w:rPr>
          <w:rFonts w:ascii="Calibri" w:hAnsi="Calibri" w:cs="Calibri"/>
          <w:color w:val="auto"/>
          <w:sz w:val="22"/>
          <w:szCs w:val="22"/>
        </w:rPr>
      </w:pPr>
    </w:p>
    <w:p w14:paraId="60E79D02" w14:textId="6027F8E4" w:rsidR="002A7944" w:rsidRPr="000352BE" w:rsidRDefault="002A7944" w:rsidP="002A7944">
      <w:pPr>
        <w:spacing w:after="0" w:line="360" w:lineRule="auto"/>
        <w:jc w:val="both"/>
        <w:rPr>
          <w:rFonts w:ascii="Calibri" w:hAnsi="Calibri" w:cs="Calibri"/>
          <w:color w:val="auto"/>
          <w:sz w:val="22"/>
          <w:szCs w:val="22"/>
        </w:rPr>
      </w:pPr>
      <w:r w:rsidRPr="000352BE">
        <w:rPr>
          <w:rFonts w:ascii="Calibri" w:hAnsi="Calibri" w:cs="Calibri"/>
          <w:color w:val="auto"/>
          <w:sz w:val="22"/>
          <w:szCs w:val="22"/>
        </w:rPr>
        <w:t xml:space="preserve">The </w:t>
      </w:r>
      <w:r w:rsidR="001D7378" w:rsidRPr="000352BE">
        <w:rPr>
          <w:rFonts w:ascii="Calibri" w:hAnsi="Calibri" w:cs="Calibri"/>
          <w:color w:val="auto"/>
          <w:sz w:val="22"/>
          <w:szCs w:val="22"/>
        </w:rPr>
        <w:t>E</w:t>
      </w:r>
      <w:r w:rsidR="001D7378">
        <w:rPr>
          <w:rFonts w:ascii="Calibri" w:hAnsi="Calibri" w:cs="Calibri"/>
          <w:color w:val="auto"/>
          <w:sz w:val="22"/>
          <w:szCs w:val="22"/>
        </w:rPr>
        <w:t xml:space="preserve">arly </w:t>
      </w:r>
      <w:r w:rsidR="001D7378" w:rsidRPr="000352BE">
        <w:rPr>
          <w:rFonts w:ascii="Calibri" w:hAnsi="Calibri" w:cs="Calibri"/>
          <w:color w:val="auto"/>
          <w:sz w:val="22"/>
          <w:szCs w:val="22"/>
        </w:rPr>
        <w:t>Y</w:t>
      </w:r>
      <w:r w:rsidR="001D7378">
        <w:rPr>
          <w:rFonts w:ascii="Calibri" w:hAnsi="Calibri" w:cs="Calibri"/>
          <w:color w:val="auto"/>
          <w:sz w:val="22"/>
          <w:szCs w:val="22"/>
        </w:rPr>
        <w:t>ears Foundation Stage</w:t>
      </w:r>
      <w:r w:rsidR="001D7378" w:rsidRPr="000352BE">
        <w:rPr>
          <w:rFonts w:ascii="Calibri" w:hAnsi="Calibri" w:cs="Calibri"/>
          <w:color w:val="auto"/>
          <w:sz w:val="22"/>
          <w:szCs w:val="22"/>
        </w:rPr>
        <w:t xml:space="preserve"> </w:t>
      </w:r>
      <w:r w:rsidR="001D7378">
        <w:rPr>
          <w:rFonts w:ascii="Calibri" w:hAnsi="Calibri" w:cs="Calibri"/>
          <w:color w:val="auto"/>
          <w:sz w:val="22"/>
          <w:szCs w:val="22"/>
        </w:rPr>
        <w:t>(</w:t>
      </w:r>
      <w:r w:rsidRPr="000352BE">
        <w:rPr>
          <w:rFonts w:ascii="Calibri" w:hAnsi="Calibri" w:cs="Calibri"/>
          <w:color w:val="auto"/>
          <w:sz w:val="22"/>
          <w:szCs w:val="22"/>
        </w:rPr>
        <w:t>EYFS</w:t>
      </w:r>
      <w:r w:rsidR="001D7378">
        <w:rPr>
          <w:rFonts w:ascii="Calibri" w:hAnsi="Calibri" w:cs="Calibri"/>
          <w:color w:val="auto"/>
          <w:sz w:val="22"/>
          <w:szCs w:val="22"/>
        </w:rPr>
        <w:t>)</w:t>
      </w:r>
      <w:r w:rsidRPr="000352BE">
        <w:rPr>
          <w:rFonts w:ascii="Calibri" w:hAnsi="Calibri" w:cs="Calibri"/>
          <w:color w:val="auto"/>
          <w:sz w:val="22"/>
          <w:szCs w:val="22"/>
        </w:rPr>
        <w:t xml:space="preserve"> assessment process is based on teacher observations with evidence gathered across everyday tasks to determine whether children are “Emerging,” “Expected,” or “Exceeding” against the 17 Early Learning Goals (ELGs) (DfE, 2024). This process has long been criticised for its potential variability between settings, and reliance on teacher knowledge and confidence in identifying subtle developmental delays. Standardised tools such as the MABC-2 provide objective, norm-referenced data that can identify motor coordination difficulties with precision, including those associated with Developmental Coordination Disorder (DCD) (Henderson, Sugden and Barnett, 2007).</w:t>
      </w:r>
    </w:p>
    <w:p w14:paraId="307F4226" w14:textId="77777777" w:rsidR="002A7944" w:rsidRPr="000352BE" w:rsidRDefault="002A7944" w:rsidP="002A7944">
      <w:pPr>
        <w:spacing w:after="0" w:line="360" w:lineRule="auto"/>
        <w:jc w:val="both"/>
        <w:rPr>
          <w:rFonts w:ascii="Calibri" w:hAnsi="Calibri" w:cs="Calibri"/>
          <w:color w:val="auto"/>
          <w:sz w:val="22"/>
          <w:szCs w:val="22"/>
        </w:rPr>
      </w:pPr>
    </w:p>
    <w:p w14:paraId="1D197F47" w14:textId="63DAAFA5" w:rsidR="002A7944" w:rsidRPr="000352BE" w:rsidRDefault="002A7944" w:rsidP="002A7944">
      <w:pPr>
        <w:spacing w:after="0" w:line="360" w:lineRule="auto"/>
        <w:jc w:val="both"/>
        <w:rPr>
          <w:rFonts w:ascii="Calibri" w:hAnsi="Calibri" w:cs="Calibri"/>
          <w:color w:val="auto"/>
          <w:sz w:val="22"/>
          <w:szCs w:val="22"/>
        </w:rPr>
      </w:pPr>
      <w:r w:rsidRPr="000352BE">
        <w:rPr>
          <w:rFonts w:ascii="Calibri" w:hAnsi="Calibri" w:cs="Calibri"/>
          <w:color w:val="auto"/>
          <w:sz w:val="22"/>
          <w:szCs w:val="22"/>
        </w:rPr>
        <w:t>This research look</w:t>
      </w:r>
      <w:r w:rsidR="00A65EA8">
        <w:rPr>
          <w:rFonts w:ascii="Calibri" w:hAnsi="Calibri" w:cs="Calibri"/>
          <w:color w:val="auto"/>
          <w:sz w:val="22"/>
          <w:szCs w:val="22"/>
        </w:rPr>
        <w:t>s</w:t>
      </w:r>
      <w:r w:rsidRPr="000352BE">
        <w:rPr>
          <w:rFonts w:ascii="Calibri" w:hAnsi="Calibri" w:cs="Calibri"/>
          <w:color w:val="auto"/>
          <w:sz w:val="22"/>
          <w:szCs w:val="22"/>
        </w:rPr>
        <w:t xml:space="preserve"> at two contrasting but complementary approaches to assessing young children’s motor development, teacher-led observations and standardised assessment protocols via the MABC-2.  National data shows consistently high proportions of children achieving a Good Level of Development (GLD) in PD (DfE, 2023), research indicates that motor difficulties are far more prevalent than EYFS figures suggest. This questions whether teacher-led assessments are sufficiently sensitive to detect less visible motor challenges (Burton and Miller, 1998; Blank et al., 2019). There are also long-term implications of under-detection. Children who enter Key Stage 1 with unidentified motor difficulties may experience challenges in wider curriculum areas such as literacy and numeracy. For example, handwriting difficulties linked to poor FMS can affect academic achievement, while inadequate GMS can reduce confidence in physical activity (Cameron et al., 2012; Sugden, 2007). If EYFS observations do not consistently identify children at risk, opportunities for early and effective intervention are missed.</w:t>
      </w:r>
    </w:p>
    <w:p w14:paraId="7634879A" w14:textId="77777777" w:rsidR="002A7944" w:rsidRPr="000352BE" w:rsidRDefault="002A7944" w:rsidP="002A7944">
      <w:pPr>
        <w:spacing w:after="0" w:line="360" w:lineRule="auto"/>
        <w:jc w:val="both"/>
        <w:rPr>
          <w:rFonts w:ascii="Calibri" w:hAnsi="Calibri" w:cs="Calibri"/>
          <w:color w:val="auto"/>
          <w:sz w:val="22"/>
          <w:szCs w:val="22"/>
        </w:rPr>
      </w:pPr>
    </w:p>
    <w:p w14:paraId="584323B8" w14:textId="08E030CC" w:rsidR="002A7944" w:rsidRPr="000352BE" w:rsidRDefault="002A7944" w:rsidP="002A7944">
      <w:pPr>
        <w:spacing w:after="0" w:line="360" w:lineRule="auto"/>
        <w:jc w:val="both"/>
        <w:rPr>
          <w:rFonts w:ascii="Calibri" w:hAnsi="Calibri" w:cs="Calibri"/>
          <w:color w:val="auto"/>
          <w:sz w:val="22"/>
          <w:szCs w:val="22"/>
        </w:rPr>
      </w:pPr>
      <w:r w:rsidRPr="000352BE">
        <w:rPr>
          <w:rFonts w:ascii="Calibri" w:hAnsi="Calibri" w:cs="Calibri"/>
          <w:color w:val="auto"/>
          <w:sz w:val="22"/>
          <w:szCs w:val="22"/>
        </w:rPr>
        <w:lastRenderedPageBreak/>
        <w:t>Teacher training and confidence is also an area for concern, studies indicate that EY teachers often receive little formal preparation in PE (Kirk, 2005; Duncombe and Armour, 2003). Without initial teacher training (ITT), professional development, or access to assessment tools, teachers may lack the expertise to differentiate between typical developmental delays and signs of motor difficulties. This challenge is made harder by teacher workload and the EYFS</w:t>
      </w:r>
      <w:r w:rsidR="00A7754F">
        <w:rPr>
          <w:rFonts w:ascii="Calibri" w:hAnsi="Calibri" w:cs="Calibri"/>
          <w:color w:val="auto"/>
          <w:sz w:val="22"/>
          <w:szCs w:val="22"/>
        </w:rPr>
        <w:t>F’s</w:t>
      </w:r>
      <w:r w:rsidRPr="000352BE">
        <w:rPr>
          <w:rFonts w:ascii="Calibri" w:hAnsi="Calibri" w:cs="Calibri"/>
          <w:color w:val="auto"/>
          <w:sz w:val="22"/>
          <w:szCs w:val="22"/>
        </w:rPr>
        <w:t xml:space="preserve"> wide focus on overall child development, which can sometimes mean that PD gets less attention than areas like literacy or numeracy (NFER, 2025). The gap between policy and practice highlights the need for research of this nature. While the Department for Education</w:t>
      </w:r>
      <w:r w:rsidR="00320059">
        <w:rPr>
          <w:rFonts w:ascii="Calibri" w:hAnsi="Calibri" w:cs="Calibri"/>
          <w:color w:val="auto"/>
          <w:sz w:val="22"/>
          <w:szCs w:val="22"/>
        </w:rPr>
        <w:t xml:space="preserve"> (DfE)</w:t>
      </w:r>
      <w:r w:rsidRPr="000352BE">
        <w:rPr>
          <w:rFonts w:ascii="Calibri" w:hAnsi="Calibri" w:cs="Calibri"/>
          <w:color w:val="auto"/>
          <w:sz w:val="22"/>
          <w:szCs w:val="22"/>
        </w:rPr>
        <w:t xml:space="preserve"> places PD at the heart of school readiness, current reliance on observational assessment alone may not fully capture the full picture of children’s motor competence. By comparing EYFS PD data with the outcomes of the MABC-2, this study aims to examine the validity and reliability of EYFS assessments, asking the research question ‘How does the EYFS data compare with a standardised test for Physical Development</w:t>
      </w:r>
      <w:r w:rsidR="00A7754F">
        <w:rPr>
          <w:rFonts w:ascii="Calibri" w:hAnsi="Calibri" w:cs="Calibri"/>
          <w:color w:val="auto"/>
          <w:sz w:val="22"/>
          <w:szCs w:val="22"/>
        </w:rPr>
        <w:t>?</w:t>
      </w:r>
      <w:r w:rsidRPr="000352BE">
        <w:rPr>
          <w:rFonts w:ascii="Calibri" w:hAnsi="Calibri" w:cs="Calibri"/>
          <w:color w:val="auto"/>
          <w:sz w:val="22"/>
          <w:szCs w:val="22"/>
        </w:rPr>
        <w:t>”.</w:t>
      </w:r>
    </w:p>
    <w:p w14:paraId="22BE1E97" w14:textId="77777777" w:rsidR="002A7944" w:rsidRPr="000352BE" w:rsidRDefault="002A7944" w:rsidP="002A7944">
      <w:pPr>
        <w:spacing w:after="0" w:line="360" w:lineRule="auto"/>
        <w:jc w:val="both"/>
        <w:rPr>
          <w:rFonts w:ascii="Calibri" w:hAnsi="Calibri" w:cs="Calibri"/>
          <w:color w:val="auto"/>
          <w:sz w:val="22"/>
          <w:szCs w:val="22"/>
        </w:rPr>
      </w:pPr>
    </w:p>
    <w:p w14:paraId="72A84B0A" w14:textId="77777777" w:rsidR="002A7944" w:rsidRPr="000352BE" w:rsidRDefault="002A7944" w:rsidP="002A7944">
      <w:pPr>
        <w:spacing w:after="0" w:line="360" w:lineRule="auto"/>
        <w:jc w:val="both"/>
        <w:rPr>
          <w:rFonts w:ascii="Calibri" w:hAnsi="Calibri" w:cs="Calibri"/>
          <w:color w:val="auto"/>
          <w:sz w:val="22"/>
          <w:szCs w:val="22"/>
        </w:rPr>
      </w:pPr>
      <w:r w:rsidRPr="000352BE">
        <w:rPr>
          <w:rFonts w:ascii="Calibri" w:hAnsi="Calibri" w:cs="Calibri"/>
          <w:color w:val="auto"/>
          <w:sz w:val="22"/>
          <w:szCs w:val="22"/>
        </w:rPr>
        <w:t>The motivation for this research stems from both professional practice and academic curiosity. Having worked extensively within both Primary and EYFS settings, I have observed first-hand the differences between children’s classroom performance and their underlying motor competence. Many children who appear to cope well in everyday classroom tasks may, actually have difficulties with coordination, balance, or FMS that were not initially evident to their teachers. This raises questions about how many children “slip through the net” due to the limitations of observational assessment alone.</w:t>
      </w:r>
    </w:p>
    <w:p w14:paraId="3D53A3B6" w14:textId="77777777" w:rsidR="002A7944" w:rsidRPr="000352BE" w:rsidRDefault="002A7944" w:rsidP="002A7944">
      <w:pPr>
        <w:spacing w:after="0" w:line="360" w:lineRule="auto"/>
        <w:jc w:val="both"/>
        <w:rPr>
          <w:rFonts w:ascii="Calibri" w:hAnsi="Calibri" w:cs="Calibri"/>
          <w:color w:val="auto"/>
          <w:sz w:val="22"/>
          <w:szCs w:val="22"/>
        </w:rPr>
      </w:pPr>
      <w:r w:rsidRPr="000352BE">
        <w:rPr>
          <w:rFonts w:ascii="Calibri" w:hAnsi="Calibri" w:cs="Calibri"/>
          <w:color w:val="auto"/>
          <w:sz w:val="22"/>
          <w:szCs w:val="22"/>
        </w:rPr>
        <w:t>My experience supporting teachers in delivering PE and observing the challenges they face in assessing PD further shaped the direction of this dissertation. Teachers frequently express uncertainty about how to explain a child’s PD, particularly in FMS, and many highlight the lack of specific training during ITT or professional development. These observations reinforced the importance of developing a more evidence-based understanding of how existing EYFS assessments compare to standardised tools.</w:t>
      </w:r>
    </w:p>
    <w:p w14:paraId="4CBC584E" w14:textId="77777777" w:rsidR="002A7944" w:rsidRPr="000352BE" w:rsidRDefault="002A7944" w:rsidP="002A7944">
      <w:pPr>
        <w:spacing w:after="0" w:line="360" w:lineRule="auto"/>
        <w:jc w:val="both"/>
        <w:rPr>
          <w:rFonts w:ascii="Calibri" w:hAnsi="Calibri" w:cs="Calibri"/>
          <w:color w:val="auto"/>
          <w:sz w:val="22"/>
          <w:szCs w:val="22"/>
        </w:rPr>
      </w:pPr>
    </w:p>
    <w:p w14:paraId="70948458" w14:textId="77777777" w:rsidR="002A7944" w:rsidRPr="000352BE" w:rsidRDefault="002A7944" w:rsidP="002A7944">
      <w:pPr>
        <w:spacing w:after="0" w:line="360" w:lineRule="auto"/>
        <w:jc w:val="both"/>
        <w:rPr>
          <w:rFonts w:ascii="Calibri" w:hAnsi="Calibri" w:cs="Calibri"/>
          <w:color w:val="auto"/>
          <w:sz w:val="22"/>
          <w:szCs w:val="22"/>
        </w:rPr>
      </w:pPr>
      <w:r w:rsidRPr="000352BE">
        <w:rPr>
          <w:rFonts w:ascii="Calibri" w:hAnsi="Calibri" w:cs="Calibri"/>
          <w:color w:val="auto"/>
          <w:sz w:val="22"/>
          <w:szCs w:val="22"/>
        </w:rPr>
        <w:t>Standardised tests such as the MABC-2 are widely used in medical and research contexts but are rarely embedded within mainstream education due to their time demands and specialist requirements (Wilson et al., 2013). My aim is not to position one as superior to the other, but rather to explore how the two approaches compare and how they may be integrated to improve early identification of movement difficulties. Ultimately, this research is driven by a belief that every child should be given the opportunity to develop the physical competencies that underpin their academic learning and lifelong engagement in physical activity. Early identification and intervention are essential to this aim, and this study contributes to understanding how assessment practices can best support it.</w:t>
      </w:r>
    </w:p>
    <w:p w14:paraId="0CA62646" w14:textId="77777777" w:rsidR="002A7944" w:rsidRPr="000352BE" w:rsidRDefault="002A7944" w:rsidP="002A7944">
      <w:pPr>
        <w:spacing w:after="0" w:line="360" w:lineRule="auto"/>
        <w:jc w:val="both"/>
        <w:rPr>
          <w:rFonts w:ascii="Calibri" w:hAnsi="Calibri" w:cs="Calibri"/>
          <w:color w:val="auto"/>
          <w:sz w:val="22"/>
          <w:szCs w:val="22"/>
        </w:rPr>
      </w:pPr>
    </w:p>
    <w:p w14:paraId="5D16FA1C" w14:textId="5F8F14B0" w:rsidR="002A7944" w:rsidRPr="000352BE" w:rsidRDefault="002A7944" w:rsidP="002A7944">
      <w:pPr>
        <w:spacing w:after="0" w:line="360" w:lineRule="auto"/>
        <w:jc w:val="both"/>
        <w:rPr>
          <w:rFonts w:ascii="Calibri" w:hAnsi="Calibri" w:cs="Calibri"/>
          <w:color w:val="auto"/>
          <w:sz w:val="22"/>
          <w:szCs w:val="22"/>
        </w:rPr>
      </w:pPr>
      <w:r w:rsidRPr="000352BE">
        <w:rPr>
          <w:rFonts w:ascii="Calibri" w:hAnsi="Calibri" w:cs="Calibri"/>
          <w:color w:val="auto"/>
          <w:sz w:val="22"/>
          <w:szCs w:val="22"/>
        </w:rPr>
        <w:t xml:space="preserve">This dissertation is organised into six chapters. After this introduction, </w:t>
      </w:r>
      <w:r w:rsidR="00A65EA8">
        <w:rPr>
          <w:rFonts w:ascii="Calibri" w:hAnsi="Calibri" w:cs="Calibri"/>
          <w:color w:val="auto"/>
          <w:sz w:val="22"/>
          <w:szCs w:val="22"/>
        </w:rPr>
        <w:t>t</w:t>
      </w:r>
      <w:r w:rsidR="00A65EA8" w:rsidRPr="000352BE">
        <w:rPr>
          <w:rFonts w:ascii="Calibri" w:hAnsi="Calibri" w:cs="Calibri"/>
          <w:color w:val="auto"/>
          <w:sz w:val="22"/>
          <w:szCs w:val="22"/>
        </w:rPr>
        <w:t>he literature review</w:t>
      </w:r>
      <w:r w:rsidR="00A65EA8">
        <w:rPr>
          <w:rFonts w:ascii="Calibri" w:hAnsi="Calibri" w:cs="Calibri"/>
          <w:color w:val="auto"/>
          <w:sz w:val="22"/>
          <w:szCs w:val="22"/>
        </w:rPr>
        <w:t xml:space="preserve"> </w:t>
      </w:r>
      <w:r w:rsidR="00A65EA8" w:rsidRPr="000352BE">
        <w:rPr>
          <w:rFonts w:ascii="Calibri" w:hAnsi="Calibri" w:cs="Calibri"/>
          <w:color w:val="auto"/>
          <w:sz w:val="22"/>
          <w:szCs w:val="22"/>
        </w:rPr>
        <w:t>explores research on EYFS PD assessments and standardised motor testing, highlighting key gaps</w:t>
      </w:r>
      <w:r w:rsidR="00A65EA8">
        <w:rPr>
          <w:rFonts w:ascii="Calibri" w:hAnsi="Calibri" w:cs="Calibri"/>
          <w:color w:val="auto"/>
          <w:sz w:val="22"/>
          <w:szCs w:val="22"/>
        </w:rPr>
        <w:t>. T</w:t>
      </w:r>
      <w:r w:rsidR="00A7754F" w:rsidRPr="000352BE">
        <w:rPr>
          <w:rFonts w:ascii="Calibri" w:hAnsi="Calibri" w:cs="Calibri"/>
          <w:color w:val="auto"/>
          <w:sz w:val="22"/>
          <w:szCs w:val="22"/>
        </w:rPr>
        <w:t>he methodology explains the use of a quantitative approach to compare EYFS and MABC-2 data.</w:t>
      </w:r>
      <w:r w:rsidRPr="000352BE">
        <w:rPr>
          <w:rFonts w:ascii="Calibri" w:hAnsi="Calibri" w:cs="Calibri"/>
          <w:color w:val="auto"/>
          <w:sz w:val="22"/>
          <w:szCs w:val="22"/>
        </w:rPr>
        <w:t xml:space="preserve"> The results chapter presents the findings, followed by the discussion, which interprets these outcomes in relation to existing theory and practice. The final chapter concludes the study, drawing together the main findings and offering recommendations for teacher training, assessment practices, and future research.</w:t>
      </w:r>
    </w:p>
    <w:p w14:paraId="7AE5314B" w14:textId="77777777" w:rsidR="002A7944" w:rsidRDefault="002A7944">
      <w:pPr>
        <w:rPr>
          <w:rFonts w:ascii="Calibri" w:hAnsi="Calibri" w:cs="Calibri"/>
          <w:color w:val="auto"/>
          <w:sz w:val="22"/>
          <w:szCs w:val="22"/>
        </w:rPr>
      </w:pPr>
    </w:p>
    <w:p w14:paraId="5218E6EF" w14:textId="77777777" w:rsidR="002A7944" w:rsidRDefault="002A7944"/>
    <w:p w14:paraId="6344244A" w14:textId="77777777" w:rsidR="002A7944" w:rsidRPr="000352BE" w:rsidRDefault="002A7944" w:rsidP="002A7944">
      <w:pPr>
        <w:spacing w:line="360" w:lineRule="auto"/>
        <w:jc w:val="both"/>
        <w:rPr>
          <w:rFonts w:ascii="Calibri" w:hAnsi="Calibri" w:cs="Calibri"/>
          <w:caps/>
          <w:color w:val="auto"/>
          <w:sz w:val="44"/>
          <w:szCs w:val="44"/>
        </w:rPr>
      </w:pPr>
      <w:r w:rsidRPr="000352BE">
        <w:rPr>
          <w:rFonts w:ascii="Calibri" w:hAnsi="Calibri" w:cs="Calibri"/>
          <w:caps/>
          <w:color w:val="auto"/>
          <w:sz w:val="44"/>
          <w:szCs w:val="44"/>
        </w:rPr>
        <w:lastRenderedPageBreak/>
        <w:t>Literature Review</w:t>
      </w:r>
    </w:p>
    <w:p w14:paraId="48310B51" w14:textId="21ACD87E" w:rsidR="002A7944" w:rsidRPr="005F1371" w:rsidRDefault="002A7944" w:rsidP="002F5B21">
      <w:pPr>
        <w:spacing w:line="360" w:lineRule="auto"/>
      </w:pPr>
      <w:r w:rsidRPr="000352BE">
        <w:rPr>
          <w:rFonts w:ascii="Calibri" w:hAnsi="Calibri" w:cs="Calibri"/>
          <w:color w:val="auto"/>
          <w:sz w:val="22"/>
          <w:szCs w:val="22"/>
        </w:rPr>
        <w:t xml:space="preserve">This chapter critically reviews current research on EYFS Physical Development assessments and </w:t>
      </w:r>
      <w:r w:rsidR="00DA53C0">
        <w:rPr>
          <w:rFonts w:ascii="Calibri" w:hAnsi="Calibri" w:cs="Calibri"/>
          <w:color w:val="auto"/>
          <w:sz w:val="22"/>
          <w:szCs w:val="22"/>
        </w:rPr>
        <w:t>standardised</w:t>
      </w:r>
      <w:r w:rsidRPr="000352BE">
        <w:rPr>
          <w:rFonts w:ascii="Calibri" w:hAnsi="Calibri" w:cs="Calibri"/>
          <w:color w:val="auto"/>
          <w:sz w:val="22"/>
          <w:szCs w:val="22"/>
        </w:rPr>
        <w:t xml:space="preserve"> motor testing, with particular emphasis on the identification of motor difficulties in young children. It looks at the role of teachers in the process, their knowledge and training, and the effectiveness of observational and </w:t>
      </w:r>
      <w:r w:rsidR="00DA53C0">
        <w:rPr>
          <w:rFonts w:ascii="Calibri" w:hAnsi="Calibri" w:cs="Calibri"/>
          <w:color w:val="auto"/>
          <w:sz w:val="22"/>
          <w:szCs w:val="22"/>
        </w:rPr>
        <w:t>standardised</w:t>
      </w:r>
      <w:r w:rsidRPr="000352BE">
        <w:rPr>
          <w:rFonts w:ascii="Calibri" w:hAnsi="Calibri" w:cs="Calibri"/>
          <w:color w:val="auto"/>
          <w:sz w:val="22"/>
          <w:szCs w:val="22"/>
        </w:rPr>
        <w:t xml:space="preserve"> assessment approaches within EY. The chapter seeks to clarify the extent to which EYFS assessments can reliably identify motor difficulties and explores the potential benefits of integrating </w:t>
      </w:r>
      <w:r w:rsidR="00DA53C0">
        <w:rPr>
          <w:rFonts w:ascii="Calibri" w:hAnsi="Calibri" w:cs="Calibri"/>
          <w:color w:val="auto"/>
          <w:sz w:val="22"/>
          <w:szCs w:val="22"/>
        </w:rPr>
        <w:t>standardised</w:t>
      </w:r>
      <w:r w:rsidRPr="000352BE">
        <w:rPr>
          <w:rFonts w:ascii="Calibri" w:hAnsi="Calibri" w:cs="Calibri"/>
          <w:color w:val="auto"/>
          <w:sz w:val="22"/>
          <w:szCs w:val="22"/>
        </w:rPr>
        <w:t xml:space="preserve"> measures like the MABC-2 into early years practice to support targeted intervention and improved developmental outcomes. Teacher-led observations are influenced by teacher experience, training, and expectations (Sylva et al., 2003) and can vary in reliability.</w:t>
      </w:r>
      <w:r w:rsidR="005F1371">
        <w:rPr>
          <w:rFonts w:ascii="Calibri" w:hAnsi="Calibri" w:cs="Calibri"/>
          <w:color w:val="auto"/>
          <w:sz w:val="22"/>
          <w:szCs w:val="22"/>
        </w:rPr>
        <w:t xml:space="preserve"> </w:t>
      </w:r>
      <w:r w:rsidR="002F5B21" w:rsidRPr="002F5B21">
        <w:rPr>
          <w:rFonts w:ascii="Calibri" w:hAnsi="Calibri" w:cs="Calibri"/>
          <w:color w:val="auto"/>
          <w:sz w:val="22"/>
          <w:szCs w:val="22"/>
        </w:rPr>
        <w:t xml:space="preserve">This issue is </w:t>
      </w:r>
      <w:r w:rsidR="002F5B21">
        <w:rPr>
          <w:rFonts w:ascii="Calibri" w:hAnsi="Calibri" w:cs="Calibri"/>
          <w:color w:val="auto"/>
          <w:sz w:val="22"/>
          <w:szCs w:val="22"/>
        </w:rPr>
        <w:t>key</w:t>
      </w:r>
      <w:r w:rsidR="002F5B21" w:rsidRPr="002F5B21">
        <w:rPr>
          <w:rFonts w:ascii="Calibri" w:hAnsi="Calibri" w:cs="Calibri"/>
          <w:color w:val="auto"/>
          <w:sz w:val="22"/>
          <w:szCs w:val="22"/>
        </w:rPr>
        <w:t xml:space="preserve"> the current </w:t>
      </w:r>
      <w:r w:rsidR="002F5B21">
        <w:rPr>
          <w:rFonts w:ascii="Calibri" w:hAnsi="Calibri" w:cs="Calibri"/>
          <w:color w:val="auto"/>
          <w:sz w:val="22"/>
          <w:szCs w:val="22"/>
        </w:rPr>
        <w:t>research</w:t>
      </w:r>
      <w:r w:rsidR="002F5B21" w:rsidRPr="002F5B21">
        <w:rPr>
          <w:rFonts w:ascii="Calibri" w:hAnsi="Calibri" w:cs="Calibri"/>
          <w:color w:val="auto"/>
          <w:sz w:val="22"/>
          <w:szCs w:val="22"/>
        </w:rPr>
        <w:t>, which directly examines whether teacher-led EYFS observations are able to provide an accurate picture of children’s motor competence when compared against the standardised scores generated by the MABC-2</w:t>
      </w:r>
      <w:r w:rsidR="002F5B21">
        <w:rPr>
          <w:rFonts w:ascii="Calibri" w:hAnsi="Calibri" w:cs="Calibri"/>
          <w:color w:val="auto"/>
          <w:sz w:val="22"/>
          <w:szCs w:val="22"/>
        </w:rPr>
        <w:t xml:space="preserve">. </w:t>
      </w:r>
      <w:r w:rsidRPr="000352BE">
        <w:rPr>
          <w:rFonts w:ascii="Calibri" w:hAnsi="Calibri" w:cs="Calibri"/>
          <w:color w:val="auto"/>
          <w:sz w:val="22"/>
          <w:szCs w:val="22"/>
        </w:rPr>
        <w:t>In contrast, standardised assessments offer consistent, norm-referenced results that are able to identify subtle deficits in gross and fine motor skills (Henderson, Sugden &amp; Barnett, 2007).</w:t>
      </w:r>
    </w:p>
    <w:p w14:paraId="3D896D0F" w14:textId="7F8BAEC9" w:rsidR="002A7944" w:rsidRPr="00A97298" w:rsidRDefault="002A7944" w:rsidP="002A7944">
      <w:pPr>
        <w:spacing w:after="0" w:line="360" w:lineRule="auto"/>
        <w:jc w:val="both"/>
        <w:rPr>
          <w:rFonts w:ascii="Calibri" w:hAnsi="Calibri" w:cs="Calibri"/>
          <w:color w:val="auto"/>
          <w:sz w:val="22"/>
          <w:szCs w:val="22"/>
        </w:rPr>
      </w:pPr>
      <w:r w:rsidRPr="000352BE">
        <w:rPr>
          <w:rFonts w:ascii="Calibri" w:hAnsi="Calibri" w:cs="Calibri"/>
          <w:color w:val="auto"/>
          <w:sz w:val="22"/>
          <w:szCs w:val="22"/>
        </w:rPr>
        <w:t xml:space="preserve">The Early Years Foundation Stage Framework (EYFSF) is the statutory basis for assessment in England, covering children from birth to five years. It sets out a curriculum and assessment process that includes 17 Early Learning Goals (ELGs), assessed through teacher-led observations and </w:t>
      </w:r>
      <w:r w:rsidR="00E7018F">
        <w:rPr>
          <w:rFonts w:ascii="Calibri" w:hAnsi="Calibri" w:cs="Calibri"/>
          <w:color w:val="auto"/>
          <w:sz w:val="22"/>
          <w:szCs w:val="22"/>
        </w:rPr>
        <w:t xml:space="preserve">are </w:t>
      </w:r>
      <w:r w:rsidRPr="000352BE">
        <w:rPr>
          <w:rFonts w:ascii="Calibri" w:hAnsi="Calibri" w:cs="Calibri"/>
          <w:color w:val="auto"/>
          <w:sz w:val="22"/>
          <w:szCs w:val="22"/>
        </w:rPr>
        <w:t>designed to offer an overview of children’s development during their time in EY (DfE, 2021). Performance in EYFS is graded across the ELGs as “Emerging,” “Expected,” or “Exceeding.” (</w:t>
      </w:r>
      <w:r w:rsidR="00E7018F">
        <w:rPr>
          <w:rFonts w:ascii="Calibri" w:hAnsi="Calibri" w:cs="Calibri"/>
          <w:color w:val="auto"/>
          <w:sz w:val="22"/>
          <w:szCs w:val="22"/>
        </w:rPr>
        <w:t>DfE</w:t>
      </w:r>
      <w:r w:rsidRPr="000352BE">
        <w:rPr>
          <w:rFonts w:ascii="Calibri" w:hAnsi="Calibri" w:cs="Calibri"/>
          <w:color w:val="auto"/>
          <w:sz w:val="22"/>
          <w:szCs w:val="22"/>
        </w:rPr>
        <w:t>, 2021). One strength of this approach is its emphasis on the child’s day-to-day functioning. Teacher-led assessments can provide an insight into how children use motor skills in real contexts, supporting the EYFS’s holistic educational philosophy (NFER, 2025).</w:t>
      </w:r>
      <w:r w:rsidR="00F10978">
        <w:rPr>
          <w:rFonts w:ascii="Calibri" w:hAnsi="Calibri" w:cs="Calibri"/>
          <w:color w:val="auto"/>
          <w:sz w:val="22"/>
          <w:szCs w:val="22"/>
        </w:rPr>
        <w:t xml:space="preserve"> </w:t>
      </w:r>
      <w:r w:rsidR="00F10978" w:rsidRPr="00F10978">
        <w:rPr>
          <w:rFonts w:ascii="Calibri" w:hAnsi="Calibri" w:cs="Calibri"/>
          <w:color w:val="auto"/>
          <w:sz w:val="22"/>
          <w:szCs w:val="22"/>
        </w:rPr>
        <w:t>This study uses the EYFS PD data as a teacher-led record of children’s daily functioning and compares it with MABC-2 outcomes, thereby evaluating how well these everyday observations correspond with more structured, standardised measurement.</w:t>
      </w:r>
      <w:r w:rsidR="00A97298">
        <w:rPr>
          <w:rFonts w:ascii="Calibri" w:hAnsi="Calibri" w:cs="Calibri"/>
          <w:color w:val="auto"/>
          <w:sz w:val="22"/>
          <w:szCs w:val="22"/>
        </w:rPr>
        <w:t xml:space="preserve"> </w:t>
      </w:r>
      <w:r w:rsidRPr="000352BE">
        <w:rPr>
          <w:rFonts w:ascii="Calibri" w:hAnsi="Calibri" w:cs="Calibri"/>
          <w:color w:val="auto"/>
          <w:sz w:val="22"/>
          <w:szCs w:val="22"/>
        </w:rPr>
        <w:t>A Good Level of Development (GLD) is achieved when children meet or exceed expectations in all of the ELGs. The</w:t>
      </w:r>
      <w:r w:rsidR="00A97298">
        <w:rPr>
          <w:rFonts w:ascii="Calibri" w:hAnsi="Calibri" w:cs="Calibri"/>
          <w:color w:val="auto"/>
          <w:sz w:val="22"/>
          <w:szCs w:val="22"/>
        </w:rPr>
        <w:t xml:space="preserve"> f</w:t>
      </w:r>
      <w:r w:rsidRPr="000352BE">
        <w:rPr>
          <w:rFonts w:ascii="Calibri" w:hAnsi="Calibri" w:cs="Calibri"/>
          <w:color w:val="auto"/>
          <w:sz w:val="22"/>
          <w:szCs w:val="22"/>
        </w:rPr>
        <w:t xml:space="preserve">indings from the </w:t>
      </w:r>
      <w:r w:rsidR="00193127">
        <w:rPr>
          <w:rFonts w:ascii="Calibri" w:hAnsi="Calibri" w:cs="Calibri"/>
          <w:color w:val="auto"/>
          <w:sz w:val="22"/>
          <w:szCs w:val="22"/>
        </w:rPr>
        <w:t>DfE</w:t>
      </w:r>
      <w:r w:rsidRPr="000352BE">
        <w:rPr>
          <w:rFonts w:ascii="Calibri" w:hAnsi="Calibri" w:cs="Calibri"/>
          <w:color w:val="auto"/>
          <w:sz w:val="22"/>
          <w:szCs w:val="22"/>
        </w:rPr>
        <w:t xml:space="preserve"> (2023) indicate continuous improvements in GLD attainment over recent years, with approximately 67.7% of children achieving GLD in 2023/24. Within this, </w:t>
      </w:r>
      <w:r w:rsidR="00193127">
        <w:rPr>
          <w:rFonts w:ascii="Calibri" w:hAnsi="Calibri" w:cs="Calibri"/>
          <w:color w:val="auto"/>
          <w:sz w:val="22"/>
          <w:szCs w:val="22"/>
        </w:rPr>
        <w:t>PD</w:t>
      </w:r>
      <w:r w:rsidRPr="000352BE">
        <w:rPr>
          <w:rFonts w:ascii="Calibri" w:hAnsi="Calibri" w:cs="Calibri"/>
          <w:color w:val="auto"/>
          <w:sz w:val="22"/>
          <w:szCs w:val="22"/>
        </w:rPr>
        <w:t xml:space="preserve"> has consistently been one of the strongest areas of achievement, with over 85% of children meeting or exceeding expected milestones. However, reliance on teacher observations, introduces potential variability due to teacher experience, observational opportunities, and their interpretation of motor milestones and the ability to detect delays in development in each child (Burton &amp; Miller, 1998)</w:t>
      </w:r>
    </w:p>
    <w:p w14:paraId="5C29A134" w14:textId="7652653C" w:rsidR="002A7944" w:rsidRPr="000352BE" w:rsidRDefault="00193127" w:rsidP="002A7944">
      <w:pPr>
        <w:spacing w:line="360" w:lineRule="auto"/>
        <w:jc w:val="both"/>
        <w:rPr>
          <w:rFonts w:ascii="Calibri" w:hAnsi="Calibri" w:cs="Calibri"/>
          <w:color w:val="auto"/>
          <w:sz w:val="22"/>
          <w:szCs w:val="22"/>
        </w:rPr>
      </w:pPr>
      <w:r>
        <w:rPr>
          <w:rFonts w:ascii="Calibri" w:hAnsi="Calibri" w:cs="Calibri"/>
          <w:color w:val="auto"/>
          <w:sz w:val="22"/>
          <w:szCs w:val="22"/>
        </w:rPr>
        <w:t>PD</w:t>
      </w:r>
      <w:r w:rsidR="002A7944" w:rsidRPr="000352BE">
        <w:rPr>
          <w:rFonts w:ascii="Calibri" w:hAnsi="Calibri" w:cs="Calibri"/>
          <w:color w:val="auto"/>
          <w:sz w:val="22"/>
          <w:szCs w:val="22"/>
        </w:rPr>
        <w:t xml:space="preserve"> is identified as a </w:t>
      </w:r>
      <w:r>
        <w:rPr>
          <w:rFonts w:ascii="Calibri" w:hAnsi="Calibri" w:cs="Calibri"/>
          <w:color w:val="auto"/>
          <w:sz w:val="22"/>
          <w:szCs w:val="22"/>
        </w:rPr>
        <w:t>p</w:t>
      </w:r>
      <w:r w:rsidR="002A7944" w:rsidRPr="000352BE">
        <w:rPr>
          <w:rFonts w:ascii="Calibri" w:hAnsi="Calibri" w:cs="Calibri"/>
          <w:color w:val="auto"/>
          <w:sz w:val="22"/>
          <w:szCs w:val="22"/>
        </w:rPr>
        <w:t xml:space="preserve">rime </w:t>
      </w:r>
      <w:r>
        <w:rPr>
          <w:rFonts w:ascii="Calibri" w:hAnsi="Calibri" w:cs="Calibri"/>
          <w:color w:val="auto"/>
          <w:sz w:val="22"/>
          <w:szCs w:val="22"/>
        </w:rPr>
        <w:t>a</w:t>
      </w:r>
      <w:r w:rsidR="002A7944" w:rsidRPr="000352BE">
        <w:rPr>
          <w:rFonts w:ascii="Calibri" w:hAnsi="Calibri" w:cs="Calibri"/>
          <w:color w:val="auto"/>
          <w:sz w:val="22"/>
          <w:szCs w:val="22"/>
        </w:rPr>
        <w:t xml:space="preserve">rea of </w:t>
      </w:r>
      <w:r>
        <w:rPr>
          <w:rFonts w:ascii="Calibri" w:hAnsi="Calibri" w:cs="Calibri"/>
          <w:color w:val="auto"/>
          <w:sz w:val="22"/>
          <w:szCs w:val="22"/>
        </w:rPr>
        <w:t>l</w:t>
      </w:r>
      <w:r w:rsidR="002A7944" w:rsidRPr="000352BE">
        <w:rPr>
          <w:rFonts w:ascii="Calibri" w:hAnsi="Calibri" w:cs="Calibri"/>
          <w:color w:val="auto"/>
          <w:sz w:val="22"/>
          <w:szCs w:val="22"/>
        </w:rPr>
        <w:t xml:space="preserve">earning in EY, as it </w:t>
      </w:r>
      <w:r w:rsidR="0013206E">
        <w:rPr>
          <w:rFonts w:ascii="Calibri" w:hAnsi="Calibri" w:cs="Calibri"/>
          <w:color w:val="auto"/>
          <w:sz w:val="22"/>
          <w:szCs w:val="22"/>
        </w:rPr>
        <w:t xml:space="preserve">is </w:t>
      </w:r>
      <w:r w:rsidR="002A7944" w:rsidRPr="000352BE">
        <w:rPr>
          <w:rFonts w:ascii="Calibri" w:hAnsi="Calibri" w:cs="Calibri"/>
          <w:color w:val="auto"/>
          <w:sz w:val="22"/>
          <w:szCs w:val="22"/>
        </w:rPr>
        <w:t>the basis from where other areas of learning are built (Early Education, 2012). It is subdivided into two subcategories, gross motor skills (GMS), which include large movements such as running, jumping, and climbing, and fine motor skills (FMS), which involve smaller, precise actions such as holding a pencil or using scissors. EYFS teachers are tasked with observing children in a variety of everyday tasks to monitor progression towards ELGs by the end of the reception year (</w:t>
      </w:r>
      <w:r w:rsidR="0013206E">
        <w:rPr>
          <w:rFonts w:ascii="Calibri" w:hAnsi="Calibri" w:cs="Calibri"/>
          <w:color w:val="auto"/>
          <w:sz w:val="22"/>
          <w:szCs w:val="22"/>
        </w:rPr>
        <w:t>DfE</w:t>
      </w:r>
      <w:r w:rsidR="002A7944" w:rsidRPr="000352BE">
        <w:rPr>
          <w:rFonts w:ascii="Calibri" w:hAnsi="Calibri" w:cs="Calibri"/>
          <w:color w:val="auto"/>
          <w:sz w:val="22"/>
          <w:szCs w:val="22"/>
        </w:rPr>
        <w:t xml:space="preserve">, 2021). These are essential not only for movement and physical health but also for cognitive, social, and school readiness (Piek et al., 2008) as they play a central role in shaping the way a child engages with the broader curriculum (DfE, 2021). Physical development in early childhood involves providing opportunities to be active, helping develop coordination, control, and movement skills. It is equally important to support the understanding of physical activity and making healthy food choices (DfE, 2008). Stodden et al., (2008) highlights the importance of PD within EYFS by outlining how it underpins children’s ability to access all areas of learning </w:t>
      </w:r>
      <w:r w:rsidR="002A7944" w:rsidRPr="000352BE">
        <w:rPr>
          <w:rFonts w:ascii="Calibri" w:hAnsi="Calibri" w:cs="Calibri"/>
          <w:color w:val="auto"/>
          <w:sz w:val="22"/>
          <w:szCs w:val="22"/>
        </w:rPr>
        <w:lastRenderedPageBreak/>
        <w:t>and daily life. They go on to suggest that developing core strength, balance, and coordination not only supports participation in physical activity but also contributes to FMS, which in turn supports a better achievement in academic tasks such as writing and using small apparatus.</w:t>
      </w:r>
    </w:p>
    <w:p w14:paraId="3BB1DBE8" w14:textId="0BC4EBF8" w:rsidR="002A7944" w:rsidRPr="000352BE" w:rsidRDefault="002A7944" w:rsidP="002A7944">
      <w:pPr>
        <w:spacing w:line="360" w:lineRule="auto"/>
        <w:jc w:val="both"/>
        <w:rPr>
          <w:rFonts w:ascii="Calibri" w:hAnsi="Calibri" w:cs="Calibri"/>
          <w:color w:val="auto"/>
          <w:sz w:val="22"/>
          <w:szCs w:val="22"/>
        </w:rPr>
      </w:pPr>
      <w:r w:rsidRPr="000352BE">
        <w:rPr>
          <w:rFonts w:ascii="Calibri" w:hAnsi="Calibri" w:cs="Calibri"/>
          <w:color w:val="auto"/>
          <w:sz w:val="22"/>
          <w:szCs w:val="22"/>
        </w:rPr>
        <w:t xml:space="preserve">Duncombe (2019) stresses that EYFS settings, in particular teachers and Senior Leaders must accurately identify the specific PD needs of young children but Conkbayir (2017) points out that a lack of knowledge and understanding within the EY creates barriers to supporting them. This is often due to unclear or inconsistent guidance. The EYFSF and Development Matters aim to define what it means to be physically ready for school, particularly in terms of movement and handling skills. However, research suggests many children still lack FMS, which asks whether the children are truly ‘school ready’. Duncombe (2019) critique the EYFS statutory framework (2008) for not fully explaining what good physical development looks like or how teachers can assess and develop it effectively. Development Matters (2023) provides a more detailed guidance but still allowing for interpretation by individual settings and teachers. While this allows the teachers autonomy, it also results in inconsistency across settings, with significant variability in how physical development outcomes are prioritised, assessed, and supported in practice (Cottle &amp; Alexander, 2012). Teachers within the EYFS must deliver developmentally appropriate multi-skill instruction that lays the groundwork for children’s future participation in physical activities (Ignico, 1994), to do this effectively, teachers need an understanding of how physical skills develop, and make sure movement (GMS) and manipulative (FMS) tasks are suitable and achievable for each child. Mooney et </w:t>
      </w:r>
      <w:proofErr w:type="gramStart"/>
      <w:r w:rsidRPr="000352BE">
        <w:rPr>
          <w:rFonts w:ascii="Calibri" w:hAnsi="Calibri" w:cs="Calibri"/>
          <w:color w:val="auto"/>
          <w:sz w:val="22"/>
          <w:szCs w:val="22"/>
        </w:rPr>
        <w:t>al,.</w:t>
      </w:r>
      <w:proofErr w:type="gramEnd"/>
      <w:r w:rsidRPr="000352BE">
        <w:rPr>
          <w:rFonts w:ascii="Calibri" w:hAnsi="Calibri" w:cs="Calibri"/>
          <w:color w:val="auto"/>
          <w:sz w:val="22"/>
          <w:szCs w:val="22"/>
        </w:rPr>
        <w:t xml:space="preserve"> (2025) suggest the subjectivity of teacher led observations, including experience, training, personal expectations, and workload, impact the accuracy of teacher assessments which can vary depending on teacher experience, bias, and the quality of training received (Sylva et al., 2004).</w:t>
      </w:r>
      <w:r w:rsidR="00CB33F0">
        <w:rPr>
          <w:rFonts w:ascii="Calibri" w:hAnsi="Calibri" w:cs="Calibri"/>
          <w:color w:val="auto"/>
          <w:sz w:val="22"/>
          <w:szCs w:val="22"/>
        </w:rPr>
        <w:t xml:space="preserve"> </w:t>
      </w:r>
      <w:r w:rsidRPr="000352BE">
        <w:rPr>
          <w:rFonts w:ascii="Calibri" w:hAnsi="Calibri" w:cs="Calibri"/>
          <w:color w:val="auto"/>
          <w:sz w:val="22"/>
          <w:szCs w:val="22"/>
        </w:rPr>
        <w:t xml:space="preserve">Teachers, unless they have specific PE specialism, will have encountered often limited training on the teaching of PE in their initial training and there is little evidence of effective professional development in PE once training is complete (Duncombe &amp; Armour, 2003; Kirk, 2005). A study by Sheridan et al., (2009) found that early year’s </w:t>
      </w:r>
      <w:r w:rsidR="0013206E">
        <w:rPr>
          <w:rFonts w:ascii="Calibri" w:hAnsi="Calibri" w:cs="Calibri"/>
          <w:color w:val="auto"/>
          <w:sz w:val="22"/>
          <w:szCs w:val="22"/>
        </w:rPr>
        <w:t>teachers</w:t>
      </w:r>
      <w:r w:rsidRPr="000352BE">
        <w:rPr>
          <w:rFonts w:ascii="Calibri" w:hAnsi="Calibri" w:cs="Calibri"/>
          <w:color w:val="auto"/>
          <w:sz w:val="22"/>
          <w:szCs w:val="22"/>
        </w:rPr>
        <w:t xml:space="preserve"> with limited training tended to fall back on more ‘formal’ methods of teaching as they lacked confidence</w:t>
      </w:r>
      <w:r w:rsidRPr="000352BE">
        <w:rPr>
          <w:rFonts w:ascii="Calibri" w:hAnsi="Calibri" w:cs="Calibri"/>
          <w:sz w:val="22"/>
          <w:szCs w:val="22"/>
        </w:rPr>
        <w:t>.</w:t>
      </w:r>
      <w:r w:rsidRPr="000352BE">
        <w:rPr>
          <w:rFonts w:ascii="Calibri" w:hAnsi="Calibri" w:cs="Calibri"/>
          <w:color w:val="auto"/>
          <w:sz w:val="22"/>
          <w:szCs w:val="22"/>
        </w:rPr>
        <w:t xml:space="preserve"> Pot and van Hilvoorde (2014) highlight how children develop their fundamental movement skills (FMS) through natural play, but they often don’t fully grasp the more complex movements on their own. This suggests that these skills need to be taught more directly, with clear guidance to help children master the advanced movements. Developing PD effectively takes a mix of teaching, demonstration, and plenty of practice (Goodway, Ozmun, &amp; Gallahue, 2012).</w:t>
      </w:r>
    </w:p>
    <w:p w14:paraId="314E18D1" w14:textId="547D5DCE" w:rsidR="002A7944" w:rsidRPr="000352BE" w:rsidRDefault="002A7944" w:rsidP="002A7944">
      <w:pPr>
        <w:spacing w:line="360" w:lineRule="auto"/>
        <w:jc w:val="both"/>
        <w:rPr>
          <w:rFonts w:ascii="Calibri" w:hAnsi="Calibri" w:cs="Calibri"/>
          <w:color w:val="auto"/>
          <w:sz w:val="22"/>
          <w:szCs w:val="22"/>
        </w:rPr>
      </w:pPr>
      <w:r w:rsidRPr="000352BE">
        <w:rPr>
          <w:rFonts w:ascii="Calibri" w:hAnsi="Calibri" w:cs="Calibri"/>
          <w:color w:val="auto"/>
          <w:sz w:val="22"/>
          <w:szCs w:val="22"/>
        </w:rPr>
        <w:t xml:space="preserve"> Burton and Miller (1998) emphasize that FMS delays, in particular those related to pencil grip or hand-eye coordination can be easily overlooked unless children are performing tasks under close scrutiny. This aligns with Piek et al. (2008), who argue that GMS like running or jumping are more visible and are more likely to be assessed accurately in everyday classroom settings. Whilst observational assessments provide valuable insight into children’s everyday functioning, there is increasing concern regarding their ability to detect subtle motor coordination difficulties (Eddy et al., 2020). </w:t>
      </w:r>
      <w:r w:rsidR="00F8429D" w:rsidRPr="00F8429D">
        <w:rPr>
          <w:rFonts w:ascii="Calibri" w:hAnsi="Calibri" w:cs="Calibri"/>
          <w:color w:val="auto"/>
          <w:sz w:val="22"/>
          <w:szCs w:val="22"/>
        </w:rPr>
        <w:t xml:space="preserve">The present study is designed to test this very issue, by comparing the ability of EYFS teacher-led </w:t>
      </w:r>
      <w:r w:rsidR="00A65EA8">
        <w:rPr>
          <w:rFonts w:ascii="Calibri" w:hAnsi="Calibri" w:cs="Calibri"/>
          <w:color w:val="auto"/>
          <w:sz w:val="22"/>
          <w:szCs w:val="22"/>
        </w:rPr>
        <w:t>observations</w:t>
      </w:r>
      <w:r w:rsidR="00F8429D" w:rsidRPr="00F8429D">
        <w:rPr>
          <w:rFonts w:ascii="Calibri" w:hAnsi="Calibri" w:cs="Calibri"/>
          <w:color w:val="auto"/>
          <w:sz w:val="22"/>
          <w:szCs w:val="22"/>
        </w:rPr>
        <w:t xml:space="preserve"> to identify subtle difficulties against the sensitivity of the MABC-2, which has been developed specifically to highlight such deficits.</w:t>
      </w:r>
      <w:r w:rsidR="00F8429D">
        <w:rPr>
          <w:rFonts w:ascii="Calibri" w:hAnsi="Calibri" w:cs="Calibri"/>
          <w:color w:val="auto"/>
          <w:sz w:val="22"/>
          <w:szCs w:val="22"/>
        </w:rPr>
        <w:t xml:space="preserve"> </w:t>
      </w:r>
      <w:r w:rsidR="00DA53C0">
        <w:rPr>
          <w:rFonts w:ascii="Calibri" w:hAnsi="Calibri" w:cs="Calibri"/>
          <w:color w:val="auto"/>
          <w:sz w:val="22"/>
          <w:szCs w:val="22"/>
        </w:rPr>
        <w:t>Standardised</w:t>
      </w:r>
      <w:r w:rsidRPr="000352BE">
        <w:rPr>
          <w:rFonts w:ascii="Calibri" w:hAnsi="Calibri" w:cs="Calibri"/>
          <w:color w:val="auto"/>
          <w:sz w:val="22"/>
          <w:szCs w:val="22"/>
        </w:rPr>
        <w:t xml:space="preserve"> tools, such as the MABC-2, offer norm-referenced, objective measurements of motor skills and are widely used to identify children at risk of developmental coordination disorder (DCD) or other motor impairments (Henderson, Sugden &amp; Barnett, 2007). </w:t>
      </w:r>
    </w:p>
    <w:p w14:paraId="4C1CC4D8" w14:textId="58519164" w:rsidR="002A7944" w:rsidRPr="000352BE" w:rsidRDefault="002A7944" w:rsidP="002A7944">
      <w:pPr>
        <w:spacing w:line="360" w:lineRule="auto"/>
        <w:jc w:val="both"/>
        <w:rPr>
          <w:rFonts w:ascii="Calibri" w:hAnsi="Calibri" w:cs="Calibri"/>
          <w:color w:val="auto"/>
          <w:sz w:val="22"/>
          <w:szCs w:val="22"/>
        </w:rPr>
      </w:pPr>
      <w:r w:rsidRPr="000352BE">
        <w:rPr>
          <w:rFonts w:ascii="Calibri" w:hAnsi="Calibri" w:cs="Calibri"/>
          <w:color w:val="auto"/>
          <w:sz w:val="22"/>
          <w:szCs w:val="22"/>
        </w:rPr>
        <w:lastRenderedPageBreak/>
        <w:t xml:space="preserve">The MABC-2 is among the most widely accepted and validated </w:t>
      </w:r>
      <w:r w:rsidR="00DA53C0">
        <w:rPr>
          <w:rFonts w:ascii="Calibri" w:hAnsi="Calibri" w:cs="Calibri"/>
          <w:color w:val="auto"/>
          <w:sz w:val="22"/>
          <w:szCs w:val="22"/>
        </w:rPr>
        <w:t>standardised</w:t>
      </w:r>
      <w:r w:rsidRPr="000352BE">
        <w:rPr>
          <w:rFonts w:ascii="Calibri" w:hAnsi="Calibri" w:cs="Calibri"/>
          <w:color w:val="auto"/>
          <w:sz w:val="22"/>
          <w:szCs w:val="22"/>
        </w:rPr>
        <w:t xml:space="preserve"> tools for assessing motor function in children aged between 3 and 16 years (Henderson, Sugden &amp; Barnett, 2007). The assessment is divided into three age bands (3–6 years, 7–10 years, and 11–16 years) and evaluates performance across three domains: Manual Dexterity, Aiming and Catching, and Balance. Each task is scored based on the child’s accuracy, time taken, and execution quality, and results are converted into standardised scores, and percentile ranks. Children performing below the 15th percentile are typically identified as having motor difficulties, while those below the 5th percentile are flagged for significant concern. (Henderson, Sugden &amp; Barnett, 2007). The norm-referenced scores enable teachers to identify children who exhibit significant motor difficulties or more general motor skill delays (Wilson et al., 2009) and has been used across both clinical and educational settings to identify problems in children aged 3 to 16 years. </w:t>
      </w:r>
      <w:r w:rsidR="002D215A">
        <w:rPr>
          <w:rFonts w:ascii="Calibri" w:hAnsi="Calibri" w:cs="Calibri"/>
          <w:color w:val="auto"/>
          <w:sz w:val="22"/>
          <w:szCs w:val="22"/>
        </w:rPr>
        <w:t>For this research, t</w:t>
      </w:r>
      <w:r w:rsidR="002A7D62" w:rsidRPr="002A7D62">
        <w:rPr>
          <w:rFonts w:ascii="Calibri" w:hAnsi="Calibri" w:cs="Calibri"/>
          <w:color w:val="auto"/>
          <w:sz w:val="22"/>
          <w:szCs w:val="22"/>
        </w:rPr>
        <w:t>he MABC-2 serves as the benchmark tool against which EYFS assessments are compared, allowing an evidence-based analysis of whether teachers’ observational judgements can be considered reliable in relation to a standard reference.</w:t>
      </w:r>
      <w:r w:rsidR="00CB33F0">
        <w:rPr>
          <w:rFonts w:ascii="Calibri" w:hAnsi="Calibri" w:cs="Calibri"/>
          <w:color w:val="auto"/>
          <w:sz w:val="22"/>
          <w:szCs w:val="22"/>
        </w:rPr>
        <w:t xml:space="preserve"> </w:t>
      </w:r>
      <w:r w:rsidRPr="000352BE">
        <w:rPr>
          <w:rFonts w:ascii="Calibri" w:hAnsi="Calibri" w:cs="Calibri"/>
          <w:color w:val="auto"/>
          <w:sz w:val="22"/>
          <w:szCs w:val="22"/>
        </w:rPr>
        <w:t>Standardised tests, have many advantages compared to observational assessments, such as</w:t>
      </w:r>
      <w:r w:rsidR="004A63C0">
        <w:rPr>
          <w:rFonts w:ascii="Calibri" w:hAnsi="Calibri" w:cs="Calibri"/>
          <w:color w:val="auto"/>
          <w:sz w:val="22"/>
          <w:szCs w:val="22"/>
        </w:rPr>
        <w:t xml:space="preserve"> the</w:t>
      </w:r>
      <w:r w:rsidRPr="000352BE">
        <w:rPr>
          <w:rFonts w:ascii="Calibri" w:hAnsi="Calibri" w:cs="Calibri"/>
          <w:color w:val="auto"/>
          <w:sz w:val="22"/>
          <w:szCs w:val="22"/>
        </w:rPr>
        <w:t xml:space="preserve"> administration of these tests are structured and uniform with specific protocols to follow which allows consistency across settings (Lingam et al., 2009). Another advantage is that there is a large dataset available to allow for precise benchmarking of each child’s performance, which is set against age-appropriate researched data (Blank et al., 2012). Despite having many advantages, it also presents limitations, the testing can be time-consuming, often requiring a trained professional with specific expertise in motor assessment, which </w:t>
      </w:r>
      <w:r w:rsidR="004A63C0">
        <w:rPr>
          <w:rFonts w:ascii="Calibri" w:hAnsi="Calibri" w:cs="Calibri"/>
          <w:color w:val="auto"/>
          <w:sz w:val="22"/>
          <w:szCs w:val="22"/>
        </w:rPr>
        <w:t>c</w:t>
      </w:r>
      <w:r w:rsidRPr="000352BE">
        <w:rPr>
          <w:rFonts w:ascii="Calibri" w:hAnsi="Calibri" w:cs="Calibri"/>
          <w:color w:val="auto"/>
          <w:sz w:val="22"/>
          <w:szCs w:val="22"/>
        </w:rPr>
        <w:t xml:space="preserve">ould limit its use in a EYFS setting (Wilson et al., 2013). </w:t>
      </w:r>
    </w:p>
    <w:p w14:paraId="6C6AA102" w14:textId="5230E90E" w:rsidR="002A7944" w:rsidRPr="000352BE" w:rsidRDefault="002A7944" w:rsidP="002A7944">
      <w:pPr>
        <w:spacing w:line="360" w:lineRule="auto"/>
        <w:jc w:val="both"/>
        <w:rPr>
          <w:rFonts w:ascii="Calibri" w:hAnsi="Calibri" w:cs="Calibri"/>
          <w:color w:val="auto"/>
          <w:sz w:val="22"/>
          <w:szCs w:val="22"/>
        </w:rPr>
      </w:pPr>
      <w:r w:rsidRPr="000352BE">
        <w:rPr>
          <w:rFonts w:ascii="Calibri" w:hAnsi="Calibri" w:cs="Calibri"/>
          <w:color w:val="auto"/>
          <w:sz w:val="22"/>
          <w:szCs w:val="22"/>
        </w:rPr>
        <w:t xml:space="preserve">Research comparing observational and standardised assessments of motor competence highlights notable limitations in relying solely on teacher-led observations. Studies have shown that observational tools, such as the EYFS Physical Development assessments, may not always capture children at risk of motor difficulties, whereas standardised assessments like the MABC-2 provide a more objective measure of ability (Barnett et al., 2016). </w:t>
      </w:r>
      <w:r w:rsidR="006317D7" w:rsidRPr="006317D7">
        <w:rPr>
          <w:rFonts w:ascii="Calibri" w:hAnsi="Calibri" w:cs="Calibri"/>
          <w:color w:val="auto"/>
          <w:sz w:val="22"/>
          <w:szCs w:val="22"/>
        </w:rPr>
        <w:t>This provides the direct reasoning for the current research, which explores the degree of agreement and discrepancy between teacher-led EYFS assessments and MABC-2 results, offering insight into the accuracy of current statutory practices.</w:t>
      </w:r>
    </w:p>
    <w:p w14:paraId="51AFAB0F" w14:textId="77777777" w:rsidR="002A7944" w:rsidRPr="000352BE" w:rsidRDefault="002A7944" w:rsidP="002A7944">
      <w:pPr>
        <w:spacing w:line="360" w:lineRule="auto"/>
        <w:jc w:val="both"/>
        <w:rPr>
          <w:rFonts w:ascii="Calibri" w:hAnsi="Calibri" w:cs="Calibri"/>
          <w:color w:val="auto"/>
          <w:sz w:val="22"/>
          <w:szCs w:val="22"/>
        </w:rPr>
      </w:pPr>
      <w:r w:rsidRPr="000352BE">
        <w:rPr>
          <w:rFonts w:ascii="Calibri" w:hAnsi="Calibri" w:cs="Calibri"/>
          <w:color w:val="auto"/>
          <w:sz w:val="22"/>
          <w:szCs w:val="22"/>
        </w:rPr>
        <w:t xml:space="preserve">Gender-based differences in early motor development have been widely documented in research and is an area in which teachers need to have an understanding when preparing the classroom. Girls tend to outperform boys in FMS tasks such as threading, cutting, or handwriting, while boys often excel in GMS involving tasks requiring strength, object control, and aiming (Else-Quest et al., 2006). For instance, a study by Livesey et al. (2017) found that 4-year-old girls outperformed boys in manual dexterity and balance tasks, while no significant differences were observed in aiming and catching skills. However, by age of 6, these differences diminished, with boys outperforming girls in aiming and catching tasks. Boys generally demonstrate a greater skill level in object-control skills, including throwing, kicking, and striking where an analysis by Zheng et al. (2022) reported that boys had higher proficiency in object-control skills than girls, with the gender gap widening with age. These differences are influenced by a combination of maturation, play preferences, and environmental factors such as encouragement and practice opportunities (Piek, Baynam and Barrett, 2006). Boys are generally encouraged to participate in more vigorous, ball-based activities, whereas girls are more likely to engage in tasks that develop precision and coordination (Zheng et al., 2022). Understanding these gender differences is needed to make sure that the EYFS settings are adequately set up with interventions to address specific needs to bridge the gap in motor skill development, ensuring that all children have equal opportunities to develop their full potential. Engelsman et, al., </w:t>
      </w:r>
      <w:r w:rsidRPr="000352BE">
        <w:rPr>
          <w:rFonts w:ascii="Calibri" w:hAnsi="Calibri" w:cs="Calibri"/>
          <w:color w:val="auto"/>
          <w:sz w:val="22"/>
          <w:szCs w:val="22"/>
        </w:rPr>
        <w:lastRenderedPageBreak/>
        <w:t>(2023) also highlighted that boys are less likely to engage in fine motor activities unless encouraged, while girls tend to participate more in crafts or quiet table-top play. This suggests that boys may be underprepared in fine motor domains by the time they reach KS1 unless teachers address this. Creating a physically enriching environment that appeals to all children is critical for ensuring balanced development across both FMS and GMS. (Haywood &amp; Getchell, 2018).</w:t>
      </w:r>
    </w:p>
    <w:p w14:paraId="5B42367D" w14:textId="77777777" w:rsidR="002A7944" w:rsidRPr="000352BE" w:rsidRDefault="002A7944" w:rsidP="002A7944">
      <w:pPr>
        <w:spacing w:after="0" w:line="360" w:lineRule="auto"/>
        <w:rPr>
          <w:rFonts w:ascii="Calibri" w:hAnsi="Calibri" w:cs="Calibri"/>
          <w:b/>
          <w:bCs/>
          <w:color w:val="auto"/>
          <w:sz w:val="22"/>
          <w:szCs w:val="22"/>
        </w:rPr>
      </w:pPr>
    </w:p>
    <w:p w14:paraId="163143A9" w14:textId="54C1EB76" w:rsidR="002A7944" w:rsidRPr="000352BE" w:rsidRDefault="002A7944" w:rsidP="002A7944">
      <w:pPr>
        <w:spacing w:after="0" w:line="360" w:lineRule="auto"/>
        <w:jc w:val="both"/>
        <w:rPr>
          <w:rFonts w:ascii="Calibri" w:hAnsi="Calibri" w:cs="Calibri"/>
          <w:color w:val="auto"/>
          <w:sz w:val="22"/>
          <w:szCs w:val="22"/>
        </w:rPr>
      </w:pPr>
      <w:r w:rsidRPr="000352BE">
        <w:rPr>
          <w:rFonts w:ascii="Calibri" w:hAnsi="Calibri" w:cs="Calibri"/>
          <w:color w:val="auto"/>
          <w:sz w:val="22"/>
          <w:szCs w:val="22"/>
        </w:rPr>
        <w:t xml:space="preserve">A significant challenge in EY assessment of PD is the knowledge and confidence of EYFS teachers. While teachers are highly skilled in observing social, cognitive, and emotional development, many have minimal training in </w:t>
      </w:r>
      <w:r w:rsidR="004A63C0">
        <w:rPr>
          <w:rFonts w:ascii="Calibri" w:hAnsi="Calibri" w:cs="Calibri"/>
          <w:color w:val="auto"/>
          <w:sz w:val="22"/>
          <w:szCs w:val="22"/>
        </w:rPr>
        <w:t>PD</w:t>
      </w:r>
      <w:r w:rsidRPr="000352BE">
        <w:rPr>
          <w:rFonts w:ascii="Calibri" w:hAnsi="Calibri" w:cs="Calibri"/>
          <w:color w:val="auto"/>
          <w:sz w:val="22"/>
          <w:szCs w:val="22"/>
        </w:rPr>
        <w:t xml:space="preserve"> (Piek et al., 2008). EYFS assessments rely heavily on teachers’ judg</w:t>
      </w:r>
      <w:r w:rsidR="001E4680">
        <w:rPr>
          <w:rFonts w:ascii="Calibri" w:hAnsi="Calibri" w:cs="Calibri"/>
          <w:color w:val="auto"/>
          <w:sz w:val="22"/>
          <w:szCs w:val="22"/>
        </w:rPr>
        <w:t>e</w:t>
      </w:r>
      <w:r w:rsidRPr="000352BE">
        <w:rPr>
          <w:rFonts w:ascii="Calibri" w:hAnsi="Calibri" w:cs="Calibri"/>
          <w:color w:val="auto"/>
          <w:sz w:val="22"/>
          <w:szCs w:val="22"/>
        </w:rPr>
        <w:t>ment and interpretation of developmental expectations, meaning that any minor issues with regards balance, coordination, or object-control may go unnoticed, particularly if they do not impact classroom participation or general behaviour. (Barnett et al., 2016).</w:t>
      </w:r>
    </w:p>
    <w:p w14:paraId="6848A02D" w14:textId="549BBF56" w:rsidR="002A7944" w:rsidRPr="000352BE" w:rsidRDefault="002A7944" w:rsidP="002A7944">
      <w:pPr>
        <w:spacing w:after="0" w:line="360" w:lineRule="auto"/>
        <w:jc w:val="both"/>
        <w:rPr>
          <w:rFonts w:ascii="Calibri" w:hAnsi="Calibri" w:cs="Calibri"/>
          <w:color w:val="auto"/>
          <w:sz w:val="22"/>
          <w:szCs w:val="22"/>
        </w:rPr>
      </w:pPr>
      <w:r w:rsidRPr="000352BE">
        <w:rPr>
          <w:rFonts w:ascii="Calibri" w:hAnsi="Calibri" w:cs="Calibri"/>
          <w:color w:val="auto"/>
          <w:sz w:val="22"/>
          <w:szCs w:val="22"/>
        </w:rPr>
        <w:t xml:space="preserve">Teacher confidence plays a crucial role in the accuracy of PD assessment, as low confidence can limit the effectiveness of observations and lead to inconsistent judgements. </w:t>
      </w:r>
      <w:r w:rsidR="0053601A" w:rsidRPr="0053601A">
        <w:rPr>
          <w:rFonts w:ascii="Calibri" w:hAnsi="Calibri" w:cs="Calibri"/>
          <w:color w:val="auto"/>
          <w:sz w:val="22"/>
          <w:szCs w:val="22"/>
        </w:rPr>
        <w:t>By comparing EYFS outcomes with MABC-2 data, this study will also highlight potential areas where gaps in teacher confidence or training may contribute to inconsistencies,</w:t>
      </w:r>
      <w:r w:rsidR="0053601A">
        <w:rPr>
          <w:rFonts w:ascii="Calibri" w:hAnsi="Calibri" w:cs="Calibri"/>
          <w:color w:val="auto"/>
          <w:sz w:val="22"/>
          <w:szCs w:val="22"/>
        </w:rPr>
        <w:t xml:space="preserve"> </w:t>
      </w:r>
      <w:r w:rsidR="0053601A" w:rsidRPr="0053601A">
        <w:rPr>
          <w:rFonts w:ascii="Calibri" w:hAnsi="Calibri" w:cs="Calibri"/>
          <w:color w:val="auto"/>
          <w:sz w:val="22"/>
          <w:szCs w:val="22"/>
        </w:rPr>
        <w:t>providing an evidence base for strengthening professional development in the assessment of motor skills.</w:t>
      </w:r>
      <w:r w:rsidR="0053601A">
        <w:rPr>
          <w:rFonts w:ascii="Calibri" w:hAnsi="Calibri" w:cs="Calibri"/>
          <w:color w:val="auto"/>
          <w:sz w:val="22"/>
          <w:szCs w:val="22"/>
        </w:rPr>
        <w:t xml:space="preserve"> </w:t>
      </w:r>
      <w:r w:rsidRPr="000352BE">
        <w:rPr>
          <w:rFonts w:ascii="Calibri" w:hAnsi="Calibri" w:cs="Calibri"/>
          <w:color w:val="auto"/>
          <w:sz w:val="22"/>
          <w:szCs w:val="22"/>
        </w:rPr>
        <w:t>Evidence suggests that professional development can address th</w:t>
      </w:r>
      <w:r w:rsidR="0053601A">
        <w:rPr>
          <w:rFonts w:ascii="Calibri" w:hAnsi="Calibri" w:cs="Calibri"/>
          <w:color w:val="auto"/>
          <w:sz w:val="22"/>
          <w:szCs w:val="22"/>
        </w:rPr>
        <w:t>e</w:t>
      </w:r>
      <w:r w:rsidRPr="000352BE">
        <w:rPr>
          <w:rFonts w:ascii="Calibri" w:hAnsi="Calibri" w:cs="Calibri"/>
          <w:color w:val="auto"/>
          <w:sz w:val="22"/>
          <w:szCs w:val="22"/>
        </w:rPr>
        <w:t xml:space="preserve"> issue</w:t>
      </w:r>
      <w:r w:rsidR="0053601A">
        <w:rPr>
          <w:rFonts w:ascii="Calibri" w:hAnsi="Calibri" w:cs="Calibri"/>
          <w:color w:val="auto"/>
          <w:sz w:val="22"/>
          <w:szCs w:val="22"/>
        </w:rPr>
        <w:t xml:space="preserve"> of low confidence</w:t>
      </w:r>
      <w:r w:rsidRPr="000352BE">
        <w:rPr>
          <w:rFonts w:ascii="Calibri" w:hAnsi="Calibri" w:cs="Calibri"/>
          <w:color w:val="auto"/>
          <w:sz w:val="22"/>
          <w:szCs w:val="22"/>
        </w:rPr>
        <w:t xml:space="preserve"> with research from Basterfield et al., (2022) highlighting that following a one-day training programme in England EYFS </w:t>
      </w:r>
      <w:r w:rsidR="001E4680">
        <w:rPr>
          <w:rFonts w:ascii="Calibri" w:hAnsi="Calibri" w:cs="Calibri"/>
          <w:color w:val="auto"/>
          <w:sz w:val="22"/>
          <w:szCs w:val="22"/>
        </w:rPr>
        <w:t>t</w:t>
      </w:r>
      <w:r w:rsidRPr="000352BE">
        <w:rPr>
          <w:rFonts w:ascii="Calibri" w:hAnsi="Calibri" w:cs="Calibri"/>
          <w:color w:val="auto"/>
          <w:sz w:val="22"/>
          <w:szCs w:val="22"/>
        </w:rPr>
        <w:t>eachers significantly improved their confidence, knowledge, and ability to assess and promote motor skills. This lack of confidence often arises from little coverage of PD or PE in initial teacher training (ITT) and limited continuing professional development, leaving teachers underprepared to assess children’s PD and how to support their development. Many ITT programmes offer minimal coverage of PD, instead prioritising literacy, numeracy, and broader child development theory. As a result, EY teachers may complete their formal training with little understanding of developmental milestones for PD, or strategies required to assess and support these skills effectively in the classroom (Barnett et al., 2016).</w:t>
      </w:r>
      <w:r w:rsidR="00CB33F0">
        <w:rPr>
          <w:rFonts w:ascii="Calibri" w:hAnsi="Calibri" w:cs="Calibri"/>
          <w:color w:val="auto"/>
          <w:sz w:val="22"/>
          <w:szCs w:val="22"/>
        </w:rPr>
        <w:t xml:space="preserve"> </w:t>
      </w:r>
      <w:r w:rsidRPr="000352BE">
        <w:rPr>
          <w:rFonts w:ascii="Calibri" w:hAnsi="Calibri" w:cs="Calibri"/>
          <w:color w:val="auto"/>
          <w:sz w:val="22"/>
          <w:szCs w:val="22"/>
        </w:rPr>
        <w:t>Once working in the profession, even experienced teachers may lack the specialised knowledge needed to identify children at risk of delays in PD. In many cases, professional development opportunities addressing PD and motor skill assessment are optional or inconsistently available. This then leaves gaps in teacher competence that can affect the reliability of observations and the timely identification of children requiring intervention. Access to appropriate resources, including assessment tools, equipment, and structured guidance, also affects the accuracy of teacher-led evaluations. The Early Years Screening Programme by the Association for Physical Education (</w:t>
      </w:r>
      <w:proofErr w:type="spellStart"/>
      <w:r w:rsidRPr="000352BE">
        <w:rPr>
          <w:rFonts w:ascii="Calibri" w:hAnsi="Calibri" w:cs="Calibri"/>
          <w:color w:val="auto"/>
          <w:sz w:val="22"/>
          <w:szCs w:val="22"/>
        </w:rPr>
        <w:t>afPE</w:t>
      </w:r>
      <w:proofErr w:type="spellEnd"/>
      <w:r w:rsidRPr="000352BE">
        <w:rPr>
          <w:rFonts w:ascii="Calibri" w:hAnsi="Calibri" w:cs="Calibri"/>
          <w:color w:val="auto"/>
          <w:sz w:val="22"/>
          <w:szCs w:val="22"/>
        </w:rPr>
        <w:t>, 2025) provides resources and training to support educators in identifying and addressing motor skill challenges in young children, but this isn’t widely used. By prioritising PD and screening/assessment programmes in teacher education, it can ensure that teachers are well equipped to support all aspects of a child's development, leading to better outcomes in physical health and overall well-being. Addressing the gaps in ITT, expanding professional development in PE, building teacher confidence in assessment, and ensuring access to practical tools are essential to ensuring teachers are all fully confident in all areas of the EYFS curriculum.</w:t>
      </w:r>
    </w:p>
    <w:p w14:paraId="4535D842" w14:textId="77777777" w:rsidR="002A7944" w:rsidRPr="000352BE" w:rsidRDefault="002A7944" w:rsidP="002A7944">
      <w:pPr>
        <w:spacing w:after="0" w:line="360" w:lineRule="auto"/>
        <w:jc w:val="both"/>
        <w:rPr>
          <w:rFonts w:ascii="Calibri" w:hAnsi="Calibri" w:cs="Calibri"/>
          <w:color w:val="auto"/>
          <w:sz w:val="22"/>
          <w:szCs w:val="22"/>
        </w:rPr>
      </w:pPr>
    </w:p>
    <w:p w14:paraId="3DB623C2" w14:textId="65F93FC3" w:rsidR="002A7944" w:rsidRPr="000352BE" w:rsidRDefault="002A7944" w:rsidP="002A7944">
      <w:pPr>
        <w:spacing w:line="360" w:lineRule="auto"/>
        <w:jc w:val="both"/>
        <w:rPr>
          <w:rFonts w:ascii="Calibri" w:hAnsi="Calibri" w:cs="Calibri"/>
          <w:color w:val="auto"/>
          <w:sz w:val="22"/>
          <w:szCs w:val="22"/>
        </w:rPr>
      </w:pPr>
      <w:r w:rsidRPr="000352BE">
        <w:rPr>
          <w:rFonts w:ascii="Calibri" w:hAnsi="Calibri" w:cs="Calibri"/>
          <w:color w:val="auto"/>
          <w:sz w:val="22"/>
          <w:szCs w:val="22"/>
        </w:rPr>
        <w:t xml:space="preserve">The early years of a child’s life are critical for laying the foundation of motor skills (Cameron et al., 2012). Children with any type of movement delay lack the necessary skills for progress in the formal and informal school environment (Sugden &amp; Chambers, 2003). While EYFS assessments offer valuable insights into children’s developmental within everyday school </w:t>
      </w:r>
      <w:r w:rsidRPr="000352BE">
        <w:rPr>
          <w:rFonts w:ascii="Calibri" w:hAnsi="Calibri" w:cs="Calibri"/>
          <w:color w:val="auto"/>
          <w:sz w:val="22"/>
          <w:szCs w:val="22"/>
        </w:rPr>
        <w:lastRenderedPageBreak/>
        <w:t xml:space="preserve">life, their limitations could support the use of </w:t>
      </w:r>
      <w:r w:rsidR="00DA53C0">
        <w:rPr>
          <w:rFonts w:ascii="Calibri" w:hAnsi="Calibri" w:cs="Calibri"/>
          <w:color w:val="auto"/>
          <w:sz w:val="22"/>
          <w:szCs w:val="22"/>
        </w:rPr>
        <w:t>standardised</w:t>
      </w:r>
      <w:r w:rsidRPr="000352BE">
        <w:rPr>
          <w:rFonts w:ascii="Calibri" w:hAnsi="Calibri" w:cs="Calibri"/>
          <w:color w:val="auto"/>
          <w:sz w:val="22"/>
          <w:szCs w:val="22"/>
        </w:rPr>
        <w:t xml:space="preserve"> assessments tool. An integrative approach supports more accurate screening, targeted intervention, and evidence-based practice in early childhood physical development (Piek et al., 2010; Lingam et al., 2009). </w:t>
      </w:r>
    </w:p>
    <w:p w14:paraId="0F86A3C5" w14:textId="77777777" w:rsidR="002A7944" w:rsidRPr="000352BE" w:rsidRDefault="002A7944" w:rsidP="002A7944">
      <w:pPr>
        <w:spacing w:line="360" w:lineRule="auto"/>
        <w:jc w:val="both"/>
        <w:rPr>
          <w:rFonts w:ascii="Calibri" w:hAnsi="Calibri" w:cs="Calibri"/>
          <w:color w:val="auto"/>
          <w:sz w:val="22"/>
          <w:szCs w:val="22"/>
        </w:rPr>
      </w:pPr>
      <w:r w:rsidRPr="000352BE">
        <w:rPr>
          <w:rFonts w:ascii="Calibri" w:hAnsi="Calibri" w:cs="Calibri"/>
          <w:color w:val="auto"/>
          <w:sz w:val="22"/>
          <w:szCs w:val="22"/>
        </w:rPr>
        <w:t xml:space="preserve">The literature highlights the role of early identification and support for PD within the EYFS. While teacher observations offer valuable insights into children’s day-to-day functioning, their reliability can be compromised by limited teacher confidence, variable training, and inconsistent access to resources. Standardised tools, such as the MABC-2, provide norm-referenced measures that can detect subtle motor difficulties and highlight performance against age-appropriate expectations. Evidence suggests that integrating structured professional development, practical assessment tools, and targeted intervention strategies significantly enhances teachers’ competence and the accuracy of early screening. Gender differences in motor skill acquisition and the influence of environmental factors further underscore the need for tailored approaches in EY settings. </w:t>
      </w:r>
    </w:p>
    <w:p w14:paraId="3B456B53" w14:textId="77777777" w:rsidR="002A7944" w:rsidRDefault="002A7944" w:rsidP="00BA7FC6">
      <w:pPr>
        <w:spacing w:line="360" w:lineRule="auto"/>
        <w:jc w:val="both"/>
        <w:rPr>
          <w:rFonts w:ascii="Calibri" w:hAnsi="Calibri" w:cs="Calibri"/>
          <w:color w:val="auto"/>
          <w:sz w:val="22"/>
          <w:szCs w:val="22"/>
        </w:rPr>
      </w:pPr>
      <w:r w:rsidRPr="000352BE">
        <w:rPr>
          <w:rFonts w:ascii="Calibri" w:hAnsi="Calibri" w:cs="Calibri"/>
          <w:color w:val="auto"/>
          <w:sz w:val="22"/>
          <w:szCs w:val="22"/>
        </w:rPr>
        <w:t>Overall, a combined approach, using the strengths of teacher led observations supported by standardised testing and backed up with more robust teacher training. Prioritising PD within teacher education and continuous professional development is essential to ensure all children receive the support needed to build foundational motor skills, enhancing lifelong participation, confidence, and overall developmental outcomes.</w:t>
      </w:r>
    </w:p>
    <w:p w14:paraId="392F0F05" w14:textId="0B703A3F" w:rsidR="002A7944" w:rsidRDefault="00A65EA8" w:rsidP="00BA7FC6">
      <w:pPr>
        <w:spacing w:line="360" w:lineRule="auto"/>
      </w:pPr>
      <w:r w:rsidRPr="000C60C4">
        <w:rPr>
          <w:rFonts w:ascii="Calibri" w:hAnsi="Calibri" w:cs="Calibri"/>
          <w:color w:val="auto"/>
          <w:sz w:val="22"/>
          <w:szCs w:val="22"/>
        </w:rPr>
        <w:t xml:space="preserve">The following chapter </w:t>
      </w:r>
      <w:r>
        <w:rPr>
          <w:rFonts w:ascii="Calibri" w:hAnsi="Calibri" w:cs="Calibri"/>
          <w:color w:val="auto"/>
          <w:sz w:val="22"/>
          <w:szCs w:val="22"/>
        </w:rPr>
        <w:t>outlines the research design and methodology</w:t>
      </w:r>
      <w:r w:rsidR="00BA7FC6">
        <w:rPr>
          <w:rFonts w:ascii="Calibri" w:hAnsi="Calibri" w:cs="Calibri"/>
          <w:color w:val="auto"/>
          <w:sz w:val="22"/>
          <w:szCs w:val="22"/>
        </w:rPr>
        <w:t xml:space="preserve"> used in the study. </w:t>
      </w:r>
      <w:r w:rsidR="00BA7FC6" w:rsidRPr="00BA7FC6">
        <w:rPr>
          <w:rFonts w:ascii="Calibri" w:hAnsi="Calibri" w:cs="Calibri"/>
          <w:color w:val="auto"/>
          <w:sz w:val="22"/>
          <w:szCs w:val="22"/>
        </w:rPr>
        <w:t>It explains the data collection and analysis procedures. Ethical considerations are also addressed to ensure transparency</w:t>
      </w:r>
      <w:r w:rsidR="00BA7FC6">
        <w:rPr>
          <w:rFonts w:ascii="Calibri" w:hAnsi="Calibri" w:cs="Calibri"/>
          <w:color w:val="auto"/>
          <w:sz w:val="22"/>
          <w:szCs w:val="22"/>
        </w:rPr>
        <w:t xml:space="preserve"> </w:t>
      </w:r>
      <w:r w:rsidR="00BA7FC6" w:rsidRPr="00BA7FC6">
        <w:rPr>
          <w:rFonts w:ascii="Calibri" w:hAnsi="Calibri" w:cs="Calibri"/>
          <w:color w:val="auto"/>
          <w:sz w:val="22"/>
          <w:szCs w:val="22"/>
        </w:rPr>
        <w:t>and validity throughout.</w:t>
      </w:r>
    </w:p>
    <w:p w14:paraId="44F58731" w14:textId="77777777" w:rsidR="002A7944" w:rsidRDefault="002A7944"/>
    <w:p w14:paraId="12DCF522" w14:textId="77777777" w:rsidR="002A7944" w:rsidRDefault="002A7944"/>
    <w:p w14:paraId="515924B8" w14:textId="77777777" w:rsidR="002A7944" w:rsidRDefault="002A7944"/>
    <w:p w14:paraId="05A8B1A5" w14:textId="77777777" w:rsidR="002A7944" w:rsidRDefault="002A7944"/>
    <w:p w14:paraId="0F657F2B" w14:textId="77777777" w:rsidR="002A7944" w:rsidRDefault="002A7944"/>
    <w:p w14:paraId="11975A7F" w14:textId="77777777" w:rsidR="002A7944" w:rsidRDefault="002A7944"/>
    <w:p w14:paraId="5DDA7B89" w14:textId="77777777" w:rsidR="002A7944" w:rsidRDefault="002A7944"/>
    <w:p w14:paraId="2DE9F800" w14:textId="77777777" w:rsidR="002A7944" w:rsidRDefault="002A7944"/>
    <w:p w14:paraId="245E7EDF" w14:textId="77777777" w:rsidR="002A7944" w:rsidRDefault="002A7944"/>
    <w:p w14:paraId="2834CDF2" w14:textId="77777777" w:rsidR="002A7944" w:rsidRDefault="002A7944"/>
    <w:p w14:paraId="40E1B80D" w14:textId="77777777" w:rsidR="002A7944" w:rsidRDefault="002A7944"/>
    <w:p w14:paraId="5199C2AE" w14:textId="77777777" w:rsidR="00BA7FC6" w:rsidRDefault="00BA7FC6"/>
    <w:p w14:paraId="13CA0A18" w14:textId="77777777" w:rsidR="00BA7FC6" w:rsidRDefault="00BA7FC6"/>
    <w:p w14:paraId="07A73F2C" w14:textId="77777777" w:rsidR="00BA7FC6" w:rsidRDefault="00BA7FC6"/>
    <w:p w14:paraId="6C12EBC0" w14:textId="77777777" w:rsidR="002A7944" w:rsidRDefault="002A7944"/>
    <w:p w14:paraId="31C92B89" w14:textId="77777777" w:rsidR="00CB33F0" w:rsidRDefault="00CB33F0"/>
    <w:p w14:paraId="16D8A656" w14:textId="77777777" w:rsidR="00CB33F0" w:rsidRDefault="00CB33F0"/>
    <w:p w14:paraId="7D5D2D22" w14:textId="77777777" w:rsidR="00CB33F0" w:rsidRDefault="00CB33F0"/>
    <w:p w14:paraId="68FA051C" w14:textId="77777777" w:rsidR="00CB33F0" w:rsidRDefault="00CB33F0"/>
    <w:p w14:paraId="39441CE1" w14:textId="77777777" w:rsidR="00CB33F0" w:rsidRDefault="00CB33F0"/>
    <w:p w14:paraId="7F4F71E2" w14:textId="77777777" w:rsidR="00A65EA8" w:rsidRDefault="00A65EA8"/>
    <w:p w14:paraId="6EEDDF00" w14:textId="77777777" w:rsidR="00A65EA8" w:rsidRPr="000352BE" w:rsidRDefault="00A65EA8" w:rsidP="00A65EA8">
      <w:pPr>
        <w:spacing w:after="0" w:line="360" w:lineRule="auto"/>
        <w:jc w:val="both"/>
        <w:rPr>
          <w:rFonts w:ascii="Calibri" w:hAnsi="Calibri" w:cs="Calibri"/>
          <w:color w:val="auto"/>
          <w:sz w:val="44"/>
          <w:szCs w:val="44"/>
        </w:rPr>
      </w:pPr>
      <w:r w:rsidRPr="000352BE">
        <w:rPr>
          <w:rFonts w:ascii="Calibri" w:hAnsi="Calibri" w:cs="Calibri"/>
          <w:color w:val="auto"/>
          <w:sz w:val="44"/>
          <w:szCs w:val="44"/>
        </w:rPr>
        <w:lastRenderedPageBreak/>
        <w:t xml:space="preserve">METHODOLOGY </w:t>
      </w:r>
    </w:p>
    <w:p w14:paraId="741DB4AB" w14:textId="61D33663" w:rsidR="00A65EA8" w:rsidRPr="000352BE" w:rsidRDefault="00A65EA8" w:rsidP="00A65EA8">
      <w:pPr>
        <w:spacing w:after="0" w:line="360" w:lineRule="auto"/>
        <w:jc w:val="both"/>
        <w:rPr>
          <w:rFonts w:ascii="Calibri" w:hAnsi="Calibri" w:cs="Calibri"/>
          <w:color w:val="auto"/>
          <w:sz w:val="22"/>
          <w:szCs w:val="22"/>
        </w:rPr>
      </w:pPr>
      <w:r w:rsidRPr="000352BE">
        <w:rPr>
          <w:rFonts w:ascii="Calibri" w:hAnsi="Calibri" w:cs="Calibri"/>
          <w:color w:val="auto"/>
          <w:sz w:val="22"/>
          <w:szCs w:val="22"/>
        </w:rPr>
        <w:t>This chapter provides justification for the quantitative research approach and outlines the testing protocol used to compare Early Years Foundation Stage (EYFS) Physical Development</w:t>
      </w:r>
      <w:r>
        <w:rPr>
          <w:rFonts w:ascii="Calibri" w:hAnsi="Calibri" w:cs="Calibri"/>
          <w:color w:val="auto"/>
          <w:sz w:val="22"/>
          <w:szCs w:val="22"/>
        </w:rPr>
        <w:t xml:space="preserve"> (PD)</w:t>
      </w:r>
      <w:r w:rsidRPr="000352BE">
        <w:rPr>
          <w:rFonts w:ascii="Calibri" w:hAnsi="Calibri" w:cs="Calibri"/>
          <w:color w:val="auto"/>
          <w:sz w:val="22"/>
          <w:szCs w:val="22"/>
        </w:rPr>
        <w:t xml:space="preserve"> data with the outcomes of a standardised motor assessment. The study aimed to determine whether teacher observations under the EYFS framework accurately reflect children’s </w:t>
      </w:r>
      <w:r>
        <w:rPr>
          <w:rFonts w:ascii="Calibri" w:hAnsi="Calibri" w:cs="Calibri"/>
          <w:color w:val="auto"/>
          <w:sz w:val="22"/>
          <w:szCs w:val="22"/>
        </w:rPr>
        <w:t>PD</w:t>
      </w:r>
      <w:r w:rsidRPr="000352BE">
        <w:rPr>
          <w:rFonts w:ascii="Calibri" w:hAnsi="Calibri" w:cs="Calibri"/>
          <w:color w:val="auto"/>
          <w:sz w:val="22"/>
          <w:szCs w:val="22"/>
        </w:rPr>
        <w:t xml:space="preserve"> when compared with the Movement Assessment Battery for Children – Second Edition (MABC-2). Quantitative research was chosen to allow for the collection and analysis of data, looking for trends, discrepancies, and relationships between the two assessment types. Aliaga and Gunderson (2002) describe quantitative research methods as explaining an issue or a phenomenon through gathering data in numerical form and analysing with the aid of mathematical methods. Leedy and </w:t>
      </w:r>
      <w:proofErr w:type="spellStart"/>
      <w:r w:rsidRPr="000352BE">
        <w:rPr>
          <w:rFonts w:ascii="Calibri" w:hAnsi="Calibri" w:cs="Calibri"/>
          <w:color w:val="auto"/>
          <w:sz w:val="22"/>
          <w:szCs w:val="22"/>
        </w:rPr>
        <w:t>Omrod</w:t>
      </w:r>
      <w:proofErr w:type="spellEnd"/>
      <w:r w:rsidRPr="000352BE">
        <w:rPr>
          <w:rFonts w:ascii="Calibri" w:hAnsi="Calibri" w:cs="Calibri"/>
          <w:color w:val="auto"/>
          <w:sz w:val="22"/>
          <w:szCs w:val="22"/>
        </w:rPr>
        <w:t xml:space="preserve"> (2001) go on to discuss that</w:t>
      </w:r>
      <w:r>
        <w:rPr>
          <w:rFonts w:ascii="Calibri" w:hAnsi="Calibri" w:cs="Calibri"/>
          <w:color w:val="auto"/>
          <w:sz w:val="22"/>
          <w:szCs w:val="22"/>
        </w:rPr>
        <w:t xml:space="preserve"> quantitative</w:t>
      </w:r>
      <w:r w:rsidRPr="000352BE">
        <w:rPr>
          <w:rFonts w:ascii="Calibri" w:hAnsi="Calibri" w:cs="Calibri"/>
          <w:color w:val="auto"/>
          <w:sz w:val="22"/>
          <w:szCs w:val="22"/>
        </w:rPr>
        <w:t xml:space="preserve"> research involves a collection of data </w:t>
      </w:r>
      <w:r w:rsidR="00CB33F0">
        <w:rPr>
          <w:rFonts w:ascii="Calibri" w:hAnsi="Calibri" w:cs="Calibri"/>
          <w:color w:val="auto"/>
          <w:sz w:val="22"/>
          <w:szCs w:val="22"/>
        </w:rPr>
        <w:t>where</w:t>
      </w:r>
      <w:r w:rsidRPr="000352BE">
        <w:rPr>
          <w:rFonts w:ascii="Calibri" w:hAnsi="Calibri" w:cs="Calibri"/>
          <w:color w:val="auto"/>
          <w:sz w:val="22"/>
          <w:szCs w:val="22"/>
        </w:rPr>
        <w:t xml:space="preserve"> the information can be quantified and subjected to statistical treatment in order to support or </w:t>
      </w:r>
      <w:r w:rsidR="00CB33F0" w:rsidRPr="000352BE">
        <w:rPr>
          <w:rFonts w:ascii="Calibri" w:hAnsi="Calibri" w:cs="Calibri"/>
          <w:color w:val="auto"/>
          <w:sz w:val="22"/>
          <w:szCs w:val="22"/>
        </w:rPr>
        <w:t>prove false</w:t>
      </w:r>
      <w:r w:rsidRPr="000352BE">
        <w:rPr>
          <w:rFonts w:ascii="Calibri" w:hAnsi="Calibri" w:cs="Calibri"/>
          <w:color w:val="auto"/>
          <w:sz w:val="22"/>
          <w:szCs w:val="22"/>
        </w:rPr>
        <w:t xml:space="preserve"> alternative knowledge claim</w:t>
      </w:r>
      <w:r>
        <w:rPr>
          <w:rFonts w:ascii="Calibri" w:hAnsi="Calibri" w:cs="Calibri"/>
          <w:color w:val="auto"/>
          <w:sz w:val="22"/>
          <w:szCs w:val="22"/>
        </w:rPr>
        <w:t>s</w:t>
      </w:r>
      <w:r w:rsidRPr="000352BE">
        <w:rPr>
          <w:rFonts w:ascii="Calibri" w:hAnsi="Calibri" w:cs="Calibri"/>
          <w:color w:val="auto"/>
          <w:sz w:val="22"/>
          <w:szCs w:val="22"/>
        </w:rPr>
        <w:t xml:space="preserve">. </w:t>
      </w:r>
    </w:p>
    <w:p w14:paraId="32A90573" w14:textId="77777777" w:rsidR="00A65EA8" w:rsidRPr="000352BE" w:rsidRDefault="00A65EA8" w:rsidP="00A65EA8">
      <w:pPr>
        <w:spacing w:after="0" w:line="360" w:lineRule="auto"/>
        <w:jc w:val="both"/>
        <w:rPr>
          <w:rFonts w:ascii="Calibri" w:hAnsi="Calibri" w:cs="Calibri"/>
          <w:color w:val="auto"/>
          <w:sz w:val="22"/>
          <w:szCs w:val="22"/>
        </w:rPr>
      </w:pPr>
    </w:p>
    <w:p w14:paraId="1942D409" w14:textId="77777777" w:rsidR="00A65EA8" w:rsidRPr="000352BE" w:rsidRDefault="00A65EA8" w:rsidP="00A65EA8">
      <w:pPr>
        <w:spacing w:line="360" w:lineRule="auto"/>
        <w:jc w:val="both"/>
        <w:rPr>
          <w:rFonts w:ascii="Calibri" w:hAnsi="Calibri" w:cs="Calibri"/>
          <w:b/>
          <w:bCs/>
          <w:caps/>
          <w:color w:val="auto"/>
          <w:sz w:val="22"/>
          <w:szCs w:val="22"/>
        </w:rPr>
      </w:pPr>
      <w:r w:rsidRPr="000352BE">
        <w:rPr>
          <w:rFonts w:ascii="Calibri" w:hAnsi="Calibri" w:cs="Calibri"/>
          <w:b/>
          <w:bCs/>
          <w:caps/>
          <w:color w:val="auto"/>
          <w:sz w:val="22"/>
          <w:szCs w:val="22"/>
        </w:rPr>
        <w:t>Research Design</w:t>
      </w:r>
    </w:p>
    <w:p w14:paraId="6149B00B" w14:textId="36325950" w:rsidR="00A65EA8" w:rsidRPr="000352BE" w:rsidRDefault="00A65EA8" w:rsidP="00A65EA8">
      <w:pPr>
        <w:spacing w:after="0" w:line="360" w:lineRule="auto"/>
        <w:jc w:val="both"/>
        <w:rPr>
          <w:rFonts w:ascii="Calibri" w:hAnsi="Calibri" w:cs="Calibri"/>
          <w:color w:val="auto"/>
          <w:sz w:val="22"/>
          <w:szCs w:val="22"/>
        </w:rPr>
      </w:pPr>
      <w:r w:rsidRPr="000352BE">
        <w:rPr>
          <w:rFonts w:ascii="Calibri" w:hAnsi="Calibri" w:cs="Calibri"/>
          <w:color w:val="auto"/>
          <w:sz w:val="22"/>
          <w:szCs w:val="22"/>
        </w:rPr>
        <w:t xml:space="preserve">This research project uses the positive methodology as </w:t>
      </w:r>
      <w:r>
        <w:rPr>
          <w:rFonts w:ascii="Calibri" w:hAnsi="Calibri" w:cs="Calibri"/>
          <w:color w:val="auto"/>
          <w:sz w:val="22"/>
          <w:szCs w:val="22"/>
        </w:rPr>
        <w:t>it</w:t>
      </w:r>
      <w:r w:rsidRPr="000352BE">
        <w:rPr>
          <w:rFonts w:ascii="Calibri" w:hAnsi="Calibri" w:cs="Calibri"/>
          <w:color w:val="auto"/>
          <w:sz w:val="22"/>
          <w:szCs w:val="22"/>
        </w:rPr>
        <w:t xml:space="preserve"> emphasised engaging in research in settings where variables can be controlled and manipulated. Quantitative methods allow positivist researchers to collect data from large samples and collate it into data sets and finding correlations through statistical analysis (Comte, 1975). Comte (1975) also believed in using the comparative method which involves looking for correlation patterns or relationships between variables in different groups.</w:t>
      </w:r>
      <w:r w:rsidR="00BA7FC6">
        <w:rPr>
          <w:rFonts w:ascii="Calibri" w:hAnsi="Calibri" w:cs="Calibri"/>
          <w:color w:val="auto"/>
          <w:sz w:val="22"/>
          <w:szCs w:val="22"/>
        </w:rPr>
        <w:t xml:space="preserve"> </w:t>
      </w:r>
      <w:r w:rsidRPr="000352BE">
        <w:rPr>
          <w:rFonts w:ascii="Calibri" w:hAnsi="Calibri" w:cs="Calibri"/>
          <w:color w:val="auto"/>
          <w:sz w:val="22"/>
          <w:szCs w:val="22"/>
        </w:rPr>
        <w:t xml:space="preserve">Firstly, the research question was considered to determine the most suitable method for data collection. A quantitative approach was chosen to enable objective comparison between EYFS teacher assessments and MABC-2 results. Ethical approval was obtained, and informed consent was secured from parents in two school settings. Children were assessed individually using the MABC-2, following the standardised procedures. The resulting data was then collated and compared with the normative percentiles provided in the MABC-2 manual. These scores were analysed alongside EYFS </w:t>
      </w:r>
      <w:r>
        <w:rPr>
          <w:rFonts w:ascii="Calibri" w:hAnsi="Calibri" w:cs="Calibri"/>
          <w:color w:val="auto"/>
          <w:sz w:val="22"/>
          <w:szCs w:val="22"/>
        </w:rPr>
        <w:t>PD</w:t>
      </w:r>
      <w:r w:rsidRPr="000352BE">
        <w:rPr>
          <w:rFonts w:ascii="Calibri" w:hAnsi="Calibri" w:cs="Calibri"/>
          <w:color w:val="auto"/>
          <w:sz w:val="22"/>
          <w:szCs w:val="22"/>
        </w:rPr>
        <w:t xml:space="preserve"> judg</w:t>
      </w:r>
      <w:r>
        <w:rPr>
          <w:rFonts w:ascii="Calibri" w:hAnsi="Calibri" w:cs="Calibri"/>
          <w:color w:val="auto"/>
          <w:sz w:val="22"/>
          <w:szCs w:val="22"/>
        </w:rPr>
        <w:t>e</w:t>
      </w:r>
      <w:r w:rsidRPr="000352BE">
        <w:rPr>
          <w:rFonts w:ascii="Calibri" w:hAnsi="Calibri" w:cs="Calibri"/>
          <w:color w:val="auto"/>
          <w:sz w:val="22"/>
          <w:szCs w:val="22"/>
        </w:rPr>
        <w:t xml:space="preserve">ments to evaluate the consistency and accuracy of teacher observations. </w:t>
      </w:r>
    </w:p>
    <w:p w14:paraId="31AB842E" w14:textId="410E276C" w:rsidR="00A65EA8" w:rsidRPr="000352BE" w:rsidRDefault="00A65EA8" w:rsidP="00A65EA8">
      <w:pPr>
        <w:spacing w:after="0" w:line="360" w:lineRule="auto"/>
        <w:jc w:val="both"/>
        <w:rPr>
          <w:rFonts w:ascii="Calibri" w:hAnsi="Calibri" w:cs="Calibri"/>
          <w:color w:val="auto"/>
          <w:sz w:val="22"/>
          <w:szCs w:val="22"/>
        </w:rPr>
      </w:pPr>
      <w:r w:rsidRPr="000352BE">
        <w:rPr>
          <w:rFonts w:ascii="Calibri" w:hAnsi="Calibri" w:cs="Calibri"/>
          <w:color w:val="auto"/>
          <w:sz w:val="22"/>
          <w:szCs w:val="22"/>
        </w:rPr>
        <w:t>By comparing EYFS judg</w:t>
      </w:r>
      <w:r>
        <w:rPr>
          <w:rFonts w:ascii="Calibri" w:hAnsi="Calibri" w:cs="Calibri"/>
          <w:color w:val="auto"/>
          <w:sz w:val="22"/>
          <w:szCs w:val="22"/>
        </w:rPr>
        <w:t>e</w:t>
      </w:r>
      <w:r w:rsidRPr="000352BE">
        <w:rPr>
          <w:rFonts w:ascii="Calibri" w:hAnsi="Calibri" w:cs="Calibri"/>
          <w:color w:val="auto"/>
          <w:sz w:val="22"/>
          <w:szCs w:val="22"/>
        </w:rPr>
        <w:t xml:space="preserve">ments with MABC-2 percentile scores, this research aims to understand the accuracy and effectiveness of early assessment practices in PD, particularly in identifying children who may benefit from early intervention. The purpose of this research was to use a quantitative approach in order </w:t>
      </w:r>
      <w:r>
        <w:rPr>
          <w:rFonts w:ascii="Calibri" w:hAnsi="Calibri" w:cs="Calibri"/>
          <w:color w:val="auto"/>
          <w:sz w:val="22"/>
          <w:szCs w:val="22"/>
        </w:rPr>
        <w:t xml:space="preserve">to </w:t>
      </w:r>
      <w:r w:rsidRPr="000352BE">
        <w:rPr>
          <w:rFonts w:ascii="Calibri" w:hAnsi="Calibri" w:cs="Calibri"/>
          <w:color w:val="auto"/>
          <w:sz w:val="22"/>
          <w:szCs w:val="22"/>
        </w:rPr>
        <w:t xml:space="preserve">compare the data of a standardised testing protocol for PD using the MABC-2 and that of the EY Data for individual schools for the EYFSF in the Prime Area of PD. </w:t>
      </w:r>
      <w:r w:rsidR="00BA7FC6">
        <w:rPr>
          <w:rFonts w:ascii="Calibri" w:hAnsi="Calibri" w:cs="Calibri"/>
          <w:color w:val="auto"/>
          <w:sz w:val="22"/>
          <w:szCs w:val="22"/>
        </w:rPr>
        <w:t xml:space="preserve"> </w:t>
      </w:r>
      <w:r w:rsidRPr="000352BE">
        <w:rPr>
          <w:rFonts w:ascii="Calibri" w:hAnsi="Calibri" w:cs="Calibri"/>
          <w:color w:val="auto"/>
          <w:sz w:val="22"/>
          <w:szCs w:val="22"/>
        </w:rPr>
        <w:t>During the research, the data given by schools for ‘</w:t>
      </w:r>
      <w:r>
        <w:rPr>
          <w:rFonts w:ascii="Calibri" w:hAnsi="Calibri" w:cs="Calibri"/>
          <w:color w:val="auto"/>
          <w:sz w:val="22"/>
          <w:szCs w:val="22"/>
        </w:rPr>
        <w:t>G</w:t>
      </w:r>
      <w:r w:rsidRPr="000352BE">
        <w:rPr>
          <w:rFonts w:ascii="Calibri" w:hAnsi="Calibri" w:cs="Calibri"/>
          <w:color w:val="auto"/>
          <w:sz w:val="22"/>
          <w:szCs w:val="22"/>
        </w:rPr>
        <w:t xml:space="preserve">ood </w:t>
      </w:r>
      <w:r>
        <w:rPr>
          <w:rFonts w:ascii="Calibri" w:hAnsi="Calibri" w:cs="Calibri"/>
          <w:color w:val="auto"/>
          <w:sz w:val="22"/>
          <w:szCs w:val="22"/>
        </w:rPr>
        <w:t>L</w:t>
      </w:r>
      <w:r w:rsidRPr="000352BE">
        <w:rPr>
          <w:rFonts w:ascii="Calibri" w:hAnsi="Calibri" w:cs="Calibri"/>
          <w:color w:val="auto"/>
          <w:sz w:val="22"/>
          <w:szCs w:val="22"/>
        </w:rPr>
        <w:t xml:space="preserve">evels of </w:t>
      </w:r>
      <w:r>
        <w:rPr>
          <w:rFonts w:ascii="Calibri" w:hAnsi="Calibri" w:cs="Calibri"/>
          <w:color w:val="auto"/>
          <w:sz w:val="22"/>
          <w:szCs w:val="22"/>
        </w:rPr>
        <w:t>D</w:t>
      </w:r>
      <w:r w:rsidRPr="000352BE">
        <w:rPr>
          <w:rFonts w:ascii="Calibri" w:hAnsi="Calibri" w:cs="Calibri"/>
          <w:color w:val="auto"/>
          <w:sz w:val="22"/>
          <w:szCs w:val="22"/>
        </w:rPr>
        <w:t xml:space="preserve">evelopment’ in EYFS was compared to the </w:t>
      </w:r>
      <w:r>
        <w:rPr>
          <w:rFonts w:ascii="Calibri" w:hAnsi="Calibri" w:cs="Calibri"/>
          <w:color w:val="auto"/>
          <w:sz w:val="22"/>
          <w:szCs w:val="22"/>
        </w:rPr>
        <w:t>standardised</w:t>
      </w:r>
      <w:r w:rsidRPr="000352BE">
        <w:rPr>
          <w:rFonts w:ascii="Calibri" w:hAnsi="Calibri" w:cs="Calibri"/>
          <w:color w:val="auto"/>
          <w:sz w:val="22"/>
          <w:szCs w:val="22"/>
        </w:rPr>
        <w:t xml:space="preserve"> norms the MABC-2 test.</w:t>
      </w:r>
    </w:p>
    <w:p w14:paraId="1BFAAC7C" w14:textId="77777777" w:rsidR="00A65EA8" w:rsidRPr="000352BE" w:rsidRDefault="00A65EA8" w:rsidP="00A65EA8">
      <w:pPr>
        <w:spacing w:after="0" w:line="360" w:lineRule="auto"/>
        <w:jc w:val="both"/>
        <w:rPr>
          <w:rFonts w:ascii="Calibri" w:hAnsi="Calibri" w:cs="Calibri"/>
          <w:color w:val="auto"/>
          <w:sz w:val="22"/>
          <w:szCs w:val="22"/>
        </w:rPr>
      </w:pPr>
    </w:p>
    <w:p w14:paraId="7AB7C75E" w14:textId="77777777" w:rsidR="00A65EA8" w:rsidRPr="000352BE" w:rsidRDefault="00A65EA8" w:rsidP="00A65EA8">
      <w:pPr>
        <w:spacing w:after="0" w:line="360" w:lineRule="auto"/>
        <w:jc w:val="both"/>
        <w:rPr>
          <w:rFonts w:ascii="Calibri" w:hAnsi="Calibri" w:cs="Calibri"/>
          <w:b/>
          <w:bCs/>
          <w:caps/>
          <w:color w:val="auto"/>
          <w:sz w:val="22"/>
          <w:szCs w:val="22"/>
        </w:rPr>
      </w:pPr>
      <w:r w:rsidRPr="000352BE">
        <w:rPr>
          <w:rFonts w:ascii="Calibri" w:hAnsi="Calibri" w:cs="Calibri"/>
          <w:b/>
          <w:bCs/>
          <w:caps/>
          <w:color w:val="auto"/>
          <w:sz w:val="22"/>
          <w:szCs w:val="22"/>
        </w:rPr>
        <w:t>Movement Assessment Battery for Children (MABC-2)</w:t>
      </w:r>
    </w:p>
    <w:p w14:paraId="78A27FED" w14:textId="65E6E425" w:rsidR="00A65EA8" w:rsidRPr="000352BE" w:rsidRDefault="00A65EA8" w:rsidP="00A65EA8">
      <w:pPr>
        <w:spacing w:after="0" w:line="360" w:lineRule="auto"/>
        <w:jc w:val="both"/>
        <w:rPr>
          <w:rFonts w:ascii="Calibri" w:hAnsi="Calibri" w:cs="Calibri"/>
          <w:color w:val="auto"/>
          <w:sz w:val="22"/>
          <w:szCs w:val="22"/>
        </w:rPr>
      </w:pPr>
      <w:r w:rsidRPr="000352BE">
        <w:rPr>
          <w:rFonts w:ascii="Calibri" w:hAnsi="Calibri" w:cs="Calibri"/>
          <w:color w:val="auto"/>
          <w:sz w:val="22"/>
          <w:szCs w:val="22"/>
        </w:rPr>
        <w:t>The MABC-2 is an internationally recognised, standardised tool designed to identify motor coordination difficulties in children aged 3 to 16 years (Henderson et al., 2007).</w:t>
      </w:r>
      <w:r w:rsidR="00BA7FC6">
        <w:rPr>
          <w:rFonts w:ascii="Calibri" w:hAnsi="Calibri" w:cs="Calibri"/>
          <w:color w:val="auto"/>
          <w:sz w:val="22"/>
          <w:szCs w:val="22"/>
        </w:rPr>
        <w:t xml:space="preserve"> It</w:t>
      </w:r>
      <w:r w:rsidRPr="000352BE">
        <w:rPr>
          <w:rFonts w:ascii="Calibri" w:hAnsi="Calibri" w:cs="Calibri"/>
          <w:color w:val="auto"/>
          <w:sz w:val="22"/>
          <w:szCs w:val="22"/>
        </w:rPr>
        <w:t xml:space="preserve"> is an established research tool designed to identify known risks of motor difficulties of children and adolescents aged 3 through 16 years (Brown &amp; Lalor, 2009). The MABC-2 test, and the checklist have been </w:t>
      </w:r>
      <w:r>
        <w:rPr>
          <w:rFonts w:ascii="Calibri" w:hAnsi="Calibri" w:cs="Calibri"/>
          <w:color w:val="auto"/>
          <w:sz w:val="22"/>
          <w:szCs w:val="22"/>
        </w:rPr>
        <w:t>standardised</w:t>
      </w:r>
      <w:r w:rsidRPr="000352BE">
        <w:rPr>
          <w:rFonts w:ascii="Calibri" w:hAnsi="Calibri" w:cs="Calibri"/>
          <w:color w:val="auto"/>
          <w:sz w:val="22"/>
          <w:szCs w:val="22"/>
        </w:rPr>
        <w:t xml:space="preserve"> using a larger, more representative normative sample and this data was used to determine which children within the research have motor difficulties (Henderson, Sugden &amp; Barnett, 2007).</w:t>
      </w:r>
    </w:p>
    <w:p w14:paraId="20108211" w14:textId="460CEF85" w:rsidR="00A65EA8" w:rsidRPr="000352BE" w:rsidRDefault="00A65EA8" w:rsidP="00A65EA8">
      <w:pPr>
        <w:spacing w:after="0" w:line="360" w:lineRule="auto"/>
        <w:jc w:val="both"/>
        <w:rPr>
          <w:rFonts w:ascii="Calibri" w:hAnsi="Calibri" w:cs="Calibri"/>
          <w:color w:val="auto"/>
          <w:sz w:val="22"/>
          <w:szCs w:val="22"/>
        </w:rPr>
      </w:pPr>
      <w:r w:rsidRPr="000352BE">
        <w:rPr>
          <w:rFonts w:ascii="Calibri" w:hAnsi="Calibri" w:cs="Calibri"/>
          <w:color w:val="auto"/>
          <w:sz w:val="22"/>
          <w:szCs w:val="22"/>
        </w:rPr>
        <w:lastRenderedPageBreak/>
        <w:t>In this research study the children were all within the 3 years 0 months to 6 years 11 months age bracket, this meant that the Age Band 1 tests was used to score the children and highlight if there were a motor delays with the participants within the 2 schools.</w:t>
      </w:r>
      <w:r w:rsidR="00BA7FC6">
        <w:rPr>
          <w:rFonts w:ascii="Calibri" w:hAnsi="Calibri" w:cs="Calibri"/>
          <w:color w:val="auto"/>
          <w:sz w:val="22"/>
          <w:szCs w:val="22"/>
        </w:rPr>
        <w:t xml:space="preserve"> </w:t>
      </w:r>
      <w:r w:rsidRPr="000352BE">
        <w:rPr>
          <w:rFonts w:ascii="Calibri" w:hAnsi="Calibri" w:cs="Calibri"/>
          <w:color w:val="auto"/>
          <w:sz w:val="22"/>
          <w:szCs w:val="22"/>
        </w:rPr>
        <w:t>The MABC-2 measure</w:t>
      </w:r>
      <w:r>
        <w:rPr>
          <w:rFonts w:ascii="Calibri" w:hAnsi="Calibri" w:cs="Calibri"/>
          <w:color w:val="auto"/>
          <w:sz w:val="22"/>
          <w:szCs w:val="22"/>
        </w:rPr>
        <w:t>s</w:t>
      </w:r>
      <w:r w:rsidRPr="000352BE">
        <w:rPr>
          <w:rFonts w:ascii="Calibri" w:hAnsi="Calibri" w:cs="Calibri"/>
          <w:color w:val="auto"/>
          <w:sz w:val="22"/>
          <w:szCs w:val="22"/>
        </w:rPr>
        <w:t xml:space="preserve"> the outcomes of motor tasks rather than the quality of movement execution</w:t>
      </w:r>
      <w:r>
        <w:rPr>
          <w:rFonts w:ascii="Calibri" w:hAnsi="Calibri" w:cs="Calibri"/>
          <w:color w:val="auto"/>
          <w:sz w:val="22"/>
          <w:szCs w:val="22"/>
        </w:rPr>
        <w:t xml:space="preserve"> and</w:t>
      </w:r>
      <w:r w:rsidRPr="000352BE">
        <w:rPr>
          <w:rFonts w:ascii="Calibri" w:hAnsi="Calibri" w:cs="Calibri"/>
          <w:color w:val="auto"/>
          <w:sz w:val="22"/>
          <w:szCs w:val="22"/>
        </w:rPr>
        <w:t xml:space="preserve"> is divided into three main components: Manual Dexterity, Aiming and Catching, and Balance. MABC-2 was chosen for this research for its ease of administration, relevance to identifying motor difficulties consistent with Developmental Coordination Disorder (DCD) and other motor impairments. (Sugden &amp; Chambers, 2005).</w:t>
      </w:r>
    </w:p>
    <w:p w14:paraId="345A8544" w14:textId="77777777" w:rsidR="00A65EA8" w:rsidRPr="000352BE" w:rsidRDefault="00A65EA8" w:rsidP="00A65EA8">
      <w:pPr>
        <w:spacing w:after="0" w:line="360" w:lineRule="auto"/>
        <w:jc w:val="both"/>
        <w:rPr>
          <w:rFonts w:ascii="Calibri" w:hAnsi="Calibri" w:cs="Calibri"/>
          <w:color w:val="auto"/>
          <w:sz w:val="22"/>
          <w:szCs w:val="22"/>
        </w:rPr>
      </w:pPr>
    </w:p>
    <w:p w14:paraId="0FB7594C" w14:textId="77777777" w:rsidR="00A65EA8" w:rsidRPr="000352BE" w:rsidRDefault="00A65EA8" w:rsidP="00A65EA8">
      <w:pPr>
        <w:spacing w:after="0" w:line="360" w:lineRule="auto"/>
        <w:jc w:val="both"/>
        <w:rPr>
          <w:rFonts w:ascii="Calibri" w:hAnsi="Calibri" w:cs="Calibri"/>
          <w:color w:val="auto"/>
          <w:sz w:val="22"/>
          <w:szCs w:val="22"/>
        </w:rPr>
      </w:pPr>
      <w:r w:rsidRPr="000352BE">
        <w:rPr>
          <w:rFonts w:ascii="Calibri" w:hAnsi="Calibri" w:cs="Calibri"/>
          <w:color w:val="auto"/>
          <w:sz w:val="22"/>
          <w:szCs w:val="22"/>
        </w:rPr>
        <w:t>The MABC-2 - Age Band 1 test consists of eight tasks that are developmentally appropriate for young children. These tasks are:</w:t>
      </w:r>
    </w:p>
    <w:tbl>
      <w:tblPr>
        <w:tblStyle w:val="TableGrid"/>
        <w:tblW w:w="0" w:type="auto"/>
        <w:tblInd w:w="-5" w:type="dxa"/>
        <w:tblLook w:val="04A0" w:firstRow="1" w:lastRow="0" w:firstColumn="1" w:lastColumn="0" w:noHBand="0" w:noVBand="1"/>
      </w:tblPr>
      <w:tblGrid>
        <w:gridCol w:w="3686"/>
        <w:gridCol w:w="3852"/>
        <w:gridCol w:w="3229"/>
      </w:tblGrid>
      <w:tr w:rsidR="00A65EA8" w:rsidRPr="000352BE" w14:paraId="32E1BB1C" w14:textId="77777777" w:rsidTr="00F46425">
        <w:trPr>
          <w:trHeight w:val="397"/>
        </w:trPr>
        <w:tc>
          <w:tcPr>
            <w:tcW w:w="3686" w:type="dxa"/>
            <w:vAlign w:val="center"/>
          </w:tcPr>
          <w:p w14:paraId="07E9790D" w14:textId="77777777" w:rsidR="00A65EA8" w:rsidRPr="000352BE" w:rsidRDefault="00A65EA8" w:rsidP="00F46425">
            <w:pPr>
              <w:spacing w:after="0" w:line="240" w:lineRule="auto"/>
              <w:jc w:val="center"/>
              <w:rPr>
                <w:rFonts w:ascii="Calibri" w:hAnsi="Calibri" w:cs="Calibri"/>
                <w:caps/>
                <w:color w:val="auto"/>
                <w:sz w:val="16"/>
                <w:szCs w:val="16"/>
              </w:rPr>
            </w:pPr>
            <w:r w:rsidRPr="000352BE">
              <w:rPr>
                <w:rFonts w:ascii="Calibri" w:hAnsi="Calibri" w:cs="Calibri"/>
                <w:caps/>
                <w:color w:val="auto"/>
                <w:sz w:val="16"/>
                <w:szCs w:val="16"/>
              </w:rPr>
              <w:t>Manual Dexterity</w:t>
            </w:r>
          </w:p>
        </w:tc>
        <w:tc>
          <w:tcPr>
            <w:tcW w:w="3852" w:type="dxa"/>
            <w:vAlign w:val="center"/>
          </w:tcPr>
          <w:p w14:paraId="22D5A34B" w14:textId="77777777" w:rsidR="00A65EA8" w:rsidRPr="000352BE" w:rsidRDefault="00A65EA8" w:rsidP="00F46425">
            <w:pPr>
              <w:spacing w:after="0" w:line="240" w:lineRule="auto"/>
              <w:jc w:val="center"/>
              <w:rPr>
                <w:rFonts w:ascii="Calibri" w:hAnsi="Calibri" w:cs="Calibri"/>
                <w:caps/>
                <w:color w:val="auto"/>
                <w:sz w:val="16"/>
                <w:szCs w:val="16"/>
              </w:rPr>
            </w:pPr>
            <w:r w:rsidRPr="000352BE">
              <w:rPr>
                <w:rFonts w:ascii="Calibri" w:hAnsi="Calibri" w:cs="Calibri"/>
                <w:caps/>
                <w:color w:val="auto"/>
                <w:sz w:val="16"/>
                <w:szCs w:val="16"/>
              </w:rPr>
              <w:t>Aiming and Catching.</w:t>
            </w:r>
          </w:p>
        </w:tc>
        <w:tc>
          <w:tcPr>
            <w:tcW w:w="3229" w:type="dxa"/>
            <w:vAlign w:val="center"/>
          </w:tcPr>
          <w:p w14:paraId="78E6373B" w14:textId="77777777" w:rsidR="00A65EA8" w:rsidRPr="000352BE" w:rsidRDefault="00A65EA8" w:rsidP="00F46425">
            <w:pPr>
              <w:spacing w:after="0" w:line="240" w:lineRule="auto"/>
              <w:jc w:val="center"/>
              <w:rPr>
                <w:rFonts w:ascii="Calibri" w:hAnsi="Calibri" w:cs="Calibri"/>
                <w:caps/>
                <w:color w:val="auto"/>
                <w:sz w:val="16"/>
                <w:szCs w:val="16"/>
              </w:rPr>
            </w:pPr>
            <w:r w:rsidRPr="000352BE">
              <w:rPr>
                <w:rFonts w:ascii="Calibri" w:hAnsi="Calibri" w:cs="Calibri"/>
                <w:caps/>
                <w:color w:val="auto"/>
                <w:sz w:val="16"/>
                <w:szCs w:val="16"/>
              </w:rPr>
              <w:t>Balance</w:t>
            </w:r>
          </w:p>
        </w:tc>
      </w:tr>
      <w:tr w:rsidR="00A65EA8" w:rsidRPr="000352BE" w14:paraId="5655011C" w14:textId="77777777" w:rsidTr="00F46425">
        <w:tc>
          <w:tcPr>
            <w:tcW w:w="3686" w:type="dxa"/>
          </w:tcPr>
          <w:p w14:paraId="18D3F193" w14:textId="77777777" w:rsidR="00A65EA8" w:rsidRPr="000352BE" w:rsidRDefault="00A65EA8" w:rsidP="00F46425">
            <w:pPr>
              <w:spacing w:after="0" w:line="240" w:lineRule="auto"/>
              <w:jc w:val="both"/>
              <w:rPr>
                <w:rFonts w:ascii="Calibri" w:hAnsi="Calibri" w:cs="Calibri"/>
                <w:color w:val="auto"/>
                <w:sz w:val="16"/>
                <w:szCs w:val="16"/>
              </w:rPr>
            </w:pPr>
            <w:r w:rsidRPr="000352BE">
              <w:rPr>
                <w:rFonts w:ascii="Calibri" w:hAnsi="Calibri" w:cs="Calibri"/>
                <w:b/>
                <w:bCs/>
                <w:color w:val="auto"/>
                <w:sz w:val="16"/>
                <w:szCs w:val="16"/>
              </w:rPr>
              <w:t>Posting Coins:</w:t>
            </w:r>
            <w:r w:rsidRPr="000352BE">
              <w:rPr>
                <w:rFonts w:ascii="Calibri" w:hAnsi="Calibri" w:cs="Calibri"/>
                <w:color w:val="auto"/>
                <w:sz w:val="16"/>
                <w:szCs w:val="16"/>
              </w:rPr>
              <w:t xml:space="preserve"> The child is asked to place as many coins as possible into a slot box within a set time, assessing fine motor precision and hand-eye coordination.</w:t>
            </w:r>
          </w:p>
        </w:tc>
        <w:tc>
          <w:tcPr>
            <w:tcW w:w="3852" w:type="dxa"/>
          </w:tcPr>
          <w:p w14:paraId="15E7440F" w14:textId="77777777" w:rsidR="00A65EA8" w:rsidRPr="000352BE" w:rsidRDefault="00A65EA8" w:rsidP="00F46425">
            <w:pPr>
              <w:spacing w:after="0" w:line="240" w:lineRule="auto"/>
              <w:jc w:val="both"/>
              <w:rPr>
                <w:rFonts w:ascii="Calibri" w:hAnsi="Calibri" w:cs="Calibri"/>
                <w:color w:val="auto"/>
                <w:sz w:val="16"/>
                <w:szCs w:val="16"/>
              </w:rPr>
            </w:pPr>
            <w:r w:rsidRPr="000352BE">
              <w:rPr>
                <w:rFonts w:ascii="Calibri" w:hAnsi="Calibri" w:cs="Calibri"/>
                <w:b/>
                <w:bCs/>
                <w:color w:val="auto"/>
                <w:sz w:val="16"/>
                <w:szCs w:val="16"/>
              </w:rPr>
              <w:t>Catching a Beanbag:</w:t>
            </w:r>
            <w:r w:rsidRPr="000352BE">
              <w:rPr>
                <w:rFonts w:ascii="Calibri" w:hAnsi="Calibri" w:cs="Calibri"/>
                <w:color w:val="auto"/>
                <w:sz w:val="16"/>
                <w:szCs w:val="16"/>
              </w:rPr>
              <w:t xml:space="preserve"> The child attempts to catch a beanbag with two hands, assessing gross motor coordination and timing.</w:t>
            </w:r>
          </w:p>
        </w:tc>
        <w:tc>
          <w:tcPr>
            <w:tcW w:w="3229" w:type="dxa"/>
          </w:tcPr>
          <w:p w14:paraId="642ABB01" w14:textId="77777777" w:rsidR="00A65EA8" w:rsidRPr="000352BE" w:rsidRDefault="00A65EA8" w:rsidP="00F46425">
            <w:pPr>
              <w:spacing w:after="0" w:line="240" w:lineRule="auto"/>
              <w:jc w:val="both"/>
              <w:rPr>
                <w:rFonts w:ascii="Calibri" w:hAnsi="Calibri" w:cs="Calibri"/>
                <w:color w:val="auto"/>
                <w:sz w:val="16"/>
                <w:szCs w:val="16"/>
              </w:rPr>
            </w:pPr>
            <w:r w:rsidRPr="000352BE">
              <w:rPr>
                <w:rFonts w:ascii="Calibri" w:hAnsi="Calibri" w:cs="Calibri"/>
                <w:b/>
                <w:bCs/>
                <w:color w:val="auto"/>
                <w:sz w:val="16"/>
                <w:szCs w:val="16"/>
              </w:rPr>
              <w:t>One-Leg Balance:</w:t>
            </w:r>
            <w:r w:rsidRPr="000352BE">
              <w:rPr>
                <w:rFonts w:ascii="Calibri" w:hAnsi="Calibri" w:cs="Calibri"/>
                <w:color w:val="auto"/>
                <w:sz w:val="16"/>
                <w:szCs w:val="16"/>
              </w:rPr>
              <w:t xml:space="preserve"> The child balances on one leg for a set period, measuring static balance and postural control.</w:t>
            </w:r>
          </w:p>
        </w:tc>
      </w:tr>
      <w:tr w:rsidR="00A65EA8" w:rsidRPr="000352BE" w14:paraId="58929557" w14:textId="77777777" w:rsidTr="00F46425">
        <w:tc>
          <w:tcPr>
            <w:tcW w:w="3686" w:type="dxa"/>
          </w:tcPr>
          <w:p w14:paraId="161870A8" w14:textId="77777777" w:rsidR="00A65EA8" w:rsidRPr="000352BE" w:rsidRDefault="00A65EA8" w:rsidP="00F46425">
            <w:pPr>
              <w:spacing w:after="0" w:line="240" w:lineRule="auto"/>
              <w:jc w:val="both"/>
              <w:rPr>
                <w:rFonts w:ascii="Calibri" w:hAnsi="Calibri" w:cs="Calibri"/>
                <w:color w:val="auto"/>
                <w:sz w:val="16"/>
                <w:szCs w:val="16"/>
              </w:rPr>
            </w:pPr>
            <w:r w:rsidRPr="000352BE">
              <w:rPr>
                <w:rFonts w:ascii="Calibri" w:hAnsi="Calibri" w:cs="Calibri"/>
                <w:b/>
                <w:bCs/>
                <w:color w:val="auto"/>
                <w:sz w:val="16"/>
                <w:szCs w:val="16"/>
              </w:rPr>
              <w:t>Threading Beads:</w:t>
            </w:r>
            <w:r w:rsidRPr="000352BE">
              <w:rPr>
                <w:rFonts w:ascii="Calibri" w:hAnsi="Calibri" w:cs="Calibri"/>
                <w:color w:val="auto"/>
                <w:sz w:val="16"/>
                <w:szCs w:val="16"/>
              </w:rPr>
              <w:t xml:space="preserve"> This task requires threading beads onto a lace, measuring bilateral coordination and fine motor control.</w:t>
            </w:r>
          </w:p>
        </w:tc>
        <w:tc>
          <w:tcPr>
            <w:tcW w:w="3852" w:type="dxa"/>
          </w:tcPr>
          <w:p w14:paraId="42A69C92" w14:textId="77777777" w:rsidR="00A65EA8" w:rsidRPr="000352BE" w:rsidRDefault="00A65EA8" w:rsidP="00F46425">
            <w:pPr>
              <w:spacing w:after="0" w:line="240" w:lineRule="auto"/>
              <w:jc w:val="both"/>
              <w:rPr>
                <w:rFonts w:ascii="Calibri" w:hAnsi="Calibri" w:cs="Calibri"/>
                <w:color w:val="auto"/>
                <w:sz w:val="16"/>
                <w:szCs w:val="16"/>
              </w:rPr>
            </w:pPr>
            <w:r w:rsidRPr="000352BE">
              <w:rPr>
                <w:rFonts w:ascii="Calibri" w:hAnsi="Calibri" w:cs="Calibri"/>
                <w:b/>
                <w:bCs/>
                <w:color w:val="auto"/>
                <w:sz w:val="16"/>
                <w:szCs w:val="16"/>
              </w:rPr>
              <w:t>Throwing a Beanbag onto a Mat</w:t>
            </w:r>
            <w:r w:rsidRPr="000352BE">
              <w:rPr>
                <w:rFonts w:ascii="Calibri" w:hAnsi="Calibri" w:cs="Calibri"/>
                <w:color w:val="auto"/>
                <w:sz w:val="16"/>
                <w:szCs w:val="16"/>
              </w:rPr>
              <w:t>: The child throws a beanbag at a target mat, testing hand-eye coordination and aiming accuracy.</w:t>
            </w:r>
          </w:p>
        </w:tc>
        <w:tc>
          <w:tcPr>
            <w:tcW w:w="3229" w:type="dxa"/>
          </w:tcPr>
          <w:p w14:paraId="0CD16815" w14:textId="77777777" w:rsidR="00A65EA8" w:rsidRPr="000352BE" w:rsidRDefault="00A65EA8" w:rsidP="00F46425">
            <w:pPr>
              <w:spacing w:after="0" w:line="240" w:lineRule="auto"/>
              <w:jc w:val="both"/>
              <w:rPr>
                <w:rFonts w:ascii="Calibri" w:hAnsi="Calibri" w:cs="Calibri"/>
                <w:color w:val="auto"/>
                <w:sz w:val="16"/>
                <w:szCs w:val="16"/>
              </w:rPr>
            </w:pPr>
            <w:r w:rsidRPr="000352BE">
              <w:rPr>
                <w:rFonts w:ascii="Calibri" w:hAnsi="Calibri" w:cs="Calibri"/>
                <w:b/>
                <w:bCs/>
                <w:color w:val="auto"/>
                <w:sz w:val="16"/>
                <w:szCs w:val="16"/>
              </w:rPr>
              <w:t>Walking Heels Raised:</w:t>
            </w:r>
            <w:r w:rsidRPr="000352BE">
              <w:rPr>
                <w:rFonts w:ascii="Calibri" w:hAnsi="Calibri" w:cs="Calibri"/>
                <w:color w:val="auto"/>
                <w:sz w:val="16"/>
                <w:szCs w:val="16"/>
              </w:rPr>
              <w:t xml:space="preserve"> The child walks heel-to-toe along a straight line, assessing dynamic balance.</w:t>
            </w:r>
          </w:p>
        </w:tc>
      </w:tr>
      <w:tr w:rsidR="00A65EA8" w:rsidRPr="000352BE" w14:paraId="17179DD0" w14:textId="77777777" w:rsidTr="00F46425">
        <w:tc>
          <w:tcPr>
            <w:tcW w:w="3686" w:type="dxa"/>
          </w:tcPr>
          <w:p w14:paraId="0A780ECA" w14:textId="77777777" w:rsidR="00A65EA8" w:rsidRPr="000352BE" w:rsidRDefault="00A65EA8" w:rsidP="00F46425">
            <w:pPr>
              <w:spacing w:after="0" w:line="240" w:lineRule="auto"/>
              <w:jc w:val="both"/>
              <w:rPr>
                <w:rFonts w:ascii="Calibri" w:hAnsi="Calibri" w:cs="Calibri"/>
                <w:color w:val="auto"/>
                <w:sz w:val="16"/>
                <w:szCs w:val="16"/>
              </w:rPr>
            </w:pPr>
            <w:r w:rsidRPr="000352BE">
              <w:rPr>
                <w:rFonts w:ascii="Calibri" w:hAnsi="Calibri" w:cs="Calibri"/>
                <w:b/>
                <w:bCs/>
                <w:color w:val="auto"/>
                <w:sz w:val="16"/>
                <w:szCs w:val="16"/>
              </w:rPr>
              <w:t>Drawing Trail:</w:t>
            </w:r>
            <w:r w:rsidRPr="000352BE">
              <w:rPr>
                <w:rFonts w:ascii="Calibri" w:hAnsi="Calibri" w:cs="Calibri"/>
                <w:color w:val="auto"/>
                <w:sz w:val="16"/>
                <w:szCs w:val="16"/>
              </w:rPr>
              <w:t xml:space="preserve"> The child traces a path within a narrow boundary without crossing the lines, testing pencil control and visuomotor integration.</w:t>
            </w:r>
          </w:p>
        </w:tc>
        <w:tc>
          <w:tcPr>
            <w:tcW w:w="3852" w:type="dxa"/>
          </w:tcPr>
          <w:p w14:paraId="3ADC093D" w14:textId="77777777" w:rsidR="00A65EA8" w:rsidRPr="000352BE" w:rsidRDefault="00A65EA8" w:rsidP="00F46425">
            <w:pPr>
              <w:spacing w:after="0" w:line="240" w:lineRule="auto"/>
              <w:jc w:val="both"/>
              <w:rPr>
                <w:rFonts w:ascii="Calibri" w:hAnsi="Calibri" w:cs="Calibri"/>
                <w:color w:val="auto"/>
                <w:sz w:val="16"/>
                <w:szCs w:val="16"/>
              </w:rPr>
            </w:pPr>
          </w:p>
        </w:tc>
        <w:tc>
          <w:tcPr>
            <w:tcW w:w="3229" w:type="dxa"/>
          </w:tcPr>
          <w:p w14:paraId="265B494C" w14:textId="77777777" w:rsidR="00A65EA8" w:rsidRPr="000352BE" w:rsidRDefault="00A65EA8" w:rsidP="00F46425">
            <w:pPr>
              <w:spacing w:after="0" w:line="240" w:lineRule="auto"/>
              <w:jc w:val="both"/>
              <w:rPr>
                <w:rFonts w:ascii="Calibri" w:hAnsi="Calibri" w:cs="Calibri"/>
                <w:color w:val="auto"/>
                <w:sz w:val="16"/>
                <w:szCs w:val="16"/>
              </w:rPr>
            </w:pPr>
            <w:r w:rsidRPr="000352BE">
              <w:rPr>
                <w:rFonts w:ascii="Calibri" w:hAnsi="Calibri" w:cs="Calibri"/>
                <w:b/>
                <w:bCs/>
                <w:color w:val="auto"/>
                <w:sz w:val="16"/>
                <w:szCs w:val="16"/>
              </w:rPr>
              <w:t>Jumping on Mats</w:t>
            </w:r>
            <w:r w:rsidRPr="000352BE">
              <w:rPr>
                <w:rFonts w:ascii="Calibri" w:hAnsi="Calibri" w:cs="Calibri"/>
                <w:color w:val="auto"/>
                <w:sz w:val="16"/>
                <w:szCs w:val="16"/>
              </w:rPr>
              <w:t>: The child jumps from mat to mat in sequence without losing balance, testing dynamic postural control and coordination</w:t>
            </w:r>
          </w:p>
        </w:tc>
      </w:tr>
    </w:tbl>
    <w:p w14:paraId="000DE6B2" w14:textId="77777777" w:rsidR="00A65EA8" w:rsidRPr="000352BE" w:rsidRDefault="00A65EA8" w:rsidP="00A65EA8">
      <w:pPr>
        <w:spacing w:after="0" w:line="360" w:lineRule="auto"/>
        <w:jc w:val="both"/>
        <w:rPr>
          <w:rFonts w:ascii="Calibri" w:hAnsi="Calibri" w:cs="Calibri"/>
          <w:color w:val="auto"/>
          <w:sz w:val="22"/>
          <w:szCs w:val="22"/>
        </w:rPr>
      </w:pPr>
    </w:p>
    <w:p w14:paraId="3591ACB2" w14:textId="2FC7D068" w:rsidR="00A65EA8" w:rsidRPr="000352BE" w:rsidRDefault="00A65EA8" w:rsidP="00A65EA8">
      <w:pPr>
        <w:spacing w:after="0" w:line="360" w:lineRule="auto"/>
        <w:jc w:val="both"/>
        <w:rPr>
          <w:rFonts w:ascii="Calibri" w:hAnsi="Calibri" w:cs="Calibri"/>
          <w:color w:val="auto"/>
          <w:sz w:val="22"/>
          <w:szCs w:val="22"/>
        </w:rPr>
      </w:pPr>
      <w:r w:rsidRPr="000352BE">
        <w:rPr>
          <w:rFonts w:ascii="Calibri" w:hAnsi="Calibri" w:cs="Calibri"/>
          <w:color w:val="auto"/>
          <w:sz w:val="22"/>
          <w:szCs w:val="22"/>
        </w:rPr>
        <w:t>Each task produces raw scores based on accuracy, speed, or successful completions. These are converted into standard scores and further into percentile ranks that compare individual performance against normative data (Henderson, Sugden &amp; Barnett, 2007). A total score is calculated by combining results from all three subdomains, providing an overall assessment of the child’s motor competence. Scores falling below the 5th percentile are indicative of significant motor impairments, while scores between the 6th and 15th percentiles suggest a risk of motor difficulties. Scores above the 15th percentile have no movement difficulty (Blank et al., 2019).</w:t>
      </w:r>
      <w:r w:rsidR="00BA7FC6">
        <w:rPr>
          <w:rFonts w:ascii="Calibri" w:hAnsi="Calibri" w:cs="Calibri"/>
          <w:color w:val="auto"/>
          <w:sz w:val="22"/>
          <w:szCs w:val="22"/>
        </w:rPr>
        <w:t xml:space="preserve"> </w:t>
      </w:r>
      <w:r w:rsidRPr="000352BE">
        <w:rPr>
          <w:rFonts w:ascii="Calibri" w:hAnsi="Calibri" w:cs="Calibri"/>
          <w:color w:val="auto"/>
          <w:sz w:val="22"/>
          <w:szCs w:val="22"/>
        </w:rPr>
        <w:t>The MABC-2 was selected for this study due to its widespread acceptance in clinical and research contexts as a gold-standard measure for early identification of motor coordination difficulties. Its structured yet age-appropriate tasks support reliable assessment in young children, providing crucial data to compare against teacher-reported observations and other developmental screening tools (Henderson, Sugden &amp; Barnett, 2007).</w:t>
      </w:r>
    </w:p>
    <w:p w14:paraId="309AFDC9" w14:textId="77777777" w:rsidR="00A65EA8" w:rsidRPr="000352BE" w:rsidRDefault="00A65EA8" w:rsidP="00A65EA8">
      <w:pPr>
        <w:spacing w:after="0" w:line="360" w:lineRule="auto"/>
        <w:jc w:val="both"/>
        <w:rPr>
          <w:rFonts w:ascii="Calibri" w:hAnsi="Calibri" w:cs="Calibri"/>
          <w:color w:val="auto"/>
          <w:sz w:val="22"/>
          <w:szCs w:val="22"/>
        </w:rPr>
      </w:pPr>
    </w:p>
    <w:p w14:paraId="4506C8AF" w14:textId="77777777" w:rsidR="00A65EA8" w:rsidRPr="000352BE" w:rsidRDefault="00A65EA8" w:rsidP="00A65EA8">
      <w:pPr>
        <w:spacing w:after="0" w:line="360" w:lineRule="auto"/>
        <w:jc w:val="both"/>
        <w:rPr>
          <w:rFonts w:ascii="Calibri" w:hAnsi="Calibri" w:cs="Calibri"/>
          <w:b/>
          <w:bCs/>
          <w:caps/>
          <w:color w:val="auto"/>
          <w:sz w:val="22"/>
          <w:szCs w:val="22"/>
        </w:rPr>
      </w:pPr>
      <w:r w:rsidRPr="000352BE">
        <w:rPr>
          <w:rFonts w:ascii="Calibri" w:hAnsi="Calibri" w:cs="Calibri"/>
          <w:b/>
          <w:bCs/>
          <w:caps/>
          <w:color w:val="auto"/>
          <w:sz w:val="22"/>
          <w:szCs w:val="22"/>
        </w:rPr>
        <w:t>Early Years Framework – Prime Area of Physical Development</w:t>
      </w:r>
    </w:p>
    <w:p w14:paraId="2FB45359" w14:textId="613DB848" w:rsidR="00A65EA8" w:rsidRPr="000352BE" w:rsidRDefault="00A65EA8" w:rsidP="00A65EA8">
      <w:pPr>
        <w:spacing w:after="0" w:line="360" w:lineRule="auto"/>
        <w:jc w:val="both"/>
        <w:rPr>
          <w:rFonts w:ascii="Calibri" w:hAnsi="Calibri" w:cs="Calibri"/>
          <w:color w:val="auto"/>
          <w:sz w:val="22"/>
          <w:szCs w:val="22"/>
        </w:rPr>
      </w:pPr>
      <w:r w:rsidRPr="000352BE">
        <w:rPr>
          <w:rFonts w:ascii="Calibri" w:hAnsi="Calibri" w:cs="Calibri"/>
          <w:color w:val="auto"/>
          <w:sz w:val="22"/>
          <w:szCs w:val="22"/>
        </w:rPr>
        <w:t>The Early Years Foundation Stage (EYFSF) is a statutory guidance which EYFS teachers use for the learning and development of children from birth to five years old (Department for Education, 2021). It includes 17 Early Learning Goals (ELGs), with Physical Development classified as a prime area reflecting its foundational role in broader child development (Department for Education, 2021).</w:t>
      </w:r>
      <w:r w:rsidR="00BA7FC6">
        <w:rPr>
          <w:rFonts w:ascii="Calibri" w:hAnsi="Calibri" w:cs="Calibri"/>
          <w:color w:val="auto"/>
          <w:sz w:val="22"/>
          <w:szCs w:val="22"/>
        </w:rPr>
        <w:t xml:space="preserve"> </w:t>
      </w:r>
      <w:r w:rsidRPr="000352BE">
        <w:rPr>
          <w:rFonts w:ascii="Calibri" w:hAnsi="Calibri" w:cs="Calibri"/>
          <w:color w:val="auto"/>
          <w:sz w:val="22"/>
          <w:szCs w:val="22"/>
        </w:rPr>
        <w:t xml:space="preserve">Assessment in the EYFS requires teachers and support staff to gather evidence and then rate each child’s development in each ELG as Emerging, Expected, or Exceeding. A Good Level of Development (GLD) is achieved when children meet or exceed expectations in all of the ELGs. The Department for Education (2023) use this data to indicate the readiness to progress into Key Stage 1. </w:t>
      </w:r>
    </w:p>
    <w:p w14:paraId="33EE40C5" w14:textId="77777777" w:rsidR="00A65EA8" w:rsidRDefault="00A65EA8" w:rsidP="00A65EA8">
      <w:pPr>
        <w:spacing w:after="0" w:line="360" w:lineRule="auto"/>
        <w:jc w:val="both"/>
        <w:rPr>
          <w:rFonts w:ascii="Calibri" w:hAnsi="Calibri" w:cs="Calibri"/>
          <w:caps/>
          <w:color w:val="auto"/>
          <w:sz w:val="22"/>
          <w:szCs w:val="22"/>
        </w:rPr>
      </w:pPr>
    </w:p>
    <w:p w14:paraId="2B8186AF" w14:textId="77777777" w:rsidR="00BA7FC6" w:rsidRPr="000352BE" w:rsidRDefault="00BA7FC6" w:rsidP="00A65EA8">
      <w:pPr>
        <w:spacing w:after="0" w:line="360" w:lineRule="auto"/>
        <w:jc w:val="both"/>
        <w:rPr>
          <w:rFonts w:ascii="Calibri" w:hAnsi="Calibri" w:cs="Calibri"/>
          <w:caps/>
          <w:color w:val="auto"/>
          <w:sz w:val="22"/>
          <w:szCs w:val="22"/>
        </w:rPr>
      </w:pPr>
    </w:p>
    <w:p w14:paraId="56378B53" w14:textId="77777777" w:rsidR="00A65EA8" w:rsidRPr="000352BE" w:rsidRDefault="00A65EA8" w:rsidP="00A65EA8">
      <w:pPr>
        <w:spacing w:after="0" w:line="360" w:lineRule="auto"/>
        <w:jc w:val="both"/>
        <w:rPr>
          <w:rFonts w:ascii="Calibri" w:hAnsi="Calibri" w:cs="Calibri"/>
          <w:b/>
          <w:bCs/>
          <w:caps/>
          <w:color w:val="auto"/>
          <w:sz w:val="22"/>
          <w:szCs w:val="22"/>
        </w:rPr>
      </w:pPr>
      <w:r w:rsidRPr="000352BE">
        <w:rPr>
          <w:rFonts w:ascii="Calibri" w:hAnsi="Calibri" w:cs="Calibri"/>
          <w:b/>
          <w:bCs/>
          <w:caps/>
          <w:color w:val="auto"/>
          <w:sz w:val="22"/>
          <w:szCs w:val="22"/>
        </w:rPr>
        <w:lastRenderedPageBreak/>
        <w:t>Participants</w:t>
      </w:r>
    </w:p>
    <w:p w14:paraId="2BE8CD1D" w14:textId="77777777" w:rsidR="00A65EA8" w:rsidRPr="000352BE" w:rsidRDefault="00A65EA8" w:rsidP="00A65EA8">
      <w:pPr>
        <w:spacing w:after="0" w:line="360" w:lineRule="auto"/>
        <w:jc w:val="both"/>
        <w:rPr>
          <w:rFonts w:ascii="Calibri" w:hAnsi="Calibri" w:cs="Calibri"/>
          <w:color w:val="auto"/>
          <w:sz w:val="22"/>
          <w:szCs w:val="22"/>
        </w:rPr>
      </w:pPr>
      <w:r w:rsidRPr="000352BE">
        <w:rPr>
          <w:rFonts w:ascii="Calibri" w:hAnsi="Calibri" w:cs="Calibri"/>
          <w:color w:val="auto"/>
          <w:sz w:val="22"/>
          <w:szCs w:val="22"/>
        </w:rPr>
        <w:t xml:space="preserve">A total of 70 children participated in this study, comprising 36 females and 34 males. These children were drawn from two primary school settings located within two different local council areas. Participants were selected based on parental consent, which was obtained prior to their involvement in the research to ensure ethical compliance and voluntary participation. Due to GDPR, both schools gained consent on the behalf of the research, but this was not directly handed over before the study, participants were then released to the testing area, based on parental consent. All children were in Year 1 of their schooling, having recently completed the EYFS. During the EYFS, each child was assessed and assigned a developmental level specifically for PD, based on teacher observations and </w:t>
      </w:r>
      <w:r>
        <w:rPr>
          <w:rFonts w:ascii="Calibri" w:hAnsi="Calibri" w:cs="Calibri"/>
          <w:color w:val="auto"/>
          <w:sz w:val="22"/>
          <w:szCs w:val="22"/>
        </w:rPr>
        <w:t>standardised</w:t>
      </w:r>
      <w:r w:rsidRPr="000352BE">
        <w:rPr>
          <w:rFonts w:ascii="Calibri" w:hAnsi="Calibri" w:cs="Calibri"/>
          <w:color w:val="auto"/>
          <w:sz w:val="22"/>
          <w:szCs w:val="22"/>
        </w:rPr>
        <w:t xml:space="preserve"> criteria. The primary focus of this study was to compare these EYFS PD levels with the children’s performance on the Movement Assessment Battery for Children – Second Edition (MABC-2) test. This comparison aimed to explore the relationship between early developmental assessments and </w:t>
      </w:r>
      <w:r>
        <w:rPr>
          <w:rFonts w:ascii="Calibri" w:hAnsi="Calibri" w:cs="Calibri"/>
          <w:color w:val="auto"/>
          <w:sz w:val="22"/>
          <w:szCs w:val="22"/>
        </w:rPr>
        <w:t>standardised</w:t>
      </w:r>
      <w:r w:rsidRPr="000352BE">
        <w:rPr>
          <w:rFonts w:ascii="Calibri" w:hAnsi="Calibri" w:cs="Calibri"/>
          <w:color w:val="auto"/>
          <w:sz w:val="22"/>
          <w:szCs w:val="22"/>
        </w:rPr>
        <w:t xml:space="preserve"> motor skill evaluations.</w:t>
      </w:r>
    </w:p>
    <w:p w14:paraId="1D11A2D6" w14:textId="77777777" w:rsidR="00A65EA8" w:rsidRPr="000352BE" w:rsidRDefault="00A65EA8" w:rsidP="00A65EA8">
      <w:pPr>
        <w:spacing w:after="0" w:line="360" w:lineRule="auto"/>
        <w:jc w:val="both"/>
        <w:rPr>
          <w:rFonts w:ascii="Calibri" w:hAnsi="Calibri" w:cs="Calibri"/>
          <w:color w:val="auto"/>
          <w:sz w:val="22"/>
          <w:szCs w:val="22"/>
        </w:rPr>
      </w:pPr>
    </w:p>
    <w:p w14:paraId="48A0A24A" w14:textId="77777777" w:rsidR="00A65EA8" w:rsidRPr="000352BE" w:rsidRDefault="00A65EA8" w:rsidP="00A65EA8">
      <w:pPr>
        <w:spacing w:after="0" w:line="360" w:lineRule="auto"/>
        <w:jc w:val="both"/>
        <w:rPr>
          <w:rFonts w:ascii="Calibri" w:hAnsi="Calibri" w:cs="Calibri"/>
          <w:b/>
          <w:bCs/>
          <w:caps/>
          <w:color w:val="auto"/>
          <w:sz w:val="22"/>
          <w:szCs w:val="22"/>
        </w:rPr>
      </w:pPr>
      <w:r w:rsidRPr="000352BE">
        <w:rPr>
          <w:rFonts w:ascii="Calibri" w:hAnsi="Calibri" w:cs="Calibri"/>
          <w:b/>
          <w:bCs/>
          <w:caps/>
          <w:color w:val="auto"/>
          <w:sz w:val="22"/>
          <w:szCs w:val="22"/>
        </w:rPr>
        <w:t xml:space="preserve">Ethical Considerations </w:t>
      </w:r>
    </w:p>
    <w:p w14:paraId="7D8CDD5B" w14:textId="0570ABD3" w:rsidR="00A65EA8" w:rsidRPr="000352BE" w:rsidRDefault="00A65EA8" w:rsidP="00A65EA8">
      <w:pPr>
        <w:spacing w:after="0" w:line="360" w:lineRule="auto"/>
        <w:jc w:val="both"/>
        <w:rPr>
          <w:rFonts w:ascii="Calibri" w:hAnsi="Calibri" w:cs="Calibri"/>
          <w:color w:val="auto"/>
          <w:sz w:val="22"/>
          <w:szCs w:val="22"/>
        </w:rPr>
      </w:pPr>
      <w:r w:rsidRPr="000352BE">
        <w:rPr>
          <w:rFonts w:ascii="Calibri" w:hAnsi="Calibri" w:cs="Calibri"/>
          <w:color w:val="auto"/>
          <w:sz w:val="22"/>
          <w:szCs w:val="22"/>
        </w:rPr>
        <w:t>Ethical approval for this study was obtained from the University of Wales Trinity Saint David, ensuring that all research activities adhered to established ethical standards. Participation in the research was entirely voluntary, with no obligation for children or their families to take part. Prior to any testing, parental consent was compulsory; this consent was gathered through the schools acting as intermediaries. On the day of testing, a list containing each child’s name and date of birth was provided to confirm participants. Additionally, the schools gave formal approval for the testing to occur, which was confirmed through an official letter from the school office.</w:t>
      </w:r>
      <w:r w:rsidR="00BA7FC6">
        <w:rPr>
          <w:rFonts w:ascii="Calibri" w:hAnsi="Calibri" w:cs="Calibri"/>
          <w:color w:val="auto"/>
          <w:sz w:val="22"/>
          <w:szCs w:val="22"/>
        </w:rPr>
        <w:t xml:space="preserve"> </w:t>
      </w:r>
      <w:r w:rsidRPr="000352BE">
        <w:rPr>
          <w:rFonts w:ascii="Calibri" w:hAnsi="Calibri" w:cs="Calibri"/>
          <w:color w:val="auto"/>
          <w:sz w:val="22"/>
          <w:szCs w:val="22"/>
        </w:rPr>
        <w:t>Children were free to pause or withdraw from the testing at any time, without pressure or coercion to continue. To further ensure a pressure-free and supportive atmosphere, all testing was conducted in familiar school settings. By following this approach and adhering closely to the testing protocol, the research aimed to collect reliable and valid data while prioritising the welfare of each participant. After testing was completed, all collected data were anonymised to protect the identity and privacy of each child, ensuring confidentiality in line with ethical guidelines. Kitchin (2007) emphasises the importance of respecting participant autonomy in research, highlighting that individuals should be free to make their own informed decisions regarding participation.</w:t>
      </w:r>
    </w:p>
    <w:p w14:paraId="2014F002" w14:textId="77777777" w:rsidR="00A65EA8" w:rsidRPr="000352BE" w:rsidRDefault="00A65EA8" w:rsidP="00A65EA8">
      <w:pPr>
        <w:spacing w:after="0" w:line="360" w:lineRule="auto"/>
        <w:jc w:val="both"/>
        <w:rPr>
          <w:rFonts w:ascii="Calibri" w:hAnsi="Calibri" w:cs="Calibri"/>
          <w:color w:val="auto"/>
          <w:sz w:val="22"/>
          <w:szCs w:val="22"/>
        </w:rPr>
      </w:pPr>
    </w:p>
    <w:p w14:paraId="5E48519E" w14:textId="77777777" w:rsidR="00A65EA8" w:rsidRPr="000352BE" w:rsidRDefault="00A65EA8" w:rsidP="00A65EA8">
      <w:pPr>
        <w:spacing w:after="0" w:line="360" w:lineRule="auto"/>
        <w:jc w:val="both"/>
        <w:rPr>
          <w:rFonts w:ascii="Calibri" w:hAnsi="Calibri" w:cs="Calibri"/>
          <w:b/>
          <w:bCs/>
          <w:caps/>
          <w:color w:val="auto"/>
          <w:sz w:val="22"/>
          <w:szCs w:val="22"/>
        </w:rPr>
      </w:pPr>
      <w:r w:rsidRPr="000352BE">
        <w:rPr>
          <w:rFonts w:ascii="Calibri" w:hAnsi="Calibri" w:cs="Calibri"/>
          <w:b/>
          <w:bCs/>
          <w:caps/>
          <w:color w:val="auto"/>
          <w:sz w:val="22"/>
          <w:szCs w:val="22"/>
        </w:rPr>
        <w:t xml:space="preserve">Data Collection </w:t>
      </w:r>
    </w:p>
    <w:p w14:paraId="7D0E870C" w14:textId="3A2E8E39" w:rsidR="00A65EA8" w:rsidRPr="000352BE" w:rsidRDefault="00A65EA8" w:rsidP="00A65EA8">
      <w:pPr>
        <w:spacing w:after="0" w:line="360" w:lineRule="auto"/>
        <w:jc w:val="both"/>
        <w:rPr>
          <w:rFonts w:ascii="Calibri" w:hAnsi="Calibri" w:cs="Calibri"/>
          <w:color w:val="auto"/>
          <w:sz w:val="22"/>
          <w:szCs w:val="22"/>
        </w:rPr>
      </w:pPr>
      <w:r w:rsidRPr="000352BE">
        <w:rPr>
          <w:rFonts w:ascii="Calibri" w:hAnsi="Calibri" w:cs="Calibri"/>
          <w:color w:val="auto"/>
          <w:sz w:val="22"/>
          <w:szCs w:val="22"/>
        </w:rPr>
        <w:t xml:space="preserve">Data collection took place over 4 days at the 2 settings. The MABC-2 was set up identically in each setting using the protocol and equipment provided. MABC-2 proformas were used to record the raw data during the testing following the protocol outlined in the testing handbook. Raw performance scores were recorded on MABC-2 proformas during each session in accordance with the scoring instructions. The use of </w:t>
      </w:r>
      <w:r>
        <w:rPr>
          <w:rFonts w:ascii="Calibri" w:hAnsi="Calibri" w:cs="Calibri"/>
          <w:color w:val="auto"/>
          <w:sz w:val="22"/>
          <w:szCs w:val="22"/>
        </w:rPr>
        <w:t>standardised</w:t>
      </w:r>
      <w:r w:rsidRPr="000352BE">
        <w:rPr>
          <w:rFonts w:ascii="Calibri" w:hAnsi="Calibri" w:cs="Calibri"/>
          <w:color w:val="auto"/>
          <w:sz w:val="22"/>
          <w:szCs w:val="22"/>
        </w:rPr>
        <w:t xml:space="preserve"> equipment and consistent administration procedures ensured the reliability of the data collected. Following completion of testing, raw scores were converted into </w:t>
      </w:r>
      <w:r>
        <w:rPr>
          <w:rFonts w:ascii="Calibri" w:hAnsi="Calibri" w:cs="Calibri"/>
          <w:color w:val="auto"/>
          <w:sz w:val="22"/>
          <w:szCs w:val="22"/>
        </w:rPr>
        <w:t>standardised</w:t>
      </w:r>
      <w:r w:rsidRPr="000352BE">
        <w:rPr>
          <w:rFonts w:ascii="Calibri" w:hAnsi="Calibri" w:cs="Calibri"/>
          <w:color w:val="auto"/>
          <w:sz w:val="22"/>
          <w:szCs w:val="22"/>
        </w:rPr>
        <w:t xml:space="preserve"> scores and percentiles using the normative data provided by the MABC-2 manual. These scores indicated each child’s relative motor performance compared to age-matched peers within the normative sample, thereby highlighting any motor delays or difficulties.</w:t>
      </w:r>
      <w:r w:rsidR="00BA7FC6">
        <w:rPr>
          <w:rFonts w:ascii="Calibri" w:hAnsi="Calibri" w:cs="Calibri"/>
          <w:color w:val="auto"/>
          <w:sz w:val="22"/>
          <w:szCs w:val="22"/>
        </w:rPr>
        <w:t xml:space="preserve"> </w:t>
      </w:r>
      <w:r w:rsidRPr="000352BE">
        <w:rPr>
          <w:rFonts w:ascii="Calibri" w:hAnsi="Calibri" w:cs="Calibri"/>
          <w:color w:val="auto"/>
          <w:sz w:val="22"/>
          <w:szCs w:val="22"/>
        </w:rPr>
        <w:t xml:space="preserve">EYFS Data for </w:t>
      </w:r>
      <w:r>
        <w:rPr>
          <w:rFonts w:ascii="Calibri" w:hAnsi="Calibri" w:cs="Calibri"/>
          <w:color w:val="auto"/>
          <w:sz w:val="22"/>
          <w:szCs w:val="22"/>
        </w:rPr>
        <w:t>PD</w:t>
      </w:r>
      <w:r w:rsidRPr="000352BE">
        <w:rPr>
          <w:rFonts w:ascii="Calibri" w:hAnsi="Calibri" w:cs="Calibri"/>
          <w:color w:val="auto"/>
          <w:sz w:val="22"/>
          <w:szCs w:val="22"/>
        </w:rPr>
        <w:t xml:space="preserve"> were obtained from each school, and the scores were then paired alongside the MABC-2 results which allowed direct comparisons between observational assessments and </w:t>
      </w:r>
      <w:r>
        <w:rPr>
          <w:rFonts w:ascii="Calibri" w:hAnsi="Calibri" w:cs="Calibri"/>
          <w:color w:val="auto"/>
          <w:sz w:val="22"/>
          <w:szCs w:val="22"/>
        </w:rPr>
        <w:t>standardised</w:t>
      </w:r>
      <w:r w:rsidRPr="000352BE">
        <w:rPr>
          <w:rFonts w:ascii="Calibri" w:hAnsi="Calibri" w:cs="Calibri"/>
          <w:color w:val="auto"/>
          <w:sz w:val="22"/>
          <w:szCs w:val="22"/>
        </w:rPr>
        <w:t xml:space="preserve"> testing outcomes.</w:t>
      </w:r>
    </w:p>
    <w:p w14:paraId="315FCBB9" w14:textId="77777777" w:rsidR="00A65EA8" w:rsidRPr="000352BE" w:rsidRDefault="00A65EA8" w:rsidP="00A65EA8">
      <w:pPr>
        <w:spacing w:after="0" w:line="360" w:lineRule="auto"/>
        <w:jc w:val="both"/>
        <w:rPr>
          <w:rFonts w:ascii="Calibri" w:hAnsi="Calibri" w:cs="Calibri"/>
          <w:b/>
          <w:bCs/>
          <w:caps/>
          <w:color w:val="auto"/>
          <w:sz w:val="22"/>
          <w:szCs w:val="22"/>
        </w:rPr>
      </w:pPr>
      <w:r w:rsidRPr="000352BE">
        <w:rPr>
          <w:rFonts w:ascii="Calibri" w:hAnsi="Calibri" w:cs="Calibri"/>
          <w:b/>
          <w:bCs/>
          <w:caps/>
          <w:color w:val="auto"/>
          <w:sz w:val="22"/>
          <w:szCs w:val="22"/>
        </w:rPr>
        <w:lastRenderedPageBreak/>
        <w:t>Data Analysis</w:t>
      </w:r>
    </w:p>
    <w:p w14:paraId="4317557E" w14:textId="77777777" w:rsidR="00A65EA8" w:rsidRPr="000352BE" w:rsidRDefault="00A65EA8" w:rsidP="00A65EA8">
      <w:pPr>
        <w:spacing w:after="0" w:line="360" w:lineRule="auto"/>
        <w:jc w:val="both"/>
        <w:rPr>
          <w:rFonts w:ascii="Calibri" w:hAnsi="Calibri" w:cs="Calibri"/>
          <w:color w:val="auto"/>
          <w:sz w:val="22"/>
          <w:szCs w:val="22"/>
        </w:rPr>
      </w:pPr>
      <w:r w:rsidRPr="000352BE">
        <w:rPr>
          <w:rFonts w:ascii="Calibri" w:hAnsi="Calibri" w:cs="Calibri"/>
          <w:color w:val="auto"/>
          <w:sz w:val="22"/>
          <w:szCs w:val="22"/>
        </w:rPr>
        <w:t xml:space="preserve">Data analysis focused on examining the relationship between EYFS PD ratings and </w:t>
      </w:r>
      <w:r>
        <w:rPr>
          <w:rFonts w:ascii="Calibri" w:hAnsi="Calibri" w:cs="Calibri"/>
          <w:color w:val="auto"/>
          <w:sz w:val="22"/>
          <w:szCs w:val="22"/>
        </w:rPr>
        <w:t>standardised</w:t>
      </w:r>
      <w:r w:rsidRPr="000352BE">
        <w:rPr>
          <w:rFonts w:ascii="Calibri" w:hAnsi="Calibri" w:cs="Calibri"/>
          <w:color w:val="auto"/>
          <w:sz w:val="22"/>
          <w:szCs w:val="22"/>
        </w:rPr>
        <w:t xml:space="preserve"> motor scores from the MABC-2. The first stage involved anonymising and organising both datasets to ensure accuracy, consistency, and readiness for analysis. Once anonymised, the EYFS assessment data and MABC-2 scores were merged to create a single, cohesive spreadsheet, allowing direct comparison of each child’s performance across both measures.</w:t>
      </w:r>
    </w:p>
    <w:p w14:paraId="7137A214" w14:textId="77777777" w:rsidR="00A65EA8" w:rsidRPr="000352BE" w:rsidRDefault="00A65EA8" w:rsidP="00A65EA8">
      <w:pPr>
        <w:spacing w:after="0" w:line="360" w:lineRule="auto"/>
        <w:jc w:val="both"/>
        <w:rPr>
          <w:rFonts w:ascii="Calibri" w:hAnsi="Calibri" w:cs="Calibri"/>
          <w:color w:val="auto"/>
          <w:sz w:val="22"/>
          <w:szCs w:val="22"/>
        </w:rPr>
      </w:pPr>
      <w:r w:rsidRPr="000352BE">
        <w:rPr>
          <w:rFonts w:ascii="Calibri" w:hAnsi="Calibri" w:cs="Calibri"/>
          <w:color w:val="auto"/>
          <w:sz w:val="22"/>
          <w:szCs w:val="22"/>
        </w:rPr>
        <w:t>Descriptive statistics for the EYFS data was produced to find gender splits, difference between fine and gross motor skills, and overall, how many children obtained a good level of development.</w:t>
      </w:r>
    </w:p>
    <w:p w14:paraId="7E51DB43" w14:textId="77777777" w:rsidR="00A65EA8" w:rsidRPr="000352BE" w:rsidRDefault="00A65EA8" w:rsidP="00A65EA8">
      <w:pPr>
        <w:spacing w:after="0" w:line="360" w:lineRule="auto"/>
        <w:jc w:val="both"/>
        <w:rPr>
          <w:rFonts w:ascii="Calibri" w:hAnsi="Calibri" w:cs="Calibri"/>
          <w:color w:val="auto"/>
          <w:sz w:val="22"/>
          <w:szCs w:val="22"/>
        </w:rPr>
      </w:pPr>
      <w:r w:rsidRPr="000352BE">
        <w:rPr>
          <w:rFonts w:ascii="Calibri" w:hAnsi="Calibri" w:cs="Calibri"/>
          <w:color w:val="auto"/>
          <w:sz w:val="22"/>
          <w:szCs w:val="22"/>
        </w:rPr>
        <w:t>MABC-2 data was again subjected to finding percentages, and frequency distributions as well as crosstabulations differences by gender, setting, and specific domains of the MABC-2 highlighting areas of strength and weakness. This approach provided a structured way for identifying trends, discrepancies, and potential areas of concern within the children’s physical development outcomes.</w:t>
      </w:r>
    </w:p>
    <w:p w14:paraId="25559F3D" w14:textId="77777777" w:rsidR="00A65EA8" w:rsidRPr="000352BE" w:rsidRDefault="00A65EA8" w:rsidP="00A65EA8">
      <w:pPr>
        <w:spacing w:after="0" w:line="360" w:lineRule="auto"/>
        <w:jc w:val="both"/>
        <w:rPr>
          <w:rFonts w:ascii="Calibri" w:hAnsi="Calibri" w:cs="Calibri"/>
          <w:color w:val="auto"/>
          <w:sz w:val="22"/>
          <w:szCs w:val="22"/>
        </w:rPr>
      </w:pPr>
    </w:p>
    <w:p w14:paraId="60CAB16A" w14:textId="77777777" w:rsidR="00A65EA8" w:rsidRPr="000352BE" w:rsidRDefault="00A65EA8" w:rsidP="00A65EA8">
      <w:pPr>
        <w:spacing w:line="360" w:lineRule="auto"/>
        <w:jc w:val="both"/>
        <w:rPr>
          <w:rFonts w:ascii="Calibri" w:hAnsi="Calibri" w:cs="Calibri"/>
          <w:color w:val="auto"/>
          <w:sz w:val="22"/>
          <w:szCs w:val="22"/>
        </w:rPr>
      </w:pPr>
      <w:r w:rsidRPr="000352BE">
        <w:rPr>
          <w:rFonts w:ascii="Calibri" w:hAnsi="Calibri" w:cs="Calibri"/>
          <w:color w:val="auto"/>
          <w:sz w:val="22"/>
          <w:szCs w:val="22"/>
        </w:rPr>
        <w:t xml:space="preserve">This chapter provides and overview of the research design used to address the research question. It outlines the quantitative approach and the methods for data collection including the Motor Assessment Battery for Children. An overview of the participants, ethical considerations and data analysis. </w:t>
      </w:r>
    </w:p>
    <w:p w14:paraId="0F45417C" w14:textId="2A1CBE0F" w:rsidR="00A65EA8" w:rsidRDefault="00A65EA8" w:rsidP="00A65EA8">
      <w:pPr>
        <w:spacing w:line="360" w:lineRule="auto"/>
        <w:jc w:val="both"/>
        <w:rPr>
          <w:rFonts w:ascii="Calibri" w:hAnsi="Calibri" w:cs="Calibri"/>
          <w:color w:val="auto"/>
          <w:sz w:val="22"/>
          <w:szCs w:val="22"/>
        </w:rPr>
      </w:pPr>
      <w:r w:rsidRPr="000352BE">
        <w:rPr>
          <w:rFonts w:ascii="Calibri" w:hAnsi="Calibri" w:cs="Calibri"/>
          <w:color w:val="auto"/>
          <w:sz w:val="22"/>
          <w:szCs w:val="22"/>
        </w:rPr>
        <w:t>The next chapter will</w:t>
      </w:r>
      <w:r>
        <w:rPr>
          <w:rFonts w:ascii="Calibri" w:hAnsi="Calibri" w:cs="Calibri"/>
          <w:color w:val="auto"/>
          <w:sz w:val="22"/>
          <w:szCs w:val="22"/>
        </w:rPr>
        <w:t xml:space="preserve"> present the results from the analysis of data</w:t>
      </w:r>
      <w:r w:rsidRPr="000352BE">
        <w:rPr>
          <w:rFonts w:ascii="Calibri" w:hAnsi="Calibri" w:cs="Calibri"/>
          <w:color w:val="auto"/>
          <w:sz w:val="22"/>
          <w:szCs w:val="22"/>
        </w:rPr>
        <w:t>.</w:t>
      </w:r>
    </w:p>
    <w:p w14:paraId="7BFF038D" w14:textId="77777777" w:rsidR="00A65EA8" w:rsidRDefault="00A65EA8" w:rsidP="00A65EA8">
      <w:pPr>
        <w:spacing w:line="360" w:lineRule="auto"/>
        <w:jc w:val="both"/>
        <w:rPr>
          <w:rFonts w:ascii="Calibri" w:hAnsi="Calibri" w:cs="Calibri"/>
          <w:color w:val="auto"/>
          <w:sz w:val="22"/>
          <w:szCs w:val="22"/>
        </w:rPr>
      </w:pPr>
    </w:p>
    <w:p w14:paraId="65C814AF" w14:textId="77777777" w:rsidR="00A65EA8" w:rsidRPr="00A65EA8" w:rsidRDefault="00A65EA8" w:rsidP="00A65EA8">
      <w:pPr>
        <w:spacing w:line="360" w:lineRule="auto"/>
        <w:jc w:val="both"/>
        <w:rPr>
          <w:rFonts w:ascii="Calibri" w:hAnsi="Calibri" w:cs="Calibri"/>
          <w:color w:val="auto"/>
          <w:sz w:val="22"/>
          <w:szCs w:val="22"/>
        </w:rPr>
      </w:pPr>
    </w:p>
    <w:p w14:paraId="05E9D66E" w14:textId="77777777" w:rsidR="00A65EA8" w:rsidRDefault="00A65EA8"/>
    <w:p w14:paraId="39B64577" w14:textId="77777777" w:rsidR="00A65EA8" w:rsidRDefault="00A65EA8"/>
    <w:p w14:paraId="5F6A4224" w14:textId="77777777" w:rsidR="00A65EA8" w:rsidRDefault="00A65EA8"/>
    <w:p w14:paraId="42B90F32" w14:textId="77777777" w:rsidR="00A65EA8" w:rsidRDefault="00A65EA8"/>
    <w:p w14:paraId="2BD22C2C" w14:textId="77777777" w:rsidR="00A65EA8" w:rsidRDefault="00A65EA8"/>
    <w:p w14:paraId="3A4F4BA7" w14:textId="77777777" w:rsidR="00A65EA8" w:rsidRDefault="00A65EA8"/>
    <w:p w14:paraId="5E509512" w14:textId="77777777" w:rsidR="00A65EA8" w:rsidRDefault="00A65EA8"/>
    <w:p w14:paraId="7672E107" w14:textId="77777777" w:rsidR="00A65EA8" w:rsidRDefault="00A65EA8"/>
    <w:p w14:paraId="305C242D" w14:textId="77777777" w:rsidR="00A65EA8" w:rsidRDefault="00A65EA8"/>
    <w:p w14:paraId="1FC36BC8" w14:textId="77777777" w:rsidR="00BA7FC6" w:rsidRDefault="00BA7FC6"/>
    <w:p w14:paraId="5CE6EDBC" w14:textId="77777777" w:rsidR="00BA7FC6" w:rsidRDefault="00BA7FC6"/>
    <w:p w14:paraId="53009E0C" w14:textId="77777777" w:rsidR="00BA7FC6" w:rsidRDefault="00BA7FC6"/>
    <w:p w14:paraId="1FB0E0BE" w14:textId="77777777" w:rsidR="00BA7FC6" w:rsidRDefault="00BA7FC6"/>
    <w:p w14:paraId="2FA89BF9" w14:textId="77777777" w:rsidR="00BA7FC6" w:rsidRDefault="00BA7FC6"/>
    <w:p w14:paraId="74FFFC96" w14:textId="77777777" w:rsidR="00BA7FC6" w:rsidRDefault="00BA7FC6"/>
    <w:p w14:paraId="17E7FB28" w14:textId="77777777" w:rsidR="00BA7FC6" w:rsidRDefault="00BA7FC6"/>
    <w:p w14:paraId="081B1FDB" w14:textId="77777777" w:rsidR="00BA7FC6" w:rsidRDefault="00BA7FC6"/>
    <w:p w14:paraId="314D460A" w14:textId="77777777" w:rsidR="00A65EA8" w:rsidRDefault="00A65EA8"/>
    <w:p w14:paraId="08FFCB82" w14:textId="77777777" w:rsidR="00A65EA8" w:rsidRDefault="00A65EA8"/>
    <w:p w14:paraId="1CE8D27A" w14:textId="77777777" w:rsidR="00A65EA8" w:rsidRDefault="00A65EA8"/>
    <w:p w14:paraId="33DCC405" w14:textId="77777777" w:rsidR="002A7944" w:rsidRPr="000352BE" w:rsidRDefault="002A7944" w:rsidP="002A7944">
      <w:pPr>
        <w:spacing w:after="0" w:line="360" w:lineRule="auto"/>
        <w:rPr>
          <w:rFonts w:ascii="Calibri" w:hAnsi="Calibri" w:cs="Calibri"/>
          <w:caps/>
          <w:color w:val="auto"/>
          <w:sz w:val="44"/>
          <w:szCs w:val="44"/>
        </w:rPr>
      </w:pPr>
      <w:r w:rsidRPr="000352BE">
        <w:rPr>
          <w:rFonts w:ascii="Calibri" w:hAnsi="Calibri" w:cs="Calibri"/>
          <w:caps/>
          <w:color w:val="auto"/>
          <w:sz w:val="44"/>
          <w:szCs w:val="44"/>
        </w:rPr>
        <w:lastRenderedPageBreak/>
        <w:t>Results</w:t>
      </w:r>
    </w:p>
    <w:p w14:paraId="34E2E778" w14:textId="20A66B3D" w:rsidR="002A7944" w:rsidRPr="000352BE" w:rsidRDefault="002A7944" w:rsidP="002A7944">
      <w:pPr>
        <w:spacing w:after="0" w:line="360" w:lineRule="auto"/>
        <w:jc w:val="both"/>
        <w:rPr>
          <w:rFonts w:ascii="Calibri" w:hAnsi="Calibri" w:cs="Calibri"/>
          <w:color w:val="auto"/>
          <w:sz w:val="22"/>
          <w:szCs w:val="22"/>
        </w:rPr>
      </w:pPr>
      <w:r w:rsidRPr="000352BE">
        <w:rPr>
          <w:rFonts w:ascii="Calibri" w:hAnsi="Calibri" w:cs="Calibri"/>
          <w:color w:val="auto"/>
          <w:sz w:val="22"/>
          <w:szCs w:val="22"/>
        </w:rPr>
        <w:t>The purpose of this chapter is to present the findings from a comparative analysis of children’s physical development outcomes as measured by the Movement Assessment Battery for Children (MABC-2) and the Early Years Foundation Stage (EYFS) Physical Development data.</w:t>
      </w:r>
      <w:r w:rsidR="00CB33F0">
        <w:rPr>
          <w:rFonts w:ascii="Calibri" w:hAnsi="Calibri" w:cs="Calibri"/>
          <w:color w:val="auto"/>
          <w:sz w:val="22"/>
          <w:szCs w:val="22"/>
        </w:rPr>
        <w:t xml:space="preserve"> </w:t>
      </w:r>
      <w:r w:rsidRPr="000352BE">
        <w:rPr>
          <w:rFonts w:ascii="Calibri" w:hAnsi="Calibri" w:cs="Calibri"/>
          <w:color w:val="auto"/>
          <w:sz w:val="22"/>
          <w:szCs w:val="22"/>
        </w:rPr>
        <w:t>The results indicate a substantial discrepancy between the two measures. Teacher assessments suggested that over 68% of children demonstrated good levels of physical development; however, the MABC-2 identified more than 70% of the same cohort as performing below the 15th percentile, categorising them as delayed or at risk of developmental delay.</w:t>
      </w:r>
      <w:r w:rsidR="00CB33F0">
        <w:rPr>
          <w:rFonts w:ascii="Calibri" w:hAnsi="Calibri" w:cs="Calibri"/>
          <w:color w:val="auto"/>
          <w:sz w:val="22"/>
          <w:szCs w:val="22"/>
        </w:rPr>
        <w:t xml:space="preserve"> </w:t>
      </w:r>
      <w:r w:rsidRPr="000352BE">
        <w:rPr>
          <w:rFonts w:ascii="Calibri" w:hAnsi="Calibri" w:cs="Calibri"/>
          <w:color w:val="auto"/>
          <w:sz w:val="22"/>
          <w:szCs w:val="22"/>
        </w:rPr>
        <w:t>These findings raise important questions about the accuracy and reliability of observational teacher judgements when compared to standardised assessments. To explore these issues in greater depth, the results presented in this chapter are organised into several sections. First, descriptive statistics outline the distribution of scores across both assessment methods. Next, the degree of alignment and mismatch between teacher judgements and MABC-2 classifications are examined. Finally, subgroup analyses, including gender differences and variations across motor skill domains, are presented to provide a more detailed understanding of the patterns emerging from the data.</w:t>
      </w:r>
    </w:p>
    <w:p w14:paraId="7FD6C646" w14:textId="77777777" w:rsidR="002A7944" w:rsidRPr="000352BE" w:rsidRDefault="002A7944" w:rsidP="002A7944">
      <w:pPr>
        <w:spacing w:after="0" w:line="360" w:lineRule="auto"/>
        <w:jc w:val="both"/>
        <w:rPr>
          <w:rFonts w:ascii="Calibri" w:hAnsi="Calibri" w:cs="Calibri"/>
          <w:color w:val="auto"/>
          <w:sz w:val="22"/>
          <w:szCs w:val="22"/>
        </w:rPr>
      </w:pPr>
    </w:p>
    <w:p w14:paraId="6D8169E8" w14:textId="53C0567F" w:rsidR="002A7944" w:rsidRPr="000352BE" w:rsidRDefault="002A7944" w:rsidP="002A7944">
      <w:pPr>
        <w:spacing w:after="0" w:line="360" w:lineRule="auto"/>
        <w:jc w:val="both"/>
        <w:rPr>
          <w:rFonts w:ascii="Calibri" w:hAnsi="Calibri" w:cs="Calibri"/>
          <w:color w:val="auto"/>
          <w:sz w:val="22"/>
          <w:szCs w:val="22"/>
        </w:rPr>
      </w:pPr>
      <w:r w:rsidRPr="000352BE">
        <w:rPr>
          <w:rFonts w:ascii="Calibri" w:hAnsi="Calibri" w:cs="Calibri"/>
          <w:color w:val="auto"/>
          <w:sz w:val="22"/>
          <w:szCs w:val="22"/>
        </w:rPr>
        <w:t xml:space="preserve">The MABC-2 is a </w:t>
      </w:r>
      <w:r w:rsidR="00DA53C0">
        <w:rPr>
          <w:rFonts w:ascii="Calibri" w:hAnsi="Calibri" w:cs="Calibri"/>
          <w:color w:val="auto"/>
          <w:sz w:val="22"/>
          <w:szCs w:val="22"/>
        </w:rPr>
        <w:t>standardised</w:t>
      </w:r>
      <w:r w:rsidRPr="000352BE">
        <w:rPr>
          <w:rFonts w:ascii="Calibri" w:hAnsi="Calibri" w:cs="Calibri"/>
          <w:color w:val="auto"/>
          <w:sz w:val="22"/>
          <w:szCs w:val="22"/>
        </w:rPr>
        <w:t xml:space="preserve"> test used to measure children’s fine and gross motor skills by comparing them to other children their age using </w:t>
      </w:r>
      <w:r w:rsidR="00F604AB">
        <w:rPr>
          <w:rFonts w:ascii="Calibri" w:hAnsi="Calibri" w:cs="Calibri"/>
          <w:color w:val="auto"/>
          <w:sz w:val="22"/>
          <w:szCs w:val="22"/>
        </w:rPr>
        <w:t>standardised</w:t>
      </w:r>
      <w:r w:rsidRPr="000352BE">
        <w:rPr>
          <w:rFonts w:ascii="Calibri" w:hAnsi="Calibri" w:cs="Calibri"/>
          <w:color w:val="auto"/>
          <w:sz w:val="22"/>
          <w:szCs w:val="22"/>
        </w:rPr>
        <w:t xml:space="preserve"> results (Henderson, Sugden &amp; Barnett, 2007). The EYFS assessments are based on teachers’ observations of each individual child’s development whilst in the EYFS. The EYFS Data gives a more subjective but broad view of their physical progress (Department for Education, 2021). This chapter will look at how teacher assessments and </w:t>
      </w:r>
      <w:r w:rsidR="00DA53C0">
        <w:rPr>
          <w:rFonts w:ascii="Calibri" w:hAnsi="Calibri" w:cs="Calibri"/>
          <w:color w:val="auto"/>
          <w:sz w:val="22"/>
          <w:szCs w:val="22"/>
        </w:rPr>
        <w:t>standardised</w:t>
      </w:r>
      <w:r w:rsidRPr="000352BE">
        <w:rPr>
          <w:rFonts w:ascii="Calibri" w:hAnsi="Calibri" w:cs="Calibri"/>
          <w:color w:val="auto"/>
          <w:sz w:val="22"/>
          <w:szCs w:val="22"/>
        </w:rPr>
        <w:t xml:space="preserve"> tests compare when it comes to highlighting children with motor skill difficulties.</w:t>
      </w:r>
    </w:p>
    <w:p w14:paraId="18C8DA80" w14:textId="77777777" w:rsidR="002A7944" w:rsidRPr="000352BE" w:rsidRDefault="002A7944" w:rsidP="002A7944">
      <w:pPr>
        <w:spacing w:after="0" w:line="360" w:lineRule="auto"/>
        <w:jc w:val="both"/>
        <w:rPr>
          <w:rFonts w:ascii="Calibri" w:hAnsi="Calibri" w:cs="Calibri"/>
          <w:color w:val="auto"/>
          <w:sz w:val="22"/>
          <w:szCs w:val="22"/>
        </w:rPr>
      </w:pPr>
      <w:r w:rsidRPr="000352BE">
        <w:rPr>
          <w:rFonts w:ascii="Calibri" w:hAnsi="Calibri" w:cs="Calibri"/>
          <w:color w:val="auto"/>
          <w:sz w:val="22"/>
          <w:szCs w:val="22"/>
        </w:rPr>
        <w:t>The study sample consisted of 70 children drawn from two primary schools, with ages ranging from 5 years 0 months to 6 years 11 months. The group was closely balanced by gender, comprising 34 males and 36 females. All participants completed the MABC-2 assessments under controlled conditions within their respective schools to ensure standardisation. In addition, the corresponding Early Years Foundation Stage (EYFS) Physical Development assessment data was collected for each child to allow comparison across measures.</w:t>
      </w:r>
    </w:p>
    <w:p w14:paraId="6C7325A8" w14:textId="77777777" w:rsidR="002A7944" w:rsidRPr="000352BE" w:rsidRDefault="002A7944" w:rsidP="002A7944">
      <w:pPr>
        <w:spacing w:after="0" w:line="360" w:lineRule="auto"/>
        <w:jc w:val="both"/>
        <w:rPr>
          <w:rFonts w:ascii="Calibri" w:hAnsi="Calibri" w:cs="Calibri"/>
          <w:color w:val="auto"/>
          <w:sz w:val="24"/>
          <w:szCs w:val="24"/>
        </w:rPr>
      </w:pPr>
    </w:p>
    <w:tbl>
      <w:tblPr>
        <w:tblW w:w="10716" w:type="dxa"/>
        <w:tblInd w:w="10" w:type="dxa"/>
        <w:tbl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insideH w:val="single" w:sz="4" w:space="0" w:color="D9D9D9" w:themeColor="background1" w:themeShade="D9"/>
          <w:insideV w:val="single" w:sz="4" w:space="0" w:color="D9D9D9" w:themeColor="background1" w:themeShade="D9"/>
        </w:tblBorders>
        <w:tblLayout w:type="fixed"/>
        <w:tblCellMar>
          <w:left w:w="10" w:type="dxa"/>
          <w:right w:w="10" w:type="dxa"/>
        </w:tblCellMar>
        <w:tblLook w:val="04A0" w:firstRow="1" w:lastRow="0" w:firstColumn="1" w:lastColumn="0" w:noHBand="0" w:noVBand="1"/>
      </w:tblPr>
      <w:tblGrid>
        <w:gridCol w:w="3572"/>
        <w:gridCol w:w="3572"/>
        <w:gridCol w:w="3572"/>
      </w:tblGrid>
      <w:tr w:rsidR="002A7944" w:rsidRPr="000352BE" w14:paraId="5C6492AA" w14:textId="77777777" w:rsidTr="00006714">
        <w:trPr>
          <w:trHeight w:val="454"/>
        </w:trPr>
        <w:tc>
          <w:tcPr>
            <w:tcW w:w="3572" w:type="dxa"/>
            <w:vAlign w:val="center"/>
          </w:tcPr>
          <w:p w14:paraId="187890F9" w14:textId="77777777" w:rsidR="002A7944" w:rsidRPr="000352BE" w:rsidRDefault="002A7944" w:rsidP="00006714">
            <w:pPr>
              <w:spacing w:before="15" w:after="5" w:line="360" w:lineRule="auto"/>
              <w:ind w:left="30" w:right="40"/>
              <w:jc w:val="center"/>
              <w:rPr>
                <w:rFonts w:ascii="Calibri" w:hAnsi="Calibri" w:cs="Calibri"/>
                <w:color w:val="auto"/>
              </w:rPr>
            </w:pPr>
          </w:p>
        </w:tc>
        <w:tc>
          <w:tcPr>
            <w:tcW w:w="3572" w:type="dxa"/>
            <w:vAlign w:val="center"/>
          </w:tcPr>
          <w:p w14:paraId="645E6C82" w14:textId="77777777" w:rsidR="002A7944" w:rsidRPr="000352BE" w:rsidRDefault="002A7944" w:rsidP="00006714">
            <w:pPr>
              <w:spacing w:before="10" w:after="10" w:line="360" w:lineRule="auto"/>
              <w:ind w:left="30" w:right="40"/>
              <w:jc w:val="center"/>
              <w:rPr>
                <w:rFonts w:ascii="Calibri" w:hAnsi="Calibri" w:cs="Calibri"/>
                <w:b/>
                <w:bCs/>
                <w:color w:val="auto"/>
              </w:rPr>
            </w:pPr>
            <w:r w:rsidRPr="000352BE">
              <w:rPr>
                <w:rFonts w:ascii="Calibri" w:eastAsia="Arial" w:hAnsi="Calibri" w:cs="Calibri"/>
                <w:b/>
                <w:bCs/>
                <w:color w:val="auto"/>
                <w:sz w:val="24"/>
              </w:rPr>
              <w:t>Frequency</w:t>
            </w:r>
          </w:p>
        </w:tc>
        <w:tc>
          <w:tcPr>
            <w:tcW w:w="3572" w:type="dxa"/>
            <w:vAlign w:val="center"/>
          </w:tcPr>
          <w:p w14:paraId="15759F15" w14:textId="77777777" w:rsidR="002A7944" w:rsidRPr="000352BE" w:rsidRDefault="002A7944" w:rsidP="00006714">
            <w:pPr>
              <w:spacing w:before="10" w:after="10" w:line="360" w:lineRule="auto"/>
              <w:ind w:left="30" w:right="40"/>
              <w:jc w:val="center"/>
              <w:rPr>
                <w:rFonts w:ascii="Calibri" w:hAnsi="Calibri" w:cs="Calibri"/>
                <w:b/>
                <w:bCs/>
                <w:color w:val="auto"/>
              </w:rPr>
            </w:pPr>
            <w:r w:rsidRPr="000352BE">
              <w:rPr>
                <w:rFonts w:ascii="Calibri" w:eastAsia="Arial" w:hAnsi="Calibri" w:cs="Calibri"/>
                <w:b/>
                <w:bCs/>
                <w:color w:val="auto"/>
                <w:sz w:val="24"/>
              </w:rPr>
              <w:t>Percent</w:t>
            </w:r>
          </w:p>
        </w:tc>
      </w:tr>
      <w:tr w:rsidR="002A7944" w:rsidRPr="000352BE" w14:paraId="5EFC9D3F" w14:textId="77777777" w:rsidTr="00006714">
        <w:trPr>
          <w:trHeight w:val="454"/>
        </w:trPr>
        <w:tc>
          <w:tcPr>
            <w:tcW w:w="3572" w:type="dxa"/>
            <w:vAlign w:val="center"/>
          </w:tcPr>
          <w:p w14:paraId="195B59C7" w14:textId="77777777" w:rsidR="002A7944" w:rsidRPr="000352BE" w:rsidRDefault="002A7944" w:rsidP="00006714">
            <w:pPr>
              <w:spacing w:before="15" w:after="10" w:line="360" w:lineRule="auto"/>
              <w:ind w:left="30" w:right="40"/>
              <w:jc w:val="center"/>
              <w:rPr>
                <w:rFonts w:ascii="Calibri" w:hAnsi="Calibri" w:cs="Calibri"/>
                <w:b/>
                <w:bCs/>
                <w:caps/>
                <w:color w:val="auto"/>
              </w:rPr>
            </w:pPr>
            <w:r w:rsidRPr="000352BE">
              <w:rPr>
                <w:rFonts w:ascii="Calibri" w:eastAsia="Arial" w:hAnsi="Calibri" w:cs="Calibri"/>
                <w:b/>
                <w:bCs/>
                <w:caps/>
                <w:color w:val="auto"/>
                <w:sz w:val="24"/>
              </w:rPr>
              <w:t>Male</w:t>
            </w:r>
          </w:p>
        </w:tc>
        <w:tc>
          <w:tcPr>
            <w:tcW w:w="3572" w:type="dxa"/>
            <w:vAlign w:val="center"/>
          </w:tcPr>
          <w:p w14:paraId="608FEED9" w14:textId="77777777" w:rsidR="002A7944" w:rsidRPr="000352BE" w:rsidRDefault="002A7944" w:rsidP="00006714">
            <w:pPr>
              <w:spacing w:before="15" w:after="10" w:line="360" w:lineRule="auto"/>
              <w:ind w:left="30" w:right="40"/>
              <w:jc w:val="center"/>
              <w:rPr>
                <w:rFonts w:ascii="Calibri" w:hAnsi="Calibri" w:cs="Calibri"/>
                <w:color w:val="auto"/>
              </w:rPr>
            </w:pPr>
            <w:r w:rsidRPr="000352BE">
              <w:rPr>
                <w:rFonts w:ascii="Calibri" w:eastAsia="Arial" w:hAnsi="Calibri" w:cs="Calibri"/>
                <w:color w:val="auto"/>
                <w:sz w:val="24"/>
              </w:rPr>
              <w:t>34</w:t>
            </w:r>
          </w:p>
        </w:tc>
        <w:tc>
          <w:tcPr>
            <w:tcW w:w="3572" w:type="dxa"/>
            <w:vAlign w:val="center"/>
          </w:tcPr>
          <w:p w14:paraId="0CCAE695" w14:textId="77777777" w:rsidR="002A7944" w:rsidRPr="000352BE" w:rsidRDefault="002A7944" w:rsidP="00006714">
            <w:pPr>
              <w:spacing w:before="15" w:after="10" w:line="360" w:lineRule="auto"/>
              <w:ind w:left="30" w:right="40"/>
              <w:jc w:val="center"/>
              <w:rPr>
                <w:rFonts w:ascii="Calibri" w:hAnsi="Calibri" w:cs="Calibri"/>
                <w:color w:val="auto"/>
              </w:rPr>
            </w:pPr>
            <w:r w:rsidRPr="000352BE">
              <w:rPr>
                <w:rFonts w:ascii="Calibri" w:eastAsia="Arial" w:hAnsi="Calibri" w:cs="Calibri"/>
                <w:color w:val="auto"/>
                <w:sz w:val="24"/>
              </w:rPr>
              <w:t>48.6</w:t>
            </w:r>
          </w:p>
        </w:tc>
      </w:tr>
      <w:tr w:rsidR="002A7944" w:rsidRPr="000352BE" w14:paraId="79B19F06" w14:textId="77777777" w:rsidTr="00006714">
        <w:trPr>
          <w:trHeight w:val="454"/>
        </w:trPr>
        <w:tc>
          <w:tcPr>
            <w:tcW w:w="3572" w:type="dxa"/>
            <w:vAlign w:val="center"/>
          </w:tcPr>
          <w:p w14:paraId="1C295FCB" w14:textId="77777777" w:rsidR="002A7944" w:rsidRPr="000352BE" w:rsidRDefault="002A7944" w:rsidP="00006714">
            <w:pPr>
              <w:spacing w:before="15" w:after="10" w:line="360" w:lineRule="auto"/>
              <w:ind w:left="30" w:right="40"/>
              <w:jc w:val="center"/>
              <w:rPr>
                <w:rFonts w:ascii="Calibri" w:hAnsi="Calibri" w:cs="Calibri"/>
                <w:b/>
                <w:bCs/>
                <w:caps/>
                <w:color w:val="auto"/>
              </w:rPr>
            </w:pPr>
            <w:r w:rsidRPr="000352BE">
              <w:rPr>
                <w:rFonts w:ascii="Calibri" w:eastAsia="Arial" w:hAnsi="Calibri" w:cs="Calibri"/>
                <w:b/>
                <w:bCs/>
                <w:caps/>
                <w:color w:val="auto"/>
                <w:sz w:val="24"/>
              </w:rPr>
              <w:t>Female</w:t>
            </w:r>
          </w:p>
        </w:tc>
        <w:tc>
          <w:tcPr>
            <w:tcW w:w="3572" w:type="dxa"/>
            <w:vAlign w:val="center"/>
          </w:tcPr>
          <w:p w14:paraId="7A4CA36B" w14:textId="77777777" w:rsidR="002A7944" w:rsidRPr="000352BE" w:rsidRDefault="002A7944" w:rsidP="00006714">
            <w:pPr>
              <w:spacing w:before="15" w:after="10" w:line="360" w:lineRule="auto"/>
              <w:ind w:left="30" w:right="40"/>
              <w:jc w:val="center"/>
              <w:rPr>
                <w:rFonts w:ascii="Calibri" w:hAnsi="Calibri" w:cs="Calibri"/>
                <w:color w:val="auto"/>
              </w:rPr>
            </w:pPr>
            <w:r w:rsidRPr="000352BE">
              <w:rPr>
                <w:rFonts w:ascii="Calibri" w:eastAsia="Arial" w:hAnsi="Calibri" w:cs="Calibri"/>
                <w:color w:val="auto"/>
                <w:sz w:val="24"/>
              </w:rPr>
              <w:t>36</w:t>
            </w:r>
          </w:p>
        </w:tc>
        <w:tc>
          <w:tcPr>
            <w:tcW w:w="3572" w:type="dxa"/>
            <w:vAlign w:val="center"/>
          </w:tcPr>
          <w:p w14:paraId="6926344F" w14:textId="77777777" w:rsidR="002A7944" w:rsidRPr="000352BE" w:rsidRDefault="002A7944" w:rsidP="00006714">
            <w:pPr>
              <w:spacing w:before="15" w:after="10" w:line="360" w:lineRule="auto"/>
              <w:ind w:left="30" w:right="40"/>
              <w:jc w:val="center"/>
              <w:rPr>
                <w:rFonts w:ascii="Calibri" w:hAnsi="Calibri" w:cs="Calibri"/>
                <w:color w:val="auto"/>
              </w:rPr>
            </w:pPr>
            <w:r w:rsidRPr="000352BE">
              <w:rPr>
                <w:rFonts w:ascii="Calibri" w:eastAsia="Arial" w:hAnsi="Calibri" w:cs="Calibri"/>
                <w:color w:val="auto"/>
                <w:sz w:val="24"/>
              </w:rPr>
              <w:t>51.4</w:t>
            </w:r>
          </w:p>
        </w:tc>
      </w:tr>
      <w:tr w:rsidR="002A7944" w:rsidRPr="000352BE" w14:paraId="2FD4B4CE" w14:textId="77777777" w:rsidTr="00006714">
        <w:trPr>
          <w:trHeight w:val="454"/>
        </w:trPr>
        <w:tc>
          <w:tcPr>
            <w:tcW w:w="3572" w:type="dxa"/>
            <w:tcBorders>
              <w:bottom w:val="single" w:sz="4" w:space="0" w:color="D9D9D9" w:themeColor="background1" w:themeShade="D9"/>
            </w:tcBorders>
            <w:vAlign w:val="center"/>
          </w:tcPr>
          <w:p w14:paraId="2E2EB1B3" w14:textId="77777777" w:rsidR="002A7944" w:rsidRPr="000352BE" w:rsidRDefault="002A7944" w:rsidP="00006714">
            <w:pPr>
              <w:spacing w:before="15" w:after="10" w:line="360" w:lineRule="auto"/>
              <w:ind w:left="30" w:right="40"/>
              <w:jc w:val="center"/>
              <w:rPr>
                <w:rFonts w:ascii="Calibri" w:hAnsi="Calibri" w:cs="Calibri"/>
                <w:b/>
                <w:bCs/>
                <w:caps/>
                <w:color w:val="auto"/>
              </w:rPr>
            </w:pPr>
            <w:r w:rsidRPr="000352BE">
              <w:rPr>
                <w:rFonts w:ascii="Calibri" w:eastAsia="Arial" w:hAnsi="Calibri" w:cs="Calibri"/>
                <w:b/>
                <w:bCs/>
                <w:caps/>
                <w:color w:val="auto"/>
                <w:sz w:val="24"/>
              </w:rPr>
              <w:t>Total</w:t>
            </w:r>
          </w:p>
        </w:tc>
        <w:tc>
          <w:tcPr>
            <w:tcW w:w="3572" w:type="dxa"/>
            <w:tcBorders>
              <w:bottom w:val="single" w:sz="4" w:space="0" w:color="D9D9D9" w:themeColor="background1" w:themeShade="D9"/>
            </w:tcBorders>
            <w:vAlign w:val="center"/>
          </w:tcPr>
          <w:p w14:paraId="5063F811" w14:textId="77777777" w:rsidR="002A7944" w:rsidRPr="000352BE" w:rsidRDefault="002A7944" w:rsidP="00006714">
            <w:pPr>
              <w:spacing w:before="15" w:after="10" w:line="360" w:lineRule="auto"/>
              <w:ind w:left="30" w:right="40"/>
              <w:jc w:val="center"/>
              <w:rPr>
                <w:rFonts w:ascii="Calibri" w:hAnsi="Calibri" w:cs="Calibri"/>
                <w:color w:val="auto"/>
              </w:rPr>
            </w:pPr>
            <w:r w:rsidRPr="000352BE">
              <w:rPr>
                <w:rFonts w:ascii="Calibri" w:eastAsia="Arial" w:hAnsi="Calibri" w:cs="Calibri"/>
                <w:color w:val="auto"/>
                <w:sz w:val="24"/>
              </w:rPr>
              <w:t>70</w:t>
            </w:r>
          </w:p>
        </w:tc>
        <w:tc>
          <w:tcPr>
            <w:tcW w:w="3572" w:type="dxa"/>
            <w:tcBorders>
              <w:bottom w:val="single" w:sz="4" w:space="0" w:color="D9D9D9" w:themeColor="background1" w:themeShade="D9"/>
            </w:tcBorders>
            <w:vAlign w:val="center"/>
          </w:tcPr>
          <w:p w14:paraId="26308E6D" w14:textId="77777777" w:rsidR="002A7944" w:rsidRPr="000352BE" w:rsidRDefault="002A7944" w:rsidP="00006714">
            <w:pPr>
              <w:spacing w:before="15" w:after="10" w:line="360" w:lineRule="auto"/>
              <w:ind w:left="30" w:right="40"/>
              <w:jc w:val="center"/>
              <w:rPr>
                <w:rFonts w:ascii="Calibri" w:hAnsi="Calibri" w:cs="Calibri"/>
                <w:color w:val="auto"/>
              </w:rPr>
            </w:pPr>
            <w:r w:rsidRPr="000352BE">
              <w:rPr>
                <w:rFonts w:ascii="Calibri" w:eastAsia="Arial" w:hAnsi="Calibri" w:cs="Calibri"/>
                <w:color w:val="auto"/>
                <w:sz w:val="24"/>
              </w:rPr>
              <w:t>100.0</w:t>
            </w:r>
          </w:p>
        </w:tc>
      </w:tr>
      <w:tr w:rsidR="002A7944" w:rsidRPr="000352BE" w14:paraId="57276E15" w14:textId="77777777" w:rsidTr="00006714">
        <w:trPr>
          <w:trHeight w:val="283"/>
        </w:trPr>
        <w:tc>
          <w:tcPr>
            <w:tcW w:w="10716" w:type="dxa"/>
            <w:gridSpan w:val="3"/>
            <w:tcBorders>
              <w:top w:val="single" w:sz="4" w:space="0" w:color="D9D9D9" w:themeColor="background1" w:themeShade="D9"/>
              <w:left w:val="nil"/>
              <w:bottom w:val="nil"/>
              <w:right w:val="nil"/>
            </w:tcBorders>
            <w:vAlign w:val="center"/>
          </w:tcPr>
          <w:p w14:paraId="0E290813" w14:textId="77777777" w:rsidR="002A7944" w:rsidRPr="000352BE" w:rsidRDefault="002A7944" w:rsidP="00006714">
            <w:pPr>
              <w:spacing w:before="15" w:after="10" w:line="360" w:lineRule="auto"/>
              <w:ind w:left="30" w:right="40"/>
              <w:jc w:val="right"/>
              <w:rPr>
                <w:rFonts w:ascii="Calibri" w:eastAsia="Arial" w:hAnsi="Calibri" w:cs="Calibri"/>
                <w:color w:val="auto"/>
                <w:sz w:val="24"/>
              </w:rPr>
            </w:pPr>
            <w:r w:rsidRPr="000352BE">
              <w:rPr>
                <w:rFonts w:ascii="Calibri" w:eastAsia="Arial" w:hAnsi="Calibri" w:cs="Calibri"/>
                <w:color w:val="auto"/>
                <w:sz w:val="20"/>
                <w:szCs w:val="10"/>
              </w:rPr>
              <w:t>Table 1: Gender Distribution</w:t>
            </w:r>
          </w:p>
        </w:tc>
      </w:tr>
    </w:tbl>
    <w:p w14:paraId="1EB709C7" w14:textId="77777777" w:rsidR="002A7944" w:rsidRPr="000352BE" w:rsidRDefault="002A7944" w:rsidP="002A7944">
      <w:pPr>
        <w:spacing w:after="0" w:line="360" w:lineRule="auto"/>
        <w:jc w:val="both"/>
        <w:rPr>
          <w:rFonts w:ascii="Calibri" w:hAnsi="Calibri" w:cs="Calibri"/>
          <w:color w:val="auto"/>
          <w:sz w:val="24"/>
          <w:szCs w:val="24"/>
        </w:rPr>
      </w:pPr>
    </w:p>
    <w:p w14:paraId="6EFECB37" w14:textId="77777777" w:rsidR="002A7944" w:rsidRPr="000352BE" w:rsidRDefault="002A7944" w:rsidP="002A7944">
      <w:pPr>
        <w:spacing w:after="0" w:line="360" w:lineRule="auto"/>
        <w:jc w:val="both"/>
        <w:rPr>
          <w:rFonts w:ascii="Calibri" w:hAnsi="Calibri" w:cs="Calibri"/>
          <w:color w:val="auto"/>
          <w:sz w:val="22"/>
          <w:szCs w:val="22"/>
        </w:rPr>
      </w:pPr>
      <w:r w:rsidRPr="000352BE">
        <w:rPr>
          <w:rFonts w:ascii="Calibri" w:hAnsi="Calibri" w:cs="Calibri"/>
          <w:color w:val="auto"/>
          <w:sz w:val="22"/>
          <w:szCs w:val="22"/>
        </w:rPr>
        <w:t>EYFS Physical Development shows that teacher assessment in the participating schools is that 68.66% of children attained a Good Level of Development (GLD) in Physical Development, with females slightly outperforming males (Table 2).</w:t>
      </w:r>
    </w:p>
    <w:p w14:paraId="3FC6F876" w14:textId="77777777" w:rsidR="002A7944" w:rsidRPr="000352BE" w:rsidRDefault="002A7944" w:rsidP="002A7944">
      <w:pPr>
        <w:spacing w:after="0" w:line="360" w:lineRule="auto"/>
        <w:rPr>
          <w:rFonts w:ascii="Calibri" w:hAnsi="Calibri" w:cs="Calibri"/>
          <w:color w:val="auto"/>
          <w:sz w:val="12"/>
          <w:szCs w:val="12"/>
        </w:rPr>
      </w:pPr>
    </w:p>
    <w:p w14:paraId="4F36ADE5" w14:textId="77777777" w:rsidR="002A7944" w:rsidRPr="000352BE" w:rsidRDefault="002A7944" w:rsidP="002A7944">
      <w:pPr>
        <w:spacing w:after="0" w:line="360" w:lineRule="auto"/>
        <w:rPr>
          <w:rFonts w:ascii="Calibri" w:hAnsi="Calibri" w:cs="Calibri"/>
          <w:color w:val="auto"/>
          <w:sz w:val="12"/>
          <w:szCs w:val="12"/>
        </w:rPr>
      </w:pPr>
    </w:p>
    <w:p w14:paraId="7FB9FAA9" w14:textId="77777777" w:rsidR="002A7944" w:rsidRPr="000352BE" w:rsidRDefault="002A7944" w:rsidP="002A7944">
      <w:pPr>
        <w:spacing w:after="0" w:line="360" w:lineRule="auto"/>
        <w:rPr>
          <w:rFonts w:ascii="Calibri" w:hAnsi="Calibri" w:cs="Calibri"/>
          <w:color w:val="auto"/>
          <w:sz w:val="12"/>
          <w:szCs w:val="12"/>
        </w:rPr>
      </w:pPr>
    </w:p>
    <w:p w14:paraId="1CD228BF" w14:textId="77777777" w:rsidR="002A7944" w:rsidRPr="000352BE" w:rsidRDefault="002A7944" w:rsidP="002A7944">
      <w:pPr>
        <w:spacing w:after="0" w:line="360" w:lineRule="auto"/>
        <w:rPr>
          <w:rFonts w:ascii="Calibri" w:hAnsi="Calibri" w:cs="Calibri"/>
          <w:color w:val="auto"/>
          <w:sz w:val="12"/>
          <w:szCs w:val="12"/>
        </w:rPr>
      </w:pPr>
    </w:p>
    <w:p w14:paraId="4571EAE6" w14:textId="77777777" w:rsidR="002A7944" w:rsidRPr="000352BE" w:rsidRDefault="002A7944" w:rsidP="002A7944">
      <w:pPr>
        <w:spacing w:after="0" w:line="360" w:lineRule="auto"/>
        <w:rPr>
          <w:rFonts w:ascii="Calibri" w:hAnsi="Calibri" w:cs="Calibri"/>
          <w:color w:val="auto"/>
          <w:sz w:val="12"/>
          <w:szCs w:val="12"/>
        </w:rPr>
      </w:pPr>
    </w:p>
    <w:p w14:paraId="3E4D4648" w14:textId="77777777" w:rsidR="002A7944" w:rsidRPr="000352BE" w:rsidRDefault="002A7944" w:rsidP="002A7944">
      <w:pPr>
        <w:spacing w:after="0" w:line="360" w:lineRule="auto"/>
        <w:rPr>
          <w:rFonts w:ascii="Calibri" w:hAnsi="Calibri" w:cs="Calibri"/>
          <w:color w:val="auto"/>
          <w:sz w:val="12"/>
          <w:szCs w:val="12"/>
        </w:rPr>
      </w:pPr>
    </w:p>
    <w:p w14:paraId="358E11FF" w14:textId="77777777" w:rsidR="002A7944" w:rsidRPr="000352BE" w:rsidRDefault="002A7944" w:rsidP="002A7944">
      <w:pPr>
        <w:spacing w:after="0" w:line="360" w:lineRule="auto"/>
        <w:rPr>
          <w:rFonts w:ascii="Calibri" w:hAnsi="Calibri" w:cs="Calibri"/>
          <w:color w:val="auto"/>
          <w:sz w:val="12"/>
          <w:szCs w:val="12"/>
        </w:rPr>
      </w:pPr>
    </w:p>
    <w:tbl>
      <w:tblPr>
        <w:tblW w:w="1081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402"/>
        <w:gridCol w:w="2268"/>
        <w:gridCol w:w="1030"/>
        <w:gridCol w:w="777"/>
        <w:gridCol w:w="882"/>
        <w:gridCol w:w="2457"/>
      </w:tblGrid>
      <w:tr w:rsidR="002A7944" w:rsidRPr="000352BE" w14:paraId="416BE214" w14:textId="77777777" w:rsidTr="00006714">
        <w:trPr>
          <w:trHeight w:val="510"/>
        </w:trPr>
        <w:tc>
          <w:tcPr>
            <w:tcW w:w="3402"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noWrap/>
            <w:vAlign w:val="center"/>
          </w:tcPr>
          <w:p w14:paraId="2655354F" w14:textId="77777777" w:rsidR="002A7944" w:rsidRPr="000352BE" w:rsidRDefault="002A7944" w:rsidP="00006714">
            <w:pPr>
              <w:spacing w:after="0" w:line="240" w:lineRule="auto"/>
              <w:jc w:val="center"/>
              <w:rPr>
                <w:rFonts w:ascii="Calibri" w:eastAsia="Times New Roman" w:hAnsi="Calibri" w:cs="Calibri"/>
                <w:caps/>
                <w:color w:val="000000"/>
                <w:kern w:val="0"/>
                <w:sz w:val="20"/>
                <w:szCs w:val="20"/>
                <w:lang w:eastAsia="en-GB"/>
                <w14:ligatures w14:val="none"/>
              </w:rPr>
            </w:pPr>
          </w:p>
        </w:tc>
        <w:tc>
          <w:tcPr>
            <w:tcW w:w="2268"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noWrap/>
            <w:vAlign w:val="center"/>
          </w:tcPr>
          <w:p w14:paraId="2DEAF117" w14:textId="77777777" w:rsidR="002A7944" w:rsidRPr="000352BE" w:rsidRDefault="002A7944" w:rsidP="00006714">
            <w:pPr>
              <w:spacing w:after="0" w:line="240" w:lineRule="auto"/>
              <w:jc w:val="center"/>
              <w:rPr>
                <w:rFonts w:ascii="Calibri" w:eastAsia="Times New Roman" w:hAnsi="Calibri" w:cs="Calibri"/>
                <w:caps/>
                <w:color w:val="000000"/>
                <w:kern w:val="0"/>
                <w:sz w:val="20"/>
                <w:szCs w:val="20"/>
                <w:lang w:eastAsia="en-GB"/>
                <w14:ligatures w14:val="none"/>
              </w:rPr>
            </w:pPr>
            <w:r w:rsidRPr="000352BE">
              <w:rPr>
                <w:rFonts w:ascii="Calibri" w:eastAsia="Times New Roman" w:hAnsi="Calibri" w:cs="Calibri"/>
                <w:caps/>
                <w:color w:val="000000"/>
                <w:kern w:val="0"/>
                <w:sz w:val="20"/>
                <w:szCs w:val="20"/>
                <w:lang w:eastAsia="en-GB"/>
                <w14:ligatures w14:val="none"/>
              </w:rPr>
              <w:t>total</w:t>
            </w:r>
          </w:p>
        </w:tc>
        <w:tc>
          <w:tcPr>
            <w:tcW w:w="1994" w:type="dxa"/>
            <w:gridSpan w:val="2"/>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tcPr>
          <w:p w14:paraId="292FCD95" w14:textId="77777777" w:rsidR="002A7944" w:rsidRPr="000352BE" w:rsidRDefault="002A7944" w:rsidP="00006714">
            <w:pPr>
              <w:spacing w:after="0" w:line="240" w:lineRule="auto"/>
              <w:jc w:val="center"/>
              <w:rPr>
                <w:rFonts w:ascii="Calibri" w:eastAsia="Times New Roman" w:hAnsi="Calibri" w:cs="Calibri"/>
                <w:caps/>
                <w:color w:val="000000"/>
                <w:kern w:val="0"/>
                <w:sz w:val="20"/>
                <w:szCs w:val="20"/>
                <w:lang w:eastAsia="en-GB"/>
                <w14:ligatures w14:val="none"/>
              </w:rPr>
            </w:pPr>
            <w:r w:rsidRPr="000352BE">
              <w:rPr>
                <w:rFonts w:ascii="Calibri" w:eastAsia="Times New Roman" w:hAnsi="Calibri" w:cs="Calibri"/>
                <w:caps/>
                <w:color w:val="000000"/>
                <w:kern w:val="0"/>
                <w:sz w:val="20"/>
                <w:szCs w:val="20"/>
                <w:lang w:eastAsia="en-GB"/>
                <w14:ligatures w14:val="none"/>
              </w:rPr>
              <w:t>gender split</w:t>
            </w:r>
          </w:p>
        </w:tc>
        <w:tc>
          <w:tcPr>
            <w:tcW w:w="3152" w:type="dxa"/>
            <w:gridSpan w:val="2"/>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tcPr>
          <w:p w14:paraId="29EE98E2" w14:textId="77777777" w:rsidR="002A7944" w:rsidRPr="000352BE" w:rsidRDefault="002A7944" w:rsidP="00006714">
            <w:pPr>
              <w:spacing w:after="0" w:line="240" w:lineRule="auto"/>
              <w:jc w:val="center"/>
              <w:rPr>
                <w:rFonts w:ascii="Calibri" w:eastAsia="Times New Roman" w:hAnsi="Calibri" w:cs="Calibri"/>
                <w:caps/>
                <w:color w:val="000000"/>
                <w:kern w:val="0"/>
                <w:sz w:val="20"/>
                <w:szCs w:val="20"/>
                <w:lang w:eastAsia="en-GB"/>
                <w14:ligatures w14:val="none"/>
              </w:rPr>
            </w:pPr>
            <w:r w:rsidRPr="000352BE">
              <w:rPr>
                <w:rFonts w:ascii="Calibri" w:eastAsia="Times New Roman" w:hAnsi="Calibri" w:cs="Calibri"/>
                <w:caps/>
                <w:color w:val="000000"/>
                <w:kern w:val="0"/>
                <w:sz w:val="20"/>
                <w:szCs w:val="20"/>
                <w:lang w:eastAsia="en-GB"/>
                <w14:ligatures w14:val="none"/>
              </w:rPr>
              <w:t>percentage</w:t>
            </w:r>
          </w:p>
        </w:tc>
      </w:tr>
      <w:tr w:rsidR="002A7944" w:rsidRPr="000352BE" w14:paraId="5D4E949A" w14:textId="77777777" w:rsidTr="00006714">
        <w:trPr>
          <w:trHeight w:val="567"/>
        </w:trPr>
        <w:tc>
          <w:tcPr>
            <w:tcW w:w="3402" w:type="dxa"/>
            <w:vMerge w:val="restart"/>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noWrap/>
            <w:vAlign w:val="center"/>
            <w:hideMark/>
          </w:tcPr>
          <w:p w14:paraId="62CCFA25" w14:textId="77777777" w:rsidR="002A7944" w:rsidRPr="000352BE" w:rsidRDefault="002A7944" w:rsidP="00006714">
            <w:pPr>
              <w:spacing w:after="0" w:line="240" w:lineRule="auto"/>
              <w:jc w:val="center"/>
              <w:rPr>
                <w:rFonts w:ascii="Calibri" w:eastAsia="Times New Roman" w:hAnsi="Calibri" w:cs="Calibri"/>
                <w:b/>
                <w:bCs/>
                <w:caps/>
                <w:color w:val="000000"/>
                <w:kern w:val="0"/>
                <w:sz w:val="20"/>
                <w:szCs w:val="20"/>
                <w:lang w:eastAsia="en-GB"/>
                <w14:ligatures w14:val="none"/>
              </w:rPr>
            </w:pPr>
            <w:r w:rsidRPr="000352BE">
              <w:rPr>
                <w:rFonts w:ascii="Calibri" w:eastAsia="Times New Roman" w:hAnsi="Calibri" w:cs="Calibri"/>
                <w:b/>
                <w:bCs/>
                <w:caps/>
                <w:color w:val="000000"/>
                <w:kern w:val="0"/>
                <w:sz w:val="20"/>
                <w:szCs w:val="20"/>
                <w:lang w:eastAsia="en-GB"/>
                <w14:ligatures w14:val="none"/>
              </w:rPr>
              <w:t>GOOD LEVEL OF DEVELOPMENT (PHYSICAL DEVELOPMENT)</w:t>
            </w:r>
          </w:p>
        </w:tc>
        <w:tc>
          <w:tcPr>
            <w:tcW w:w="2268" w:type="dxa"/>
            <w:vMerge w:val="restart"/>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noWrap/>
            <w:vAlign w:val="center"/>
            <w:hideMark/>
          </w:tcPr>
          <w:p w14:paraId="6CA55852" w14:textId="77777777" w:rsidR="002A7944" w:rsidRPr="000352BE" w:rsidRDefault="002A7944" w:rsidP="00006714">
            <w:pPr>
              <w:spacing w:after="0" w:line="240" w:lineRule="auto"/>
              <w:jc w:val="center"/>
              <w:rPr>
                <w:rFonts w:ascii="Calibri" w:eastAsia="Times New Roman" w:hAnsi="Calibri" w:cs="Calibri"/>
                <w:caps/>
                <w:color w:val="000000"/>
                <w:kern w:val="0"/>
                <w:sz w:val="20"/>
                <w:szCs w:val="20"/>
                <w:lang w:eastAsia="en-GB"/>
                <w14:ligatures w14:val="none"/>
              </w:rPr>
            </w:pPr>
            <w:r w:rsidRPr="000352BE">
              <w:rPr>
                <w:rFonts w:ascii="Calibri" w:eastAsia="Times New Roman" w:hAnsi="Calibri" w:cs="Calibri"/>
                <w:caps/>
                <w:color w:val="000000"/>
                <w:kern w:val="0"/>
                <w:sz w:val="20"/>
                <w:szCs w:val="20"/>
                <w:lang w:eastAsia="en-GB"/>
                <w14:ligatures w14:val="none"/>
              </w:rPr>
              <w:t>46</w:t>
            </w:r>
          </w:p>
        </w:tc>
        <w:tc>
          <w:tcPr>
            <w:tcW w:w="1086"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tcPr>
          <w:p w14:paraId="1E3A3DCC" w14:textId="77777777" w:rsidR="002A7944" w:rsidRPr="000352BE" w:rsidRDefault="002A7944" w:rsidP="00006714">
            <w:pPr>
              <w:spacing w:after="0" w:line="240" w:lineRule="auto"/>
              <w:jc w:val="center"/>
              <w:rPr>
                <w:rFonts w:ascii="Calibri" w:eastAsia="Times New Roman" w:hAnsi="Calibri" w:cs="Calibri"/>
                <w:caps/>
                <w:color w:val="000000"/>
                <w:kern w:val="0"/>
                <w:sz w:val="20"/>
                <w:szCs w:val="20"/>
                <w:lang w:eastAsia="en-GB"/>
                <w14:ligatures w14:val="none"/>
              </w:rPr>
            </w:pPr>
            <w:r w:rsidRPr="000352BE">
              <w:rPr>
                <w:rFonts w:ascii="Calibri" w:eastAsia="Times New Roman" w:hAnsi="Calibri" w:cs="Calibri"/>
                <w:caps/>
                <w:color w:val="000000"/>
                <w:kern w:val="0"/>
                <w:sz w:val="20"/>
                <w:szCs w:val="20"/>
                <w:lang w:eastAsia="en-GB"/>
                <w14:ligatures w14:val="none"/>
              </w:rPr>
              <w:t>female</w:t>
            </w:r>
          </w:p>
        </w:tc>
        <w:tc>
          <w:tcPr>
            <w:tcW w:w="908"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tcPr>
          <w:p w14:paraId="3B618643" w14:textId="77777777" w:rsidR="002A7944" w:rsidRPr="000352BE" w:rsidRDefault="002A7944" w:rsidP="00006714">
            <w:pPr>
              <w:spacing w:after="0" w:line="240" w:lineRule="auto"/>
              <w:jc w:val="center"/>
              <w:rPr>
                <w:rFonts w:ascii="Calibri" w:eastAsia="Times New Roman" w:hAnsi="Calibri" w:cs="Calibri"/>
                <w:caps/>
                <w:color w:val="000000"/>
                <w:kern w:val="0"/>
                <w:sz w:val="20"/>
                <w:szCs w:val="20"/>
                <w:lang w:eastAsia="en-GB"/>
                <w14:ligatures w14:val="none"/>
              </w:rPr>
            </w:pPr>
            <w:r w:rsidRPr="000352BE">
              <w:rPr>
                <w:rFonts w:ascii="Calibri" w:eastAsia="Times New Roman" w:hAnsi="Calibri" w:cs="Calibri"/>
                <w:caps/>
                <w:color w:val="000000"/>
                <w:kern w:val="0"/>
                <w:sz w:val="20"/>
                <w:szCs w:val="20"/>
                <w:lang w:eastAsia="en-GB"/>
                <w14:ligatures w14:val="none"/>
              </w:rPr>
              <w:t>25</w:t>
            </w:r>
          </w:p>
        </w:tc>
        <w:tc>
          <w:tcPr>
            <w:tcW w:w="695"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tcPr>
          <w:p w14:paraId="2768994D" w14:textId="77777777" w:rsidR="002A7944" w:rsidRPr="000352BE" w:rsidRDefault="002A7944" w:rsidP="00006714">
            <w:pPr>
              <w:spacing w:after="0" w:line="240" w:lineRule="auto"/>
              <w:jc w:val="center"/>
              <w:rPr>
                <w:rFonts w:ascii="Calibri" w:eastAsia="Times New Roman" w:hAnsi="Calibri" w:cs="Calibri"/>
                <w:b/>
                <w:bCs/>
                <w:caps/>
                <w:color w:val="000000"/>
                <w:kern w:val="0"/>
                <w:sz w:val="22"/>
                <w:szCs w:val="22"/>
                <w:lang w:eastAsia="en-GB"/>
                <w14:ligatures w14:val="none"/>
              </w:rPr>
            </w:pPr>
            <w:r w:rsidRPr="000352BE">
              <w:rPr>
                <w:rFonts w:ascii="Calibri" w:eastAsia="Times New Roman" w:hAnsi="Calibri" w:cs="Calibri"/>
                <w:b/>
                <w:bCs/>
                <w:caps/>
                <w:color w:val="000000"/>
                <w:kern w:val="0"/>
                <w:sz w:val="22"/>
                <w:szCs w:val="22"/>
                <w:lang w:eastAsia="en-GB"/>
                <w14:ligatures w14:val="none"/>
              </w:rPr>
              <w:t>73.53%</w:t>
            </w:r>
          </w:p>
        </w:tc>
        <w:tc>
          <w:tcPr>
            <w:tcW w:w="2457" w:type="dxa"/>
            <w:vMerge w:val="restart"/>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noWrap/>
            <w:vAlign w:val="center"/>
            <w:hideMark/>
          </w:tcPr>
          <w:p w14:paraId="72CDD418" w14:textId="77777777" w:rsidR="002A7944" w:rsidRPr="000352BE" w:rsidRDefault="002A7944" w:rsidP="00006714">
            <w:pPr>
              <w:spacing w:after="0" w:line="240" w:lineRule="auto"/>
              <w:jc w:val="center"/>
              <w:rPr>
                <w:rFonts w:ascii="Calibri" w:eastAsia="Times New Roman" w:hAnsi="Calibri" w:cs="Calibri"/>
                <w:b/>
                <w:bCs/>
                <w:caps/>
                <w:color w:val="000000"/>
                <w:kern w:val="0"/>
                <w:sz w:val="28"/>
                <w:szCs w:val="28"/>
                <w:lang w:eastAsia="en-GB"/>
                <w14:ligatures w14:val="none"/>
              </w:rPr>
            </w:pPr>
            <w:r w:rsidRPr="000352BE">
              <w:rPr>
                <w:rFonts w:ascii="Calibri" w:eastAsia="Times New Roman" w:hAnsi="Calibri" w:cs="Calibri"/>
                <w:b/>
                <w:bCs/>
                <w:caps/>
                <w:color w:val="000000"/>
                <w:kern w:val="0"/>
                <w:sz w:val="28"/>
                <w:szCs w:val="28"/>
                <w:lang w:eastAsia="en-GB"/>
                <w14:ligatures w14:val="none"/>
              </w:rPr>
              <w:t>68.66%</w:t>
            </w:r>
          </w:p>
        </w:tc>
      </w:tr>
      <w:tr w:rsidR="002A7944" w:rsidRPr="000352BE" w14:paraId="2AAB018C" w14:textId="77777777" w:rsidTr="00006714">
        <w:trPr>
          <w:trHeight w:val="567"/>
        </w:trPr>
        <w:tc>
          <w:tcPr>
            <w:tcW w:w="3402" w:type="dxa"/>
            <w:vMerge/>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noWrap/>
            <w:vAlign w:val="center"/>
          </w:tcPr>
          <w:p w14:paraId="2AA7C9C3" w14:textId="77777777" w:rsidR="002A7944" w:rsidRPr="000352BE" w:rsidRDefault="002A7944" w:rsidP="00006714">
            <w:pPr>
              <w:spacing w:after="0" w:line="240" w:lineRule="auto"/>
              <w:jc w:val="center"/>
              <w:rPr>
                <w:rFonts w:ascii="Calibri" w:eastAsia="Times New Roman" w:hAnsi="Calibri" w:cs="Calibri"/>
                <w:b/>
                <w:bCs/>
                <w:caps/>
                <w:color w:val="000000"/>
                <w:kern w:val="0"/>
                <w:sz w:val="20"/>
                <w:szCs w:val="20"/>
                <w:lang w:eastAsia="en-GB"/>
                <w14:ligatures w14:val="none"/>
              </w:rPr>
            </w:pPr>
          </w:p>
        </w:tc>
        <w:tc>
          <w:tcPr>
            <w:tcW w:w="2268" w:type="dxa"/>
            <w:vMerge/>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noWrap/>
            <w:vAlign w:val="center"/>
          </w:tcPr>
          <w:p w14:paraId="01F41450" w14:textId="77777777" w:rsidR="002A7944" w:rsidRPr="000352BE" w:rsidRDefault="002A7944" w:rsidP="00006714">
            <w:pPr>
              <w:spacing w:after="0" w:line="240" w:lineRule="auto"/>
              <w:jc w:val="center"/>
              <w:rPr>
                <w:rFonts w:ascii="Calibri" w:eastAsia="Times New Roman" w:hAnsi="Calibri" w:cs="Calibri"/>
                <w:caps/>
                <w:color w:val="000000"/>
                <w:kern w:val="0"/>
                <w:sz w:val="20"/>
                <w:szCs w:val="20"/>
                <w:lang w:eastAsia="en-GB"/>
                <w14:ligatures w14:val="none"/>
              </w:rPr>
            </w:pPr>
          </w:p>
        </w:tc>
        <w:tc>
          <w:tcPr>
            <w:tcW w:w="1086"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tcPr>
          <w:p w14:paraId="0BBBE5B5" w14:textId="77777777" w:rsidR="002A7944" w:rsidRPr="000352BE" w:rsidRDefault="002A7944" w:rsidP="00006714">
            <w:pPr>
              <w:spacing w:after="0" w:line="240" w:lineRule="auto"/>
              <w:jc w:val="center"/>
              <w:rPr>
                <w:rFonts w:ascii="Calibri" w:eastAsia="Times New Roman" w:hAnsi="Calibri" w:cs="Calibri"/>
                <w:caps/>
                <w:color w:val="000000"/>
                <w:kern w:val="0"/>
                <w:sz w:val="20"/>
                <w:szCs w:val="20"/>
                <w:lang w:eastAsia="en-GB"/>
                <w14:ligatures w14:val="none"/>
              </w:rPr>
            </w:pPr>
            <w:r w:rsidRPr="000352BE">
              <w:rPr>
                <w:rFonts w:ascii="Calibri" w:eastAsia="Times New Roman" w:hAnsi="Calibri" w:cs="Calibri"/>
                <w:caps/>
                <w:color w:val="000000"/>
                <w:kern w:val="0"/>
                <w:sz w:val="20"/>
                <w:szCs w:val="20"/>
                <w:lang w:eastAsia="en-GB"/>
                <w14:ligatures w14:val="none"/>
              </w:rPr>
              <w:t>male</w:t>
            </w:r>
          </w:p>
        </w:tc>
        <w:tc>
          <w:tcPr>
            <w:tcW w:w="908"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tcPr>
          <w:p w14:paraId="4267FD6A" w14:textId="77777777" w:rsidR="002A7944" w:rsidRPr="000352BE" w:rsidRDefault="002A7944" w:rsidP="00006714">
            <w:pPr>
              <w:spacing w:after="0" w:line="240" w:lineRule="auto"/>
              <w:jc w:val="center"/>
              <w:rPr>
                <w:rFonts w:ascii="Calibri" w:eastAsia="Times New Roman" w:hAnsi="Calibri" w:cs="Calibri"/>
                <w:caps/>
                <w:color w:val="000000"/>
                <w:kern w:val="0"/>
                <w:sz w:val="20"/>
                <w:szCs w:val="20"/>
                <w:lang w:eastAsia="en-GB"/>
                <w14:ligatures w14:val="none"/>
              </w:rPr>
            </w:pPr>
            <w:r w:rsidRPr="000352BE">
              <w:rPr>
                <w:rFonts w:ascii="Calibri" w:eastAsia="Times New Roman" w:hAnsi="Calibri" w:cs="Calibri"/>
                <w:caps/>
                <w:color w:val="000000"/>
                <w:kern w:val="0"/>
                <w:sz w:val="20"/>
                <w:szCs w:val="20"/>
                <w:lang w:eastAsia="en-GB"/>
                <w14:ligatures w14:val="none"/>
              </w:rPr>
              <w:t>21</w:t>
            </w:r>
          </w:p>
        </w:tc>
        <w:tc>
          <w:tcPr>
            <w:tcW w:w="695"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tcPr>
          <w:p w14:paraId="2A719FDF" w14:textId="77777777" w:rsidR="002A7944" w:rsidRPr="000352BE" w:rsidRDefault="002A7944" w:rsidP="00006714">
            <w:pPr>
              <w:spacing w:after="0" w:line="240" w:lineRule="auto"/>
              <w:jc w:val="center"/>
              <w:rPr>
                <w:rFonts w:ascii="Calibri" w:eastAsia="Times New Roman" w:hAnsi="Calibri" w:cs="Calibri"/>
                <w:b/>
                <w:bCs/>
                <w:caps/>
                <w:color w:val="000000"/>
                <w:kern w:val="0"/>
                <w:sz w:val="22"/>
                <w:szCs w:val="22"/>
                <w:lang w:eastAsia="en-GB"/>
                <w14:ligatures w14:val="none"/>
              </w:rPr>
            </w:pPr>
            <w:r w:rsidRPr="000352BE">
              <w:rPr>
                <w:rFonts w:ascii="Calibri" w:eastAsia="Times New Roman" w:hAnsi="Calibri" w:cs="Calibri"/>
                <w:b/>
                <w:bCs/>
                <w:caps/>
                <w:color w:val="000000"/>
                <w:kern w:val="0"/>
                <w:sz w:val="22"/>
                <w:szCs w:val="22"/>
                <w:lang w:eastAsia="en-GB"/>
                <w14:ligatures w14:val="none"/>
              </w:rPr>
              <w:t>63.64%</w:t>
            </w:r>
          </w:p>
        </w:tc>
        <w:tc>
          <w:tcPr>
            <w:tcW w:w="2457" w:type="dxa"/>
            <w:vMerge/>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noWrap/>
            <w:vAlign w:val="center"/>
          </w:tcPr>
          <w:p w14:paraId="640EE66E" w14:textId="77777777" w:rsidR="002A7944" w:rsidRPr="000352BE" w:rsidRDefault="002A7944" w:rsidP="00006714">
            <w:pPr>
              <w:spacing w:after="0" w:line="240" w:lineRule="auto"/>
              <w:jc w:val="center"/>
              <w:rPr>
                <w:rFonts w:ascii="Calibri" w:eastAsia="Times New Roman" w:hAnsi="Calibri" w:cs="Calibri"/>
                <w:b/>
                <w:bCs/>
                <w:caps/>
                <w:color w:val="000000"/>
                <w:kern w:val="0"/>
                <w:sz w:val="28"/>
                <w:szCs w:val="28"/>
                <w:lang w:eastAsia="en-GB"/>
                <w14:ligatures w14:val="none"/>
              </w:rPr>
            </w:pPr>
          </w:p>
        </w:tc>
      </w:tr>
      <w:tr w:rsidR="002A7944" w:rsidRPr="000352BE" w14:paraId="499E49A2" w14:textId="77777777" w:rsidTr="00006714">
        <w:trPr>
          <w:trHeight w:val="567"/>
        </w:trPr>
        <w:tc>
          <w:tcPr>
            <w:tcW w:w="3402" w:type="dxa"/>
            <w:vMerge w:val="restart"/>
            <w:tcBorders>
              <w:top w:val="single" w:sz="4" w:space="0" w:color="D9D9D9" w:themeColor="background1" w:themeShade="D9"/>
              <w:left w:val="single" w:sz="4" w:space="0" w:color="D9D9D9" w:themeColor="background1" w:themeShade="D9"/>
              <w:bottom w:val="nil"/>
              <w:right w:val="single" w:sz="4" w:space="0" w:color="D9D9D9" w:themeColor="background1" w:themeShade="D9"/>
            </w:tcBorders>
            <w:noWrap/>
            <w:vAlign w:val="center"/>
            <w:hideMark/>
          </w:tcPr>
          <w:p w14:paraId="7D672DCC" w14:textId="77777777" w:rsidR="002A7944" w:rsidRPr="000352BE" w:rsidRDefault="002A7944" w:rsidP="00006714">
            <w:pPr>
              <w:spacing w:after="0" w:line="240" w:lineRule="auto"/>
              <w:jc w:val="center"/>
              <w:rPr>
                <w:rFonts w:ascii="Calibri" w:eastAsia="Times New Roman" w:hAnsi="Calibri" w:cs="Calibri"/>
                <w:b/>
                <w:bCs/>
                <w:caps/>
                <w:color w:val="000000"/>
                <w:kern w:val="0"/>
                <w:sz w:val="20"/>
                <w:szCs w:val="20"/>
                <w:lang w:eastAsia="en-GB"/>
                <w14:ligatures w14:val="none"/>
              </w:rPr>
            </w:pPr>
            <w:r w:rsidRPr="000352BE">
              <w:rPr>
                <w:rFonts w:ascii="Calibri" w:eastAsia="Times New Roman" w:hAnsi="Calibri" w:cs="Calibri"/>
                <w:b/>
                <w:bCs/>
                <w:caps/>
                <w:color w:val="000000"/>
                <w:kern w:val="0"/>
                <w:sz w:val="20"/>
                <w:szCs w:val="20"/>
                <w:lang w:eastAsia="en-GB"/>
                <w14:ligatures w14:val="none"/>
              </w:rPr>
              <w:t>NOT ACHIEVED GLD</w:t>
            </w:r>
          </w:p>
        </w:tc>
        <w:tc>
          <w:tcPr>
            <w:tcW w:w="2268" w:type="dxa"/>
            <w:vMerge w:val="restart"/>
            <w:tcBorders>
              <w:top w:val="single" w:sz="4" w:space="0" w:color="D9D9D9" w:themeColor="background1" w:themeShade="D9"/>
              <w:left w:val="single" w:sz="4" w:space="0" w:color="D9D9D9" w:themeColor="background1" w:themeShade="D9"/>
              <w:bottom w:val="nil"/>
              <w:right w:val="single" w:sz="4" w:space="0" w:color="D9D9D9" w:themeColor="background1" w:themeShade="D9"/>
            </w:tcBorders>
            <w:noWrap/>
            <w:vAlign w:val="center"/>
            <w:hideMark/>
          </w:tcPr>
          <w:p w14:paraId="7A54F86C" w14:textId="77777777" w:rsidR="002A7944" w:rsidRPr="000352BE" w:rsidRDefault="002A7944" w:rsidP="00006714">
            <w:pPr>
              <w:spacing w:after="0" w:line="240" w:lineRule="auto"/>
              <w:jc w:val="center"/>
              <w:rPr>
                <w:rFonts w:ascii="Calibri" w:eastAsia="Times New Roman" w:hAnsi="Calibri" w:cs="Calibri"/>
                <w:caps/>
                <w:color w:val="000000"/>
                <w:kern w:val="0"/>
                <w:sz w:val="20"/>
                <w:szCs w:val="20"/>
                <w:lang w:eastAsia="en-GB"/>
                <w14:ligatures w14:val="none"/>
              </w:rPr>
            </w:pPr>
            <w:r w:rsidRPr="000352BE">
              <w:rPr>
                <w:rFonts w:ascii="Calibri" w:eastAsia="Times New Roman" w:hAnsi="Calibri" w:cs="Calibri"/>
                <w:caps/>
                <w:color w:val="000000"/>
                <w:kern w:val="0"/>
                <w:sz w:val="20"/>
                <w:szCs w:val="20"/>
                <w:lang w:eastAsia="en-GB"/>
                <w14:ligatures w14:val="none"/>
              </w:rPr>
              <w:t>21</w:t>
            </w:r>
          </w:p>
        </w:tc>
        <w:tc>
          <w:tcPr>
            <w:tcW w:w="1086"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tcPr>
          <w:p w14:paraId="28CB3741" w14:textId="77777777" w:rsidR="002A7944" w:rsidRPr="000352BE" w:rsidRDefault="002A7944" w:rsidP="00006714">
            <w:pPr>
              <w:spacing w:after="0" w:line="240" w:lineRule="auto"/>
              <w:jc w:val="center"/>
              <w:rPr>
                <w:rFonts w:ascii="Calibri" w:eastAsia="Times New Roman" w:hAnsi="Calibri" w:cs="Calibri"/>
                <w:caps/>
                <w:color w:val="000000"/>
                <w:kern w:val="0"/>
                <w:sz w:val="20"/>
                <w:szCs w:val="20"/>
                <w:lang w:eastAsia="en-GB"/>
                <w14:ligatures w14:val="none"/>
              </w:rPr>
            </w:pPr>
            <w:r w:rsidRPr="000352BE">
              <w:rPr>
                <w:rFonts w:ascii="Calibri" w:eastAsia="Times New Roman" w:hAnsi="Calibri" w:cs="Calibri"/>
                <w:caps/>
                <w:color w:val="000000"/>
                <w:kern w:val="0"/>
                <w:sz w:val="20"/>
                <w:szCs w:val="20"/>
                <w:lang w:eastAsia="en-GB"/>
                <w14:ligatures w14:val="none"/>
              </w:rPr>
              <w:t>female</w:t>
            </w:r>
          </w:p>
        </w:tc>
        <w:tc>
          <w:tcPr>
            <w:tcW w:w="908"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tcPr>
          <w:p w14:paraId="1713815F" w14:textId="77777777" w:rsidR="002A7944" w:rsidRPr="000352BE" w:rsidRDefault="002A7944" w:rsidP="00006714">
            <w:pPr>
              <w:spacing w:after="0" w:line="240" w:lineRule="auto"/>
              <w:jc w:val="center"/>
              <w:rPr>
                <w:rFonts w:ascii="Calibri" w:eastAsia="Times New Roman" w:hAnsi="Calibri" w:cs="Calibri"/>
                <w:caps/>
                <w:color w:val="000000"/>
                <w:kern w:val="0"/>
                <w:sz w:val="20"/>
                <w:szCs w:val="20"/>
                <w:lang w:eastAsia="en-GB"/>
                <w14:ligatures w14:val="none"/>
              </w:rPr>
            </w:pPr>
            <w:r w:rsidRPr="000352BE">
              <w:rPr>
                <w:rFonts w:ascii="Calibri" w:eastAsia="Times New Roman" w:hAnsi="Calibri" w:cs="Calibri"/>
                <w:caps/>
                <w:color w:val="000000"/>
                <w:kern w:val="0"/>
                <w:sz w:val="20"/>
                <w:szCs w:val="20"/>
                <w:lang w:eastAsia="en-GB"/>
                <w14:ligatures w14:val="none"/>
              </w:rPr>
              <w:t>9</w:t>
            </w:r>
          </w:p>
        </w:tc>
        <w:tc>
          <w:tcPr>
            <w:tcW w:w="695"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tcPr>
          <w:p w14:paraId="6256DB4C" w14:textId="77777777" w:rsidR="002A7944" w:rsidRPr="000352BE" w:rsidRDefault="002A7944" w:rsidP="00006714">
            <w:pPr>
              <w:spacing w:after="0" w:line="240" w:lineRule="auto"/>
              <w:jc w:val="center"/>
              <w:rPr>
                <w:rFonts w:ascii="Calibri" w:eastAsia="Times New Roman" w:hAnsi="Calibri" w:cs="Calibri"/>
                <w:b/>
                <w:bCs/>
                <w:caps/>
                <w:color w:val="000000"/>
                <w:kern w:val="0"/>
                <w:sz w:val="22"/>
                <w:szCs w:val="22"/>
                <w:lang w:eastAsia="en-GB"/>
                <w14:ligatures w14:val="none"/>
              </w:rPr>
            </w:pPr>
            <w:r w:rsidRPr="000352BE">
              <w:rPr>
                <w:rFonts w:ascii="Calibri" w:eastAsia="Times New Roman" w:hAnsi="Calibri" w:cs="Calibri"/>
                <w:b/>
                <w:bCs/>
                <w:caps/>
                <w:color w:val="000000"/>
                <w:kern w:val="0"/>
                <w:sz w:val="22"/>
                <w:szCs w:val="22"/>
                <w:lang w:eastAsia="en-GB"/>
                <w14:ligatures w14:val="none"/>
              </w:rPr>
              <w:t>26.47%</w:t>
            </w:r>
          </w:p>
        </w:tc>
        <w:tc>
          <w:tcPr>
            <w:tcW w:w="2457" w:type="dxa"/>
            <w:vMerge w:val="restart"/>
            <w:tcBorders>
              <w:top w:val="single" w:sz="4" w:space="0" w:color="D9D9D9" w:themeColor="background1" w:themeShade="D9"/>
              <w:left w:val="single" w:sz="4" w:space="0" w:color="D9D9D9" w:themeColor="background1" w:themeShade="D9"/>
              <w:bottom w:val="nil"/>
              <w:right w:val="single" w:sz="4" w:space="0" w:color="D9D9D9" w:themeColor="background1" w:themeShade="D9"/>
            </w:tcBorders>
            <w:noWrap/>
            <w:vAlign w:val="center"/>
            <w:hideMark/>
          </w:tcPr>
          <w:p w14:paraId="3927DEE2" w14:textId="77777777" w:rsidR="002A7944" w:rsidRPr="000352BE" w:rsidRDefault="002A7944" w:rsidP="00006714">
            <w:pPr>
              <w:spacing w:after="0" w:line="240" w:lineRule="auto"/>
              <w:jc w:val="center"/>
              <w:rPr>
                <w:rFonts w:ascii="Calibri" w:eastAsia="Times New Roman" w:hAnsi="Calibri" w:cs="Calibri"/>
                <w:b/>
                <w:bCs/>
                <w:caps/>
                <w:color w:val="000000"/>
                <w:kern w:val="0"/>
                <w:sz w:val="28"/>
                <w:szCs w:val="28"/>
                <w:lang w:eastAsia="en-GB"/>
                <w14:ligatures w14:val="none"/>
              </w:rPr>
            </w:pPr>
            <w:r w:rsidRPr="000352BE">
              <w:rPr>
                <w:rFonts w:ascii="Calibri" w:eastAsia="Times New Roman" w:hAnsi="Calibri" w:cs="Calibri"/>
                <w:b/>
                <w:bCs/>
                <w:caps/>
                <w:color w:val="000000"/>
                <w:kern w:val="0"/>
                <w:sz w:val="28"/>
                <w:szCs w:val="28"/>
                <w:lang w:eastAsia="en-GB"/>
                <w14:ligatures w14:val="none"/>
              </w:rPr>
              <w:t>31.34%</w:t>
            </w:r>
          </w:p>
        </w:tc>
      </w:tr>
      <w:tr w:rsidR="002A7944" w:rsidRPr="000352BE" w14:paraId="5ED33303" w14:textId="77777777" w:rsidTr="00006714">
        <w:trPr>
          <w:trHeight w:val="527"/>
        </w:trPr>
        <w:tc>
          <w:tcPr>
            <w:tcW w:w="3402" w:type="dxa"/>
            <w:vMerge/>
            <w:tcBorders>
              <w:top w:val="nil"/>
              <w:left w:val="single" w:sz="4" w:space="0" w:color="D9D9D9" w:themeColor="background1" w:themeShade="D9"/>
              <w:bottom w:val="single" w:sz="4" w:space="0" w:color="D9D9D9" w:themeColor="background1" w:themeShade="D9"/>
              <w:right w:val="single" w:sz="4" w:space="0" w:color="D9D9D9" w:themeColor="background1" w:themeShade="D9"/>
            </w:tcBorders>
            <w:noWrap/>
            <w:vAlign w:val="center"/>
          </w:tcPr>
          <w:p w14:paraId="587BBB45" w14:textId="77777777" w:rsidR="002A7944" w:rsidRPr="000352BE" w:rsidRDefault="002A7944" w:rsidP="00006714">
            <w:pPr>
              <w:spacing w:after="0" w:line="360" w:lineRule="auto"/>
              <w:jc w:val="center"/>
              <w:rPr>
                <w:rFonts w:ascii="Calibri" w:eastAsia="Times New Roman" w:hAnsi="Calibri" w:cs="Calibri"/>
                <w:caps/>
                <w:color w:val="000000"/>
                <w:kern w:val="0"/>
                <w:sz w:val="24"/>
                <w:szCs w:val="24"/>
                <w:lang w:eastAsia="en-GB"/>
                <w14:ligatures w14:val="none"/>
              </w:rPr>
            </w:pPr>
          </w:p>
        </w:tc>
        <w:tc>
          <w:tcPr>
            <w:tcW w:w="2268" w:type="dxa"/>
            <w:vMerge/>
            <w:tcBorders>
              <w:top w:val="nil"/>
              <w:left w:val="single" w:sz="4" w:space="0" w:color="D9D9D9" w:themeColor="background1" w:themeShade="D9"/>
              <w:bottom w:val="single" w:sz="4" w:space="0" w:color="D9D9D9" w:themeColor="background1" w:themeShade="D9"/>
              <w:right w:val="single" w:sz="4" w:space="0" w:color="D9D9D9" w:themeColor="background1" w:themeShade="D9"/>
            </w:tcBorders>
            <w:noWrap/>
            <w:vAlign w:val="center"/>
          </w:tcPr>
          <w:p w14:paraId="1DCC23BB" w14:textId="77777777" w:rsidR="002A7944" w:rsidRPr="000352BE" w:rsidRDefault="002A7944" w:rsidP="00006714">
            <w:pPr>
              <w:spacing w:after="0" w:line="360" w:lineRule="auto"/>
              <w:jc w:val="center"/>
              <w:rPr>
                <w:rFonts w:ascii="Calibri" w:eastAsia="Times New Roman" w:hAnsi="Calibri" w:cs="Calibri"/>
                <w:caps/>
                <w:color w:val="000000"/>
                <w:kern w:val="0"/>
                <w:sz w:val="24"/>
                <w:szCs w:val="24"/>
                <w:lang w:eastAsia="en-GB"/>
                <w14:ligatures w14:val="none"/>
              </w:rPr>
            </w:pPr>
          </w:p>
        </w:tc>
        <w:tc>
          <w:tcPr>
            <w:tcW w:w="1086"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tcPr>
          <w:p w14:paraId="3B83725C" w14:textId="77777777" w:rsidR="002A7944" w:rsidRPr="000352BE" w:rsidRDefault="002A7944" w:rsidP="00006714">
            <w:pPr>
              <w:spacing w:after="0" w:line="360" w:lineRule="auto"/>
              <w:jc w:val="center"/>
              <w:rPr>
                <w:rFonts w:ascii="Calibri" w:eastAsia="Times New Roman" w:hAnsi="Calibri" w:cs="Calibri"/>
                <w:caps/>
                <w:color w:val="000000"/>
                <w:kern w:val="0"/>
                <w:sz w:val="20"/>
                <w:szCs w:val="20"/>
                <w:lang w:eastAsia="en-GB"/>
                <w14:ligatures w14:val="none"/>
              </w:rPr>
            </w:pPr>
            <w:r w:rsidRPr="000352BE">
              <w:rPr>
                <w:rFonts w:ascii="Calibri" w:eastAsia="Times New Roman" w:hAnsi="Calibri" w:cs="Calibri"/>
                <w:caps/>
                <w:color w:val="000000"/>
                <w:kern w:val="0"/>
                <w:sz w:val="20"/>
                <w:szCs w:val="20"/>
                <w:lang w:eastAsia="en-GB"/>
                <w14:ligatures w14:val="none"/>
              </w:rPr>
              <w:t>male</w:t>
            </w:r>
          </w:p>
        </w:tc>
        <w:tc>
          <w:tcPr>
            <w:tcW w:w="908"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tcPr>
          <w:p w14:paraId="3CC6FA74" w14:textId="77777777" w:rsidR="002A7944" w:rsidRPr="000352BE" w:rsidRDefault="002A7944" w:rsidP="00006714">
            <w:pPr>
              <w:spacing w:after="0" w:line="360" w:lineRule="auto"/>
              <w:jc w:val="center"/>
              <w:rPr>
                <w:rFonts w:ascii="Calibri" w:eastAsia="Times New Roman" w:hAnsi="Calibri" w:cs="Calibri"/>
                <w:caps/>
                <w:color w:val="000000"/>
                <w:kern w:val="0"/>
                <w:sz w:val="20"/>
                <w:szCs w:val="20"/>
                <w:lang w:eastAsia="en-GB"/>
                <w14:ligatures w14:val="none"/>
              </w:rPr>
            </w:pPr>
            <w:r w:rsidRPr="000352BE">
              <w:rPr>
                <w:rFonts w:ascii="Calibri" w:eastAsia="Times New Roman" w:hAnsi="Calibri" w:cs="Calibri"/>
                <w:caps/>
                <w:color w:val="000000"/>
                <w:kern w:val="0"/>
                <w:sz w:val="20"/>
                <w:szCs w:val="20"/>
                <w:lang w:eastAsia="en-GB"/>
                <w14:ligatures w14:val="none"/>
              </w:rPr>
              <w:t>12</w:t>
            </w:r>
          </w:p>
        </w:tc>
        <w:tc>
          <w:tcPr>
            <w:tcW w:w="695"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tcPr>
          <w:p w14:paraId="38831579" w14:textId="77777777" w:rsidR="002A7944" w:rsidRPr="000352BE" w:rsidRDefault="002A7944" w:rsidP="00006714">
            <w:pPr>
              <w:spacing w:after="0" w:line="360" w:lineRule="auto"/>
              <w:jc w:val="center"/>
              <w:rPr>
                <w:rFonts w:ascii="Calibri" w:eastAsia="Times New Roman" w:hAnsi="Calibri" w:cs="Calibri"/>
                <w:b/>
                <w:bCs/>
                <w:caps/>
                <w:color w:val="000000"/>
                <w:kern w:val="0"/>
                <w:sz w:val="22"/>
                <w:szCs w:val="22"/>
                <w:lang w:eastAsia="en-GB"/>
                <w14:ligatures w14:val="none"/>
              </w:rPr>
            </w:pPr>
            <w:r w:rsidRPr="000352BE">
              <w:rPr>
                <w:rFonts w:ascii="Calibri" w:eastAsia="Times New Roman" w:hAnsi="Calibri" w:cs="Calibri"/>
                <w:b/>
                <w:bCs/>
                <w:caps/>
                <w:color w:val="000000"/>
                <w:kern w:val="0"/>
                <w:sz w:val="22"/>
                <w:szCs w:val="22"/>
                <w:lang w:eastAsia="en-GB"/>
                <w14:ligatures w14:val="none"/>
              </w:rPr>
              <w:t>36.36%</w:t>
            </w:r>
          </w:p>
        </w:tc>
        <w:tc>
          <w:tcPr>
            <w:tcW w:w="2457" w:type="dxa"/>
            <w:vMerge/>
            <w:tcBorders>
              <w:top w:val="nil"/>
              <w:left w:val="single" w:sz="4" w:space="0" w:color="D9D9D9" w:themeColor="background1" w:themeShade="D9"/>
              <w:bottom w:val="single" w:sz="4" w:space="0" w:color="D9D9D9" w:themeColor="background1" w:themeShade="D9"/>
              <w:right w:val="single" w:sz="4" w:space="0" w:color="D9D9D9" w:themeColor="background1" w:themeShade="D9"/>
            </w:tcBorders>
            <w:noWrap/>
            <w:vAlign w:val="center"/>
          </w:tcPr>
          <w:p w14:paraId="17DB9AED" w14:textId="77777777" w:rsidR="002A7944" w:rsidRPr="000352BE" w:rsidRDefault="002A7944" w:rsidP="00006714">
            <w:pPr>
              <w:spacing w:after="0" w:line="360" w:lineRule="auto"/>
              <w:jc w:val="center"/>
              <w:rPr>
                <w:rFonts w:ascii="Calibri" w:eastAsia="Times New Roman" w:hAnsi="Calibri" w:cs="Calibri"/>
                <w:caps/>
                <w:color w:val="000000"/>
                <w:kern w:val="0"/>
                <w:sz w:val="24"/>
                <w:szCs w:val="24"/>
                <w:lang w:eastAsia="en-GB"/>
                <w14:ligatures w14:val="none"/>
              </w:rPr>
            </w:pPr>
          </w:p>
        </w:tc>
      </w:tr>
    </w:tbl>
    <w:p w14:paraId="6758EDC7" w14:textId="77777777" w:rsidR="002A7944" w:rsidRPr="000352BE" w:rsidRDefault="002A7944" w:rsidP="002A7944">
      <w:pPr>
        <w:spacing w:line="360" w:lineRule="auto"/>
        <w:rPr>
          <w:rFonts w:ascii="Calibri" w:hAnsi="Calibri" w:cs="Calibri"/>
          <w:sz w:val="2"/>
          <w:szCs w:val="2"/>
        </w:rPr>
      </w:pPr>
    </w:p>
    <w:tbl>
      <w:tblPr>
        <w:tblW w:w="10768"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68"/>
      </w:tblGrid>
      <w:tr w:rsidR="002A7944" w:rsidRPr="000352BE" w14:paraId="70805D04" w14:textId="77777777" w:rsidTr="00006714">
        <w:trPr>
          <w:trHeight w:val="527"/>
        </w:trPr>
        <w:tc>
          <w:tcPr>
            <w:tcW w:w="10768" w:type="dxa"/>
            <w:tcBorders>
              <w:top w:val="nil"/>
              <w:left w:val="nil"/>
              <w:bottom w:val="nil"/>
              <w:right w:val="nil"/>
            </w:tcBorders>
            <w:noWrap/>
            <w:vAlign w:val="center"/>
          </w:tcPr>
          <w:p w14:paraId="59A6D684" w14:textId="77777777" w:rsidR="002A7944" w:rsidRPr="000352BE" w:rsidRDefault="002A7944" w:rsidP="00006714">
            <w:pPr>
              <w:spacing w:after="0" w:line="360" w:lineRule="auto"/>
              <w:jc w:val="right"/>
              <w:rPr>
                <w:rFonts w:ascii="Calibri" w:eastAsia="Times New Roman" w:hAnsi="Calibri" w:cs="Calibri"/>
                <w:color w:val="000000"/>
                <w:kern w:val="0"/>
                <w:sz w:val="20"/>
                <w:szCs w:val="20"/>
                <w:lang w:eastAsia="en-GB"/>
                <w14:ligatures w14:val="none"/>
              </w:rPr>
            </w:pPr>
            <w:r w:rsidRPr="000352BE">
              <w:rPr>
                <w:rFonts w:ascii="Calibri" w:eastAsia="Times New Roman" w:hAnsi="Calibri" w:cs="Calibri"/>
                <w:caps/>
                <w:color w:val="000000"/>
                <w:kern w:val="0"/>
                <w:sz w:val="20"/>
                <w:szCs w:val="20"/>
                <w:lang w:eastAsia="en-GB"/>
                <w14:ligatures w14:val="none"/>
              </w:rPr>
              <w:t>Table 2: r</w:t>
            </w:r>
            <w:r w:rsidRPr="000352BE">
              <w:rPr>
                <w:rFonts w:ascii="Calibri" w:eastAsia="Times New Roman" w:hAnsi="Calibri" w:cs="Calibri"/>
                <w:color w:val="000000"/>
                <w:kern w:val="0"/>
                <w:sz w:val="20"/>
                <w:szCs w:val="20"/>
                <w:lang w:eastAsia="en-GB"/>
                <w14:ligatures w14:val="none"/>
              </w:rPr>
              <w:t>esults from the EYFS Data.</w:t>
            </w:r>
          </w:p>
        </w:tc>
      </w:tr>
    </w:tbl>
    <w:p w14:paraId="077D6535" w14:textId="77777777" w:rsidR="002A7944" w:rsidRPr="000352BE" w:rsidRDefault="002A7944" w:rsidP="002A7944">
      <w:pPr>
        <w:tabs>
          <w:tab w:val="left" w:pos="3656"/>
          <w:tab w:val="left" w:pos="8202"/>
        </w:tabs>
        <w:spacing w:after="0" w:line="360" w:lineRule="auto"/>
        <w:rPr>
          <w:rFonts w:ascii="Calibri" w:hAnsi="Calibri" w:cs="Calibri"/>
          <w:caps/>
          <w:color w:val="auto"/>
          <w:sz w:val="24"/>
          <w:szCs w:val="24"/>
        </w:rPr>
      </w:pPr>
    </w:p>
    <w:p w14:paraId="70A05461" w14:textId="77777777" w:rsidR="002A7944" w:rsidRPr="000352BE" w:rsidRDefault="002A7944" w:rsidP="002A7944">
      <w:pPr>
        <w:tabs>
          <w:tab w:val="left" w:pos="3656"/>
          <w:tab w:val="left" w:pos="8202"/>
        </w:tabs>
        <w:spacing w:after="0" w:line="360" w:lineRule="auto"/>
        <w:rPr>
          <w:rFonts w:ascii="Calibri" w:hAnsi="Calibri" w:cs="Calibri"/>
          <w:caps/>
          <w:color w:val="auto"/>
          <w:sz w:val="24"/>
          <w:szCs w:val="24"/>
        </w:rPr>
      </w:pPr>
      <w:r w:rsidRPr="000352BE">
        <w:rPr>
          <w:rFonts w:ascii="Calibri" w:hAnsi="Calibri" w:cs="Calibri"/>
          <w:caps/>
          <w:noProof/>
        </w:rPr>
        <w:drawing>
          <wp:anchor distT="0" distB="0" distL="114300" distR="114300" simplePos="0" relativeHeight="251662336" behindDoc="1" locked="0" layoutInCell="1" allowOverlap="1" wp14:anchorId="12B2B7B3" wp14:editId="6D3E0CF7">
            <wp:simplePos x="0" y="0"/>
            <wp:positionH relativeFrom="margin">
              <wp:align>right</wp:align>
            </wp:positionH>
            <wp:positionV relativeFrom="paragraph">
              <wp:posOffset>-3865</wp:posOffset>
            </wp:positionV>
            <wp:extent cx="6837680" cy="2417196"/>
            <wp:effectExtent l="0" t="0" r="1270" b="2540"/>
            <wp:wrapNone/>
            <wp:docPr id="1950438580" name="Chart 1">
              <a:extLst xmlns:a="http://schemas.openxmlformats.org/drawingml/2006/main">
                <a:ext uri="{FF2B5EF4-FFF2-40B4-BE49-F238E27FC236}">
                  <a16:creationId xmlns:a16="http://schemas.microsoft.com/office/drawing/2014/main" id="{D241AB70-4449-DDF2-6782-6554A6835AA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14:sizeRelV relativeFrom="margin">
              <wp14:pctHeight>0</wp14:pctHeight>
            </wp14:sizeRelV>
          </wp:anchor>
        </w:drawing>
      </w:r>
      <w:r w:rsidRPr="000352BE">
        <w:rPr>
          <w:rFonts w:ascii="Calibri" w:hAnsi="Calibri" w:cs="Calibri"/>
          <w:caps/>
          <w:color w:val="auto"/>
          <w:sz w:val="24"/>
          <w:szCs w:val="24"/>
        </w:rPr>
        <w:tab/>
      </w:r>
      <w:r w:rsidRPr="000352BE">
        <w:rPr>
          <w:rFonts w:ascii="Calibri" w:hAnsi="Calibri" w:cs="Calibri"/>
          <w:caps/>
          <w:color w:val="auto"/>
          <w:sz w:val="24"/>
          <w:szCs w:val="24"/>
        </w:rPr>
        <w:tab/>
      </w:r>
    </w:p>
    <w:p w14:paraId="51D1FAEF" w14:textId="77777777" w:rsidR="002A7944" w:rsidRPr="000352BE" w:rsidRDefault="002A7944" w:rsidP="002A7944">
      <w:pPr>
        <w:spacing w:after="0" w:line="360" w:lineRule="auto"/>
        <w:rPr>
          <w:rFonts w:ascii="Calibri" w:hAnsi="Calibri" w:cs="Calibri"/>
          <w:color w:val="auto"/>
          <w:sz w:val="24"/>
          <w:szCs w:val="24"/>
        </w:rPr>
      </w:pPr>
    </w:p>
    <w:p w14:paraId="7F9479AA" w14:textId="77777777" w:rsidR="002A7944" w:rsidRPr="000352BE" w:rsidRDefault="002A7944" w:rsidP="002A7944">
      <w:pPr>
        <w:spacing w:after="0" w:line="360" w:lineRule="auto"/>
        <w:rPr>
          <w:rFonts w:ascii="Calibri" w:hAnsi="Calibri" w:cs="Calibri"/>
          <w:color w:val="auto"/>
          <w:sz w:val="24"/>
          <w:szCs w:val="24"/>
        </w:rPr>
      </w:pPr>
    </w:p>
    <w:p w14:paraId="7E0C5C99" w14:textId="77777777" w:rsidR="002A7944" w:rsidRPr="000352BE" w:rsidRDefault="002A7944" w:rsidP="002A7944">
      <w:pPr>
        <w:spacing w:after="0" w:line="360" w:lineRule="auto"/>
        <w:rPr>
          <w:rFonts w:ascii="Calibri" w:hAnsi="Calibri" w:cs="Calibri"/>
          <w:color w:val="auto"/>
          <w:sz w:val="24"/>
          <w:szCs w:val="24"/>
        </w:rPr>
      </w:pPr>
    </w:p>
    <w:p w14:paraId="3B4964E0" w14:textId="77777777" w:rsidR="002A7944" w:rsidRPr="000352BE" w:rsidRDefault="002A7944" w:rsidP="002A7944">
      <w:pPr>
        <w:spacing w:after="0" w:line="360" w:lineRule="auto"/>
        <w:rPr>
          <w:rFonts w:ascii="Calibri" w:hAnsi="Calibri" w:cs="Calibri"/>
          <w:color w:val="auto"/>
          <w:sz w:val="24"/>
          <w:szCs w:val="24"/>
        </w:rPr>
      </w:pPr>
    </w:p>
    <w:p w14:paraId="09AFB2A1" w14:textId="77777777" w:rsidR="002A7944" w:rsidRPr="000352BE" w:rsidRDefault="002A7944" w:rsidP="002A7944">
      <w:pPr>
        <w:spacing w:after="0" w:line="360" w:lineRule="auto"/>
        <w:jc w:val="center"/>
        <w:rPr>
          <w:rFonts w:ascii="Calibri" w:hAnsi="Calibri" w:cs="Calibri"/>
          <w:color w:val="auto"/>
          <w:sz w:val="24"/>
          <w:szCs w:val="24"/>
        </w:rPr>
      </w:pPr>
    </w:p>
    <w:p w14:paraId="34648861" w14:textId="77777777" w:rsidR="002A7944" w:rsidRPr="000352BE" w:rsidRDefault="002A7944" w:rsidP="002A7944">
      <w:pPr>
        <w:spacing w:after="0" w:line="360" w:lineRule="auto"/>
        <w:rPr>
          <w:rFonts w:ascii="Calibri" w:hAnsi="Calibri" w:cs="Calibri"/>
          <w:color w:val="auto"/>
          <w:sz w:val="24"/>
          <w:szCs w:val="24"/>
        </w:rPr>
      </w:pPr>
    </w:p>
    <w:p w14:paraId="0FD0CC6E" w14:textId="77777777" w:rsidR="002A7944" w:rsidRPr="000352BE" w:rsidRDefault="002A7944" w:rsidP="002A7944">
      <w:pPr>
        <w:spacing w:after="0" w:line="360" w:lineRule="auto"/>
        <w:jc w:val="center"/>
        <w:rPr>
          <w:rFonts w:ascii="Calibri" w:hAnsi="Calibri" w:cs="Calibri"/>
          <w:color w:val="auto"/>
          <w:sz w:val="24"/>
          <w:szCs w:val="24"/>
        </w:rPr>
      </w:pPr>
    </w:p>
    <w:p w14:paraId="583F4D9C" w14:textId="77777777" w:rsidR="002A7944" w:rsidRPr="000352BE" w:rsidRDefault="002A7944" w:rsidP="002A7944">
      <w:pPr>
        <w:spacing w:after="0" w:line="360" w:lineRule="auto"/>
        <w:rPr>
          <w:rFonts w:ascii="Calibri" w:hAnsi="Calibri" w:cs="Calibri"/>
          <w:color w:val="auto"/>
          <w:sz w:val="24"/>
          <w:szCs w:val="24"/>
        </w:rPr>
      </w:pPr>
    </w:p>
    <w:p w14:paraId="0F91359D" w14:textId="77777777" w:rsidR="002A7944" w:rsidRPr="000352BE" w:rsidRDefault="002A7944" w:rsidP="002A7944">
      <w:pPr>
        <w:spacing w:after="0" w:line="360" w:lineRule="auto"/>
        <w:jc w:val="right"/>
        <w:rPr>
          <w:rFonts w:ascii="Calibri" w:eastAsia="Times New Roman" w:hAnsi="Calibri" w:cs="Calibri"/>
          <w:color w:val="000000"/>
          <w:kern w:val="0"/>
          <w:sz w:val="4"/>
          <w:szCs w:val="4"/>
          <w:lang w:eastAsia="en-GB"/>
          <w14:ligatures w14:val="none"/>
        </w:rPr>
      </w:pPr>
      <w:r w:rsidRPr="000352BE">
        <w:rPr>
          <w:rFonts w:ascii="Calibri" w:eastAsia="Times New Roman" w:hAnsi="Calibri" w:cs="Calibri"/>
          <w:caps/>
          <w:color w:val="000000"/>
          <w:kern w:val="0"/>
          <w:sz w:val="20"/>
          <w:szCs w:val="20"/>
          <w:lang w:eastAsia="en-GB"/>
          <w14:ligatures w14:val="none"/>
        </w:rPr>
        <w:t>chart 1: r</w:t>
      </w:r>
      <w:r w:rsidRPr="000352BE">
        <w:rPr>
          <w:rFonts w:ascii="Calibri" w:eastAsia="Times New Roman" w:hAnsi="Calibri" w:cs="Calibri"/>
          <w:color w:val="000000"/>
          <w:kern w:val="0"/>
          <w:sz w:val="20"/>
          <w:szCs w:val="20"/>
          <w:lang w:eastAsia="en-GB"/>
          <w14:ligatures w14:val="none"/>
        </w:rPr>
        <w:t>esults from the EYFS Data</w:t>
      </w:r>
    </w:p>
    <w:p w14:paraId="50C276A4" w14:textId="77777777" w:rsidR="002A7944" w:rsidRPr="000352BE" w:rsidRDefault="002A7944" w:rsidP="002A7944">
      <w:pPr>
        <w:spacing w:after="0" w:line="360" w:lineRule="auto"/>
        <w:jc w:val="right"/>
        <w:rPr>
          <w:rFonts w:ascii="Calibri" w:eastAsia="Times New Roman" w:hAnsi="Calibri" w:cs="Calibri"/>
          <w:color w:val="000000"/>
          <w:kern w:val="0"/>
          <w:sz w:val="24"/>
          <w:szCs w:val="24"/>
          <w:lang w:eastAsia="en-GB"/>
          <w14:ligatures w14:val="none"/>
        </w:rPr>
      </w:pPr>
      <w:r w:rsidRPr="000352BE">
        <w:rPr>
          <w:rFonts w:ascii="Calibri" w:hAnsi="Calibri" w:cs="Calibri"/>
          <w:noProof/>
        </w:rPr>
        <w:drawing>
          <wp:anchor distT="0" distB="0" distL="114300" distR="114300" simplePos="0" relativeHeight="251664384" behindDoc="0" locked="0" layoutInCell="1" allowOverlap="1" wp14:anchorId="00844FC1" wp14:editId="6EF44181">
            <wp:simplePos x="0" y="0"/>
            <wp:positionH relativeFrom="column">
              <wp:posOffset>3458210</wp:posOffset>
            </wp:positionH>
            <wp:positionV relativeFrom="paragraph">
              <wp:posOffset>200025</wp:posOffset>
            </wp:positionV>
            <wp:extent cx="3384000" cy="1980000"/>
            <wp:effectExtent l="0" t="0" r="6985" b="1270"/>
            <wp:wrapNone/>
            <wp:docPr id="413690522" name="Chart 1">
              <a:extLst xmlns:a="http://schemas.openxmlformats.org/drawingml/2006/main">
                <a:ext uri="{FF2B5EF4-FFF2-40B4-BE49-F238E27FC236}">
                  <a16:creationId xmlns:a16="http://schemas.microsoft.com/office/drawing/2014/main" id="{A10780F2-3369-5A0E-C94A-6FB02224F05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r w:rsidRPr="000352BE">
        <w:rPr>
          <w:rFonts w:ascii="Calibri" w:hAnsi="Calibri" w:cs="Calibri"/>
          <w:noProof/>
        </w:rPr>
        <w:drawing>
          <wp:anchor distT="0" distB="0" distL="114300" distR="114300" simplePos="0" relativeHeight="251663360" behindDoc="0" locked="0" layoutInCell="1" allowOverlap="1" wp14:anchorId="2B81DA04" wp14:editId="2F959CE7">
            <wp:simplePos x="0" y="0"/>
            <wp:positionH relativeFrom="margin">
              <wp:posOffset>0</wp:posOffset>
            </wp:positionH>
            <wp:positionV relativeFrom="paragraph">
              <wp:posOffset>201930</wp:posOffset>
            </wp:positionV>
            <wp:extent cx="3384000" cy="1980000"/>
            <wp:effectExtent l="0" t="0" r="6985" b="1270"/>
            <wp:wrapNone/>
            <wp:docPr id="1855973962" name="Chart 1">
              <a:extLst xmlns:a="http://schemas.openxmlformats.org/drawingml/2006/main">
                <a:ext uri="{FF2B5EF4-FFF2-40B4-BE49-F238E27FC236}">
                  <a16:creationId xmlns:a16="http://schemas.microsoft.com/office/drawing/2014/main" id="{8570D1EF-AC34-43DD-9A71-CD3D87A667E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p>
    <w:p w14:paraId="4F4E4AAB" w14:textId="77777777" w:rsidR="002A7944" w:rsidRPr="000352BE" w:rsidRDefault="002A7944" w:rsidP="002A7944">
      <w:pPr>
        <w:spacing w:after="0" w:line="360" w:lineRule="auto"/>
        <w:jc w:val="right"/>
        <w:rPr>
          <w:rFonts w:ascii="Calibri" w:hAnsi="Calibri" w:cs="Calibri"/>
          <w:color w:val="auto"/>
          <w:sz w:val="24"/>
          <w:szCs w:val="24"/>
        </w:rPr>
      </w:pPr>
    </w:p>
    <w:p w14:paraId="09935AD7" w14:textId="77777777" w:rsidR="002A7944" w:rsidRPr="000352BE" w:rsidRDefault="002A7944" w:rsidP="002A7944">
      <w:pPr>
        <w:spacing w:after="0" w:line="360" w:lineRule="auto"/>
        <w:jc w:val="center"/>
        <w:rPr>
          <w:rFonts w:ascii="Calibri" w:hAnsi="Calibri" w:cs="Calibri"/>
          <w:color w:val="auto"/>
          <w:sz w:val="24"/>
          <w:szCs w:val="24"/>
        </w:rPr>
      </w:pPr>
    </w:p>
    <w:p w14:paraId="75109FFA" w14:textId="77777777" w:rsidR="002A7944" w:rsidRPr="000352BE" w:rsidRDefault="002A7944" w:rsidP="002A7944">
      <w:pPr>
        <w:spacing w:after="0" w:line="360" w:lineRule="auto"/>
        <w:jc w:val="center"/>
        <w:rPr>
          <w:rFonts w:ascii="Calibri" w:hAnsi="Calibri" w:cs="Calibri"/>
          <w:color w:val="auto"/>
          <w:sz w:val="24"/>
          <w:szCs w:val="24"/>
        </w:rPr>
      </w:pPr>
    </w:p>
    <w:p w14:paraId="19D62AAA" w14:textId="77777777" w:rsidR="002A7944" w:rsidRPr="000352BE" w:rsidRDefault="002A7944" w:rsidP="002A7944">
      <w:pPr>
        <w:spacing w:after="0" w:line="360" w:lineRule="auto"/>
        <w:jc w:val="center"/>
        <w:rPr>
          <w:rFonts w:ascii="Calibri" w:hAnsi="Calibri" w:cs="Calibri"/>
          <w:color w:val="auto"/>
          <w:sz w:val="24"/>
          <w:szCs w:val="24"/>
        </w:rPr>
      </w:pPr>
    </w:p>
    <w:p w14:paraId="482F8483" w14:textId="77777777" w:rsidR="002A7944" w:rsidRPr="000352BE" w:rsidRDefault="002A7944" w:rsidP="002A7944">
      <w:pPr>
        <w:tabs>
          <w:tab w:val="left" w:pos="8259"/>
        </w:tabs>
        <w:spacing w:after="0" w:line="360" w:lineRule="auto"/>
        <w:rPr>
          <w:rFonts w:ascii="Calibri" w:hAnsi="Calibri" w:cs="Calibri"/>
          <w:color w:val="auto"/>
          <w:sz w:val="24"/>
          <w:szCs w:val="24"/>
        </w:rPr>
      </w:pPr>
      <w:r w:rsidRPr="000352BE">
        <w:rPr>
          <w:rFonts w:ascii="Calibri" w:hAnsi="Calibri" w:cs="Calibri"/>
          <w:color w:val="auto"/>
          <w:sz w:val="24"/>
          <w:szCs w:val="24"/>
        </w:rPr>
        <w:tab/>
      </w:r>
    </w:p>
    <w:p w14:paraId="61FB7DBD" w14:textId="77777777" w:rsidR="002A7944" w:rsidRPr="000352BE" w:rsidRDefault="002A7944" w:rsidP="002A7944">
      <w:pPr>
        <w:spacing w:after="0" w:line="360" w:lineRule="auto"/>
        <w:jc w:val="center"/>
        <w:rPr>
          <w:rFonts w:ascii="Calibri" w:hAnsi="Calibri" w:cs="Calibri"/>
          <w:color w:val="auto"/>
          <w:sz w:val="24"/>
          <w:szCs w:val="24"/>
        </w:rPr>
      </w:pPr>
    </w:p>
    <w:p w14:paraId="0813A7EF" w14:textId="77777777" w:rsidR="002A7944" w:rsidRPr="000352BE" w:rsidRDefault="002A7944" w:rsidP="002A7944">
      <w:pPr>
        <w:spacing w:after="0" w:line="360" w:lineRule="auto"/>
        <w:jc w:val="center"/>
        <w:rPr>
          <w:rFonts w:ascii="Calibri" w:hAnsi="Calibri" w:cs="Calibri"/>
          <w:color w:val="auto"/>
          <w:sz w:val="24"/>
          <w:szCs w:val="24"/>
        </w:rPr>
      </w:pPr>
    </w:p>
    <w:p w14:paraId="751E415B" w14:textId="77777777" w:rsidR="002A7944" w:rsidRPr="000352BE" w:rsidRDefault="002A7944" w:rsidP="002A7944">
      <w:pPr>
        <w:spacing w:after="0" w:line="360" w:lineRule="auto"/>
        <w:jc w:val="center"/>
        <w:rPr>
          <w:rFonts w:ascii="Calibri" w:hAnsi="Calibri" w:cs="Calibri"/>
          <w:color w:val="auto"/>
          <w:sz w:val="20"/>
          <w:szCs w:val="20"/>
        </w:rPr>
      </w:pPr>
      <w:r w:rsidRPr="000352BE">
        <w:rPr>
          <w:rFonts w:ascii="Calibri" w:hAnsi="Calibri" w:cs="Calibri"/>
          <w:color w:val="auto"/>
          <w:sz w:val="20"/>
          <w:szCs w:val="20"/>
        </w:rPr>
        <w:t>CHART 2: MALE DISTRIBUTION FOR EYFS DATA</w:t>
      </w:r>
      <w:r w:rsidRPr="000352BE">
        <w:rPr>
          <w:rFonts w:ascii="Calibri" w:hAnsi="Calibri" w:cs="Calibri"/>
          <w:color w:val="auto"/>
          <w:sz w:val="20"/>
          <w:szCs w:val="20"/>
        </w:rPr>
        <w:tab/>
      </w:r>
      <w:r w:rsidRPr="000352BE">
        <w:rPr>
          <w:rFonts w:ascii="Calibri" w:hAnsi="Calibri" w:cs="Calibri"/>
          <w:color w:val="auto"/>
          <w:sz w:val="20"/>
          <w:szCs w:val="20"/>
        </w:rPr>
        <w:tab/>
      </w:r>
      <w:r w:rsidRPr="000352BE">
        <w:rPr>
          <w:rFonts w:ascii="Calibri" w:hAnsi="Calibri" w:cs="Calibri"/>
          <w:color w:val="auto"/>
          <w:sz w:val="20"/>
          <w:szCs w:val="20"/>
        </w:rPr>
        <w:tab/>
        <w:t xml:space="preserve"> CHART 3: FEMALE DISTRIBUTION FOR EYFS DATA</w:t>
      </w:r>
    </w:p>
    <w:p w14:paraId="24BE2F7B" w14:textId="77777777" w:rsidR="002A7944" w:rsidRPr="000352BE" w:rsidRDefault="002A7944" w:rsidP="002A7944">
      <w:pPr>
        <w:spacing w:after="0" w:line="360" w:lineRule="auto"/>
        <w:jc w:val="center"/>
        <w:rPr>
          <w:rFonts w:ascii="Calibri" w:hAnsi="Calibri" w:cs="Calibri"/>
          <w:color w:val="auto"/>
          <w:sz w:val="24"/>
          <w:szCs w:val="24"/>
        </w:rPr>
      </w:pPr>
    </w:p>
    <w:p w14:paraId="2F30390F" w14:textId="77777777" w:rsidR="002A7944" w:rsidRPr="000352BE" w:rsidRDefault="002A7944" w:rsidP="002A7944">
      <w:pPr>
        <w:spacing w:after="0" w:line="360" w:lineRule="auto"/>
        <w:jc w:val="both"/>
        <w:rPr>
          <w:rFonts w:ascii="Calibri" w:hAnsi="Calibri" w:cs="Calibri"/>
          <w:color w:val="auto"/>
          <w:sz w:val="22"/>
          <w:szCs w:val="22"/>
        </w:rPr>
      </w:pPr>
      <w:r w:rsidRPr="000352BE">
        <w:rPr>
          <w:rFonts w:ascii="Calibri" w:hAnsi="Calibri" w:cs="Calibri"/>
          <w:color w:val="auto"/>
          <w:sz w:val="22"/>
          <w:szCs w:val="22"/>
        </w:rPr>
        <w:t>Chart 2 and Chart 3 display the gender distribution of children who participated in the study. The results show that 63.64% of male participants and 73.53% of female participants achieved a Good Level of Development (GLD) in the Early Years, indicating a higher attainment among female children.</w:t>
      </w:r>
    </w:p>
    <w:p w14:paraId="6809B0D7" w14:textId="77777777" w:rsidR="002A7944" w:rsidRPr="000352BE" w:rsidRDefault="002A7944" w:rsidP="002A7944">
      <w:pPr>
        <w:spacing w:after="0" w:line="360" w:lineRule="auto"/>
        <w:jc w:val="both"/>
        <w:rPr>
          <w:rFonts w:ascii="Calibri" w:hAnsi="Calibri" w:cs="Calibri"/>
          <w:color w:val="auto"/>
          <w:sz w:val="22"/>
          <w:szCs w:val="22"/>
        </w:rPr>
      </w:pPr>
      <w:r w:rsidRPr="000352BE">
        <w:rPr>
          <w:rFonts w:ascii="Calibri" w:hAnsi="Calibri" w:cs="Calibri"/>
          <w:color w:val="auto"/>
          <w:sz w:val="22"/>
          <w:szCs w:val="22"/>
        </w:rPr>
        <w:t xml:space="preserve">Further breakdown of the data into gross and fine motor skills, revealed differences in teacher ratings. According to Table 3, teachers observed the children higher in gross motor skills, with 85.07% of children meeting or exceeding the expected </w:t>
      </w:r>
      <w:r w:rsidRPr="000352BE">
        <w:rPr>
          <w:rFonts w:ascii="Calibri" w:hAnsi="Calibri" w:cs="Calibri"/>
          <w:color w:val="auto"/>
          <w:sz w:val="22"/>
          <w:szCs w:val="22"/>
        </w:rPr>
        <w:lastRenderedPageBreak/>
        <w:t>levels in this domain. In contrast, a lower percentage of 76.12% of children were assessed as meeting or exceeding expectations in fine motor skills.</w:t>
      </w:r>
    </w:p>
    <w:tbl>
      <w:tblPr>
        <w:tblW w:w="107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114"/>
        <w:gridCol w:w="2410"/>
        <w:gridCol w:w="1417"/>
        <w:gridCol w:w="2410"/>
        <w:gridCol w:w="1411"/>
      </w:tblGrid>
      <w:tr w:rsidR="002A7944" w:rsidRPr="000352BE" w14:paraId="7E011082" w14:textId="77777777" w:rsidTr="00006714">
        <w:trPr>
          <w:trHeight w:val="510"/>
        </w:trPr>
        <w:tc>
          <w:tcPr>
            <w:tcW w:w="3114"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noWrap/>
            <w:vAlign w:val="center"/>
            <w:hideMark/>
          </w:tcPr>
          <w:p w14:paraId="56D21161" w14:textId="77777777" w:rsidR="002A7944" w:rsidRPr="000352BE" w:rsidRDefault="002A7944" w:rsidP="00006714">
            <w:pPr>
              <w:spacing w:after="0" w:line="240" w:lineRule="auto"/>
              <w:jc w:val="center"/>
              <w:rPr>
                <w:rFonts w:ascii="Calibri" w:eastAsia="Times New Roman" w:hAnsi="Calibri" w:cs="Calibri"/>
                <w:color w:val="000000"/>
                <w:kern w:val="0"/>
                <w:sz w:val="20"/>
                <w:szCs w:val="20"/>
                <w:lang w:eastAsia="en-GB"/>
                <w14:ligatures w14:val="none"/>
              </w:rPr>
            </w:pPr>
          </w:p>
        </w:tc>
        <w:tc>
          <w:tcPr>
            <w:tcW w:w="2410"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noWrap/>
            <w:vAlign w:val="center"/>
            <w:hideMark/>
          </w:tcPr>
          <w:p w14:paraId="53F197F2" w14:textId="77777777" w:rsidR="002A7944" w:rsidRPr="000352BE" w:rsidRDefault="002A7944" w:rsidP="00006714">
            <w:pPr>
              <w:spacing w:after="0" w:line="240" w:lineRule="auto"/>
              <w:jc w:val="center"/>
              <w:rPr>
                <w:rFonts w:ascii="Calibri" w:eastAsia="Times New Roman" w:hAnsi="Calibri" w:cs="Calibri"/>
                <w:b/>
                <w:bCs/>
                <w:color w:val="000000"/>
                <w:kern w:val="0"/>
                <w:sz w:val="20"/>
                <w:szCs w:val="20"/>
                <w:lang w:eastAsia="en-GB"/>
                <w14:ligatures w14:val="none"/>
              </w:rPr>
            </w:pPr>
            <w:r w:rsidRPr="000352BE">
              <w:rPr>
                <w:rFonts w:ascii="Calibri" w:eastAsia="Times New Roman" w:hAnsi="Calibri" w:cs="Calibri"/>
                <w:b/>
                <w:bCs/>
                <w:color w:val="000000"/>
                <w:kern w:val="0"/>
                <w:sz w:val="20"/>
                <w:szCs w:val="20"/>
                <w:lang w:eastAsia="en-GB"/>
                <w14:ligatures w14:val="none"/>
              </w:rPr>
              <w:t>GROSS MOTOR SKILLS</w:t>
            </w:r>
          </w:p>
        </w:tc>
        <w:tc>
          <w:tcPr>
            <w:tcW w:w="1417"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tcPr>
          <w:p w14:paraId="765EF35B" w14:textId="77777777" w:rsidR="002A7944" w:rsidRPr="000352BE" w:rsidRDefault="002A7944" w:rsidP="00006714">
            <w:pPr>
              <w:spacing w:after="0" w:line="240" w:lineRule="auto"/>
              <w:jc w:val="center"/>
              <w:rPr>
                <w:rFonts w:ascii="Calibri" w:eastAsia="Times New Roman" w:hAnsi="Calibri" w:cs="Calibri"/>
                <w:b/>
                <w:bCs/>
                <w:color w:val="000000"/>
                <w:kern w:val="0"/>
                <w:sz w:val="20"/>
                <w:szCs w:val="20"/>
                <w:lang w:eastAsia="en-GB"/>
                <w14:ligatures w14:val="none"/>
              </w:rPr>
            </w:pPr>
            <w:r w:rsidRPr="000352BE">
              <w:rPr>
                <w:rFonts w:ascii="Calibri" w:eastAsia="Times New Roman" w:hAnsi="Calibri" w:cs="Calibri"/>
                <w:b/>
                <w:bCs/>
                <w:caps/>
                <w:color w:val="000000"/>
                <w:kern w:val="0"/>
                <w:sz w:val="20"/>
                <w:szCs w:val="20"/>
                <w:lang w:eastAsia="en-GB"/>
                <w14:ligatures w14:val="none"/>
              </w:rPr>
              <w:t>percentage</w:t>
            </w:r>
          </w:p>
        </w:tc>
        <w:tc>
          <w:tcPr>
            <w:tcW w:w="2410"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noWrap/>
            <w:vAlign w:val="center"/>
            <w:hideMark/>
          </w:tcPr>
          <w:p w14:paraId="33AADF19" w14:textId="77777777" w:rsidR="002A7944" w:rsidRPr="000352BE" w:rsidRDefault="002A7944" w:rsidP="00006714">
            <w:pPr>
              <w:spacing w:after="0" w:line="240" w:lineRule="auto"/>
              <w:jc w:val="center"/>
              <w:rPr>
                <w:rFonts w:ascii="Calibri" w:eastAsia="Times New Roman" w:hAnsi="Calibri" w:cs="Calibri"/>
                <w:b/>
                <w:bCs/>
                <w:color w:val="000000"/>
                <w:kern w:val="0"/>
                <w:sz w:val="20"/>
                <w:szCs w:val="20"/>
                <w:lang w:eastAsia="en-GB"/>
                <w14:ligatures w14:val="none"/>
              </w:rPr>
            </w:pPr>
            <w:r w:rsidRPr="000352BE">
              <w:rPr>
                <w:rFonts w:ascii="Calibri" w:eastAsia="Times New Roman" w:hAnsi="Calibri" w:cs="Calibri"/>
                <w:b/>
                <w:bCs/>
                <w:color w:val="000000"/>
                <w:kern w:val="0"/>
                <w:sz w:val="20"/>
                <w:szCs w:val="20"/>
                <w:lang w:eastAsia="en-GB"/>
                <w14:ligatures w14:val="none"/>
              </w:rPr>
              <w:t>FINE MOTOR SKILLS</w:t>
            </w:r>
          </w:p>
        </w:tc>
        <w:tc>
          <w:tcPr>
            <w:tcW w:w="1411"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tcPr>
          <w:p w14:paraId="3D3D916E" w14:textId="77777777" w:rsidR="002A7944" w:rsidRPr="000352BE" w:rsidRDefault="002A7944" w:rsidP="00006714">
            <w:pPr>
              <w:spacing w:after="0" w:line="240" w:lineRule="auto"/>
              <w:jc w:val="center"/>
              <w:rPr>
                <w:rFonts w:ascii="Calibri" w:eastAsia="Times New Roman" w:hAnsi="Calibri" w:cs="Calibri"/>
                <w:b/>
                <w:bCs/>
                <w:color w:val="000000"/>
                <w:kern w:val="0"/>
                <w:sz w:val="20"/>
                <w:szCs w:val="20"/>
                <w:lang w:eastAsia="en-GB"/>
                <w14:ligatures w14:val="none"/>
              </w:rPr>
            </w:pPr>
            <w:r w:rsidRPr="000352BE">
              <w:rPr>
                <w:rFonts w:ascii="Calibri" w:eastAsia="Times New Roman" w:hAnsi="Calibri" w:cs="Calibri"/>
                <w:b/>
                <w:bCs/>
                <w:caps/>
                <w:color w:val="000000"/>
                <w:kern w:val="0"/>
                <w:sz w:val="20"/>
                <w:szCs w:val="20"/>
                <w:lang w:eastAsia="en-GB"/>
                <w14:ligatures w14:val="none"/>
              </w:rPr>
              <w:t>percentage</w:t>
            </w:r>
          </w:p>
        </w:tc>
      </w:tr>
      <w:tr w:rsidR="002A7944" w:rsidRPr="000352BE" w14:paraId="1F2A11E7" w14:textId="77777777" w:rsidTr="00006714">
        <w:trPr>
          <w:trHeight w:val="510"/>
        </w:trPr>
        <w:tc>
          <w:tcPr>
            <w:tcW w:w="3114"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noWrap/>
            <w:vAlign w:val="center"/>
            <w:hideMark/>
          </w:tcPr>
          <w:p w14:paraId="09E34C7B" w14:textId="77777777" w:rsidR="002A7944" w:rsidRPr="000352BE" w:rsidRDefault="002A7944" w:rsidP="00006714">
            <w:pPr>
              <w:spacing w:after="0" w:line="240" w:lineRule="auto"/>
              <w:jc w:val="center"/>
              <w:rPr>
                <w:rFonts w:ascii="Calibri" w:eastAsia="Times New Roman" w:hAnsi="Calibri" w:cs="Calibri"/>
                <w:b/>
                <w:bCs/>
                <w:color w:val="000000"/>
                <w:kern w:val="0"/>
                <w:sz w:val="20"/>
                <w:szCs w:val="20"/>
                <w:lang w:eastAsia="en-GB"/>
                <w14:ligatures w14:val="none"/>
              </w:rPr>
            </w:pPr>
            <w:r w:rsidRPr="000352BE">
              <w:rPr>
                <w:rFonts w:ascii="Calibri" w:eastAsia="Times New Roman" w:hAnsi="Calibri" w:cs="Calibri"/>
                <w:b/>
                <w:bCs/>
                <w:color w:val="000000"/>
                <w:kern w:val="0"/>
                <w:sz w:val="20"/>
                <w:szCs w:val="20"/>
                <w:lang w:eastAsia="en-GB"/>
                <w14:ligatures w14:val="none"/>
              </w:rPr>
              <w:t>EMERGING</w:t>
            </w:r>
          </w:p>
        </w:tc>
        <w:tc>
          <w:tcPr>
            <w:tcW w:w="2410"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noWrap/>
            <w:vAlign w:val="center"/>
            <w:hideMark/>
          </w:tcPr>
          <w:p w14:paraId="6FF9CAE5" w14:textId="77777777" w:rsidR="002A7944" w:rsidRPr="000352BE" w:rsidRDefault="002A7944" w:rsidP="00006714">
            <w:pPr>
              <w:spacing w:after="0" w:line="240" w:lineRule="auto"/>
              <w:jc w:val="center"/>
              <w:rPr>
                <w:rFonts w:ascii="Calibri" w:eastAsia="Times New Roman" w:hAnsi="Calibri" w:cs="Calibri"/>
                <w:color w:val="000000"/>
                <w:kern w:val="0"/>
                <w:sz w:val="20"/>
                <w:szCs w:val="20"/>
                <w:lang w:eastAsia="en-GB"/>
                <w14:ligatures w14:val="none"/>
              </w:rPr>
            </w:pPr>
            <w:r w:rsidRPr="000352BE">
              <w:rPr>
                <w:rFonts w:ascii="Calibri" w:eastAsia="Times New Roman" w:hAnsi="Calibri" w:cs="Calibri"/>
                <w:color w:val="000000"/>
                <w:kern w:val="0"/>
                <w:sz w:val="20"/>
                <w:szCs w:val="20"/>
                <w:lang w:eastAsia="en-GB"/>
                <w14:ligatures w14:val="none"/>
              </w:rPr>
              <w:t>10</w:t>
            </w:r>
          </w:p>
        </w:tc>
        <w:tc>
          <w:tcPr>
            <w:tcW w:w="1417"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tcPr>
          <w:p w14:paraId="5CE9A694" w14:textId="77777777" w:rsidR="002A7944" w:rsidRPr="000352BE" w:rsidRDefault="002A7944" w:rsidP="00006714">
            <w:pPr>
              <w:spacing w:after="0" w:line="240" w:lineRule="auto"/>
              <w:jc w:val="center"/>
              <w:rPr>
                <w:rFonts w:ascii="Calibri" w:eastAsia="Times New Roman" w:hAnsi="Calibri" w:cs="Calibri"/>
                <w:color w:val="000000"/>
                <w:kern w:val="0"/>
                <w:sz w:val="20"/>
                <w:szCs w:val="20"/>
                <w:lang w:eastAsia="en-GB"/>
                <w14:ligatures w14:val="none"/>
              </w:rPr>
            </w:pPr>
            <w:r w:rsidRPr="000352BE">
              <w:rPr>
                <w:rFonts w:ascii="Calibri" w:hAnsi="Calibri" w:cs="Calibri"/>
                <w:color w:val="000000"/>
                <w:sz w:val="20"/>
                <w:szCs w:val="20"/>
              </w:rPr>
              <w:t>14.93%</w:t>
            </w:r>
          </w:p>
        </w:tc>
        <w:tc>
          <w:tcPr>
            <w:tcW w:w="2410"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noWrap/>
            <w:vAlign w:val="center"/>
            <w:hideMark/>
          </w:tcPr>
          <w:p w14:paraId="0AA8717B" w14:textId="77777777" w:rsidR="002A7944" w:rsidRPr="000352BE" w:rsidRDefault="002A7944" w:rsidP="00006714">
            <w:pPr>
              <w:spacing w:after="0" w:line="240" w:lineRule="auto"/>
              <w:jc w:val="center"/>
              <w:rPr>
                <w:rFonts w:ascii="Calibri" w:eastAsia="Times New Roman" w:hAnsi="Calibri" w:cs="Calibri"/>
                <w:color w:val="000000"/>
                <w:kern w:val="0"/>
                <w:sz w:val="20"/>
                <w:szCs w:val="20"/>
                <w:lang w:eastAsia="en-GB"/>
                <w14:ligatures w14:val="none"/>
              </w:rPr>
            </w:pPr>
            <w:r w:rsidRPr="000352BE">
              <w:rPr>
                <w:rFonts w:ascii="Calibri" w:eastAsia="Times New Roman" w:hAnsi="Calibri" w:cs="Calibri"/>
                <w:color w:val="000000"/>
                <w:kern w:val="0"/>
                <w:sz w:val="20"/>
                <w:szCs w:val="20"/>
                <w:lang w:eastAsia="en-GB"/>
                <w14:ligatures w14:val="none"/>
              </w:rPr>
              <w:t>16</w:t>
            </w:r>
          </w:p>
        </w:tc>
        <w:tc>
          <w:tcPr>
            <w:tcW w:w="1411"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tcPr>
          <w:p w14:paraId="7B163CDE" w14:textId="77777777" w:rsidR="002A7944" w:rsidRPr="000352BE" w:rsidRDefault="002A7944" w:rsidP="00006714">
            <w:pPr>
              <w:spacing w:after="0" w:line="240" w:lineRule="auto"/>
              <w:jc w:val="center"/>
              <w:rPr>
                <w:rFonts w:ascii="Calibri" w:eastAsia="Times New Roman" w:hAnsi="Calibri" w:cs="Calibri"/>
                <w:color w:val="000000"/>
                <w:kern w:val="0"/>
                <w:sz w:val="20"/>
                <w:szCs w:val="20"/>
                <w:lang w:eastAsia="en-GB"/>
                <w14:ligatures w14:val="none"/>
              </w:rPr>
            </w:pPr>
            <w:r w:rsidRPr="000352BE">
              <w:rPr>
                <w:rFonts w:ascii="Calibri" w:hAnsi="Calibri" w:cs="Calibri"/>
                <w:color w:val="000000"/>
                <w:sz w:val="20"/>
                <w:szCs w:val="20"/>
              </w:rPr>
              <w:t>23.88%</w:t>
            </w:r>
          </w:p>
        </w:tc>
      </w:tr>
      <w:tr w:rsidR="002A7944" w:rsidRPr="000352BE" w14:paraId="616A929A" w14:textId="77777777" w:rsidTr="00006714">
        <w:trPr>
          <w:trHeight w:val="510"/>
        </w:trPr>
        <w:tc>
          <w:tcPr>
            <w:tcW w:w="3114"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noWrap/>
            <w:vAlign w:val="center"/>
            <w:hideMark/>
          </w:tcPr>
          <w:p w14:paraId="2BFD8B22" w14:textId="77777777" w:rsidR="002A7944" w:rsidRPr="000352BE" w:rsidRDefault="002A7944" w:rsidP="00006714">
            <w:pPr>
              <w:spacing w:after="0" w:line="240" w:lineRule="auto"/>
              <w:jc w:val="center"/>
              <w:rPr>
                <w:rFonts w:ascii="Calibri" w:eastAsia="Times New Roman" w:hAnsi="Calibri" w:cs="Calibri"/>
                <w:b/>
                <w:bCs/>
                <w:color w:val="000000"/>
                <w:kern w:val="0"/>
                <w:sz w:val="20"/>
                <w:szCs w:val="20"/>
                <w:lang w:eastAsia="en-GB"/>
                <w14:ligatures w14:val="none"/>
              </w:rPr>
            </w:pPr>
            <w:r w:rsidRPr="000352BE">
              <w:rPr>
                <w:rFonts w:ascii="Calibri" w:eastAsia="Times New Roman" w:hAnsi="Calibri" w:cs="Calibri"/>
                <w:b/>
                <w:bCs/>
                <w:color w:val="000000"/>
                <w:kern w:val="0"/>
                <w:sz w:val="20"/>
                <w:szCs w:val="20"/>
                <w:lang w:eastAsia="en-GB"/>
                <w14:ligatures w14:val="none"/>
              </w:rPr>
              <w:t>EXPECTED</w:t>
            </w:r>
          </w:p>
        </w:tc>
        <w:tc>
          <w:tcPr>
            <w:tcW w:w="2410"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noWrap/>
            <w:vAlign w:val="center"/>
            <w:hideMark/>
          </w:tcPr>
          <w:p w14:paraId="38CF6461" w14:textId="77777777" w:rsidR="002A7944" w:rsidRPr="000352BE" w:rsidRDefault="002A7944" w:rsidP="00006714">
            <w:pPr>
              <w:spacing w:after="0" w:line="240" w:lineRule="auto"/>
              <w:jc w:val="center"/>
              <w:rPr>
                <w:rFonts w:ascii="Calibri" w:eastAsia="Times New Roman" w:hAnsi="Calibri" w:cs="Calibri"/>
                <w:color w:val="000000"/>
                <w:kern w:val="0"/>
                <w:sz w:val="20"/>
                <w:szCs w:val="20"/>
                <w:lang w:eastAsia="en-GB"/>
                <w14:ligatures w14:val="none"/>
              </w:rPr>
            </w:pPr>
            <w:r w:rsidRPr="000352BE">
              <w:rPr>
                <w:rFonts w:ascii="Calibri" w:eastAsia="Times New Roman" w:hAnsi="Calibri" w:cs="Calibri"/>
                <w:color w:val="000000"/>
                <w:kern w:val="0"/>
                <w:sz w:val="20"/>
                <w:szCs w:val="20"/>
                <w:lang w:eastAsia="en-GB"/>
                <w14:ligatures w14:val="none"/>
              </w:rPr>
              <w:t>57</w:t>
            </w:r>
          </w:p>
        </w:tc>
        <w:tc>
          <w:tcPr>
            <w:tcW w:w="1417"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tcPr>
          <w:p w14:paraId="074AAC97" w14:textId="77777777" w:rsidR="002A7944" w:rsidRPr="000352BE" w:rsidRDefault="002A7944" w:rsidP="00006714">
            <w:pPr>
              <w:spacing w:after="0" w:line="240" w:lineRule="auto"/>
              <w:jc w:val="center"/>
              <w:rPr>
                <w:rFonts w:ascii="Calibri" w:eastAsia="Times New Roman" w:hAnsi="Calibri" w:cs="Calibri"/>
                <w:color w:val="000000"/>
                <w:kern w:val="0"/>
                <w:sz w:val="20"/>
                <w:szCs w:val="20"/>
                <w:lang w:eastAsia="en-GB"/>
                <w14:ligatures w14:val="none"/>
              </w:rPr>
            </w:pPr>
            <w:r w:rsidRPr="000352BE">
              <w:rPr>
                <w:rFonts w:ascii="Calibri" w:hAnsi="Calibri" w:cs="Calibri"/>
                <w:color w:val="000000"/>
                <w:sz w:val="20"/>
                <w:szCs w:val="20"/>
              </w:rPr>
              <w:t>85.07%</w:t>
            </w:r>
          </w:p>
        </w:tc>
        <w:tc>
          <w:tcPr>
            <w:tcW w:w="2410"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noWrap/>
            <w:vAlign w:val="center"/>
            <w:hideMark/>
          </w:tcPr>
          <w:p w14:paraId="56CBDE0B" w14:textId="77777777" w:rsidR="002A7944" w:rsidRPr="000352BE" w:rsidRDefault="002A7944" w:rsidP="00006714">
            <w:pPr>
              <w:spacing w:after="0" w:line="240" w:lineRule="auto"/>
              <w:jc w:val="center"/>
              <w:rPr>
                <w:rFonts w:ascii="Calibri" w:eastAsia="Times New Roman" w:hAnsi="Calibri" w:cs="Calibri"/>
                <w:color w:val="000000"/>
                <w:kern w:val="0"/>
                <w:sz w:val="20"/>
                <w:szCs w:val="20"/>
                <w:lang w:eastAsia="en-GB"/>
                <w14:ligatures w14:val="none"/>
              </w:rPr>
            </w:pPr>
            <w:r w:rsidRPr="000352BE">
              <w:rPr>
                <w:rFonts w:ascii="Calibri" w:eastAsia="Times New Roman" w:hAnsi="Calibri" w:cs="Calibri"/>
                <w:color w:val="000000"/>
                <w:kern w:val="0"/>
                <w:sz w:val="20"/>
                <w:szCs w:val="20"/>
                <w:lang w:eastAsia="en-GB"/>
                <w14:ligatures w14:val="none"/>
              </w:rPr>
              <w:t>51</w:t>
            </w:r>
          </w:p>
        </w:tc>
        <w:tc>
          <w:tcPr>
            <w:tcW w:w="1411"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tcPr>
          <w:p w14:paraId="661226E2" w14:textId="77777777" w:rsidR="002A7944" w:rsidRPr="000352BE" w:rsidRDefault="002A7944" w:rsidP="00006714">
            <w:pPr>
              <w:spacing w:after="0" w:line="240" w:lineRule="auto"/>
              <w:jc w:val="center"/>
              <w:rPr>
                <w:rFonts w:ascii="Calibri" w:eastAsia="Times New Roman" w:hAnsi="Calibri" w:cs="Calibri"/>
                <w:color w:val="000000"/>
                <w:kern w:val="0"/>
                <w:sz w:val="20"/>
                <w:szCs w:val="20"/>
                <w:lang w:eastAsia="en-GB"/>
                <w14:ligatures w14:val="none"/>
              </w:rPr>
            </w:pPr>
            <w:r w:rsidRPr="000352BE">
              <w:rPr>
                <w:rFonts w:ascii="Calibri" w:hAnsi="Calibri" w:cs="Calibri"/>
                <w:color w:val="000000"/>
                <w:sz w:val="20"/>
                <w:szCs w:val="20"/>
              </w:rPr>
              <w:t>76.12%</w:t>
            </w:r>
          </w:p>
        </w:tc>
      </w:tr>
      <w:tr w:rsidR="002A7944" w:rsidRPr="000352BE" w14:paraId="67A58B9E" w14:textId="77777777" w:rsidTr="00006714">
        <w:trPr>
          <w:trHeight w:val="510"/>
        </w:trPr>
        <w:tc>
          <w:tcPr>
            <w:tcW w:w="10762" w:type="dxa"/>
            <w:gridSpan w:val="5"/>
            <w:tcBorders>
              <w:top w:val="single" w:sz="4" w:space="0" w:color="D9D9D9" w:themeColor="background1" w:themeShade="D9"/>
              <w:left w:val="nil"/>
              <w:bottom w:val="nil"/>
              <w:right w:val="nil"/>
            </w:tcBorders>
            <w:noWrap/>
            <w:vAlign w:val="center"/>
          </w:tcPr>
          <w:p w14:paraId="50870A5E" w14:textId="77777777" w:rsidR="002A7944" w:rsidRPr="000352BE" w:rsidRDefault="002A7944" w:rsidP="00006714">
            <w:pPr>
              <w:spacing w:after="0" w:line="360" w:lineRule="auto"/>
              <w:jc w:val="right"/>
              <w:rPr>
                <w:rFonts w:ascii="Calibri" w:hAnsi="Calibri" w:cs="Calibri"/>
                <w:color w:val="000000"/>
                <w:sz w:val="20"/>
                <w:szCs w:val="20"/>
              </w:rPr>
            </w:pPr>
            <w:r w:rsidRPr="000352BE">
              <w:rPr>
                <w:rFonts w:ascii="Calibri" w:hAnsi="Calibri" w:cs="Calibri"/>
                <w:color w:val="000000"/>
                <w:sz w:val="20"/>
                <w:szCs w:val="20"/>
              </w:rPr>
              <w:t xml:space="preserve">Table 3: Gross and Fine Motor Skill breakdown. </w:t>
            </w:r>
          </w:p>
        </w:tc>
      </w:tr>
    </w:tbl>
    <w:p w14:paraId="54EA1393" w14:textId="77777777" w:rsidR="002A7944" w:rsidRPr="000352BE" w:rsidRDefault="002A7944" w:rsidP="002A7944">
      <w:pPr>
        <w:spacing w:after="0" w:line="360" w:lineRule="auto"/>
        <w:rPr>
          <w:rFonts w:ascii="Calibri" w:hAnsi="Calibri" w:cs="Calibri"/>
          <w:color w:val="auto"/>
          <w:sz w:val="24"/>
          <w:szCs w:val="24"/>
        </w:rPr>
      </w:pPr>
    </w:p>
    <w:p w14:paraId="32FDCCD0" w14:textId="77777777" w:rsidR="002A7944" w:rsidRPr="000352BE" w:rsidRDefault="002A7944" w:rsidP="002A7944">
      <w:pPr>
        <w:spacing w:after="0" w:line="360" w:lineRule="auto"/>
        <w:rPr>
          <w:rFonts w:ascii="Calibri" w:hAnsi="Calibri" w:cs="Calibri"/>
          <w:color w:val="auto"/>
          <w:sz w:val="24"/>
          <w:szCs w:val="24"/>
        </w:rPr>
      </w:pPr>
      <w:r w:rsidRPr="000352BE">
        <w:rPr>
          <w:rFonts w:ascii="Calibri" w:hAnsi="Calibri" w:cs="Calibri"/>
          <w:noProof/>
        </w:rPr>
        <w:drawing>
          <wp:anchor distT="0" distB="0" distL="114300" distR="114300" simplePos="0" relativeHeight="251659264" behindDoc="1" locked="0" layoutInCell="1" allowOverlap="1" wp14:anchorId="19B10E68" wp14:editId="38826002">
            <wp:simplePos x="0" y="0"/>
            <wp:positionH relativeFrom="margin">
              <wp:posOffset>0</wp:posOffset>
            </wp:positionH>
            <wp:positionV relativeFrom="paragraph">
              <wp:posOffset>98425</wp:posOffset>
            </wp:positionV>
            <wp:extent cx="3348000" cy="2268000"/>
            <wp:effectExtent l="0" t="0" r="5080" b="18415"/>
            <wp:wrapNone/>
            <wp:docPr id="2062584306" name="Chart 1">
              <a:extLst xmlns:a="http://schemas.openxmlformats.org/drawingml/2006/main">
                <a:ext uri="{FF2B5EF4-FFF2-40B4-BE49-F238E27FC236}">
                  <a16:creationId xmlns:a16="http://schemas.microsoft.com/office/drawing/2014/main" id="{30978D7F-3CA2-8176-DF92-3FA2A175479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r w:rsidRPr="000352BE">
        <w:rPr>
          <w:rFonts w:ascii="Calibri" w:hAnsi="Calibri" w:cs="Calibri"/>
          <w:noProof/>
        </w:rPr>
        <w:drawing>
          <wp:anchor distT="0" distB="0" distL="114300" distR="114300" simplePos="0" relativeHeight="251660288" behindDoc="1" locked="0" layoutInCell="1" allowOverlap="1" wp14:anchorId="7CA9F75A" wp14:editId="1F83349A">
            <wp:simplePos x="0" y="0"/>
            <wp:positionH relativeFrom="margin">
              <wp:posOffset>3487420</wp:posOffset>
            </wp:positionH>
            <wp:positionV relativeFrom="paragraph">
              <wp:posOffset>98425</wp:posOffset>
            </wp:positionV>
            <wp:extent cx="3348000" cy="2268000"/>
            <wp:effectExtent l="0" t="0" r="5080" b="18415"/>
            <wp:wrapNone/>
            <wp:docPr id="363044821" name="Chart 1">
              <a:extLst xmlns:a="http://schemas.openxmlformats.org/drawingml/2006/main">
                <a:ext uri="{FF2B5EF4-FFF2-40B4-BE49-F238E27FC236}">
                  <a16:creationId xmlns:a16="http://schemas.microsoft.com/office/drawing/2014/main" id="{F3145D24-C128-10DD-837A-A9DD5AD3B08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p>
    <w:p w14:paraId="4DA71C4E" w14:textId="77777777" w:rsidR="002A7944" w:rsidRPr="000352BE" w:rsidRDefault="002A7944" w:rsidP="002A7944">
      <w:pPr>
        <w:spacing w:after="0" w:line="360" w:lineRule="auto"/>
        <w:rPr>
          <w:rFonts w:ascii="Calibri" w:hAnsi="Calibri" w:cs="Calibri"/>
          <w:color w:val="auto"/>
          <w:sz w:val="24"/>
          <w:szCs w:val="24"/>
        </w:rPr>
      </w:pPr>
    </w:p>
    <w:p w14:paraId="1EF5C6E3" w14:textId="77777777" w:rsidR="002A7944" w:rsidRPr="000352BE" w:rsidRDefault="002A7944" w:rsidP="002A7944">
      <w:pPr>
        <w:tabs>
          <w:tab w:val="left" w:pos="3015"/>
        </w:tabs>
        <w:spacing w:after="0" w:line="360" w:lineRule="auto"/>
        <w:rPr>
          <w:rFonts w:ascii="Calibri" w:hAnsi="Calibri" w:cs="Calibri"/>
          <w:color w:val="auto"/>
          <w:sz w:val="24"/>
          <w:szCs w:val="24"/>
        </w:rPr>
      </w:pPr>
      <w:r w:rsidRPr="000352BE">
        <w:rPr>
          <w:rFonts w:ascii="Calibri" w:hAnsi="Calibri" w:cs="Calibri"/>
          <w:color w:val="auto"/>
          <w:sz w:val="24"/>
          <w:szCs w:val="24"/>
        </w:rPr>
        <w:tab/>
      </w:r>
    </w:p>
    <w:p w14:paraId="55DBB12E" w14:textId="77777777" w:rsidR="002A7944" w:rsidRPr="000352BE" w:rsidRDefault="002A7944" w:rsidP="002A7944">
      <w:pPr>
        <w:spacing w:after="0" w:line="360" w:lineRule="auto"/>
        <w:rPr>
          <w:rFonts w:ascii="Calibri" w:hAnsi="Calibri" w:cs="Calibri"/>
          <w:color w:val="auto"/>
          <w:sz w:val="24"/>
          <w:szCs w:val="24"/>
        </w:rPr>
      </w:pPr>
    </w:p>
    <w:p w14:paraId="68290CD2" w14:textId="77777777" w:rsidR="002A7944" w:rsidRPr="000352BE" w:rsidRDefault="002A7944" w:rsidP="002A7944">
      <w:pPr>
        <w:spacing w:after="0" w:line="360" w:lineRule="auto"/>
        <w:rPr>
          <w:rFonts w:ascii="Calibri" w:hAnsi="Calibri" w:cs="Calibri"/>
          <w:color w:val="auto"/>
          <w:sz w:val="24"/>
          <w:szCs w:val="24"/>
        </w:rPr>
      </w:pPr>
    </w:p>
    <w:p w14:paraId="09DDCFB3" w14:textId="77777777" w:rsidR="002A7944" w:rsidRPr="000352BE" w:rsidRDefault="002A7944" w:rsidP="002A7944">
      <w:pPr>
        <w:spacing w:after="0" w:line="360" w:lineRule="auto"/>
        <w:rPr>
          <w:rFonts w:ascii="Calibri" w:hAnsi="Calibri" w:cs="Calibri"/>
          <w:color w:val="auto"/>
          <w:sz w:val="24"/>
          <w:szCs w:val="24"/>
        </w:rPr>
      </w:pPr>
    </w:p>
    <w:p w14:paraId="1D75BFB9" w14:textId="77777777" w:rsidR="002A7944" w:rsidRPr="000352BE" w:rsidRDefault="002A7944" w:rsidP="002A7944">
      <w:pPr>
        <w:spacing w:after="0" w:line="360" w:lineRule="auto"/>
        <w:rPr>
          <w:rFonts w:ascii="Calibri" w:hAnsi="Calibri" w:cs="Calibri"/>
          <w:color w:val="auto"/>
          <w:sz w:val="24"/>
          <w:szCs w:val="24"/>
        </w:rPr>
      </w:pPr>
    </w:p>
    <w:p w14:paraId="4948F0CD" w14:textId="77777777" w:rsidR="002A7944" w:rsidRPr="000352BE" w:rsidRDefault="002A7944" w:rsidP="002A7944">
      <w:pPr>
        <w:spacing w:after="0" w:line="360" w:lineRule="auto"/>
        <w:rPr>
          <w:rFonts w:ascii="Calibri" w:hAnsi="Calibri" w:cs="Calibri"/>
          <w:color w:val="auto"/>
          <w:sz w:val="24"/>
          <w:szCs w:val="24"/>
        </w:rPr>
      </w:pPr>
    </w:p>
    <w:p w14:paraId="0E4AC516" w14:textId="77777777" w:rsidR="002A7944" w:rsidRPr="000352BE" w:rsidRDefault="002A7944" w:rsidP="002A7944">
      <w:pPr>
        <w:spacing w:after="0" w:line="360" w:lineRule="auto"/>
        <w:rPr>
          <w:rFonts w:ascii="Calibri" w:hAnsi="Calibri" w:cs="Calibri"/>
          <w:color w:val="auto"/>
          <w:sz w:val="24"/>
          <w:szCs w:val="24"/>
        </w:rPr>
      </w:pPr>
    </w:p>
    <w:p w14:paraId="6577A3F3" w14:textId="77777777" w:rsidR="002A7944" w:rsidRPr="000352BE" w:rsidRDefault="002A7944" w:rsidP="002A7944">
      <w:pPr>
        <w:spacing w:after="0" w:line="360" w:lineRule="auto"/>
        <w:jc w:val="center"/>
        <w:rPr>
          <w:rFonts w:ascii="Calibri" w:eastAsia="Times New Roman" w:hAnsi="Calibri" w:cs="Calibri"/>
          <w:color w:val="000000"/>
          <w:kern w:val="0"/>
          <w:sz w:val="18"/>
          <w:szCs w:val="18"/>
          <w:lang w:eastAsia="en-GB"/>
          <w14:ligatures w14:val="none"/>
        </w:rPr>
      </w:pPr>
      <w:r w:rsidRPr="000352BE">
        <w:rPr>
          <w:rFonts w:ascii="Calibri" w:eastAsia="Times New Roman" w:hAnsi="Calibri" w:cs="Calibri"/>
          <w:caps/>
          <w:color w:val="000000"/>
          <w:kern w:val="0"/>
          <w:sz w:val="18"/>
          <w:szCs w:val="18"/>
          <w:lang w:eastAsia="en-GB"/>
          <w14:ligatures w14:val="none"/>
        </w:rPr>
        <w:t xml:space="preserve">chart 4 </w:t>
      </w:r>
      <w:r w:rsidRPr="000352BE">
        <w:rPr>
          <w:rFonts w:ascii="Calibri" w:hAnsi="Calibri" w:cs="Calibri"/>
          <w:color w:val="000000"/>
          <w:sz w:val="18"/>
          <w:szCs w:val="18"/>
        </w:rPr>
        <w:t>Gross Motor Skill breakdown</w:t>
      </w:r>
      <w:r w:rsidRPr="000352BE">
        <w:rPr>
          <w:rFonts w:ascii="Calibri" w:eastAsia="Times New Roman" w:hAnsi="Calibri" w:cs="Calibri"/>
          <w:caps/>
          <w:color w:val="000000"/>
          <w:kern w:val="0"/>
          <w:sz w:val="18"/>
          <w:szCs w:val="18"/>
          <w:lang w:eastAsia="en-GB"/>
          <w14:ligatures w14:val="none"/>
        </w:rPr>
        <w:t xml:space="preserve"> </w:t>
      </w:r>
      <w:r w:rsidRPr="000352BE">
        <w:rPr>
          <w:rFonts w:ascii="Calibri" w:eastAsia="Times New Roman" w:hAnsi="Calibri" w:cs="Calibri"/>
          <w:caps/>
          <w:color w:val="000000"/>
          <w:kern w:val="0"/>
          <w:sz w:val="18"/>
          <w:szCs w:val="18"/>
          <w:lang w:eastAsia="en-GB"/>
          <w14:ligatures w14:val="none"/>
        </w:rPr>
        <w:tab/>
      </w:r>
      <w:r w:rsidRPr="000352BE">
        <w:rPr>
          <w:rFonts w:ascii="Calibri" w:eastAsia="Times New Roman" w:hAnsi="Calibri" w:cs="Calibri"/>
          <w:caps/>
          <w:color w:val="000000"/>
          <w:kern w:val="0"/>
          <w:sz w:val="18"/>
          <w:szCs w:val="18"/>
          <w:lang w:eastAsia="en-GB"/>
          <w14:ligatures w14:val="none"/>
        </w:rPr>
        <w:tab/>
      </w:r>
      <w:r w:rsidRPr="000352BE">
        <w:rPr>
          <w:rFonts w:ascii="Calibri" w:eastAsia="Times New Roman" w:hAnsi="Calibri" w:cs="Calibri"/>
          <w:caps/>
          <w:color w:val="000000"/>
          <w:kern w:val="0"/>
          <w:sz w:val="18"/>
          <w:szCs w:val="18"/>
          <w:lang w:eastAsia="en-GB"/>
          <w14:ligatures w14:val="none"/>
        </w:rPr>
        <w:tab/>
      </w:r>
      <w:r w:rsidRPr="000352BE">
        <w:rPr>
          <w:rFonts w:ascii="Calibri" w:eastAsia="Times New Roman" w:hAnsi="Calibri" w:cs="Calibri"/>
          <w:caps/>
          <w:color w:val="000000"/>
          <w:kern w:val="0"/>
          <w:sz w:val="18"/>
          <w:szCs w:val="18"/>
          <w:lang w:eastAsia="en-GB"/>
          <w14:ligatures w14:val="none"/>
        </w:rPr>
        <w:tab/>
      </w:r>
      <w:r w:rsidRPr="000352BE">
        <w:rPr>
          <w:rFonts w:ascii="Calibri" w:eastAsia="Times New Roman" w:hAnsi="Calibri" w:cs="Calibri"/>
          <w:caps/>
          <w:color w:val="000000"/>
          <w:kern w:val="0"/>
          <w:sz w:val="18"/>
          <w:szCs w:val="18"/>
          <w:lang w:eastAsia="en-GB"/>
          <w14:ligatures w14:val="none"/>
        </w:rPr>
        <w:tab/>
        <w:t xml:space="preserve">CHART 5: </w:t>
      </w:r>
      <w:r w:rsidRPr="000352BE">
        <w:rPr>
          <w:rFonts w:ascii="Calibri" w:hAnsi="Calibri" w:cs="Calibri"/>
          <w:color w:val="000000"/>
          <w:sz w:val="18"/>
          <w:szCs w:val="18"/>
        </w:rPr>
        <w:t>Fine Motor Skill breakdown</w:t>
      </w:r>
    </w:p>
    <w:p w14:paraId="39D97BA4" w14:textId="77777777" w:rsidR="002A7944" w:rsidRPr="000352BE" w:rsidRDefault="002A7944" w:rsidP="002A7944">
      <w:pPr>
        <w:spacing w:after="0" w:line="360" w:lineRule="auto"/>
        <w:rPr>
          <w:rFonts w:ascii="Calibri" w:hAnsi="Calibri" w:cs="Calibri"/>
          <w:b/>
          <w:bCs/>
          <w:color w:val="auto"/>
          <w:sz w:val="24"/>
          <w:szCs w:val="24"/>
        </w:rPr>
      </w:pPr>
    </w:p>
    <w:p w14:paraId="67691EAA" w14:textId="77777777" w:rsidR="002A7944" w:rsidRPr="000352BE" w:rsidRDefault="002A7944" w:rsidP="002A7944">
      <w:pPr>
        <w:spacing w:after="0" w:line="360" w:lineRule="auto"/>
        <w:jc w:val="both"/>
        <w:rPr>
          <w:rFonts w:ascii="Calibri" w:hAnsi="Calibri" w:cs="Calibri"/>
          <w:color w:val="auto"/>
          <w:sz w:val="22"/>
          <w:szCs w:val="22"/>
        </w:rPr>
      </w:pPr>
      <w:r w:rsidRPr="000352BE">
        <w:rPr>
          <w:rFonts w:ascii="Calibri" w:hAnsi="Calibri" w:cs="Calibri"/>
          <w:color w:val="auto"/>
          <w:sz w:val="22"/>
          <w:szCs w:val="22"/>
        </w:rPr>
        <w:t>Chart 6 compares Gross Motor Skills (GMS) and Fine Motor Skills (FMS) outcomes from the EYFS data for males and females. The results show that females outperformed males in both areas, with 88.24% of females achieving a Good Level of Development (GLD) in GMS compared to 81.82% of males, and 79.41% of females achieving GLD in FMS compared to 72.7% of males.</w:t>
      </w:r>
    </w:p>
    <w:p w14:paraId="46CA42AA" w14:textId="77777777" w:rsidR="002A7944" w:rsidRPr="000352BE" w:rsidRDefault="002A7944" w:rsidP="002A7944">
      <w:pPr>
        <w:spacing w:after="0" w:line="360" w:lineRule="auto"/>
        <w:rPr>
          <w:rFonts w:ascii="Calibri" w:hAnsi="Calibri" w:cs="Calibri"/>
          <w:b/>
          <w:bCs/>
          <w:color w:val="auto"/>
          <w:sz w:val="24"/>
          <w:szCs w:val="24"/>
        </w:rPr>
      </w:pPr>
      <w:r w:rsidRPr="000352BE">
        <w:rPr>
          <w:rFonts w:ascii="Calibri" w:hAnsi="Calibri" w:cs="Calibri"/>
          <w:noProof/>
        </w:rPr>
        <w:drawing>
          <wp:anchor distT="0" distB="0" distL="114300" distR="114300" simplePos="0" relativeHeight="251661312" behindDoc="1" locked="0" layoutInCell="1" allowOverlap="1" wp14:anchorId="0785C9FF" wp14:editId="32A2EB24">
            <wp:simplePos x="0" y="0"/>
            <wp:positionH relativeFrom="margin">
              <wp:posOffset>-2758</wp:posOffset>
            </wp:positionH>
            <wp:positionV relativeFrom="paragraph">
              <wp:posOffset>63598</wp:posOffset>
            </wp:positionV>
            <wp:extent cx="6827789" cy="2743200"/>
            <wp:effectExtent l="0" t="0" r="11430" b="0"/>
            <wp:wrapNone/>
            <wp:docPr id="1019721975" name="Chart 1">
              <a:extLst xmlns:a="http://schemas.openxmlformats.org/drawingml/2006/main">
                <a:ext uri="{FF2B5EF4-FFF2-40B4-BE49-F238E27FC236}">
                  <a16:creationId xmlns:a16="http://schemas.microsoft.com/office/drawing/2014/main" id="{2BF0015C-D187-2069-94E5-F4B69AE4E1C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p>
    <w:p w14:paraId="586C449B" w14:textId="77777777" w:rsidR="002A7944" w:rsidRPr="000352BE" w:rsidRDefault="002A7944" w:rsidP="002A7944">
      <w:pPr>
        <w:spacing w:after="0" w:line="360" w:lineRule="auto"/>
        <w:rPr>
          <w:rFonts w:ascii="Calibri" w:hAnsi="Calibri" w:cs="Calibri"/>
          <w:b/>
          <w:bCs/>
          <w:color w:val="auto"/>
          <w:sz w:val="24"/>
          <w:szCs w:val="24"/>
        </w:rPr>
      </w:pPr>
    </w:p>
    <w:p w14:paraId="4C90C7C6" w14:textId="77777777" w:rsidR="002A7944" w:rsidRPr="000352BE" w:rsidRDefault="002A7944" w:rsidP="002A7944">
      <w:pPr>
        <w:spacing w:after="0" w:line="360" w:lineRule="auto"/>
        <w:rPr>
          <w:rFonts w:ascii="Calibri" w:hAnsi="Calibri" w:cs="Calibri"/>
          <w:b/>
          <w:bCs/>
          <w:color w:val="auto"/>
          <w:sz w:val="24"/>
          <w:szCs w:val="24"/>
        </w:rPr>
      </w:pPr>
    </w:p>
    <w:p w14:paraId="694CCC1F" w14:textId="77777777" w:rsidR="002A7944" w:rsidRPr="000352BE" w:rsidRDefault="002A7944" w:rsidP="002A7944">
      <w:pPr>
        <w:spacing w:after="0" w:line="360" w:lineRule="auto"/>
        <w:rPr>
          <w:rFonts w:ascii="Calibri" w:hAnsi="Calibri" w:cs="Calibri"/>
          <w:b/>
          <w:bCs/>
          <w:color w:val="auto"/>
          <w:sz w:val="24"/>
          <w:szCs w:val="24"/>
        </w:rPr>
      </w:pPr>
    </w:p>
    <w:p w14:paraId="423FAF42" w14:textId="77777777" w:rsidR="002A7944" w:rsidRPr="000352BE" w:rsidRDefault="002A7944" w:rsidP="002A7944">
      <w:pPr>
        <w:spacing w:after="0" w:line="360" w:lineRule="auto"/>
        <w:rPr>
          <w:rFonts w:ascii="Calibri" w:hAnsi="Calibri" w:cs="Calibri"/>
          <w:b/>
          <w:bCs/>
          <w:color w:val="auto"/>
          <w:sz w:val="24"/>
          <w:szCs w:val="24"/>
        </w:rPr>
      </w:pPr>
    </w:p>
    <w:p w14:paraId="20334355" w14:textId="77777777" w:rsidR="002A7944" w:rsidRPr="000352BE" w:rsidRDefault="002A7944" w:rsidP="002A7944">
      <w:pPr>
        <w:spacing w:after="0" w:line="360" w:lineRule="auto"/>
        <w:rPr>
          <w:rFonts w:ascii="Calibri" w:hAnsi="Calibri" w:cs="Calibri"/>
          <w:b/>
          <w:bCs/>
          <w:color w:val="auto"/>
          <w:sz w:val="24"/>
          <w:szCs w:val="24"/>
        </w:rPr>
      </w:pPr>
    </w:p>
    <w:p w14:paraId="69AACAE0" w14:textId="77777777" w:rsidR="002A7944" w:rsidRPr="000352BE" w:rsidRDefault="002A7944" w:rsidP="002A7944">
      <w:pPr>
        <w:spacing w:after="0" w:line="360" w:lineRule="auto"/>
        <w:rPr>
          <w:rFonts w:ascii="Calibri" w:hAnsi="Calibri" w:cs="Calibri"/>
          <w:b/>
          <w:bCs/>
          <w:color w:val="auto"/>
          <w:sz w:val="24"/>
          <w:szCs w:val="24"/>
        </w:rPr>
      </w:pPr>
    </w:p>
    <w:p w14:paraId="5835D9A7" w14:textId="77777777" w:rsidR="002A7944" w:rsidRPr="000352BE" w:rsidRDefault="002A7944" w:rsidP="002A7944">
      <w:pPr>
        <w:spacing w:after="0" w:line="360" w:lineRule="auto"/>
        <w:rPr>
          <w:rFonts w:ascii="Calibri" w:hAnsi="Calibri" w:cs="Calibri"/>
          <w:b/>
          <w:bCs/>
          <w:color w:val="auto"/>
          <w:sz w:val="24"/>
          <w:szCs w:val="24"/>
        </w:rPr>
      </w:pPr>
    </w:p>
    <w:p w14:paraId="24EBB330" w14:textId="77777777" w:rsidR="002A7944" w:rsidRPr="000352BE" w:rsidRDefault="002A7944" w:rsidP="002A7944">
      <w:pPr>
        <w:tabs>
          <w:tab w:val="left" w:pos="2062"/>
        </w:tabs>
        <w:spacing w:after="0" w:line="360" w:lineRule="auto"/>
        <w:rPr>
          <w:rFonts w:ascii="Calibri" w:hAnsi="Calibri" w:cs="Calibri"/>
          <w:b/>
          <w:bCs/>
          <w:color w:val="auto"/>
          <w:sz w:val="24"/>
          <w:szCs w:val="24"/>
        </w:rPr>
      </w:pPr>
      <w:r w:rsidRPr="000352BE">
        <w:rPr>
          <w:rFonts w:ascii="Calibri" w:hAnsi="Calibri" w:cs="Calibri"/>
          <w:b/>
          <w:bCs/>
          <w:color w:val="auto"/>
          <w:sz w:val="24"/>
          <w:szCs w:val="24"/>
        </w:rPr>
        <w:tab/>
      </w:r>
    </w:p>
    <w:p w14:paraId="0145F1E9" w14:textId="77777777" w:rsidR="002A7944" w:rsidRPr="000352BE" w:rsidRDefault="002A7944" w:rsidP="002A7944">
      <w:pPr>
        <w:tabs>
          <w:tab w:val="left" w:pos="8025"/>
        </w:tabs>
        <w:spacing w:after="0" w:line="360" w:lineRule="auto"/>
        <w:rPr>
          <w:rFonts w:ascii="Calibri" w:hAnsi="Calibri" w:cs="Calibri"/>
          <w:b/>
          <w:bCs/>
          <w:color w:val="auto"/>
          <w:sz w:val="24"/>
          <w:szCs w:val="24"/>
        </w:rPr>
      </w:pPr>
    </w:p>
    <w:p w14:paraId="735E3755" w14:textId="77777777" w:rsidR="002A7944" w:rsidRPr="000352BE" w:rsidRDefault="002A7944" w:rsidP="002A7944">
      <w:pPr>
        <w:tabs>
          <w:tab w:val="left" w:pos="8025"/>
        </w:tabs>
        <w:spacing w:after="0" w:line="360" w:lineRule="auto"/>
        <w:jc w:val="right"/>
        <w:rPr>
          <w:rFonts w:ascii="Calibri" w:hAnsi="Calibri" w:cs="Calibri"/>
          <w:b/>
          <w:bCs/>
          <w:color w:val="auto"/>
          <w:sz w:val="22"/>
          <w:szCs w:val="22"/>
        </w:rPr>
      </w:pPr>
      <w:r w:rsidRPr="000352BE">
        <w:rPr>
          <w:rFonts w:ascii="Calibri" w:hAnsi="Calibri" w:cs="Calibri"/>
          <w:color w:val="auto"/>
          <w:sz w:val="20"/>
          <w:szCs w:val="20"/>
        </w:rPr>
        <w:t xml:space="preserve">Chart 6 Male / Female Split for Gross and Fine Motor Skills </w:t>
      </w:r>
    </w:p>
    <w:p w14:paraId="007DA0DC" w14:textId="77777777" w:rsidR="002A7944" w:rsidRPr="000352BE" w:rsidRDefault="002A7944" w:rsidP="002A7944">
      <w:pPr>
        <w:spacing w:after="0" w:line="360" w:lineRule="auto"/>
        <w:jc w:val="both"/>
        <w:rPr>
          <w:rFonts w:ascii="Calibri" w:hAnsi="Calibri" w:cs="Calibri"/>
          <w:color w:val="auto"/>
          <w:sz w:val="22"/>
          <w:szCs w:val="22"/>
        </w:rPr>
      </w:pPr>
    </w:p>
    <w:p w14:paraId="6E90C301" w14:textId="77777777" w:rsidR="002A7944" w:rsidRPr="000352BE" w:rsidRDefault="002A7944" w:rsidP="002A7944">
      <w:pPr>
        <w:spacing w:after="0" w:line="360" w:lineRule="auto"/>
        <w:jc w:val="both"/>
        <w:rPr>
          <w:rFonts w:ascii="Calibri" w:hAnsi="Calibri" w:cs="Calibri"/>
          <w:color w:val="auto"/>
          <w:sz w:val="24"/>
          <w:szCs w:val="24"/>
        </w:rPr>
      </w:pPr>
    </w:p>
    <w:p w14:paraId="4295E836" w14:textId="77777777" w:rsidR="002A7944" w:rsidRPr="000352BE" w:rsidRDefault="002A7944" w:rsidP="002A7944">
      <w:pPr>
        <w:spacing w:after="0" w:line="360" w:lineRule="auto"/>
        <w:jc w:val="both"/>
        <w:rPr>
          <w:rFonts w:ascii="Calibri" w:hAnsi="Calibri" w:cs="Calibri"/>
          <w:color w:val="auto"/>
          <w:sz w:val="22"/>
          <w:szCs w:val="22"/>
        </w:rPr>
      </w:pPr>
      <w:r w:rsidRPr="000352BE">
        <w:rPr>
          <w:rFonts w:ascii="Calibri" w:hAnsi="Calibri" w:cs="Calibri"/>
          <w:color w:val="auto"/>
          <w:sz w:val="22"/>
          <w:szCs w:val="22"/>
        </w:rPr>
        <w:lastRenderedPageBreak/>
        <w:t>Analysis of the MABC-2 results revealed a more concerning picture of motor skill difficulties within the children that undertook the test. (Table 4). Only 28.57% of children were classified as having no motor difficulties, while a substantial 71.43% were identified as either at risk or having significant movement difficulties. A significant number of children scored below the expected range for their age; this highlights children who have a risk of movement difficulty as well as a large proportion with significant movement difficulties.</w:t>
      </w:r>
    </w:p>
    <w:p w14:paraId="0BFA45BF" w14:textId="77777777" w:rsidR="002A7944" w:rsidRPr="000352BE" w:rsidRDefault="002A7944" w:rsidP="002A7944">
      <w:pPr>
        <w:spacing w:after="0" w:line="360" w:lineRule="auto"/>
        <w:jc w:val="both"/>
        <w:rPr>
          <w:rFonts w:ascii="Calibri" w:hAnsi="Calibri" w:cs="Calibri"/>
          <w:color w:val="auto"/>
          <w:sz w:val="22"/>
          <w:szCs w:val="22"/>
        </w:rPr>
      </w:pPr>
      <w:r w:rsidRPr="000352BE">
        <w:rPr>
          <w:rFonts w:ascii="Calibri" w:hAnsi="Calibri" w:cs="Calibri"/>
          <w:color w:val="auto"/>
          <w:sz w:val="22"/>
          <w:szCs w:val="22"/>
        </w:rPr>
        <w:t>The data has been organised into crosstabulations via SPSS by gender (Table 4), school setting (Table 5) and via each component of the MABC-2 assessment (Manual Dexterity, Aiming and Catching, and Balance) (Table 6, 7 &amp; 8). Each child’s performance is classified according to the standard MABC-2 percentile bands: </w:t>
      </w:r>
      <w:r w:rsidRPr="000352BE">
        <w:rPr>
          <w:rFonts w:ascii="Calibri" w:eastAsia="Times New Roman" w:hAnsi="Calibri" w:cs="Calibri"/>
          <w:color w:val="000000"/>
          <w:kern w:val="0"/>
          <w:sz w:val="22"/>
          <w:szCs w:val="22"/>
          <w:lang w:eastAsia="en-GB"/>
          <w14:ligatures w14:val="none"/>
        </w:rPr>
        <w:t>Denote a significant movement difficulty</w:t>
      </w:r>
      <w:r w:rsidRPr="000352BE">
        <w:rPr>
          <w:rFonts w:ascii="Calibri" w:hAnsi="Calibri" w:cs="Calibri"/>
          <w:color w:val="auto"/>
          <w:sz w:val="22"/>
          <w:szCs w:val="22"/>
        </w:rPr>
        <w:t xml:space="preserve"> = Red (&lt;5th percentile), </w:t>
      </w:r>
      <w:r w:rsidRPr="000352BE">
        <w:rPr>
          <w:rFonts w:ascii="Calibri" w:eastAsia="Times New Roman" w:hAnsi="Calibri" w:cs="Calibri"/>
          <w:color w:val="000000"/>
          <w:kern w:val="0"/>
          <w:sz w:val="22"/>
          <w:szCs w:val="22"/>
          <w:lang w:eastAsia="en-GB"/>
          <w14:ligatures w14:val="none"/>
        </w:rPr>
        <w:t>at risk of having a movement difficulty</w:t>
      </w:r>
      <w:r w:rsidRPr="000352BE">
        <w:rPr>
          <w:rFonts w:ascii="Calibri" w:hAnsi="Calibri" w:cs="Calibri"/>
          <w:color w:val="auto"/>
          <w:sz w:val="22"/>
          <w:szCs w:val="22"/>
        </w:rPr>
        <w:t xml:space="preserve"> = Amber (6th–15th percentile) and </w:t>
      </w:r>
      <w:r w:rsidRPr="000352BE">
        <w:rPr>
          <w:rFonts w:ascii="Calibri" w:eastAsia="Times New Roman" w:hAnsi="Calibri" w:cs="Calibri"/>
          <w:color w:val="000000"/>
          <w:kern w:val="0"/>
          <w:sz w:val="22"/>
          <w:szCs w:val="22"/>
          <w:lang w:eastAsia="en-GB"/>
          <w14:ligatures w14:val="none"/>
        </w:rPr>
        <w:t>No movement difficulty detected =</w:t>
      </w:r>
      <w:r w:rsidRPr="000352BE">
        <w:rPr>
          <w:rFonts w:ascii="Calibri" w:hAnsi="Calibri" w:cs="Calibri"/>
          <w:color w:val="auto"/>
          <w:sz w:val="22"/>
          <w:szCs w:val="22"/>
        </w:rPr>
        <w:t> Green (&gt;16th percentile).</w:t>
      </w:r>
    </w:p>
    <w:p w14:paraId="1B5279F8" w14:textId="77777777" w:rsidR="002A7944" w:rsidRPr="000352BE" w:rsidRDefault="002A7944" w:rsidP="002A7944">
      <w:pPr>
        <w:spacing w:after="0" w:line="360" w:lineRule="auto"/>
        <w:jc w:val="both"/>
        <w:rPr>
          <w:rFonts w:ascii="Calibri" w:hAnsi="Calibri" w:cs="Calibri"/>
          <w:color w:val="auto"/>
          <w:sz w:val="24"/>
          <w:szCs w:val="24"/>
        </w:rPr>
      </w:pPr>
    </w:p>
    <w:tbl>
      <w:tblPr>
        <w:tblW w:w="10783" w:type="dxa"/>
        <w:tblInd w:w="5" w:type="dxa"/>
        <w:tblLayout w:type="fixed"/>
        <w:tblCellMar>
          <w:left w:w="10" w:type="dxa"/>
          <w:right w:w="10" w:type="dxa"/>
        </w:tblCellMar>
        <w:tblLook w:val="04A0" w:firstRow="1" w:lastRow="0" w:firstColumn="1" w:lastColumn="0" w:noHBand="0" w:noVBand="1"/>
      </w:tblPr>
      <w:tblGrid>
        <w:gridCol w:w="800"/>
        <w:gridCol w:w="2271"/>
        <w:gridCol w:w="1928"/>
        <w:gridCol w:w="1928"/>
        <w:gridCol w:w="1928"/>
        <w:gridCol w:w="1928"/>
      </w:tblGrid>
      <w:tr w:rsidR="002A7944" w:rsidRPr="000352BE" w14:paraId="1E2F3EB1" w14:textId="77777777" w:rsidTr="00006714">
        <w:trPr>
          <w:trHeight w:val="567"/>
        </w:trPr>
        <w:tc>
          <w:tcPr>
            <w:tcW w:w="3071" w:type="dxa"/>
            <w:gridSpan w:val="2"/>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tcPr>
          <w:p w14:paraId="461DE0CE" w14:textId="77777777" w:rsidR="002A7944" w:rsidRPr="000352BE" w:rsidRDefault="002A7944" w:rsidP="00006714">
            <w:pPr>
              <w:spacing w:after="0" w:line="240" w:lineRule="auto"/>
              <w:jc w:val="center"/>
              <w:rPr>
                <w:rFonts w:ascii="Calibri" w:hAnsi="Calibri" w:cs="Calibri"/>
                <w:color w:val="auto"/>
                <w:sz w:val="22"/>
                <w:szCs w:val="22"/>
              </w:rPr>
            </w:pPr>
          </w:p>
        </w:tc>
        <w:tc>
          <w:tcPr>
            <w:tcW w:w="1928"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tcPr>
          <w:p w14:paraId="03462425" w14:textId="77777777" w:rsidR="002A7944" w:rsidRPr="000352BE" w:rsidRDefault="002A7944" w:rsidP="00006714">
            <w:pPr>
              <w:spacing w:after="0" w:line="240" w:lineRule="auto"/>
              <w:jc w:val="center"/>
              <w:rPr>
                <w:rFonts w:ascii="Calibri" w:hAnsi="Calibri" w:cs="Calibri"/>
                <w:b/>
                <w:bCs/>
                <w:color w:val="auto"/>
                <w:sz w:val="22"/>
                <w:szCs w:val="22"/>
              </w:rPr>
            </w:pPr>
            <w:r w:rsidRPr="000352BE">
              <w:rPr>
                <w:rFonts w:ascii="Calibri" w:hAnsi="Calibri" w:cs="Calibri"/>
                <w:b/>
                <w:bCs/>
                <w:color w:val="auto"/>
                <w:sz w:val="22"/>
                <w:szCs w:val="22"/>
              </w:rPr>
              <w:t>RED &lt;5TH PERCENTILE</w:t>
            </w:r>
          </w:p>
        </w:tc>
        <w:tc>
          <w:tcPr>
            <w:tcW w:w="1928"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tcPr>
          <w:p w14:paraId="34E542BC" w14:textId="77777777" w:rsidR="002A7944" w:rsidRPr="000352BE" w:rsidRDefault="002A7944" w:rsidP="00006714">
            <w:pPr>
              <w:spacing w:after="0" w:line="240" w:lineRule="auto"/>
              <w:jc w:val="center"/>
              <w:rPr>
                <w:rFonts w:ascii="Calibri" w:hAnsi="Calibri" w:cs="Calibri"/>
                <w:b/>
                <w:bCs/>
                <w:color w:val="auto"/>
                <w:sz w:val="22"/>
                <w:szCs w:val="22"/>
              </w:rPr>
            </w:pPr>
            <w:r w:rsidRPr="000352BE">
              <w:rPr>
                <w:rFonts w:ascii="Calibri" w:hAnsi="Calibri" w:cs="Calibri"/>
                <w:b/>
                <w:bCs/>
                <w:color w:val="auto"/>
                <w:sz w:val="22"/>
                <w:szCs w:val="22"/>
              </w:rPr>
              <w:t>AMBER 6-15TH PERCENTILE</w:t>
            </w:r>
          </w:p>
        </w:tc>
        <w:tc>
          <w:tcPr>
            <w:tcW w:w="1928"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tcPr>
          <w:p w14:paraId="5A3DEEFA" w14:textId="77777777" w:rsidR="002A7944" w:rsidRPr="000352BE" w:rsidRDefault="002A7944" w:rsidP="00006714">
            <w:pPr>
              <w:spacing w:after="0" w:line="240" w:lineRule="auto"/>
              <w:jc w:val="center"/>
              <w:rPr>
                <w:rFonts w:ascii="Calibri" w:hAnsi="Calibri" w:cs="Calibri"/>
                <w:b/>
                <w:bCs/>
                <w:color w:val="auto"/>
                <w:sz w:val="22"/>
                <w:szCs w:val="22"/>
              </w:rPr>
            </w:pPr>
            <w:r w:rsidRPr="000352BE">
              <w:rPr>
                <w:rFonts w:ascii="Calibri" w:hAnsi="Calibri" w:cs="Calibri"/>
                <w:b/>
                <w:bCs/>
                <w:color w:val="auto"/>
                <w:sz w:val="22"/>
                <w:szCs w:val="22"/>
              </w:rPr>
              <w:t>GREEN &gt;16TH PERCENTILE</w:t>
            </w:r>
          </w:p>
        </w:tc>
        <w:tc>
          <w:tcPr>
            <w:tcW w:w="1928"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tcPr>
          <w:p w14:paraId="1505E502" w14:textId="77777777" w:rsidR="002A7944" w:rsidRPr="000352BE" w:rsidRDefault="002A7944" w:rsidP="00006714">
            <w:pPr>
              <w:spacing w:after="0" w:line="240" w:lineRule="auto"/>
              <w:jc w:val="center"/>
              <w:rPr>
                <w:rFonts w:ascii="Calibri" w:hAnsi="Calibri" w:cs="Calibri"/>
                <w:b/>
                <w:bCs/>
                <w:caps/>
                <w:color w:val="auto"/>
                <w:sz w:val="22"/>
                <w:szCs w:val="22"/>
              </w:rPr>
            </w:pPr>
            <w:r w:rsidRPr="000352BE">
              <w:rPr>
                <w:rFonts w:ascii="Calibri" w:hAnsi="Calibri" w:cs="Calibri"/>
                <w:b/>
                <w:bCs/>
                <w:caps/>
                <w:color w:val="auto"/>
                <w:sz w:val="22"/>
                <w:szCs w:val="22"/>
              </w:rPr>
              <w:t>Total</w:t>
            </w:r>
          </w:p>
        </w:tc>
      </w:tr>
      <w:tr w:rsidR="002A7944" w:rsidRPr="000352BE" w14:paraId="1903D8D5" w14:textId="77777777" w:rsidTr="00006714">
        <w:trPr>
          <w:trHeight w:val="567"/>
        </w:trPr>
        <w:tc>
          <w:tcPr>
            <w:tcW w:w="800" w:type="dxa"/>
            <w:vMerge w:val="restart"/>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hideMark/>
          </w:tcPr>
          <w:p w14:paraId="1584D249" w14:textId="77777777" w:rsidR="002A7944" w:rsidRPr="000352BE" w:rsidRDefault="002A7944" w:rsidP="00006714">
            <w:pPr>
              <w:spacing w:after="0" w:line="240" w:lineRule="auto"/>
              <w:jc w:val="center"/>
              <w:rPr>
                <w:rFonts w:ascii="Calibri" w:hAnsi="Calibri" w:cs="Calibri"/>
                <w:b/>
                <w:bCs/>
                <w:color w:val="auto"/>
                <w:sz w:val="22"/>
                <w:szCs w:val="22"/>
              </w:rPr>
            </w:pPr>
            <w:r w:rsidRPr="000352BE">
              <w:rPr>
                <w:rFonts w:ascii="Calibri" w:hAnsi="Calibri" w:cs="Calibri"/>
                <w:b/>
                <w:bCs/>
                <w:color w:val="auto"/>
                <w:sz w:val="22"/>
                <w:szCs w:val="22"/>
              </w:rPr>
              <w:t>MALE</w:t>
            </w:r>
          </w:p>
        </w:tc>
        <w:tc>
          <w:tcPr>
            <w:tcW w:w="2271"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hideMark/>
          </w:tcPr>
          <w:p w14:paraId="23840706"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hAnsi="Calibri" w:cs="Calibri"/>
                <w:color w:val="auto"/>
                <w:sz w:val="22"/>
                <w:szCs w:val="22"/>
              </w:rPr>
              <w:t>Count</w:t>
            </w:r>
          </w:p>
        </w:tc>
        <w:tc>
          <w:tcPr>
            <w:tcW w:w="1928"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hideMark/>
          </w:tcPr>
          <w:p w14:paraId="1B0E361E"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hAnsi="Calibri" w:cs="Calibri"/>
                <w:color w:val="auto"/>
                <w:sz w:val="22"/>
                <w:szCs w:val="22"/>
              </w:rPr>
              <w:t>16</w:t>
            </w:r>
          </w:p>
        </w:tc>
        <w:tc>
          <w:tcPr>
            <w:tcW w:w="1928"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hideMark/>
          </w:tcPr>
          <w:p w14:paraId="0B3ED493"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hAnsi="Calibri" w:cs="Calibri"/>
                <w:color w:val="auto"/>
                <w:sz w:val="22"/>
                <w:szCs w:val="22"/>
              </w:rPr>
              <w:t>10</w:t>
            </w:r>
          </w:p>
        </w:tc>
        <w:tc>
          <w:tcPr>
            <w:tcW w:w="1928"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hideMark/>
          </w:tcPr>
          <w:p w14:paraId="046DBD4F"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hAnsi="Calibri" w:cs="Calibri"/>
                <w:color w:val="auto"/>
                <w:sz w:val="22"/>
                <w:szCs w:val="22"/>
              </w:rPr>
              <w:t>8</w:t>
            </w:r>
          </w:p>
        </w:tc>
        <w:tc>
          <w:tcPr>
            <w:tcW w:w="1928"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hideMark/>
          </w:tcPr>
          <w:p w14:paraId="01043221"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hAnsi="Calibri" w:cs="Calibri"/>
                <w:color w:val="auto"/>
                <w:sz w:val="22"/>
                <w:szCs w:val="22"/>
              </w:rPr>
              <w:t>34</w:t>
            </w:r>
          </w:p>
        </w:tc>
      </w:tr>
      <w:tr w:rsidR="002A7944" w:rsidRPr="000352BE" w14:paraId="59B476E6" w14:textId="77777777" w:rsidTr="00006714">
        <w:trPr>
          <w:trHeight w:val="567"/>
        </w:trPr>
        <w:tc>
          <w:tcPr>
            <w:tcW w:w="800" w:type="dxa"/>
            <w:vMerge/>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hideMark/>
          </w:tcPr>
          <w:p w14:paraId="43A229BD" w14:textId="77777777" w:rsidR="002A7944" w:rsidRPr="000352BE" w:rsidRDefault="002A7944" w:rsidP="00006714">
            <w:pPr>
              <w:spacing w:after="0" w:line="240" w:lineRule="auto"/>
              <w:jc w:val="center"/>
              <w:rPr>
                <w:rFonts w:ascii="Calibri" w:hAnsi="Calibri" w:cs="Calibri"/>
                <w:b/>
                <w:bCs/>
                <w:color w:val="auto"/>
                <w:sz w:val="22"/>
                <w:szCs w:val="22"/>
              </w:rPr>
            </w:pPr>
          </w:p>
        </w:tc>
        <w:tc>
          <w:tcPr>
            <w:tcW w:w="2271"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hideMark/>
          </w:tcPr>
          <w:p w14:paraId="3F280C24"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hAnsi="Calibri" w:cs="Calibri"/>
                <w:color w:val="auto"/>
                <w:sz w:val="22"/>
                <w:szCs w:val="22"/>
              </w:rPr>
              <w:t>% within GENDER</w:t>
            </w:r>
          </w:p>
        </w:tc>
        <w:tc>
          <w:tcPr>
            <w:tcW w:w="1928"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hideMark/>
          </w:tcPr>
          <w:p w14:paraId="7E66A661"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hAnsi="Calibri" w:cs="Calibri"/>
                <w:color w:val="auto"/>
                <w:sz w:val="22"/>
                <w:szCs w:val="22"/>
              </w:rPr>
              <w:t>47.05%</w:t>
            </w:r>
          </w:p>
        </w:tc>
        <w:tc>
          <w:tcPr>
            <w:tcW w:w="1928"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hideMark/>
          </w:tcPr>
          <w:p w14:paraId="4309C742"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hAnsi="Calibri" w:cs="Calibri"/>
                <w:color w:val="auto"/>
                <w:sz w:val="22"/>
                <w:szCs w:val="22"/>
              </w:rPr>
              <w:t>29.41%</w:t>
            </w:r>
          </w:p>
        </w:tc>
        <w:tc>
          <w:tcPr>
            <w:tcW w:w="1928"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hideMark/>
          </w:tcPr>
          <w:p w14:paraId="692DF7BB"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hAnsi="Calibri" w:cs="Calibri"/>
                <w:color w:val="auto"/>
                <w:sz w:val="22"/>
                <w:szCs w:val="22"/>
              </w:rPr>
              <w:t>23.53%</w:t>
            </w:r>
          </w:p>
        </w:tc>
        <w:tc>
          <w:tcPr>
            <w:tcW w:w="1928"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hideMark/>
          </w:tcPr>
          <w:p w14:paraId="2385A916"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hAnsi="Calibri" w:cs="Calibri"/>
                <w:color w:val="auto"/>
                <w:sz w:val="22"/>
                <w:szCs w:val="22"/>
              </w:rPr>
              <w:t>100.0%</w:t>
            </w:r>
          </w:p>
        </w:tc>
      </w:tr>
      <w:tr w:rsidR="002A7944" w:rsidRPr="000352BE" w14:paraId="7C6E75B3" w14:textId="77777777" w:rsidTr="00006714">
        <w:trPr>
          <w:trHeight w:val="567"/>
        </w:trPr>
        <w:tc>
          <w:tcPr>
            <w:tcW w:w="800" w:type="dxa"/>
            <w:vMerge/>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hideMark/>
          </w:tcPr>
          <w:p w14:paraId="7B424173" w14:textId="77777777" w:rsidR="002A7944" w:rsidRPr="000352BE" w:rsidRDefault="002A7944" w:rsidP="00006714">
            <w:pPr>
              <w:spacing w:after="0" w:line="240" w:lineRule="auto"/>
              <w:jc w:val="center"/>
              <w:rPr>
                <w:rFonts w:ascii="Calibri" w:hAnsi="Calibri" w:cs="Calibri"/>
                <w:b/>
                <w:bCs/>
                <w:color w:val="auto"/>
                <w:sz w:val="22"/>
                <w:szCs w:val="22"/>
              </w:rPr>
            </w:pPr>
          </w:p>
        </w:tc>
        <w:tc>
          <w:tcPr>
            <w:tcW w:w="2271"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hideMark/>
          </w:tcPr>
          <w:p w14:paraId="37D5C832"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hAnsi="Calibri" w:cs="Calibri"/>
                <w:color w:val="auto"/>
                <w:sz w:val="22"/>
                <w:szCs w:val="22"/>
              </w:rPr>
              <w:t>% within TOTAL BAND</w:t>
            </w:r>
          </w:p>
        </w:tc>
        <w:tc>
          <w:tcPr>
            <w:tcW w:w="1928"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hideMark/>
          </w:tcPr>
          <w:p w14:paraId="1F6E03E7"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hAnsi="Calibri" w:cs="Calibri"/>
                <w:color w:val="auto"/>
                <w:sz w:val="22"/>
                <w:szCs w:val="22"/>
              </w:rPr>
              <w:t>53.3%</w:t>
            </w:r>
          </w:p>
        </w:tc>
        <w:tc>
          <w:tcPr>
            <w:tcW w:w="1928"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hideMark/>
          </w:tcPr>
          <w:p w14:paraId="5A98714F"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hAnsi="Calibri" w:cs="Calibri"/>
                <w:color w:val="auto"/>
                <w:sz w:val="22"/>
                <w:szCs w:val="22"/>
              </w:rPr>
              <w:t>50.0%</w:t>
            </w:r>
          </w:p>
        </w:tc>
        <w:tc>
          <w:tcPr>
            <w:tcW w:w="1928"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hideMark/>
          </w:tcPr>
          <w:p w14:paraId="253FCCFA"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hAnsi="Calibri" w:cs="Calibri"/>
                <w:color w:val="auto"/>
                <w:sz w:val="22"/>
                <w:szCs w:val="22"/>
              </w:rPr>
              <w:t>40.0%</w:t>
            </w:r>
          </w:p>
        </w:tc>
        <w:tc>
          <w:tcPr>
            <w:tcW w:w="1928"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hideMark/>
          </w:tcPr>
          <w:p w14:paraId="1BA74E2B"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hAnsi="Calibri" w:cs="Calibri"/>
                <w:color w:val="auto"/>
                <w:sz w:val="22"/>
                <w:szCs w:val="22"/>
              </w:rPr>
              <w:t>48.6%</w:t>
            </w:r>
          </w:p>
        </w:tc>
      </w:tr>
      <w:tr w:rsidR="002A7944" w:rsidRPr="000352BE" w14:paraId="28E0E0CF" w14:textId="77777777" w:rsidTr="00006714">
        <w:trPr>
          <w:trHeight w:val="567"/>
        </w:trPr>
        <w:tc>
          <w:tcPr>
            <w:tcW w:w="800" w:type="dxa"/>
            <w:vMerge w:val="restart"/>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hideMark/>
          </w:tcPr>
          <w:p w14:paraId="34A64911" w14:textId="77777777" w:rsidR="002A7944" w:rsidRPr="000352BE" w:rsidRDefault="002A7944" w:rsidP="00006714">
            <w:pPr>
              <w:spacing w:after="0" w:line="240" w:lineRule="auto"/>
              <w:jc w:val="center"/>
              <w:rPr>
                <w:rFonts w:ascii="Calibri" w:hAnsi="Calibri" w:cs="Calibri"/>
                <w:b/>
                <w:bCs/>
                <w:color w:val="auto"/>
                <w:sz w:val="22"/>
                <w:szCs w:val="22"/>
              </w:rPr>
            </w:pPr>
            <w:r w:rsidRPr="000352BE">
              <w:rPr>
                <w:rFonts w:ascii="Calibri" w:hAnsi="Calibri" w:cs="Calibri"/>
                <w:b/>
                <w:bCs/>
                <w:color w:val="auto"/>
                <w:sz w:val="22"/>
                <w:szCs w:val="22"/>
              </w:rPr>
              <w:t>FEMALE</w:t>
            </w:r>
          </w:p>
        </w:tc>
        <w:tc>
          <w:tcPr>
            <w:tcW w:w="2271"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hideMark/>
          </w:tcPr>
          <w:p w14:paraId="6A4DE086"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hAnsi="Calibri" w:cs="Calibri"/>
                <w:color w:val="auto"/>
                <w:sz w:val="22"/>
                <w:szCs w:val="22"/>
              </w:rPr>
              <w:t>Count</w:t>
            </w:r>
          </w:p>
        </w:tc>
        <w:tc>
          <w:tcPr>
            <w:tcW w:w="1928"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hideMark/>
          </w:tcPr>
          <w:p w14:paraId="48AB5C3B"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hAnsi="Calibri" w:cs="Calibri"/>
                <w:color w:val="auto"/>
                <w:sz w:val="22"/>
                <w:szCs w:val="22"/>
              </w:rPr>
              <w:t>14</w:t>
            </w:r>
          </w:p>
        </w:tc>
        <w:tc>
          <w:tcPr>
            <w:tcW w:w="1928"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hideMark/>
          </w:tcPr>
          <w:p w14:paraId="70FE1E52"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hAnsi="Calibri" w:cs="Calibri"/>
                <w:color w:val="auto"/>
                <w:sz w:val="22"/>
                <w:szCs w:val="22"/>
              </w:rPr>
              <w:t>10</w:t>
            </w:r>
          </w:p>
        </w:tc>
        <w:tc>
          <w:tcPr>
            <w:tcW w:w="1928"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hideMark/>
          </w:tcPr>
          <w:p w14:paraId="5FDE164A"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hAnsi="Calibri" w:cs="Calibri"/>
                <w:color w:val="auto"/>
                <w:sz w:val="22"/>
                <w:szCs w:val="22"/>
              </w:rPr>
              <w:t>12</w:t>
            </w:r>
          </w:p>
        </w:tc>
        <w:tc>
          <w:tcPr>
            <w:tcW w:w="1928"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hideMark/>
          </w:tcPr>
          <w:p w14:paraId="660A014D"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hAnsi="Calibri" w:cs="Calibri"/>
                <w:color w:val="auto"/>
                <w:sz w:val="22"/>
                <w:szCs w:val="22"/>
              </w:rPr>
              <w:t>36</w:t>
            </w:r>
          </w:p>
        </w:tc>
      </w:tr>
      <w:tr w:rsidR="002A7944" w:rsidRPr="000352BE" w14:paraId="7B087C80" w14:textId="77777777" w:rsidTr="00006714">
        <w:trPr>
          <w:trHeight w:val="567"/>
        </w:trPr>
        <w:tc>
          <w:tcPr>
            <w:tcW w:w="800" w:type="dxa"/>
            <w:vMerge/>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hideMark/>
          </w:tcPr>
          <w:p w14:paraId="561D2603" w14:textId="77777777" w:rsidR="002A7944" w:rsidRPr="000352BE" w:rsidRDefault="002A7944" w:rsidP="00006714">
            <w:pPr>
              <w:spacing w:after="0" w:line="240" w:lineRule="auto"/>
              <w:jc w:val="center"/>
              <w:rPr>
                <w:rFonts w:ascii="Calibri" w:hAnsi="Calibri" w:cs="Calibri"/>
                <w:color w:val="auto"/>
                <w:sz w:val="22"/>
                <w:szCs w:val="22"/>
              </w:rPr>
            </w:pPr>
          </w:p>
        </w:tc>
        <w:tc>
          <w:tcPr>
            <w:tcW w:w="2271"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hideMark/>
          </w:tcPr>
          <w:p w14:paraId="37481F80"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hAnsi="Calibri" w:cs="Calibri"/>
                <w:color w:val="auto"/>
                <w:sz w:val="22"/>
                <w:szCs w:val="22"/>
              </w:rPr>
              <w:t>% within GENDER</w:t>
            </w:r>
          </w:p>
        </w:tc>
        <w:tc>
          <w:tcPr>
            <w:tcW w:w="1928"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hideMark/>
          </w:tcPr>
          <w:p w14:paraId="64ED463E"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hAnsi="Calibri" w:cs="Calibri"/>
                <w:color w:val="auto"/>
                <w:sz w:val="22"/>
                <w:szCs w:val="22"/>
              </w:rPr>
              <w:t>38.89%</w:t>
            </w:r>
          </w:p>
        </w:tc>
        <w:tc>
          <w:tcPr>
            <w:tcW w:w="1928"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hideMark/>
          </w:tcPr>
          <w:p w14:paraId="7DACA311"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hAnsi="Calibri" w:cs="Calibri"/>
                <w:color w:val="auto"/>
                <w:sz w:val="22"/>
                <w:szCs w:val="22"/>
              </w:rPr>
              <w:t>27.78%</w:t>
            </w:r>
          </w:p>
        </w:tc>
        <w:tc>
          <w:tcPr>
            <w:tcW w:w="1928"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hideMark/>
          </w:tcPr>
          <w:p w14:paraId="62F8CE9E"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hAnsi="Calibri" w:cs="Calibri"/>
                <w:color w:val="auto"/>
                <w:sz w:val="22"/>
                <w:szCs w:val="22"/>
              </w:rPr>
              <w:t>33.33%</w:t>
            </w:r>
          </w:p>
        </w:tc>
        <w:tc>
          <w:tcPr>
            <w:tcW w:w="1928"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hideMark/>
          </w:tcPr>
          <w:p w14:paraId="7E1B5E95"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hAnsi="Calibri" w:cs="Calibri"/>
                <w:color w:val="auto"/>
                <w:sz w:val="22"/>
                <w:szCs w:val="22"/>
              </w:rPr>
              <w:t>100.0%</w:t>
            </w:r>
          </w:p>
        </w:tc>
      </w:tr>
      <w:tr w:rsidR="002A7944" w:rsidRPr="000352BE" w14:paraId="200F4B22" w14:textId="77777777" w:rsidTr="00006714">
        <w:trPr>
          <w:trHeight w:val="567"/>
        </w:trPr>
        <w:tc>
          <w:tcPr>
            <w:tcW w:w="800" w:type="dxa"/>
            <w:vMerge/>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hideMark/>
          </w:tcPr>
          <w:p w14:paraId="0F9D3CCE" w14:textId="77777777" w:rsidR="002A7944" w:rsidRPr="000352BE" w:rsidRDefault="002A7944" w:rsidP="00006714">
            <w:pPr>
              <w:spacing w:after="0" w:line="240" w:lineRule="auto"/>
              <w:jc w:val="center"/>
              <w:rPr>
                <w:rFonts w:ascii="Calibri" w:hAnsi="Calibri" w:cs="Calibri"/>
                <w:color w:val="auto"/>
                <w:sz w:val="22"/>
                <w:szCs w:val="22"/>
              </w:rPr>
            </w:pPr>
          </w:p>
        </w:tc>
        <w:tc>
          <w:tcPr>
            <w:tcW w:w="2271"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hideMark/>
          </w:tcPr>
          <w:p w14:paraId="1E325985"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hAnsi="Calibri" w:cs="Calibri"/>
                <w:color w:val="auto"/>
                <w:sz w:val="22"/>
                <w:szCs w:val="22"/>
              </w:rPr>
              <w:t>% within TOTAL BAND</w:t>
            </w:r>
          </w:p>
        </w:tc>
        <w:tc>
          <w:tcPr>
            <w:tcW w:w="1928"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hideMark/>
          </w:tcPr>
          <w:p w14:paraId="0CA0FD04"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hAnsi="Calibri" w:cs="Calibri"/>
                <w:color w:val="auto"/>
                <w:sz w:val="22"/>
                <w:szCs w:val="22"/>
              </w:rPr>
              <w:t>46.7%</w:t>
            </w:r>
          </w:p>
        </w:tc>
        <w:tc>
          <w:tcPr>
            <w:tcW w:w="1928"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hideMark/>
          </w:tcPr>
          <w:p w14:paraId="171730B0"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hAnsi="Calibri" w:cs="Calibri"/>
                <w:color w:val="auto"/>
                <w:sz w:val="22"/>
                <w:szCs w:val="22"/>
              </w:rPr>
              <w:t>50.0%</w:t>
            </w:r>
          </w:p>
        </w:tc>
        <w:tc>
          <w:tcPr>
            <w:tcW w:w="1928"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hideMark/>
          </w:tcPr>
          <w:p w14:paraId="6FB3862F"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hAnsi="Calibri" w:cs="Calibri"/>
                <w:color w:val="auto"/>
                <w:sz w:val="22"/>
                <w:szCs w:val="22"/>
              </w:rPr>
              <w:t>60.0%</w:t>
            </w:r>
          </w:p>
        </w:tc>
        <w:tc>
          <w:tcPr>
            <w:tcW w:w="1928"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hideMark/>
          </w:tcPr>
          <w:p w14:paraId="552FA665"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hAnsi="Calibri" w:cs="Calibri"/>
                <w:color w:val="auto"/>
                <w:sz w:val="22"/>
                <w:szCs w:val="22"/>
              </w:rPr>
              <w:t>51.4%</w:t>
            </w:r>
          </w:p>
        </w:tc>
      </w:tr>
      <w:tr w:rsidR="002A7944" w:rsidRPr="000352BE" w14:paraId="7FC6D316" w14:textId="77777777" w:rsidTr="00006714">
        <w:trPr>
          <w:trHeight w:val="567"/>
        </w:trPr>
        <w:tc>
          <w:tcPr>
            <w:tcW w:w="800" w:type="dxa"/>
            <w:vMerge w:val="restart"/>
            <w:tcBorders>
              <w:top w:val="single" w:sz="4" w:space="0" w:color="D9D9D9" w:themeColor="background1" w:themeShade="D9"/>
              <w:left w:val="single" w:sz="4" w:space="0" w:color="D9D9D9" w:themeColor="background1" w:themeShade="D9"/>
              <w:right w:val="single" w:sz="4" w:space="0" w:color="D9D9D9" w:themeColor="background1" w:themeShade="D9"/>
            </w:tcBorders>
            <w:vAlign w:val="center"/>
          </w:tcPr>
          <w:p w14:paraId="05C2140C" w14:textId="77777777" w:rsidR="002A7944" w:rsidRPr="000352BE" w:rsidRDefault="002A7944" w:rsidP="00006714">
            <w:pPr>
              <w:spacing w:after="0" w:line="240" w:lineRule="auto"/>
              <w:jc w:val="center"/>
              <w:rPr>
                <w:rFonts w:ascii="Calibri" w:hAnsi="Calibri" w:cs="Calibri"/>
                <w:b/>
                <w:bCs/>
                <w:color w:val="auto"/>
                <w:sz w:val="22"/>
                <w:szCs w:val="22"/>
              </w:rPr>
            </w:pPr>
            <w:r w:rsidRPr="000352BE">
              <w:rPr>
                <w:rFonts w:ascii="Calibri" w:hAnsi="Calibri" w:cs="Calibri"/>
                <w:b/>
                <w:bCs/>
                <w:color w:val="auto"/>
                <w:sz w:val="22"/>
                <w:szCs w:val="22"/>
              </w:rPr>
              <w:t>TOTAL</w:t>
            </w:r>
          </w:p>
        </w:tc>
        <w:tc>
          <w:tcPr>
            <w:tcW w:w="2271"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tcPr>
          <w:p w14:paraId="0187C8C9"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eastAsia="Arial" w:hAnsi="Calibri" w:cs="Calibri"/>
                <w:color w:val="auto"/>
                <w:sz w:val="22"/>
                <w:szCs w:val="22"/>
              </w:rPr>
              <w:t>Count</w:t>
            </w:r>
          </w:p>
        </w:tc>
        <w:tc>
          <w:tcPr>
            <w:tcW w:w="1928"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tcPr>
          <w:p w14:paraId="512E71E1"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eastAsia="Arial" w:hAnsi="Calibri" w:cs="Calibri"/>
                <w:color w:val="auto"/>
                <w:sz w:val="22"/>
                <w:szCs w:val="22"/>
              </w:rPr>
              <w:t>30</w:t>
            </w:r>
          </w:p>
        </w:tc>
        <w:tc>
          <w:tcPr>
            <w:tcW w:w="1928"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tcPr>
          <w:p w14:paraId="7DD39AAE"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eastAsia="Arial" w:hAnsi="Calibri" w:cs="Calibri"/>
                <w:color w:val="auto"/>
                <w:sz w:val="22"/>
                <w:szCs w:val="22"/>
              </w:rPr>
              <w:t>20</w:t>
            </w:r>
          </w:p>
        </w:tc>
        <w:tc>
          <w:tcPr>
            <w:tcW w:w="1928"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tcPr>
          <w:p w14:paraId="39E1F7A1"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eastAsia="Arial" w:hAnsi="Calibri" w:cs="Calibri"/>
                <w:color w:val="auto"/>
                <w:sz w:val="22"/>
                <w:szCs w:val="22"/>
              </w:rPr>
              <w:t>20</w:t>
            </w:r>
          </w:p>
        </w:tc>
        <w:tc>
          <w:tcPr>
            <w:tcW w:w="1928"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tcPr>
          <w:p w14:paraId="2CE59D0D"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eastAsia="Arial" w:hAnsi="Calibri" w:cs="Calibri"/>
                <w:color w:val="auto"/>
                <w:sz w:val="22"/>
                <w:szCs w:val="22"/>
              </w:rPr>
              <w:t>70</w:t>
            </w:r>
          </w:p>
        </w:tc>
      </w:tr>
      <w:tr w:rsidR="002A7944" w:rsidRPr="000352BE" w14:paraId="248DDA68" w14:textId="77777777" w:rsidTr="00006714">
        <w:trPr>
          <w:trHeight w:val="567"/>
        </w:trPr>
        <w:tc>
          <w:tcPr>
            <w:tcW w:w="800" w:type="dxa"/>
            <w:vMerge/>
            <w:tcBorders>
              <w:left w:val="single" w:sz="4" w:space="0" w:color="D9D9D9" w:themeColor="background1" w:themeShade="D9"/>
              <w:right w:val="single" w:sz="4" w:space="0" w:color="D9D9D9" w:themeColor="background1" w:themeShade="D9"/>
            </w:tcBorders>
            <w:vAlign w:val="center"/>
          </w:tcPr>
          <w:p w14:paraId="099CEB41" w14:textId="77777777" w:rsidR="002A7944" w:rsidRPr="000352BE" w:rsidRDefault="002A7944" w:rsidP="00006714">
            <w:pPr>
              <w:spacing w:after="0" w:line="240" w:lineRule="auto"/>
              <w:jc w:val="center"/>
              <w:rPr>
                <w:rFonts w:ascii="Calibri" w:hAnsi="Calibri" w:cs="Calibri"/>
                <w:color w:val="auto"/>
                <w:sz w:val="22"/>
                <w:szCs w:val="22"/>
              </w:rPr>
            </w:pPr>
          </w:p>
        </w:tc>
        <w:tc>
          <w:tcPr>
            <w:tcW w:w="2271"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tcPr>
          <w:p w14:paraId="63F9E49E"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eastAsia="Arial" w:hAnsi="Calibri" w:cs="Calibri"/>
                <w:color w:val="auto"/>
                <w:sz w:val="22"/>
                <w:szCs w:val="22"/>
              </w:rPr>
              <w:t>% within GENDER</w:t>
            </w:r>
          </w:p>
        </w:tc>
        <w:tc>
          <w:tcPr>
            <w:tcW w:w="1928"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tcPr>
          <w:p w14:paraId="04C47099"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eastAsia="Arial" w:hAnsi="Calibri" w:cs="Calibri"/>
                <w:color w:val="auto"/>
                <w:sz w:val="22"/>
                <w:szCs w:val="22"/>
              </w:rPr>
              <w:t>42.85%</w:t>
            </w:r>
          </w:p>
        </w:tc>
        <w:tc>
          <w:tcPr>
            <w:tcW w:w="1928"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tcPr>
          <w:p w14:paraId="7F203FF8"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eastAsia="Arial" w:hAnsi="Calibri" w:cs="Calibri"/>
                <w:color w:val="auto"/>
                <w:sz w:val="22"/>
                <w:szCs w:val="22"/>
              </w:rPr>
              <w:t>28.57%</w:t>
            </w:r>
          </w:p>
        </w:tc>
        <w:tc>
          <w:tcPr>
            <w:tcW w:w="1928"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tcPr>
          <w:p w14:paraId="13431B9C"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eastAsia="Arial" w:hAnsi="Calibri" w:cs="Calibri"/>
                <w:color w:val="auto"/>
                <w:sz w:val="22"/>
                <w:szCs w:val="22"/>
              </w:rPr>
              <w:t>28.57%</w:t>
            </w:r>
          </w:p>
        </w:tc>
        <w:tc>
          <w:tcPr>
            <w:tcW w:w="1928"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tcPr>
          <w:p w14:paraId="1086F5BC"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eastAsia="Arial" w:hAnsi="Calibri" w:cs="Calibri"/>
                <w:color w:val="auto"/>
                <w:sz w:val="22"/>
                <w:szCs w:val="22"/>
              </w:rPr>
              <w:t>100.0%</w:t>
            </w:r>
          </w:p>
        </w:tc>
      </w:tr>
      <w:tr w:rsidR="002A7944" w:rsidRPr="000352BE" w14:paraId="4EBC4D2F" w14:textId="77777777" w:rsidTr="00006714">
        <w:trPr>
          <w:trHeight w:val="567"/>
        </w:trPr>
        <w:tc>
          <w:tcPr>
            <w:tcW w:w="800" w:type="dxa"/>
            <w:vMerge/>
            <w:tcBorders>
              <w:left w:val="single" w:sz="4" w:space="0" w:color="D9D9D9" w:themeColor="background1" w:themeShade="D9"/>
              <w:bottom w:val="single" w:sz="4" w:space="0" w:color="D9D9D9" w:themeColor="background1" w:themeShade="D9"/>
              <w:right w:val="single" w:sz="4" w:space="0" w:color="D9D9D9" w:themeColor="background1" w:themeShade="D9"/>
            </w:tcBorders>
            <w:vAlign w:val="center"/>
          </w:tcPr>
          <w:p w14:paraId="71008897" w14:textId="77777777" w:rsidR="002A7944" w:rsidRPr="000352BE" w:rsidRDefault="002A7944" w:rsidP="00006714">
            <w:pPr>
              <w:spacing w:after="0" w:line="240" w:lineRule="auto"/>
              <w:jc w:val="center"/>
              <w:rPr>
                <w:rFonts w:ascii="Calibri" w:hAnsi="Calibri" w:cs="Calibri"/>
                <w:color w:val="auto"/>
                <w:sz w:val="22"/>
                <w:szCs w:val="22"/>
              </w:rPr>
            </w:pPr>
          </w:p>
        </w:tc>
        <w:tc>
          <w:tcPr>
            <w:tcW w:w="2271"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tcPr>
          <w:p w14:paraId="3C850DA1"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eastAsia="Arial" w:hAnsi="Calibri" w:cs="Calibri"/>
                <w:color w:val="auto"/>
                <w:sz w:val="22"/>
                <w:szCs w:val="22"/>
              </w:rPr>
              <w:t>% within TOTAL BAND</w:t>
            </w:r>
          </w:p>
        </w:tc>
        <w:tc>
          <w:tcPr>
            <w:tcW w:w="1928"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tcPr>
          <w:p w14:paraId="5768AE3B"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eastAsia="Arial" w:hAnsi="Calibri" w:cs="Calibri"/>
                <w:color w:val="auto"/>
                <w:sz w:val="22"/>
                <w:szCs w:val="22"/>
              </w:rPr>
              <w:t>100.0%</w:t>
            </w:r>
          </w:p>
        </w:tc>
        <w:tc>
          <w:tcPr>
            <w:tcW w:w="1928"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tcPr>
          <w:p w14:paraId="65F0F7FB"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eastAsia="Arial" w:hAnsi="Calibri" w:cs="Calibri"/>
                <w:color w:val="auto"/>
                <w:sz w:val="22"/>
                <w:szCs w:val="22"/>
              </w:rPr>
              <w:t>100.0%</w:t>
            </w:r>
          </w:p>
        </w:tc>
        <w:tc>
          <w:tcPr>
            <w:tcW w:w="1928"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tcPr>
          <w:p w14:paraId="68663D42"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eastAsia="Arial" w:hAnsi="Calibri" w:cs="Calibri"/>
                <w:color w:val="auto"/>
                <w:sz w:val="22"/>
                <w:szCs w:val="22"/>
              </w:rPr>
              <w:t>100.0%</w:t>
            </w:r>
          </w:p>
        </w:tc>
        <w:tc>
          <w:tcPr>
            <w:tcW w:w="1928"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vAlign w:val="center"/>
          </w:tcPr>
          <w:p w14:paraId="35490E74"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eastAsia="Arial" w:hAnsi="Calibri" w:cs="Calibri"/>
                <w:color w:val="auto"/>
                <w:sz w:val="22"/>
                <w:szCs w:val="22"/>
              </w:rPr>
              <w:t>100.0%</w:t>
            </w:r>
          </w:p>
        </w:tc>
      </w:tr>
      <w:tr w:rsidR="002A7944" w:rsidRPr="000352BE" w14:paraId="2FE1C0F2" w14:textId="77777777" w:rsidTr="00006714">
        <w:trPr>
          <w:trHeight w:val="340"/>
        </w:trPr>
        <w:tc>
          <w:tcPr>
            <w:tcW w:w="10783" w:type="dxa"/>
            <w:gridSpan w:val="6"/>
            <w:tcBorders>
              <w:top w:val="single" w:sz="4" w:space="0" w:color="D9D9D9" w:themeColor="background1" w:themeShade="D9"/>
            </w:tcBorders>
            <w:vAlign w:val="center"/>
          </w:tcPr>
          <w:p w14:paraId="28E9E422" w14:textId="77777777" w:rsidR="002A7944" w:rsidRPr="000352BE" w:rsidRDefault="002A7944" w:rsidP="00006714">
            <w:pPr>
              <w:spacing w:after="0" w:line="240" w:lineRule="auto"/>
              <w:jc w:val="right"/>
              <w:rPr>
                <w:rFonts w:ascii="Calibri" w:hAnsi="Calibri" w:cs="Calibri"/>
                <w:color w:val="auto"/>
                <w:sz w:val="22"/>
                <w:szCs w:val="22"/>
              </w:rPr>
            </w:pPr>
            <w:r w:rsidRPr="000352BE">
              <w:rPr>
                <w:rFonts w:ascii="Calibri" w:eastAsia="Times New Roman" w:hAnsi="Calibri" w:cs="Calibri"/>
                <w:color w:val="000000"/>
                <w:kern w:val="0"/>
                <w:sz w:val="20"/>
                <w:szCs w:val="20"/>
                <w:lang w:eastAsia="en-GB"/>
                <w14:ligatures w14:val="none"/>
              </w:rPr>
              <w:t xml:space="preserve">Table 4: Crosstabulation via Gender for MABC-2 </w:t>
            </w:r>
          </w:p>
        </w:tc>
      </w:tr>
    </w:tbl>
    <w:p w14:paraId="02B3E088" w14:textId="77777777" w:rsidR="002A7944" w:rsidRPr="000352BE" w:rsidRDefault="002A7944" w:rsidP="002A7944">
      <w:pPr>
        <w:spacing w:after="0" w:line="360" w:lineRule="auto"/>
        <w:jc w:val="both"/>
        <w:rPr>
          <w:rFonts w:ascii="Calibri" w:hAnsi="Calibri" w:cs="Calibri"/>
          <w:color w:val="auto"/>
          <w:sz w:val="24"/>
          <w:szCs w:val="24"/>
        </w:rPr>
      </w:pPr>
      <w:r w:rsidRPr="000352BE">
        <w:rPr>
          <w:rFonts w:ascii="Calibri" w:hAnsi="Calibri" w:cs="Calibri"/>
          <w:noProof/>
        </w:rPr>
        <w:drawing>
          <wp:anchor distT="0" distB="0" distL="114300" distR="114300" simplePos="0" relativeHeight="251665408" behindDoc="0" locked="0" layoutInCell="1" allowOverlap="1" wp14:anchorId="2F23A410" wp14:editId="0559C771">
            <wp:simplePos x="0" y="0"/>
            <wp:positionH relativeFrom="margin">
              <wp:align>right</wp:align>
            </wp:positionH>
            <wp:positionV relativeFrom="paragraph">
              <wp:posOffset>143428</wp:posOffset>
            </wp:positionV>
            <wp:extent cx="6852063" cy="2546985"/>
            <wp:effectExtent l="0" t="0" r="6350" b="5715"/>
            <wp:wrapNone/>
            <wp:docPr id="1750678001" name="Chart 1">
              <a:extLst xmlns:a="http://schemas.openxmlformats.org/drawingml/2006/main">
                <a:ext uri="{FF2B5EF4-FFF2-40B4-BE49-F238E27FC236}">
                  <a16:creationId xmlns:a16="http://schemas.microsoft.com/office/drawing/2014/main" id="{A797C2C1-BCB5-A8E4-D35D-971F4251480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14:sizeRelV relativeFrom="margin">
              <wp14:pctHeight>0</wp14:pctHeight>
            </wp14:sizeRelV>
          </wp:anchor>
        </w:drawing>
      </w:r>
    </w:p>
    <w:p w14:paraId="49B96200" w14:textId="77777777" w:rsidR="002A7944" w:rsidRPr="000352BE" w:rsidRDefault="002A7944" w:rsidP="002A7944">
      <w:pPr>
        <w:spacing w:after="0" w:line="360" w:lineRule="auto"/>
        <w:jc w:val="both"/>
        <w:rPr>
          <w:rFonts w:ascii="Calibri" w:hAnsi="Calibri" w:cs="Calibri"/>
          <w:color w:val="auto"/>
          <w:sz w:val="24"/>
          <w:szCs w:val="24"/>
        </w:rPr>
      </w:pPr>
    </w:p>
    <w:p w14:paraId="67F1745D" w14:textId="77777777" w:rsidR="002A7944" w:rsidRPr="000352BE" w:rsidRDefault="002A7944" w:rsidP="002A7944">
      <w:pPr>
        <w:spacing w:after="0" w:line="360" w:lineRule="auto"/>
        <w:jc w:val="both"/>
        <w:rPr>
          <w:rFonts w:ascii="Calibri" w:hAnsi="Calibri" w:cs="Calibri"/>
          <w:color w:val="auto"/>
          <w:sz w:val="24"/>
          <w:szCs w:val="24"/>
        </w:rPr>
      </w:pPr>
    </w:p>
    <w:p w14:paraId="350A06E0" w14:textId="77777777" w:rsidR="002A7944" w:rsidRPr="000352BE" w:rsidRDefault="002A7944" w:rsidP="002A7944">
      <w:pPr>
        <w:spacing w:after="0" w:line="360" w:lineRule="auto"/>
        <w:jc w:val="both"/>
        <w:rPr>
          <w:rFonts w:ascii="Calibri" w:hAnsi="Calibri" w:cs="Calibri"/>
          <w:color w:val="auto"/>
          <w:sz w:val="24"/>
          <w:szCs w:val="24"/>
        </w:rPr>
      </w:pPr>
    </w:p>
    <w:p w14:paraId="5CB69936" w14:textId="77777777" w:rsidR="002A7944" w:rsidRPr="000352BE" w:rsidRDefault="002A7944" w:rsidP="002A7944">
      <w:pPr>
        <w:spacing w:after="0" w:line="360" w:lineRule="auto"/>
        <w:jc w:val="both"/>
        <w:rPr>
          <w:rFonts w:ascii="Calibri" w:hAnsi="Calibri" w:cs="Calibri"/>
          <w:color w:val="auto"/>
          <w:sz w:val="24"/>
          <w:szCs w:val="24"/>
        </w:rPr>
      </w:pPr>
    </w:p>
    <w:p w14:paraId="6420A4A7" w14:textId="77777777" w:rsidR="002A7944" w:rsidRPr="000352BE" w:rsidRDefault="002A7944" w:rsidP="002A7944">
      <w:pPr>
        <w:spacing w:after="0" w:line="360" w:lineRule="auto"/>
        <w:jc w:val="both"/>
        <w:rPr>
          <w:rFonts w:ascii="Calibri" w:hAnsi="Calibri" w:cs="Calibri"/>
          <w:color w:val="auto"/>
          <w:sz w:val="24"/>
          <w:szCs w:val="24"/>
        </w:rPr>
      </w:pPr>
    </w:p>
    <w:p w14:paraId="5359740E" w14:textId="77777777" w:rsidR="002A7944" w:rsidRPr="000352BE" w:rsidRDefault="002A7944" w:rsidP="002A7944">
      <w:pPr>
        <w:spacing w:after="0" w:line="360" w:lineRule="auto"/>
        <w:jc w:val="both"/>
        <w:rPr>
          <w:rFonts w:ascii="Calibri" w:hAnsi="Calibri" w:cs="Calibri"/>
          <w:color w:val="auto"/>
          <w:sz w:val="24"/>
          <w:szCs w:val="24"/>
        </w:rPr>
      </w:pPr>
    </w:p>
    <w:p w14:paraId="29C631AD" w14:textId="77777777" w:rsidR="002A7944" w:rsidRPr="000352BE" w:rsidRDefault="002A7944" w:rsidP="002A7944">
      <w:pPr>
        <w:spacing w:after="0" w:line="360" w:lineRule="auto"/>
        <w:jc w:val="both"/>
        <w:rPr>
          <w:rFonts w:ascii="Calibri" w:hAnsi="Calibri" w:cs="Calibri"/>
          <w:color w:val="auto"/>
          <w:sz w:val="24"/>
          <w:szCs w:val="24"/>
        </w:rPr>
      </w:pPr>
    </w:p>
    <w:p w14:paraId="336C859A" w14:textId="77777777" w:rsidR="002A7944" w:rsidRPr="000352BE" w:rsidRDefault="002A7944" w:rsidP="002A7944">
      <w:pPr>
        <w:spacing w:after="0" w:line="360" w:lineRule="auto"/>
        <w:jc w:val="both"/>
        <w:rPr>
          <w:rFonts w:ascii="Calibri" w:hAnsi="Calibri" w:cs="Calibri"/>
          <w:color w:val="auto"/>
          <w:sz w:val="24"/>
          <w:szCs w:val="24"/>
        </w:rPr>
      </w:pPr>
    </w:p>
    <w:p w14:paraId="654E30EC" w14:textId="77777777" w:rsidR="002A7944" w:rsidRPr="000352BE" w:rsidRDefault="002A7944" w:rsidP="002A7944">
      <w:pPr>
        <w:spacing w:after="0" w:line="360" w:lineRule="auto"/>
        <w:jc w:val="both"/>
        <w:rPr>
          <w:rFonts w:ascii="Calibri" w:hAnsi="Calibri" w:cs="Calibri"/>
          <w:color w:val="auto"/>
          <w:sz w:val="24"/>
          <w:szCs w:val="24"/>
        </w:rPr>
      </w:pPr>
    </w:p>
    <w:p w14:paraId="03B7AE9F" w14:textId="77777777" w:rsidR="002A7944" w:rsidRPr="000352BE" w:rsidRDefault="002A7944" w:rsidP="002A7944">
      <w:pPr>
        <w:spacing w:after="0" w:line="360" w:lineRule="auto"/>
        <w:jc w:val="right"/>
        <w:rPr>
          <w:rFonts w:ascii="Calibri" w:hAnsi="Calibri" w:cs="Calibri"/>
          <w:color w:val="auto"/>
          <w:sz w:val="20"/>
          <w:szCs w:val="20"/>
        </w:rPr>
      </w:pPr>
      <w:r w:rsidRPr="000352BE">
        <w:rPr>
          <w:rFonts w:ascii="Calibri" w:hAnsi="Calibri" w:cs="Calibri"/>
          <w:color w:val="auto"/>
          <w:sz w:val="20"/>
          <w:szCs w:val="20"/>
        </w:rPr>
        <w:lastRenderedPageBreak/>
        <w:t xml:space="preserve">Chart 7: MABC-2 Results </w:t>
      </w:r>
    </w:p>
    <w:p w14:paraId="38B2B7EB" w14:textId="77777777" w:rsidR="002A7944" w:rsidRPr="000352BE" w:rsidRDefault="002A7944" w:rsidP="002A7944">
      <w:pPr>
        <w:spacing w:after="0" w:line="360" w:lineRule="auto"/>
        <w:jc w:val="both"/>
        <w:rPr>
          <w:rFonts w:ascii="Calibri" w:hAnsi="Calibri" w:cs="Calibri"/>
          <w:color w:val="auto"/>
          <w:sz w:val="22"/>
          <w:szCs w:val="22"/>
        </w:rPr>
      </w:pPr>
      <w:r w:rsidRPr="000352BE">
        <w:rPr>
          <w:rFonts w:ascii="Calibri" w:hAnsi="Calibri" w:cs="Calibri"/>
          <w:color w:val="auto"/>
          <w:sz w:val="22"/>
          <w:szCs w:val="22"/>
        </w:rPr>
        <w:t xml:space="preserve">A comparison of male and female results from the MABC-2 (Table 4) shows an increase in the number of males identified with significant motor difficulties. According to the recorded assessment scores, 76.5% of male participants and 66.7% of female participants were either found to have significant movement difficulties or were identified as being at risk. </w:t>
      </w:r>
    </w:p>
    <w:p w14:paraId="3B468804" w14:textId="77777777" w:rsidR="002A7944" w:rsidRPr="000352BE" w:rsidRDefault="002A7944" w:rsidP="002A7944">
      <w:pPr>
        <w:spacing w:after="0" w:line="360" w:lineRule="auto"/>
        <w:jc w:val="both"/>
        <w:rPr>
          <w:rFonts w:ascii="Calibri" w:hAnsi="Calibri" w:cs="Calibri"/>
          <w:color w:val="auto"/>
          <w:sz w:val="22"/>
          <w:szCs w:val="22"/>
        </w:rPr>
      </w:pPr>
    </w:p>
    <w:tbl>
      <w:tblPr>
        <w:tblW w:w="10841" w:type="dxa"/>
        <w:tblInd w:w="-15"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Layout w:type="fixed"/>
        <w:tblCellMar>
          <w:left w:w="0" w:type="dxa"/>
          <w:right w:w="0" w:type="dxa"/>
        </w:tblCellMar>
        <w:tblLook w:val="04A0" w:firstRow="1" w:lastRow="0" w:firstColumn="1" w:lastColumn="0" w:noHBand="0" w:noVBand="1"/>
      </w:tblPr>
      <w:tblGrid>
        <w:gridCol w:w="10"/>
        <w:gridCol w:w="851"/>
        <w:gridCol w:w="2268"/>
        <w:gridCol w:w="1928"/>
        <w:gridCol w:w="1928"/>
        <w:gridCol w:w="1928"/>
        <w:gridCol w:w="1890"/>
        <w:gridCol w:w="38"/>
      </w:tblGrid>
      <w:tr w:rsidR="002A7944" w:rsidRPr="000352BE" w14:paraId="3CE41CD3" w14:textId="77777777" w:rsidTr="00006714">
        <w:trPr>
          <w:gridBefore w:val="1"/>
          <w:wBefore w:w="10" w:type="dxa"/>
          <w:cantSplit/>
          <w:trHeight w:val="567"/>
        </w:trPr>
        <w:tc>
          <w:tcPr>
            <w:tcW w:w="3119" w:type="dxa"/>
            <w:gridSpan w:val="2"/>
            <w:vAlign w:val="center"/>
          </w:tcPr>
          <w:p w14:paraId="1BDCCC89" w14:textId="77777777" w:rsidR="002A7944" w:rsidRPr="000352BE" w:rsidRDefault="002A7944" w:rsidP="00006714">
            <w:pPr>
              <w:spacing w:after="0" w:line="240" w:lineRule="auto"/>
              <w:jc w:val="center"/>
              <w:rPr>
                <w:rFonts w:ascii="Calibri" w:hAnsi="Calibri" w:cs="Calibri"/>
                <w:color w:val="auto"/>
                <w:sz w:val="22"/>
                <w:szCs w:val="22"/>
              </w:rPr>
            </w:pPr>
          </w:p>
        </w:tc>
        <w:tc>
          <w:tcPr>
            <w:tcW w:w="1928" w:type="dxa"/>
            <w:vAlign w:val="center"/>
          </w:tcPr>
          <w:p w14:paraId="009F5766" w14:textId="77777777" w:rsidR="002A7944" w:rsidRPr="000352BE" w:rsidRDefault="002A7944" w:rsidP="00006714">
            <w:pPr>
              <w:spacing w:after="0" w:line="240" w:lineRule="auto"/>
              <w:jc w:val="center"/>
              <w:rPr>
                <w:rFonts w:ascii="Calibri" w:hAnsi="Calibri" w:cs="Calibri"/>
                <w:b/>
                <w:bCs/>
                <w:caps/>
                <w:color w:val="auto"/>
                <w:sz w:val="22"/>
                <w:szCs w:val="22"/>
              </w:rPr>
            </w:pPr>
            <w:r w:rsidRPr="000352BE">
              <w:rPr>
                <w:rFonts w:ascii="Calibri" w:hAnsi="Calibri" w:cs="Calibri"/>
                <w:b/>
                <w:bCs/>
                <w:caps/>
                <w:color w:val="auto"/>
                <w:sz w:val="22"/>
                <w:szCs w:val="22"/>
              </w:rPr>
              <w:t>RED &lt;5TH PERCENTILE</w:t>
            </w:r>
          </w:p>
        </w:tc>
        <w:tc>
          <w:tcPr>
            <w:tcW w:w="1928" w:type="dxa"/>
            <w:vAlign w:val="center"/>
          </w:tcPr>
          <w:p w14:paraId="7BE89D4C" w14:textId="77777777" w:rsidR="002A7944" w:rsidRPr="000352BE" w:rsidRDefault="002A7944" w:rsidP="00006714">
            <w:pPr>
              <w:spacing w:after="0" w:line="240" w:lineRule="auto"/>
              <w:jc w:val="center"/>
              <w:rPr>
                <w:rFonts w:ascii="Calibri" w:hAnsi="Calibri" w:cs="Calibri"/>
                <w:b/>
                <w:bCs/>
                <w:caps/>
                <w:color w:val="auto"/>
                <w:sz w:val="22"/>
                <w:szCs w:val="22"/>
              </w:rPr>
            </w:pPr>
            <w:r w:rsidRPr="000352BE">
              <w:rPr>
                <w:rFonts w:ascii="Calibri" w:hAnsi="Calibri" w:cs="Calibri"/>
                <w:b/>
                <w:bCs/>
                <w:caps/>
                <w:color w:val="auto"/>
                <w:sz w:val="22"/>
                <w:szCs w:val="22"/>
              </w:rPr>
              <w:t>AMBER 6-15TH PERCENTILE</w:t>
            </w:r>
          </w:p>
        </w:tc>
        <w:tc>
          <w:tcPr>
            <w:tcW w:w="1928" w:type="dxa"/>
            <w:vAlign w:val="center"/>
          </w:tcPr>
          <w:p w14:paraId="25E76420" w14:textId="77777777" w:rsidR="002A7944" w:rsidRPr="000352BE" w:rsidRDefault="002A7944" w:rsidP="00006714">
            <w:pPr>
              <w:spacing w:after="0" w:line="240" w:lineRule="auto"/>
              <w:jc w:val="center"/>
              <w:rPr>
                <w:rFonts w:ascii="Calibri" w:hAnsi="Calibri" w:cs="Calibri"/>
                <w:b/>
                <w:bCs/>
                <w:caps/>
                <w:color w:val="auto"/>
                <w:sz w:val="22"/>
                <w:szCs w:val="22"/>
              </w:rPr>
            </w:pPr>
            <w:r w:rsidRPr="000352BE">
              <w:rPr>
                <w:rFonts w:ascii="Calibri" w:hAnsi="Calibri" w:cs="Calibri"/>
                <w:b/>
                <w:bCs/>
                <w:caps/>
                <w:color w:val="auto"/>
                <w:sz w:val="22"/>
                <w:szCs w:val="22"/>
              </w:rPr>
              <w:t>GREEN &gt;16TH PERCENTILE</w:t>
            </w:r>
          </w:p>
        </w:tc>
        <w:tc>
          <w:tcPr>
            <w:tcW w:w="1928" w:type="dxa"/>
            <w:gridSpan w:val="2"/>
            <w:vAlign w:val="center"/>
          </w:tcPr>
          <w:p w14:paraId="38F8D3DA" w14:textId="77777777" w:rsidR="002A7944" w:rsidRPr="000352BE" w:rsidRDefault="002A7944" w:rsidP="00006714">
            <w:pPr>
              <w:spacing w:after="0" w:line="240" w:lineRule="auto"/>
              <w:jc w:val="center"/>
              <w:rPr>
                <w:rFonts w:ascii="Calibri" w:hAnsi="Calibri" w:cs="Calibri"/>
                <w:b/>
                <w:bCs/>
                <w:caps/>
                <w:color w:val="auto"/>
                <w:sz w:val="22"/>
                <w:szCs w:val="22"/>
              </w:rPr>
            </w:pPr>
            <w:r w:rsidRPr="000352BE">
              <w:rPr>
                <w:rFonts w:ascii="Calibri" w:hAnsi="Calibri" w:cs="Calibri"/>
                <w:b/>
                <w:bCs/>
                <w:caps/>
                <w:color w:val="auto"/>
                <w:sz w:val="22"/>
                <w:szCs w:val="22"/>
              </w:rPr>
              <w:t>Total</w:t>
            </w:r>
          </w:p>
        </w:tc>
      </w:tr>
      <w:tr w:rsidR="002A7944" w:rsidRPr="000352BE" w14:paraId="325071C1" w14:textId="77777777" w:rsidTr="00006714">
        <w:trPr>
          <w:gridBefore w:val="1"/>
          <w:wBefore w:w="10" w:type="dxa"/>
          <w:cantSplit/>
          <w:trHeight w:val="567"/>
        </w:trPr>
        <w:tc>
          <w:tcPr>
            <w:tcW w:w="851" w:type="dxa"/>
            <w:vMerge w:val="restart"/>
            <w:vAlign w:val="center"/>
            <w:hideMark/>
          </w:tcPr>
          <w:p w14:paraId="1632A133" w14:textId="77777777" w:rsidR="002A7944" w:rsidRPr="000352BE" w:rsidRDefault="002A7944" w:rsidP="00006714">
            <w:pPr>
              <w:spacing w:after="0" w:line="240" w:lineRule="auto"/>
              <w:jc w:val="center"/>
              <w:rPr>
                <w:rFonts w:ascii="Calibri" w:hAnsi="Calibri" w:cs="Calibri"/>
                <w:b/>
                <w:bCs/>
                <w:caps/>
                <w:color w:val="auto"/>
                <w:sz w:val="22"/>
                <w:szCs w:val="22"/>
              </w:rPr>
            </w:pPr>
            <w:r w:rsidRPr="000352BE">
              <w:rPr>
                <w:rFonts w:ascii="Calibri" w:hAnsi="Calibri" w:cs="Calibri"/>
                <w:b/>
                <w:bCs/>
                <w:caps/>
                <w:color w:val="auto"/>
                <w:sz w:val="22"/>
                <w:szCs w:val="22"/>
              </w:rPr>
              <w:t>SCHOOL A</w:t>
            </w:r>
          </w:p>
        </w:tc>
        <w:tc>
          <w:tcPr>
            <w:tcW w:w="2268" w:type="dxa"/>
            <w:vAlign w:val="center"/>
            <w:hideMark/>
          </w:tcPr>
          <w:p w14:paraId="2F5ECD23"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hAnsi="Calibri" w:cs="Calibri"/>
                <w:color w:val="auto"/>
                <w:sz w:val="22"/>
                <w:szCs w:val="22"/>
              </w:rPr>
              <w:t>Count</w:t>
            </w:r>
          </w:p>
        </w:tc>
        <w:tc>
          <w:tcPr>
            <w:tcW w:w="1928" w:type="dxa"/>
            <w:vAlign w:val="center"/>
            <w:hideMark/>
          </w:tcPr>
          <w:p w14:paraId="62F0869D"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hAnsi="Calibri" w:cs="Calibri"/>
                <w:color w:val="auto"/>
                <w:sz w:val="22"/>
                <w:szCs w:val="22"/>
              </w:rPr>
              <w:t>17</w:t>
            </w:r>
          </w:p>
        </w:tc>
        <w:tc>
          <w:tcPr>
            <w:tcW w:w="1928" w:type="dxa"/>
            <w:vAlign w:val="center"/>
            <w:hideMark/>
          </w:tcPr>
          <w:p w14:paraId="40691924"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hAnsi="Calibri" w:cs="Calibri"/>
                <w:color w:val="auto"/>
                <w:sz w:val="22"/>
                <w:szCs w:val="22"/>
              </w:rPr>
              <w:t>9</w:t>
            </w:r>
          </w:p>
        </w:tc>
        <w:tc>
          <w:tcPr>
            <w:tcW w:w="1928" w:type="dxa"/>
            <w:vAlign w:val="center"/>
            <w:hideMark/>
          </w:tcPr>
          <w:p w14:paraId="1AF64755"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hAnsi="Calibri" w:cs="Calibri"/>
                <w:color w:val="auto"/>
                <w:sz w:val="22"/>
                <w:szCs w:val="22"/>
              </w:rPr>
              <w:t>8</w:t>
            </w:r>
          </w:p>
        </w:tc>
        <w:tc>
          <w:tcPr>
            <w:tcW w:w="1928" w:type="dxa"/>
            <w:gridSpan w:val="2"/>
            <w:vAlign w:val="center"/>
            <w:hideMark/>
          </w:tcPr>
          <w:p w14:paraId="751B45C4"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hAnsi="Calibri" w:cs="Calibri"/>
                <w:color w:val="auto"/>
                <w:sz w:val="22"/>
                <w:szCs w:val="22"/>
              </w:rPr>
              <w:t>34</w:t>
            </w:r>
          </w:p>
        </w:tc>
      </w:tr>
      <w:tr w:rsidR="002A7944" w:rsidRPr="000352BE" w14:paraId="6B6866B4" w14:textId="77777777" w:rsidTr="00006714">
        <w:trPr>
          <w:gridBefore w:val="1"/>
          <w:wBefore w:w="10" w:type="dxa"/>
          <w:cantSplit/>
          <w:trHeight w:val="567"/>
        </w:trPr>
        <w:tc>
          <w:tcPr>
            <w:tcW w:w="851" w:type="dxa"/>
            <w:vMerge/>
            <w:vAlign w:val="center"/>
            <w:hideMark/>
          </w:tcPr>
          <w:p w14:paraId="5328D533" w14:textId="77777777" w:rsidR="002A7944" w:rsidRPr="000352BE" w:rsidRDefault="002A7944" w:rsidP="00006714">
            <w:pPr>
              <w:spacing w:after="0" w:line="240" w:lineRule="auto"/>
              <w:jc w:val="center"/>
              <w:rPr>
                <w:rFonts w:ascii="Calibri" w:hAnsi="Calibri" w:cs="Calibri"/>
                <w:b/>
                <w:bCs/>
                <w:caps/>
                <w:color w:val="auto"/>
                <w:sz w:val="22"/>
                <w:szCs w:val="22"/>
              </w:rPr>
            </w:pPr>
          </w:p>
        </w:tc>
        <w:tc>
          <w:tcPr>
            <w:tcW w:w="2268" w:type="dxa"/>
            <w:vAlign w:val="center"/>
            <w:hideMark/>
          </w:tcPr>
          <w:p w14:paraId="6087E86E"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hAnsi="Calibri" w:cs="Calibri"/>
                <w:color w:val="auto"/>
                <w:sz w:val="22"/>
                <w:szCs w:val="22"/>
              </w:rPr>
              <w:t>% within SCHOOL</w:t>
            </w:r>
          </w:p>
        </w:tc>
        <w:tc>
          <w:tcPr>
            <w:tcW w:w="1928" w:type="dxa"/>
            <w:vAlign w:val="center"/>
            <w:hideMark/>
          </w:tcPr>
          <w:p w14:paraId="58ECBB2C"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hAnsi="Calibri" w:cs="Calibri"/>
                <w:color w:val="auto"/>
                <w:sz w:val="22"/>
                <w:szCs w:val="22"/>
              </w:rPr>
              <w:t>50.00%</w:t>
            </w:r>
          </w:p>
        </w:tc>
        <w:tc>
          <w:tcPr>
            <w:tcW w:w="1928" w:type="dxa"/>
            <w:vAlign w:val="center"/>
            <w:hideMark/>
          </w:tcPr>
          <w:p w14:paraId="0CD56074"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hAnsi="Calibri" w:cs="Calibri"/>
                <w:color w:val="auto"/>
                <w:sz w:val="22"/>
                <w:szCs w:val="22"/>
              </w:rPr>
              <w:t>26.47%</w:t>
            </w:r>
          </w:p>
        </w:tc>
        <w:tc>
          <w:tcPr>
            <w:tcW w:w="1928" w:type="dxa"/>
            <w:vAlign w:val="center"/>
            <w:hideMark/>
          </w:tcPr>
          <w:p w14:paraId="70E1F0F8"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hAnsi="Calibri" w:cs="Calibri"/>
                <w:color w:val="auto"/>
                <w:sz w:val="22"/>
                <w:szCs w:val="22"/>
              </w:rPr>
              <w:t>23.53%</w:t>
            </w:r>
          </w:p>
        </w:tc>
        <w:tc>
          <w:tcPr>
            <w:tcW w:w="1928" w:type="dxa"/>
            <w:gridSpan w:val="2"/>
            <w:vAlign w:val="center"/>
            <w:hideMark/>
          </w:tcPr>
          <w:p w14:paraId="26E64817"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hAnsi="Calibri" w:cs="Calibri"/>
                <w:color w:val="auto"/>
                <w:sz w:val="22"/>
                <w:szCs w:val="22"/>
              </w:rPr>
              <w:t>100.0%</w:t>
            </w:r>
          </w:p>
        </w:tc>
      </w:tr>
      <w:tr w:rsidR="002A7944" w:rsidRPr="000352BE" w14:paraId="4A241329" w14:textId="77777777" w:rsidTr="00006714">
        <w:trPr>
          <w:gridBefore w:val="1"/>
          <w:wBefore w:w="10" w:type="dxa"/>
          <w:cantSplit/>
          <w:trHeight w:val="567"/>
        </w:trPr>
        <w:tc>
          <w:tcPr>
            <w:tcW w:w="851" w:type="dxa"/>
            <w:vMerge/>
            <w:vAlign w:val="center"/>
            <w:hideMark/>
          </w:tcPr>
          <w:p w14:paraId="1F390B1E" w14:textId="77777777" w:rsidR="002A7944" w:rsidRPr="000352BE" w:rsidRDefault="002A7944" w:rsidP="00006714">
            <w:pPr>
              <w:spacing w:after="0" w:line="240" w:lineRule="auto"/>
              <w:jc w:val="center"/>
              <w:rPr>
                <w:rFonts w:ascii="Calibri" w:hAnsi="Calibri" w:cs="Calibri"/>
                <w:b/>
                <w:bCs/>
                <w:caps/>
                <w:color w:val="auto"/>
                <w:sz w:val="22"/>
                <w:szCs w:val="22"/>
              </w:rPr>
            </w:pPr>
          </w:p>
        </w:tc>
        <w:tc>
          <w:tcPr>
            <w:tcW w:w="2268" w:type="dxa"/>
            <w:vAlign w:val="center"/>
            <w:hideMark/>
          </w:tcPr>
          <w:p w14:paraId="6A6C3DF6"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hAnsi="Calibri" w:cs="Calibri"/>
                <w:color w:val="auto"/>
                <w:sz w:val="22"/>
                <w:szCs w:val="22"/>
              </w:rPr>
              <w:t>% within TOTAL BAND</w:t>
            </w:r>
          </w:p>
        </w:tc>
        <w:tc>
          <w:tcPr>
            <w:tcW w:w="1928" w:type="dxa"/>
            <w:vAlign w:val="center"/>
            <w:hideMark/>
          </w:tcPr>
          <w:p w14:paraId="5591EBD2"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hAnsi="Calibri" w:cs="Calibri"/>
                <w:color w:val="auto"/>
                <w:sz w:val="22"/>
                <w:szCs w:val="22"/>
              </w:rPr>
              <w:t>56.7%</w:t>
            </w:r>
          </w:p>
        </w:tc>
        <w:tc>
          <w:tcPr>
            <w:tcW w:w="1928" w:type="dxa"/>
            <w:vAlign w:val="center"/>
            <w:hideMark/>
          </w:tcPr>
          <w:p w14:paraId="5A10AEE1"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hAnsi="Calibri" w:cs="Calibri"/>
                <w:color w:val="auto"/>
                <w:sz w:val="22"/>
                <w:szCs w:val="22"/>
              </w:rPr>
              <w:t>45.0%</w:t>
            </w:r>
          </w:p>
        </w:tc>
        <w:tc>
          <w:tcPr>
            <w:tcW w:w="1928" w:type="dxa"/>
            <w:vAlign w:val="center"/>
            <w:hideMark/>
          </w:tcPr>
          <w:p w14:paraId="4D11D48A"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hAnsi="Calibri" w:cs="Calibri"/>
                <w:color w:val="auto"/>
                <w:sz w:val="22"/>
                <w:szCs w:val="22"/>
              </w:rPr>
              <w:t>40.0%</w:t>
            </w:r>
          </w:p>
        </w:tc>
        <w:tc>
          <w:tcPr>
            <w:tcW w:w="1928" w:type="dxa"/>
            <w:gridSpan w:val="2"/>
            <w:vAlign w:val="center"/>
            <w:hideMark/>
          </w:tcPr>
          <w:p w14:paraId="40139410"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hAnsi="Calibri" w:cs="Calibri"/>
                <w:color w:val="auto"/>
                <w:sz w:val="22"/>
                <w:szCs w:val="22"/>
              </w:rPr>
              <w:t>48.6%</w:t>
            </w:r>
          </w:p>
        </w:tc>
      </w:tr>
      <w:tr w:rsidR="002A7944" w:rsidRPr="000352BE" w14:paraId="2CC189D7" w14:textId="77777777" w:rsidTr="00006714">
        <w:trPr>
          <w:gridBefore w:val="1"/>
          <w:wBefore w:w="10" w:type="dxa"/>
          <w:cantSplit/>
          <w:trHeight w:val="567"/>
        </w:trPr>
        <w:tc>
          <w:tcPr>
            <w:tcW w:w="851" w:type="dxa"/>
            <w:vMerge w:val="restart"/>
            <w:vAlign w:val="center"/>
            <w:hideMark/>
          </w:tcPr>
          <w:p w14:paraId="64FFF491" w14:textId="77777777" w:rsidR="002A7944" w:rsidRPr="000352BE" w:rsidRDefault="002A7944" w:rsidP="00006714">
            <w:pPr>
              <w:spacing w:after="0" w:line="240" w:lineRule="auto"/>
              <w:jc w:val="center"/>
              <w:rPr>
                <w:rFonts w:ascii="Calibri" w:hAnsi="Calibri" w:cs="Calibri"/>
                <w:b/>
                <w:bCs/>
                <w:caps/>
                <w:color w:val="auto"/>
                <w:sz w:val="22"/>
                <w:szCs w:val="22"/>
              </w:rPr>
            </w:pPr>
            <w:r w:rsidRPr="000352BE">
              <w:rPr>
                <w:rFonts w:ascii="Calibri" w:hAnsi="Calibri" w:cs="Calibri"/>
                <w:b/>
                <w:bCs/>
                <w:caps/>
                <w:color w:val="auto"/>
                <w:sz w:val="22"/>
                <w:szCs w:val="22"/>
              </w:rPr>
              <w:t>SCHOOL B</w:t>
            </w:r>
          </w:p>
        </w:tc>
        <w:tc>
          <w:tcPr>
            <w:tcW w:w="2268" w:type="dxa"/>
            <w:vAlign w:val="center"/>
            <w:hideMark/>
          </w:tcPr>
          <w:p w14:paraId="4A56555D"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hAnsi="Calibri" w:cs="Calibri"/>
                <w:color w:val="auto"/>
                <w:sz w:val="22"/>
                <w:szCs w:val="22"/>
              </w:rPr>
              <w:t>Count</w:t>
            </w:r>
          </w:p>
        </w:tc>
        <w:tc>
          <w:tcPr>
            <w:tcW w:w="1928" w:type="dxa"/>
            <w:vAlign w:val="center"/>
            <w:hideMark/>
          </w:tcPr>
          <w:p w14:paraId="6D159FD5"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hAnsi="Calibri" w:cs="Calibri"/>
                <w:color w:val="auto"/>
                <w:sz w:val="22"/>
                <w:szCs w:val="22"/>
              </w:rPr>
              <w:t>13</w:t>
            </w:r>
          </w:p>
        </w:tc>
        <w:tc>
          <w:tcPr>
            <w:tcW w:w="1928" w:type="dxa"/>
            <w:vAlign w:val="center"/>
            <w:hideMark/>
          </w:tcPr>
          <w:p w14:paraId="71A1A06B"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hAnsi="Calibri" w:cs="Calibri"/>
                <w:color w:val="auto"/>
                <w:sz w:val="22"/>
                <w:szCs w:val="22"/>
              </w:rPr>
              <w:t>11</w:t>
            </w:r>
          </w:p>
        </w:tc>
        <w:tc>
          <w:tcPr>
            <w:tcW w:w="1928" w:type="dxa"/>
            <w:vAlign w:val="center"/>
            <w:hideMark/>
          </w:tcPr>
          <w:p w14:paraId="60941464"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hAnsi="Calibri" w:cs="Calibri"/>
                <w:color w:val="auto"/>
                <w:sz w:val="22"/>
                <w:szCs w:val="22"/>
              </w:rPr>
              <w:t>12</w:t>
            </w:r>
          </w:p>
        </w:tc>
        <w:tc>
          <w:tcPr>
            <w:tcW w:w="1928" w:type="dxa"/>
            <w:gridSpan w:val="2"/>
            <w:vAlign w:val="center"/>
            <w:hideMark/>
          </w:tcPr>
          <w:p w14:paraId="2BDF3358"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hAnsi="Calibri" w:cs="Calibri"/>
                <w:color w:val="auto"/>
                <w:sz w:val="22"/>
                <w:szCs w:val="22"/>
              </w:rPr>
              <w:t>36</w:t>
            </w:r>
          </w:p>
        </w:tc>
      </w:tr>
      <w:tr w:rsidR="002A7944" w:rsidRPr="000352BE" w14:paraId="0B4F1D8B" w14:textId="77777777" w:rsidTr="00006714">
        <w:trPr>
          <w:gridBefore w:val="1"/>
          <w:wBefore w:w="10" w:type="dxa"/>
          <w:cantSplit/>
          <w:trHeight w:val="567"/>
        </w:trPr>
        <w:tc>
          <w:tcPr>
            <w:tcW w:w="851" w:type="dxa"/>
            <w:vMerge/>
            <w:vAlign w:val="center"/>
            <w:hideMark/>
          </w:tcPr>
          <w:p w14:paraId="17D1D2E7" w14:textId="77777777" w:rsidR="002A7944" w:rsidRPr="000352BE" w:rsidRDefault="002A7944" w:rsidP="00006714">
            <w:pPr>
              <w:spacing w:after="0" w:line="240" w:lineRule="auto"/>
              <w:jc w:val="center"/>
              <w:rPr>
                <w:rFonts w:ascii="Calibri" w:hAnsi="Calibri" w:cs="Calibri"/>
                <w:b/>
                <w:bCs/>
                <w:caps/>
                <w:color w:val="auto"/>
                <w:sz w:val="22"/>
                <w:szCs w:val="22"/>
              </w:rPr>
            </w:pPr>
          </w:p>
        </w:tc>
        <w:tc>
          <w:tcPr>
            <w:tcW w:w="2268" w:type="dxa"/>
            <w:vAlign w:val="center"/>
            <w:hideMark/>
          </w:tcPr>
          <w:p w14:paraId="67949A91"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hAnsi="Calibri" w:cs="Calibri"/>
                <w:color w:val="auto"/>
                <w:sz w:val="22"/>
                <w:szCs w:val="22"/>
              </w:rPr>
              <w:t>% within SCHOOL</w:t>
            </w:r>
          </w:p>
        </w:tc>
        <w:tc>
          <w:tcPr>
            <w:tcW w:w="1928" w:type="dxa"/>
            <w:vAlign w:val="center"/>
            <w:hideMark/>
          </w:tcPr>
          <w:p w14:paraId="4AFAA4C9"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hAnsi="Calibri" w:cs="Calibri"/>
                <w:color w:val="auto"/>
                <w:sz w:val="22"/>
                <w:szCs w:val="22"/>
              </w:rPr>
              <w:t>36.11%</w:t>
            </w:r>
          </w:p>
        </w:tc>
        <w:tc>
          <w:tcPr>
            <w:tcW w:w="1928" w:type="dxa"/>
            <w:vAlign w:val="center"/>
            <w:hideMark/>
          </w:tcPr>
          <w:p w14:paraId="0C909361"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hAnsi="Calibri" w:cs="Calibri"/>
                <w:color w:val="auto"/>
                <w:sz w:val="22"/>
                <w:szCs w:val="22"/>
              </w:rPr>
              <w:t>30.56%</w:t>
            </w:r>
          </w:p>
        </w:tc>
        <w:tc>
          <w:tcPr>
            <w:tcW w:w="1928" w:type="dxa"/>
            <w:vAlign w:val="center"/>
            <w:hideMark/>
          </w:tcPr>
          <w:p w14:paraId="2172BA58"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hAnsi="Calibri" w:cs="Calibri"/>
                <w:color w:val="auto"/>
                <w:sz w:val="22"/>
                <w:szCs w:val="22"/>
              </w:rPr>
              <w:t>33.33%</w:t>
            </w:r>
          </w:p>
        </w:tc>
        <w:tc>
          <w:tcPr>
            <w:tcW w:w="1928" w:type="dxa"/>
            <w:gridSpan w:val="2"/>
            <w:vAlign w:val="center"/>
            <w:hideMark/>
          </w:tcPr>
          <w:p w14:paraId="49638E18"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hAnsi="Calibri" w:cs="Calibri"/>
                <w:color w:val="auto"/>
                <w:sz w:val="22"/>
                <w:szCs w:val="22"/>
              </w:rPr>
              <w:t>100.0%</w:t>
            </w:r>
          </w:p>
        </w:tc>
      </w:tr>
      <w:tr w:rsidR="002A7944" w:rsidRPr="000352BE" w14:paraId="7955FBF9" w14:textId="77777777" w:rsidTr="00006714">
        <w:trPr>
          <w:gridBefore w:val="1"/>
          <w:wBefore w:w="10" w:type="dxa"/>
          <w:cantSplit/>
          <w:trHeight w:val="567"/>
        </w:trPr>
        <w:tc>
          <w:tcPr>
            <w:tcW w:w="851" w:type="dxa"/>
            <w:vMerge/>
            <w:vAlign w:val="center"/>
            <w:hideMark/>
          </w:tcPr>
          <w:p w14:paraId="752D0368" w14:textId="77777777" w:rsidR="002A7944" w:rsidRPr="000352BE" w:rsidRDefault="002A7944" w:rsidP="00006714">
            <w:pPr>
              <w:spacing w:after="0" w:line="240" w:lineRule="auto"/>
              <w:jc w:val="center"/>
              <w:rPr>
                <w:rFonts w:ascii="Calibri" w:hAnsi="Calibri" w:cs="Calibri"/>
                <w:b/>
                <w:bCs/>
                <w:caps/>
                <w:color w:val="auto"/>
                <w:sz w:val="22"/>
                <w:szCs w:val="22"/>
              </w:rPr>
            </w:pPr>
          </w:p>
        </w:tc>
        <w:tc>
          <w:tcPr>
            <w:tcW w:w="2268" w:type="dxa"/>
            <w:vAlign w:val="center"/>
            <w:hideMark/>
          </w:tcPr>
          <w:p w14:paraId="5AE8A989"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hAnsi="Calibri" w:cs="Calibri"/>
                <w:color w:val="auto"/>
                <w:sz w:val="22"/>
                <w:szCs w:val="22"/>
              </w:rPr>
              <w:t>% within TOTAL BAND</w:t>
            </w:r>
          </w:p>
        </w:tc>
        <w:tc>
          <w:tcPr>
            <w:tcW w:w="1928" w:type="dxa"/>
            <w:vAlign w:val="center"/>
            <w:hideMark/>
          </w:tcPr>
          <w:p w14:paraId="2ABCD73F"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hAnsi="Calibri" w:cs="Calibri"/>
                <w:color w:val="auto"/>
                <w:sz w:val="22"/>
                <w:szCs w:val="22"/>
              </w:rPr>
              <w:t>43.3%</w:t>
            </w:r>
          </w:p>
        </w:tc>
        <w:tc>
          <w:tcPr>
            <w:tcW w:w="1928" w:type="dxa"/>
            <w:vAlign w:val="center"/>
            <w:hideMark/>
          </w:tcPr>
          <w:p w14:paraId="299A43A3"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hAnsi="Calibri" w:cs="Calibri"/>
                <w:color w:val="auto"/>
                <w:sz w:val="22"/>
                <w:szCs w:val="22"/>
              </w:rPr>
              <w:t>55.0%</w:t>
            </w:r>
          </w:p>
        </w:tc>
        <w:tc>
          <w:tcPr>
            <w:tcW w:w="1928" w:type="dxa"/>
            <w:vAlign w:val="center"/>
            <w:hideMark/>
          </w:tcPr>
          <w:p w14:paraId="1E217D16"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hAnsi="Calibri" w:cs="Calibri"/>
                <w:color w:val="auto"/>
                <w:sz w:val="22"/>
                <w:szCs w:val="22"/>
              </w:rPr>
              <w:t>60.0%</w:t>
            </w:r>
          </w:p>
        </w:tc>
        <w:tc>
          <w:tcPr>
            <w:tcW w:w="1928" w:type="dxa"/>
            <w:gridSpan w:val="2"/>
            <w:vAlign w:val="center"/>
            <w:hideMark/>
          </w:tcPr>
          <w:p w14:paraId="05C889AA"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hAnsi="Calibri" w:cs="Calibri"/>
                <w:color w:val="auto"/>
                <w:sz w:val="22"/>
                <w:szCs w:val="22"/>
              </w:rPr>
              <w:t>51.4%</w:t>
            </w:r>
          </w:p>
        </w:tc>
      </w:tr>
      <w:tr w:rsidR="002A7944" w:rsidRPr="000352BE" w14:paraId="23E6F1CC" w14:textId="77777777" w:rsidTr="00006714">
        <w:trPr>
          <w:gridBefore w:val="1"/>
          <w:wBefore w:w="10" w:type="dxa"/>
          <w:cantSplit/>
          <w:trHeight w:val="567"/>
        </w:trPr>
        <w:tc>
          <w:tcPr>
            <w:tcW w:w="851" w:type="dxa"/>
            <w:vMerge w:val="restart"/>
            <w:vAlign w:val="center"/>
          </w:tcPr>
          <w:p w14:paraId="72B068A7" w14:textId="77777777" w:rsidR="002A7944" w:rsidRPr="000352BE" w:rsidRDefault="002A7944" w:rsidP="00006714">
            <w:pPr>
              <w:spacing w:after="0" w:line="240" w:lineRule="auto"/>
              <w:jc w:val="center"/>
              <w:rPr>
                <w:rFonts w:ascii="Calibri" w:hAnsi="Calibri" w:cs="Calibri"/>
                <w:b/>
                <w:bCs/>
                <w:caps/>
                <w:color w:val="auto"/>
                <w:sz w:val="22"/>
                <w:szCs w:val="22"/>
              </w:rPr>
            </w:pPr>
            <w:r w:rsidRPr="000352BE">
              <w:rPr>
                <w:rFonts w:ascii="Calibri" w:hAnsi="Calibri" w:cs="Calibri"/>
                <w:b/>
                <w:bCs/>
                <w:caps/>
                <w:color w:val="auto"/>
                <w:sz w:val="22"/>
                <w:szCs w:val="22"/>
              </w:rPr>
              <w:t>TOTAL</w:t>
            </w:r>
          </w:p>
        </w:tc>
        <w:tc>
          <w:tcPr>
            <w:tcW w:w="2268" w:type="dxa"/>
            <w:vAlign w:val="center"/>
            <w:hideMark/>
          </w:tcPr>
          <w:p w14:paraId="74ABCFC4"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hAnsi="Calibri" w:cs="Calibri"/>
                <w:color w:val="auto"/>
                <w:sz w:val="22"/>
                <w:szCs w:val="22"/>
              </w:rPr>
              <w:t>Count</w:t>
            </w:r>
          </w:p>
        </w:tc>
        <w:tc>
          <w:tcPr>
            <w:tcW w:w="1928" w:type="dxa"/>
            <w:vAlign w:val="center"/>
            <w:hideMark/>
          </w:tcPr>
          <w:p w14:paraId="7E4E9134"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hAnsi="Calibri" w:cs="Calibri"/>
                <w:color w:val="auto"/>
                <w:sz w:val="22"/>
                <w:szCs w:val="22"/>
              </w:rPr>
              <w:t>30</w:t>
            </w:r>
          </w:p>
        </w:tc>
        <w:tc>
          <w:tcPr>
            <w:tcW w:w="1928" w:type="dxa"/>
            <w:vAlign w:val="center"/>
            <w:hideMark/>
          </w:tcPr>
          <w:p w14:paraId="27257399"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hAnsi="Calibri" w:cs="Calibri"/>
                <w:color w:val="auto"/>
                <w:sz w:val="22"/>
                <w:szCs w:val="22"/>
              </w:rPr>
              <w:t>20</w:t>
            </w:r>
          </w:p>
        </w:tc>
        <w:tc>
          <w:tcPr>
            <w:tcW w:w="1928" w:type="dxa"/>
            <w:vAlign w:val="center"/>
            <w:hideMark/>
          </w:tcPr>
          <w:p w14:paraId="62D08A39"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hAnsi="Calibri" w:cs="Calibri"/>
                <w:color w:val="auto"/>
                <w:sz w:val="22"/>
                <w:szCs w:val="22"/>
              </w:rPr>
              <w:t>20</w:t>
            </w:r>
          </w:p>
        </w:tc>
        <w:tc>
          <w:tcPr>
            <w:tcW w:w="1928" w:type="dxa"/>
            <w:gridSpan w:val="2"/>
            <w:vAlign w:val="center"/>
            <w:hideMark/>
          </w:tcPr>
          <w:p w14:paraId="75539E25"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hAnsi="Calibri" w:cs="Calibri"/>
                <w:color w:val="auto"/>
                <w:sz w:val="22"/>
                <w:szCs w:val="22"/>
              </w:rPr>
              <w:t>70</w:t>
            </w:r>
          </w:p>
        </w:tc>
      </w:tr>
      <w:tr w:rsidR="002A7944" w:rsidRPr="000352BE" w14:paraId="612AE4E3" w14:textId="77777777" w:rsidTr="00006714">
        <w:trPr>
          <w:gridBefore w:val="1"/>
          <w:wBefore w:w="10" w:type="dxa"/>
          <w:cantSplit/>
          <w:trHeight w:val="567"/>
        </w:trPr>
        <w:tc>
          <w:tcPr>
            <w:tcW w:w="851" w:type="dxa"/>
            <w:vMerge/>
            <w:vAlign w:val="center"/>
          </w:tcPr>
          <w:p w14:paraId="6DD6D86D" w14:textId="77777777" w:rsidR="002A7944" w:rsidRPr="000352BE" w:rsidRDefault="002A7944" w:rsidP="00006714">
            <w:pPr>
              <w:spacing w:after="0" w:line="240" w:lineRule="auto"/>
              <w:jc w:val="center"/>
              <w:rPr>
                <w:rFonts w:ascii="Calibri" w:hAnsi="Calibri" w:cs="Calibri"/>
                <w:color w:val="auto"/>
                <w:sz w:val="22"/>
                <w:szCs w:val="22"/>
              </w:rPr>
            </w:pPr>
          </w:p>
        </w:tc>
        <w:tc>
          <w:tcPr>
            <w:tcW w:w="2268" w:type="dxa"/>
            <w:vAlign w:val="center"/>
            <w:hideMark/>
          </w:tcPr>
          <w:p w14:paraId="6639CC13"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hAnsi="Calibri" w:cs="Calibri"/>
                <w:color w:val="auto"/>
                <w:sz w:val="22"/>
                <w:szCs w:val="22"/>
              </w:rPr>
              <w:t>% within SCHOOL</w:t>
            </w:r>
          </w:p>
        </w:tc>
        <w:tc>
          <w:tcPr>
            <w:tcW w:w="1928" w:type="dxa"/>
            <w:vAlign w:val="center"/>
            <w:hideMark/>
          </w:tcPr>
          <w:p w14:paraId="5256E61E"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eastAsia="Arial" w:hAnsi="Calibri" w:cs="Calibri"/>
                <w:color w:val="auto"/>
                <w:sz w:val="22"/>
                <w:szCs w:val="22"/>
              </w:rPr>
              <w:t>42.85%</w:t>
            </w:r>
          </w:p>
        </w:tc>
        <w:tc>
          <w:tcPr>
            <w:tcW w:w="1928" w:type="dxa"/>
            <w:vAlign w:val="center"/>
            <w:hideMark/>
          </w:tcPr>
          <w:p w14:paraId="6AC6F858"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eastAsia="Arial" w:hAnsi="Calibri" w:cs="Calibri"/>
                <w:color w:val="auto"/>
                <w:sz w:val="22"/>
                <w:szCs w:val="22"/>
              </w:rPr>
              <w:t>28.57%</w:t>
            </w:r>
          </w:p>
        </w:tc>
        <w:tc>
          <w:tcPr>
            <w:tcW w:w="1928" w:type="dxa"/>
            <w:vAlign w:val="center"/>
            <w:hideMark/>
          </w:tcPr>
          <w:p w14:paraId="6E3233F0"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eastAsia="Arial" w:hAnsi="Calibri" w:cs="Calibri"/>
                <w:color w:val="auto"/>
                <w:sz w:val="22"/>
                <w:szCs w:val="22"/>
              </w:rPr>
              <w:t>28.57%</w:t>
            </w:r>
          </w:p>
        </w:tc>
        <w:tc>
          <w:tcPr>
            <w:tcW w:w="1928" w:type="dxa"/>
            <w:gridSpan w:val="2"/>
            <w:vAlign w:val="center"/>
            <w:hideMark/>
          </w:tcPr>
          <w:p w14:paraId="16FF74A7"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eastAsia="Arial" w:hAnsi="Calibri" w:cs="Calibri"/>
                <w:color w:val="auto"/>
                <w:sz w:val="22"/>
                <w:szCs w:val="22"/>
              </w:rPr>
              <w:t>100.0%</w:t>
            </w:r>
          </w:p>
        </w:tc>
      </w:tr>
      <w:tr w:rsidR="002A7944" w:rsidRPr="000352BE" w14:paraId="2E7598F5" w14:textId="77777777" w:rsidTr="00006714">
        <w:trPr>
          <w:gridBefore w:val="1"/>
          <w:wBefore w:w="10" w:type="dxa"/>
          <w:cantSplit/>
          <w:trHeight w:val="567"/>
        </w:trPr>
        <w:tc>
          <w:tcPr>
            <w:tcW w:w="851" w:type="dxa"/>
            <w:vMerge/>
            <w:vAlign w:val="center"/>
          </w:tcPr>
          <w:p w14:paraId="459BB779" w14:textId="77777777" w:rsidR="002A7944" w:rsidRPr="000352BE" w:rsidRDefault="002A7944" w:rsidP="00006714">
            <w:pPr>
              <w:spacing w:after="0" w:line="240" w:lineRule="auto"/>
              <w:jc w:val="center"/>
              <w:rPr>
                <w:rFonts w:ascii="Calibri" w:hAnsi="Calibri" w:cs="Calibri"/>
                <w:color w:val="auto"/>
                <w:sz w:val="22"/>
                <w:szCs w:val="22"/>
              </w:rPr>
            </w:pPr>
          </w:p>
        </w:tc>
        <w:tc>
          <w:tcPr>
            <w:tcW w:w="2268" w:type="dxa"/>
            <w:vAlign w:val="center"/>
            <w:hideMark/>
          </w:tcPr>
          <w:p w14:paraId="01DA8317"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hAnsi="Calibri" w:cs="Calibri"/>
                <w:color w:val="auto"/>
                <w:sz w:val="22"/>
                <w:szCs w:val="22"/>
              </w:rPr>
              <w:t>% within TOTAL BAND</w:t>
            </w:r>
          </w:p>
        </w:tc>
        <w:tc>
          <w:tcPr>
            <w:tcW w:w="1928" w:type="dxa"/>
            <w:vAlign w:val="center"/>
            <w:hideMark/>
          </w:tcPr>
          <w:p w14:paraId="36E3AC93"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eastAsia="Arial" w:hAnsi="Calibri" w:cs="Calibri"/>
                <w:color w:val="auto"/>
                <w:sz w:val="22"/>
                <w:szCs w:val="22"/>
              </w:rPr>
              <w:t>100.0%</w:t>
            </w:r>
          </w:p>
        </w:tc>
        <w:tc>
          <w:tcPr>
            <w:tcW w:w="1928" w:type="dxa"/>
            <w:vAlign w:val="center"/>
            <w:hideMark/>
          </w:tcPr>
          <w:p w14:paraId="5760451E"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eastAsia="Arial" w:hAnsi="Calibri" w:cs="Calibri"/>
                <w:color w:val="auto"/>
                <w:sz w:val="22"/>
                <w:szCs w:val="22"/>
              </w:rPr>
              <w:t>100.0%</w:t>
            </w:r>
          </w:p>
        </w:tc>
        <w:tc>
          <w:tcPr>
            <w:tcW w:w="1928" w:type="dxa"/>
            <w:vAlign w:val="center"/>
            <w:hideMark/>
          </w:tcPr>
          <w:p w14:paraId="234865D8"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eastAsia="Arial" w:hAnsi="Calibri" w:cs="Calibri"/>
                <w:color w:val="auto"/>
                <w:sz w:val="22"/>
                <w:szCs w:val="22"/>
              </w:rPr>
              <w:t>100.0%</w:t>
            </w:r>
          </w:p>
        </w:tc>
        <w:tc>
          <w:tcPr>
            <w:tcW w:w="1928" w:type="dxa"/>
            <w:gridSpan w:val="2"/>
            <w:vAlign w:val="center"/>
            <w:hideMark/>
          </w:tcPr>
          <w:p w14:paraId="2B77D00F" w14:textId="77777777" w:rsidR="002A7944" w:rsidRPr="000352BE" w:rsidRDefault="002A7944" w:rsidP="00006714">
            <w:pPr>
              <w:spacing w:after="0" w:line="240" w:lineRule="auto"/>
              <w:jc w:val="center"/>
              <w:rPr>
                <w:rFonts w:ascii="Calibri" w:hAnsi="Calibri" w:cs="Calibri"/>
                <w:color w:val="auto"/>
                <w:sz w:val="22"/>
                <w:szCs w:val="22"/>
              </w:rPr>
            </w:pPr>
            <w:r w:rsidRPr="000352BE">
              <w:rPr>
                <w:rFonts w:ascii="Calibri" w:eastAsia="Arial" w:hAnsi="Calibri" w:cs="Calibri"/>
                <w:color w:val="auto"/>
                <w:sz w:val="22"/>
                <w:szCs w:val="22"/>
              </w:rPr>
              <w:t>100.0%</w:t>
            </w:r>
          </w:p>
        </w:tc>
      </w:tr>
      <w:tr w:rsidR="002A7944" w:rsidRPr="000352BE" w14:paraId="0671EDD1" w14:textId="77777777" w:rsidTr="0000671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10" w:type="dxa"/>
            <w:right w:w="10" w:type="dxa"/>
          </w:tblCellMar>
        </w:tblPrEx>
        <w:trPr>
          <w:gridAfter w:val="1"/>
          <w:wAfter w:w="38" w:type="dxa"/>
          <w:trHeight w:val="340"/>
        </w:trPr>
        <w:tc>
          <w:tcPr>
            <w:tcW w:w="10803" w:type="dxa"/>
            <w:gridSpan w:val="7"/>
            <w:tcBorders>
              <w:top w:val="single" w:sz="4" w:space="0" w:color="D9D9D9" w:themeColor="background1" w:themeShade="D9"/>
            </w:tcBorders>
            <w:vAlign w:val="center"/>
          </w:tcPr>
          <w:p w14:paraId="7079A9BF" w14:textId="77777777" w:rsidR="002A7944" w:rsidRPr="000352BE" w:rsidRDefault="002A7944" w:rsidP="00006714">
            <w:pPr>
              <w:spacing w:after="0" w:line="240" w:lineRule="auto"/>
              <w:jc w:val="right"/>
              <w:rPr>
                <w:rFonts w:ascii="Calibri" w:hAnsi="Calibri" w:cs="Calibri"/>
                <w:color w:val="auto"/>
                <w:sz w:val="22"/>
                <w:szCs w:val="22"/>
              </w:rPr>
            </w:pPr>
            <w:r w:rsidRPr="000352BE">
              <w:rPr>
                <w:rFonts w:ascii="Calibri" w:eastAsia="Times New Roman" w:hAnsi="Calibri" w:cs="Calibri"/>
                <w:color w:val="000000"/>
                <w:kern w:val="0"/>
                <w:sz w:val="20"/>
                <w:szCs w:val="20"/>
                <w:lang w:eastAsia="en-GB"/>
                <w14:ligatures w14:val="none"/>
              </w:rPr>
              <w:t xml:space="preserve">Table 5: Crosstabulation for each school for MABC-2 </w:t>
            </w:r>
          </w:p>
        </w:tc>
      </w:tr>
    </w:tbl>
    <w:p w14:paraId="5BBD0DEA" w14:textId="77777777" w:rsidR="002A7944" w:rsidRPr="000352BE" w:rsidRDefault="002A7944" w:rsidP="002A7944">
      <w:pPr>
        <w:spacing w:after="0" w:line="360" w:lineRule="auto"/>
        <w:rPr>
          <w:rFonts w:ascii="Calibri" w:hAnsi="Calibri" w:cs="Calibri"/>
          <w:color w:val="auto"/>
          <w:sz w:val="24"/>
          <w:szCs w:val="24"/>
        </w:rPr>
      </w:pPr>
    </w:p>
    <w:p w14:paraId="7ECBC38A" w14:textId="77777777" w:rsidR="002A7944" w:rsidRPr="000352BE" w:rsidRDefault="002A7944" w:rsidP="002A7944">
      <w:pPr>
        <w:spacing w:after="0" w:line="360" w:lineRule="auto"/>
        <w:rPr>
          <w:rFonts w:ascii="Calibri" w:hAnsi="Calibri" w:cs="Calibri"/>
          <w:color w:val="auto"/>
          <w:sz w:val="24"/>
          <w:szCs w:val="24"/>
        </w:rPr>
      </w:pPr>
      <w:r w:rsidRPr="000352BE">
        <w:rPr>
          <w:rFonts w:ascii="Calibri" w:hAnsi="Calibri" w:cs="Calibri"/>
          <w:noProof/>
        </w:rPr>
        <w:drawing>
          <wp:anchor distT="0" distB="0" distL="114300" distR="114300" simplePos="0" relativeHeight="251667456" behindDoc="1" locked="0" layoutInCell="1" allowOverlap="1" wp14:anchorId="6044F46B" wp14:editId="506199D1">
            <wp:simplePos x="0" y="0"/>
            <wp:positionH relativeFrom="margin">
              <wp:posOffset>3509095</wp:posOffset>
            </wp:positionH>
            <wp:positionV relativeFrom="paragraph">
              <wp:posOffset>6048</wp:posOffset>
            </wp:positionV>
            <wp:extent cx="3371850" cy="2305050"/>
            <wp:effectExtent l="0" t="0" r="0" b="0"/>
            <wp:wrapNone/>
            <wp:docPr id="1779076886" name="Chart 1">
              <a:extLst xmlns:a="http://schemas.openxmlformats.org/drawingml/2006/main">
                <a:ext uri="{FF2B5EF4-FFF2-40B4-BE49-F238E27FC236}">
                  <a16:creationId xmlns:a16="http://schemas.microsoft.com/office/drawing/2014/main" id="{35DED5AA-8A88-7CFB-191F-0762E5EE428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margin">
              <wp14:pctWidth>0</wp14:pctWidth>
            </wp14:sizeRelH>
            <wp14:sizeRelV relativeFrom="margin">
              <wp14:pctHeight>0</wp14:pctHeight>
            </wp14:sizeRelV>
          </wp:anchor>
        </w:drawing>
      </w:r>
      <w:r w:rsidRPr="000352BE">
        <w:rPr>
          <w:rFonts w:ascii="Calibri" w:hAnsi="Calibri" w:cs="Calibri"/>
          <w:noProof/>
        </w:rPr>
        <w:drawing>
          <wp:anchor distT="0" distB="0" distL="114300" distR="114300" simplePos="0" relativeHeight="251666432" behindDoc="1" locked="0" layoutInCell="1" allowOverlap="1" wp14:anchorId="4B56C4D0" wp14:editId="5AC929E4">
            <wp:simplePos x="0" y="0"/>
            <wp:positionH relativeFrom="margin">
              <wp:align>left</wp:align>
            </wp:positionH>
            <wp:positionV relativeFrom="paragraph">
              <wp:posOffset>7620</wp:posOffset>
            </wp:positionV>
            <wp:extent cx="3381375" cy="2305050"/>
            <wp:effectExtent l="0" t="0" r="9525" b="0"/>
            <wp:wrapNone/>
            <wp:docPr id="1880404940" name="Chart 1">
              <a:extLst xmlns:a="http://schemas.openxmlformats.org/drawingml/2006/main">
                <a:ext uri="{FF2B5EF4-FFF2-40B4-BE49-F238E27FC236}">
                  <a16:creationId xmlns:a16="http://schemas.microsoft.com/office/drawing/2014/main" id="{D8B38F8F-189C-A990-BE8B-881D7274378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margin">
              <wp14:pctWidth>0</wp14:pctWidth>
            </wp14:sizeRelH>
            <wp14:sizeRelV relativeFrom="margin">
              <wp14:pctHeight>0</wp14:pctHeight>
            </wp14:sizeRelV>
          </wp:anchor>
        </w:drawing>
      </w:r>
    </w:p>
    <w:p w14:paraId="6A1976CC" w14:textId="77777777" w:rsidR="002A7944" w:rsidRPr="000352BE" w:rsidRDefault="002A7944" w:rsidP="002A7944">
      <w:pPr>
        <w:spacing w:after="0" w:line="360" w:lineRule="auto"/>
        <w:rPr>
          <w:rFonts w:ascii="Calibri" w:hAnsi="Calibri" w:cs="Calibri"/>
          <w:color w:val="auto"/>
          <w:sz w:val="24"/>
          <w:szCs w:val="24"/>
        </w:rPr>
      </w:pPr>
    </w:p>
    <w:p w14:paraId="6DEF5F13" w14:textId="77777777" w:rsidR="002A7944" w:rsidRPr="000352BE" w:rsidRDefault="002A7944" w:rsidP="002A7944">
      <w:pPr>
        <w:spacing w:after="0" w:line="360" w:lineRule="auto"/>
        <w:rPr>
          <w:rFonts w:ascii="Calibri" w:hAnsi="Calibri" w:cs="Calibri"/>
          <w:color w:val="auto"/>
          <w:sz w:val="24"/>
          <w:szCs w:val="24"/>
        </w:rPr>
      </w:pPr>
    </w:p>
    <w:p w14:paraId="131F5C7B" w14:textId="77777777" w:rsidR="002A7944" w:rsidRPr="000352BE" w:rsidRDefault="002A7944" w:rsidP="002A7944">
      <w:pPr>
        <w:spacing w:after="0" w:line="360" w:lineRule="auto"/>
        <w:rPr>
          <w:rFonts w:ascii="Calibri" w:hAnsi="Calibri" w:cs="Calibri"/>
          <w:color w:val="auto"/>
          <w:sz w:val="24"/>
          <w:szCs w:val="24"/>
        </w:rPr>
      </w:pPr>
    </w:p>
    <w:p w14:paraId="352BA8D6" w14:textId="77777777" w:rsidR="002A7944" w:rsidRPr="000352BE" w:rsidRDefault="002A7944" w:rsidP="002A7944">
      <w:pPr>
        <w:spacing w:after="0" w:line="360" w:lineRule="auto"/>
        <w:rPr>
          <w:rFonts w:ascii="Calibri" w:hAnsi="Calibri" w:cs="Calibri"/>
          <w:color w:val="auto"/>
          <w:sz w:val="24"/>
          <w:szCs w:val="24"/>
        </w:rPr>
      </w:pPr>
    </w:p>
    <w:p w14:paraId="66F8DE86" w14:textId="77777777" w:rsidR="002A7944" w:rsidRPr="000352BE" w:rsidRDefault="002A7944" w:rsidP="002A7944">
      <w:pPr>
        <w:tabs>
          <w:tab w:val="left" w:pos="3364"/>
        </w:tabs>
        <w:spacing w:after="0" w:line="360" w:lineRule="auto"/>
        <w:rPr>
          <w:rFonts w:ascii="Calibri" w:hAnsi="Calibri" w:cs="Calibri"/>
          <w:color w:val="auto"/>
          <w:sz w:val="24"/>
          <w:szCs w:val="24"/>
        </w:rPr>
      </w:pPr>
      <w:r w:rsidRPr="000352BE">
        <w:rPr>
          <w:rFonts w:ascii="Calibri" w:hAnsi="Calibri" w:cs="Calibri"/>
          <w:color w:val="auto"/>
          <w:sz w:val="24"/>
          <w:szCs w:val="24"/>
        </w:rPr>
        <w:tab/>
      </w:r>
    </w:p>
    <w:p w14:paraId="747DB123" w14:textId="77777777" w:rsidR="002A7944" w:rsidRPr="000352BE" w:rsidRDefault="002A7944" w:rsidP="002A7944">
      <w:pPr>
        <w:spacing w:after="0" w:line="360" w:lineRule="auto"/>
        <w:rPr>
          <w:rFonts w:ascii="Calibri" w:hAnsi="Calibri" w:cs="Calibri"/>
          <w:color w:val="auto"/>
          <w:sz w:val="24"/>
          <w:szCs w:val="24"/>
        </w:rPr>
      </w:pPr>
    </w:p>
    <w:p w14:paraId="15019297" w14:textId="77777777" w:rsidR="002A7944" w:rsidRPr="000352BE" w:rsidRDefault="002A7944" w:rsidP="002A7944">
      <w:pPr>
        <w:spacing w:after="0" w:line="360" w:lineRule="auto"/>
        <w:rPr>
          <w:rFonts w:ascii="Calibri" w:hAnsi="Calibri" w:cs="Calibri"/>
          <w:color w:val="auto"/>
          <w:sz w:val="24"/>
          <w:szCs w:val="24"/>
        </w:rPr>
      </w:pPr>
    </w:p>
    <w:p w14:paraId="78615C88" w14:textId="77777777" w:rsidR="002A7944" w:rsidRPr="000352BE" w:rsidRDefault="002A7944" w:rsidP="002A7944">
      <w:pPr>
        <w:spacing w:after="0" w:line="360" w:lineRule="auto"/>
        <w:rPr>
          <w:rFonts w:ascii="Calibri" w:hAnsi="Calibri" w:cs="Calibri"/>
          <w:color w:val="auto"/>
        </w:rPr>
      </w:pPr>
    </w:p>
    <w:p w14:paraId="4A27B7A7" w14:textId="77777777" w:rsidR="002A7944" w:rsidRPr="000352BE" w:rsidRDefault="002A7944" w:rsidP="002A7944">
      <w:pPr>
        <w:spacing w:after="0" w:line="360" w:lineRule="auto"/>
        <w:jc w:val="center"/>
        <w:rPr>
          <w:rFonts w:ascii="Calibri" w:hAnsi="Calibri" w:cs="Calibri"/>
          <w:color w:val="auto"/>
          <w:sz w:val="20"/>
          <w:szCs w:val="20"/>
        </w:rPr>
      </w:pPr>
      <w:r w:rsidRPr="000352BE">
        <w:rPr>
          <w:rFonts w:ascii="Calibri" w:hAnsi="Calibri" w:cs="Calibri"/>
          <w:color w:val="auto"/>
          <w:sz w:val="20"/>
          <w:szCs w:val="20"/>
        </w:rPr>
        <w:t xml:space="preserve">Chart 8: School A MABC-2 Distribution </w:t>
      </w:r>
      <w:r w:rsidRPr="000352BE">
        <w:rPr>
          <w:rFonts w:ascii="Calibri" w:hAnsi="Calibri" w:cs="Calibri"/>
          <w:color w:val="auto"/>
          <w:sz w:val="20"/>
          <w:szCs w:val="20"/>
        </w:rPr>
        <w:tab/>
      </w:r>
      <w:r w:rsidRPr="000352BE">
        <w:rPr>
          <w:rFonts w:ascii="Calibri" w:hAnsi="Calibri" w:cs="Calibri"/>
          <w:color w:val="auto"/>
          <w:sz w:val="20"/>
          <w:szCs w:val="20"/>
        </w:rPr>
        <w:tab/>
      </w:r>
      <w:r w:rsidRPr="000352BE">
        <w:rPr>
          <w:rFonts w:ascii="Calibri" w:hAnsi="Calibri" w:cs="Calibri"/>
          <w:color w:val="auto"/>
          <w:sz w:val="20"/>
          <w:szCs w:val="20"/>
        </w:rPr>
        <w:tab/>
      </w:r>
      <w:r w:rsidRPr="000352BE">
        <w:rPr>
          <w:rFonts w:ascii="Calibri" w:hAnsi="Calibri" w:cs="Calibri"/>
          <w:color w:val="auto"/>
          <w:sz w:val="20"/>
          <w:szCs w:val="20"/>
        </w:rPr>
        <w:tab/>
        <w:t>Chart 9: School B MABC-2 Distribution</w:t>
      </w:r>
    </w:p>
    <w:p w14:paraId="70BD7162" w14:textId="77777777" w:rsidR="002A7944" w:rsidRPr="000352BE" w:rsidRDefault="002A7944" w:rsidP="002A7944">
      <w:pPr>
        <w:spacing w:after="0" w:line="360" w:lineRule="auto"/>
        <w:rPr>
          <w:rFonts w:ascii="Calibri" w:hAnsi="Calibri" w:cs="Calibri"/>
          <w:color w:val="auto"/>
          <w:sz w:val="24"/>
          <w:szCs w:val="24"/>
        </w:rPr>
      </w:pPr>
    </w:p>
    <w:p w14:paraId="2EB3B623" w14:textId="77777777" w:rsidR="002A7944" w:rsidRPr="000352BE" w:rsidRDefault="002A7944" w:rsidP="002A7944">
      <w:pPr>
        <w:spacing w:after="0" w:line="360" w:lineRule="auto"/>
        <w:jc w:val="both"/>
        <w:rPr>
          <w:rFonts w:ascii="Calibri" w:hAnsi="Calibri" w:cs="Calibri"/>
          <w:color w:val="auto"/>
          <w:sz w:val="22"/>
          <w:szCs w:val="22"/>
        </w:rPr>
      </w:pPr>
      <w:r w:rsidRPr="000352BE">
        <w:rPr>
          <w:rFonts w:ascii="Calibri" w:hAnsi="Calibri" w:cs="Calibri"/>
          <w:color w:val="auto"/>
          <w:sz w:val="22"/>
          <w:szCs w:val="22"/>
        </w:rPr>
        <w:t>School B demonstrated a more favourable distribution of pupil outcomes in comparison to School A. Specifically, 33.3% of pupils at School B were assessed within the green band, which represents a higher level of physical development, compared to only 23.53% at School A. Conversely, School B had a lower proportion of pupils falling into the red band at 36.11%, whereas School A had a significantly higher percentage at 50%.</w:t>
      </w:r>
    </w:p>
    <w:p w14:paraId="3F5F282B" w14:textId="77777777" w:rsidR="002A7944" w:rsidRPr="000352BE" w:rsidRDefault="002A7944" w:rsidP="002A7944">
      <w:pPr>
        <w:spacing w:after="0" w:line="360" w:lineRule="auto"/>
        <w:jc w:val="both"/>
        <w:rPr>
          <w:rFonts w:ascii="Calibri" w:hAnsi="Calibri" w:cs="Calibri"/>
          <w:color w:val="auto"/>
          <w:sz w:val="22"/>
          <w:szCs w:val="22"/>
        </w:rPr>
      </w:pPr>
    </w:p>
    <w:p w14:paraId="4094D017" w14:textId="77777777" w:rsidR="002A7944" w:rsidRPr="000352BE" w:rsidRDefault="002A7944" w:rsidP="002A7944">
      <w:pPr>
        <w:spacing w:after="0" w:line="360" w:lineRule="auto"/>
        <w:jc w:val="both"/>
        <w:rPr>
          <w:rFonts w:ascii="Calibri" w:hAnsi="Calibri" w:cs="Calibri"/>
          <w:color w:val="auto"/>
          <w:sz w:val="22"/>
          <w:szCs w:val="22"/>
        </w:rPr>
      </w:pPr>
      <w:r w:rsidRPr="000352BE">
        <w:rPr>
          <w:rFonts w:ascii="Calibri" w:hAnsi="Calibri" w:cs="Calibri"/>
          <w:color w:val="auto"/>
          <w:sz w:val="22"/>
          <w:szCs w:val="22"/>
        </w:rPr>
        <w:lastRenderedPageBreak/>
        <w:t>Manual Dexterity crosstabulation results, as shown in Table 6, highlight that the majority of children (75.7%) falls below the 5th percentile and suggesting significant developmental delay. 14.3% children were placed in the between the 6th and 15th percentiles and indicating cause for concern. While only 10.0% achieved scores above the 16th percentile and suggesting age-appropriate or stronger manual dexterity skills.</w:t>
      </w:r>
    </w:p>
    <w:p w14:paraId="27FFCD5C" w14:textId="77777777" w:rsidR="002A7944" w:rsidRPr="000352BE" w:rsidRDefault="002A7944" w:rsidP="002A7944">
      <w:pPr>
        <w:spacing w:after="0" w:line="360" w:lineRule="auto"/>
        <w:jc w:val="both"/>
        <w:rPr>
          <w:rFonts w:ascii="Calibri" w:hAnsi="Calibri" w:cs="Calibri"/>
          <w:color w:val="auto"/>
          <w:sz w:val="22"/>
          <w:szCs w:val="22"/>
        </w:rPr>
      </w:pPr>
      <w:r w:rsidRPr="000352BE">
        <w:rPr>
          <w:rFonts w:ascii="Calibri" w:hAnsi="Calibri" w:cs="Calibri"/>
          <w:color w:val="auto"/>
          <w:sz w:val="22"/>
          <w:szCs w:val="22"/>
        </w:rPr>
        <w:t>The pattern stays the same when looking at the gender split for Manual Dexterity (Table 6). Both boys and girls showed similar results, with most children falling below the 5th percentile. This means that difficulties with manual dexterity were common across the whole group, not just in one gender and results were consistent across school settings. Only a small number of boys and girls scored in the Amber or Green bands, showing that very few were performing at or above the expected level.</w:t>
      </w:r>
    </w:p>
    <w:p w14:paraId="1B761572" w14:textId="77777777" w:rsidR="002A7944" w:rsidRPr="000352BE" w:rsidRDefault="002A7944" w:rsidP="002A7944">
      <w:pPr>
        <w:spacing w:after="0" w:line="360" w:lineRule="auto"/>
        <w:jc w:val="both"/>
        <w:rPr>
          <w:rFonts w:ascii="Calibri" w:hAnsi="Calibri" w:cs="Calibri"/>
          <w:color w:val="auto"/>
          <w:sz w:val="22"/>
          <w:szCs w:val="22"/>
        </w:rPr>
      </w:pPr>
    </w:p>
    <w:tbl>
      <w:tblPr>
        <w:tblW w:w="10914" w:type="dxa"/>
        <w:tblInd w:w="10" w:type="dxa"/>
        <w:tbl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insideH w:val="single" w:sz="4" w:space="0" w:color="D9D9D9" w:themeColor="background1" w:themeShade="D9"/>
          <w:insideV w:val="single" w:sz="4" w:space="0" w:color="D9D9D9" w:themeColor="background1" w:themeShade="D9"/>
        </w:tblBorders>
        <w:tblLayout w:type="fixed"/>
        <w:tblCellMar>
          <w:left w:w="10" w:type="dxa"/>
          <w:right w:w="10" w:type="dxa"/>
        </w:tblCellMar>
        <w:tblLook w:val="0000" w:firstRow="0" w:lastRow="0" w:firstColumn="0" w:lastColumn="0" w:noHBand="0" w:noVBand="0"/>
      </w:tblPr>
      <w:tblGrid>
        <w:gridCol w:w="708"/>
        <w:gridCol w:w="2494"/>
        <w:gridCol w:w="1928"/>
        <w:gridCol w:w="1928"/>
        <w:gridCol w:w="1928"/>
        <w:gridCol w:w="1928"/>
      </w:tblGrid>
      <w:tr w:rsidR="002A7944" w:rsidRPr="000352BE" w14:paraId="4A63906E" w14:textId="77777777" w:rsidTr="00006714">
        <w:trPr>
          <w:trHeight w:val="454"/>
        </w:trPr>
        <w:tc>
          <w:tcPr>
            <w:tcW w:w="10914" w:type="dxa"/>
            <w:gridSpan w:val="6"/>
            <w:vAlign w:val="center"/>
          </w:tcPr>
          <w:p w14:paraId="1C2173C8" w14:textId="77777777" w:rsidR="002A7944" w:rsidRPr="000352BE" w:rsidRDefault="002A7944" w:rsidP="00006714">
            <w:pPr>
              <w:spacing w:after="0" w:line="240" w:lineRule="auto"/>
              <w:jc w:val="center"/>
              <w:rPr>
                <w:rFonts w:ascii="Calibri" w:eastAsia="Arial" w:hAnsi="Calibri" w:cs="Calibri"/>
                <w:b/>
                <w:bCs/>
                <w:caps/>
                <w:color w:val="auto"/>
                <w:sz w:val="20"/>
                <w:szCs w:val="20"/>
              </w:rPr>
            </w:pPr>
            <w:r w:rsidRPr="000352BE">
              <w:rPr>
                <w:rFonts w:ascii="Calibri" w:eastAsia="Arial" w:hAnsi="Calibri" w:cs="Calibri"/>
                <w:b/>
                <w:bCs/>
                <w:caps/>
                <w:color w:val="auto"/>
                <w:sz w:val="20"/>
                <w:szCs w:val="20"/>
              </w:rPr>
              <w:t>mabc-2 subtest for MANUAL DEXTERITY BY GENDER</w:t>
            </w:r>
          </w:p>
        </w:tc>
      </w:tr>
      <w:tr w:rsidR="002A7944" w:rsidRPr="000352BE" w14:paraId="227079F7" w14:textId="77777777" w:rsidTr="00006714">
        <w:trPr>
          <w:trHeight w:val="454"/>
        </w:trPr>
        <w:tc>
          <w:tcPr>
            <w:tcW w:w="3202" w:type="dxa"/>
            <w:gridSpan w:val="2"/>
            <w:vAlign w:val="center"/>
          </w:tcPr>
          <w:p w14:paraId="68A89E74" w14:textId="77777777" w:rsidR="002A7944" w:rsidRPr="000352BE" w:rsidRDefault="002A7944" w:rsidP="00006714">
            <w:pPr>
              <w:spacing w:after="0" w:line="240" w:lineRule="auto"/>
              <w:jc w:val="center"/>
              <w:rPr>
                <w:rFonts w:ascii="Calibri" w:hAnsi="Calibri" w:cs="Calibri"/>
                <w:color w:val="auto"/>
                <w:sz w:val="20"/>
                <w:szCs w:val="20"/>
              </w:rPr>
            </w:pPr>
          </w:p>
        </w:tc>
        <w:tc>
          <w:tcPr>
            <w:tcW w:w="1928" w:type="dxa"/>
            <w:vAlign w:val="center"/>
          </w:tcPr>
          <w:p w14:paraId="27D3C7D2" w14:textId="77777777" w:rsidR="002A7944" w:rsidRPr="000352BE" w:rsidRDefault="002A7944" w:rsidP="00006714">
            <w:pPr>
              <w:spacing w:after="0" w:line="240" w:lineRule="auto"/>
              <w:ind w:left="30" w:right="40"/>
              <w:jc w:val="center"/>
              <w:rPr>
                <w:rFonts w:ascii="Calibri" w:hAnsi="Calibri" w:cs="Calibri"/>
                <w:b/>
                <w:bCs/>
                <w:caps/>
                <w:color w:val="auto"/>
                <w:sz w:val="20"/>
                <w:szCs w:val="20"/>
              </w:rPr>
            </w:pPr>
            <w:r w:rsidRPr="000352BE">
              <w:rPr>
                <w:rFonts w:ascii="Calibri" w:eastAsia="Arial" w:hAnsi="Calibri" w:cs="Calibri"/>
                <w:b/>
                <w:bCs/>
                <w:caps/>
                <w:color w:val="auto"/>
                <w:sz w:val="20"/>
                <w:szCs w:val="20"/>
              </w:rPr>
              <w:t>RED &lt;5TH PERCENTILE</w:t>
            </w:r>
          </w:p>
        </w:tc>
        <w:tc>
          <w:tcPr>
            <w:tcW w:w="1928" w:type="dxa"/>
            <w:vAlign w:val="center"/>
          </w:tcPr>
          <w:p w14:paraId="02A58A8D" w14:textId="77777777" w:rsidR="002A7944" w:rsidRPr="000352BE" w:rsidRDefault="002A7944" w:rsidP="00006714">
            <w:pPr>
              <w:spacing w:after="0" w:line="240" w:lineRule="auto"/>
              <w:ind w:left="30" w:right="40"/>
              <w:jc w:val="center"/>
              <w:rPr>
                <w:rFonts w:ascii="Calibri" w:hAnsi="Calibri" w:cs="Calibri"/>
                <w:b/>
                <w:bCs/>
                <w:caps/>
                <w:color w:val="auto"/>
                <w:sz w:val="20"/>
                <w:szCs w:val="20"/>
              </w:rPr>
            </w:pPr>
            <w:r w:rsidRPr="000352BE">
              <w:rPr>
                <w:rFonts w:ascii="Calibri" w:eastAsia="Arial" w:hAnsi="Calibri" w:cs="Calibri"/>
                <w:b/>
                <w:bCs/>
                <w:caps/>
                <w:color w:val="auto"/>
                <w:sz w:val="20"/>
                <w:szCs w:val="20"/>
              </w:rPr>
              <w:t>AMBER 6-15TH PERCENTILE</w:t>
            </w:r>
          </w:p>
        </w:tc>
        <w:tc>
          <w:tcPr>
            <w:tcW w:w="1928" w:type="dxa"/>
            <w:vAlign w:val="center"/>
          </w:tcPr>
          <w:p w14:paraId="23C0ECBC" w14:textId="77777777" w:rsidR="002A7944" w:rsidRPr="000352BE" w:rsidRDefault="002A7944" w:rsidP="00006714">
            <w:pPr>
              <w:spacing w:after="0" w:line="240" w:lineRule="auto"/>
              <w:ind w:left="30" w:right="40"/>
              <w:jc w:val="center"/>
              <w:rPr>
                <w:rFonts w:ascii="Calibri" w:hAnsi="Calibri" w:cs="Calibri"/>
                <w:b/>
                <w:bCs/>
                <w:caps/>
                <w:color w:val="auto"/>
                <w:sz w:val="20"/>
                <w:szCs w:val="20"/>
              </w:rPr>
            </w:pPr>
            <w:r w:rsidRPr="000352BE">
              <w:rPr>
                <w:rFonts w:ascii="Calibri" w:eastAsia="Arial" w:hAnsi="Calibri" w:cs="Calibri"/>
                <w:b/>
                <w:bCs/>
                <w:caps/>
                <w:color w:val="auto"/>
                <w:sz w:val="20"/>
                <w:szCs w:val="20"/>
              </w:rPr>
              <w:t>GREEN &gt;16TH PERCENTILE</w:t>
            </w:r>
          </w:p>
        </w:tc>
        <w:tc>
          <w:tcPr>
            <w:tcW w:w="1928" w:type="dxa"/>
            <w:vAlign w:val="center"/>
          </w:tcPr>
          <w:p w14:paraId="3B46B3E7" w14:textId="77777777" w:rsidR="002A7944" w:rsidRPr="000352BE" w:rsidRDefault="002A7944" w:rsidP="00006714">
            <w:pPr>
              <w:spacing w:after="0" w:line="240" w:lineRule="auto"/>
              <w:jc w:val="center"/>
              <w:rPr>
                <w:rFonts w:ascii="Calibri" w:hAnsi="Calibri" w:cs="Calibri"/>
                <w:b/>
                <w:bCs/>
                <w:caps/>
                <w:color w:val="auto"/>
                <w:sz w:val="20"/>
                <w:szCs w:val="20"/>
              </w:rPr>
            </w:pPr>
            <w:r w:rsidRPr="000352BE">
              <w:rPr>
                <w:rFonts w:ascii="Calibri" w:eastAsia="Arial" w:hAnsi="Calibri" w:cs="Calibri"/>
                <w:b/>
                <w:bCs/>
                <w:caps/>
                <w:color w:val="auto"/>
                <w:sz w:val="20"/>
                <w:szCs w:val="20"/>
              </w:rPr>
              <w:t>Total</w:t>
            </w:r>
          </w:p>
        </w:tc>
      </w:tr>
      <w:tr w:rsidR="002A7944" w:rsidRPr="000352BE" w14:paraId="135D363F" w14:textId="77777777" w:rsidTr="00006714">
        <w:trPr>
          <w:trHeight w:val="454"/>
        </w:trPr>
        <w:tc>
          <w:tcPr>
            <w:tcW w:w="708" w:type="dxa"/>
            <w:vMerge w:val="restart"/>
            <w:vAlign w:val="center"/>
          </w:tcPr>
          <w:p w14:paraId="5003B26D" w14:textId="77777777" w:rsidR="002A7944" w:rsidRPr="000352BE" w:rsidRDefault="002A7944" w:rsidP="00006714">
            <w:pPr>
              <w:spacing w:after="0" w:line="240" w:lineRule="auto"/>
              <w:ind w:left="30" w:right="40"/>
              <w:jc w:val="center"/>
              <w:rPr>
                <w:rFonts w:ascii="Calibri" w:hAnsi="Calibri" w:cs="Calibri"/>
                <w:b/>
                <w:bCs/>
                <w:color w:val="auto"/>
                <w:sz w:val="20"/>
                <w:szCs w:val="20"/>
              </w:rPr>
            </w:pPr>
            <w:r w:rsidRPr="000352BE">
              <w:rPr>
                <w:rFonts w:ascii="Calibri" w:eastAsia="Arial" w:hAnsi="Calibri" w:cs="Calibri"/>
                <w:b/>
                <w:bCs/>
                <w:color w:val="auto"/>
                <w:sz w:val="20"/>
                <w:szCs w:val="20"/>
              </w:rPr>
              <w:t>M</w:t>
            </w:r>
          </w:p>
        </w:tc>
        <w:tc>
          <w:tcPr>
            <w:tcW w:w="2494" w:type="dxa"/>
            <w:vAlign w:val="center"/>
          </w:tcPr>
          <w:p w14:paraId="38E0D431"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Count</w:t>
            </w:r>
          </w:p>
        </w:tc>
        <w:tc>
          <w:tcPr>
            <w:tcW w:w="1928" w:type="dxa"/>
            <w:vAlign w:val="center"/>
          </w:tcPr>
          <w:p w14:paraId="2439386A"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28</w:t>
            </w:r>
          </w:p>
        </w:tc>
        <w:tc>
          <w:tcPr>
            <w:tcW w:w="1928" w:type="dxa"/>
            <w:vAlign w:val="center"/>
          </w:tcPr>
          <w:p w14:paraId="42360177"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5</w:t>
            </w:r>
          </w:p>
        </w:tc>
        <w:tc>
          <w:tcPr>
            <w:tcW w:w="1928" w:type="dxa"/>
            <w:vAlign w:val="center"/>
          </w:tcPr>
          <w:p w14:paraId="2CE30C98"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1</w:t>
            </w:r>
          </w:p>
        </w:tc>
        <w:tc>
          <w:tcPr>
            <w:tcW w:w="1928" w:type="dxa"/>
            <w:vAlign w:val="center"/>
          </w:tcPr>
          <w:p w14:paraId="1D66FF4F"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34</w:t>
            </w:r>
          </w:p>
        </w:tc>
      </w:tr>
      <w:tr w:rsidR="002A7944" w:rsidRPr="000352BE" w14:paraId="04B0469D" w14:textId="77777777" w:rsidTr="00006714">
        <w:trPr>
          <w:trHeight w:val="454"/>
        </w:trPr>
        <w:tc>
          <w:tcPr>
            <w:tcW w:w="708" w:type="dxa"/>
            <w:vMerge/>
            <w:vAlign w:val="center"/>
          </w:tcPr>
          <w:p w14:paraId="79F6B95E" w14:textId="77777777" w:rsidR="002A7944" w:rsidRPr="000352BE" w:rsidRDefault="002A7944" w:rsidP="00006714">
            <w:pPr>
              <w:spacing w:after="0" w:line="240" w:lineRule="auto"/>
              <w:jc w:val="center"/>
              <w:rPr>
                <w:rFonts w:ascii="Calibri" w:hAnsi="Calibri" w:cs="Calibri"/>
                <w:b/>
                <w:bCs/>
                <w:color w:val="auto"/>
                <w:sz w:val="20"/>
                <w:szCs w:val="20"/>
              </w:rPr>
            </w:pPr>
          </w:p>
        </w:tc>
        <w:tc>
          <w:tcPr>
            <w:tcW w:w="2494" w:type="dxa"/>
            <w:vAlign w:val="center"/>
          </w:tcPr>
          <w:p w14:paraId="09324AFB"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 within GENDER</w:t>
            </w:r>
          </w:p>
        </w:tc>
        <w:tc>
          <w:tcPr>
            <w:tcW w:w="1928" w:type="dxa"/>
            <w:vAlign w:val="center"/>
          </w:tcPr>
          <w:p w14:paraId="69732E29"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82.35%</w:t>
            </w:r>
          </w:p>
        </w:tc>
        <w:tc>
          <w:tcPr>
            <w:tcW w:w="1928" w:type="dxa"/>
            <w:vAlign w:val="center"/>
          </w:tcPr>
          <w:p w14:paraId="02BED6D4"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14.70%</w:t>
            </w:r>
          </w:p>
        </w:tc>
        <w:tc>
          <w:tcPr>
            <w:tcW w:w="1928" w:type="dxa"/>
            <w:vAlign w:val="center"/>
          </w:tcPr>
          <w:p w14:paraId="6E44471F"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2.94%</w:t>
            </w:r>
          </w:p>
        </w:tc>
        <w:tc>
          <w:tcPr>
            <w:tcW w:w="1928" w:type="dxa"/>
            <w:vAlign w:val="center"/>
          </w:tcPr>
          <w:p w14:paraId="4C6974BD"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100.0%</w:t>
            </w:r>
          </w:p>
        </w:tc>
      </w:tr>
      <w:tr w:rsidR="002A7944" w:rsidRPr="000352BE" w14:paraId="37C9F56D" w14:textId="77777777" w:rsidTr="00006714">
        <w:trPr>
          <w:trHeight w:val="454"/>
        </w:trPr>
        <w:tc>
          <w:tcPr>
            <w:tcW w:w="708" w:type="dxa"/>
            <w:vMerge/>
            <w:vAlign w:val="center"/>
          </w:tcPr>
          <w:p w14:paraId="7991A13D" w14:textId="77777777" w:rsidR="002A7944" w:rsidRPr="000352BE" w:rsidRDefault="002A7944" w:rsidP="00006714">
            <w:pPr>
              <w:spacing w:after="0" w:line="240" w:lineRule="auto"/>
              <w:jc w:val="center"/>
              <w:rPr>
                <w:rFonts w:ascii="Calibri" w:hAnsi="Calibri" w:cs="Calibri"/>
                <w:b/>
                <w:bCs/>
                <w:color w:val="auto"/>
                <w:sz w:val="20"/>
                <w:szCs w:val="20"/>
              </w:rPr>
            </w:pPr>
          </w:p>
        </w:tc>
        <w:tc>
          <w:tcPr>
            <w:tcW w:w="2494" w:type="dxa"/>
            <w:vAlign w:val="center"/>
          </w:tcPr>
          <w:p w14:paraId="62E3A7CE"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 within MANUAL DEXTERITY</w:t>
            </w:r>
          </w:p>
        </w:tc>
        <w:tc>
          <w:tcPr>
            <w:tcW w:w="1928" w:type="dxa"/>
            <w:vAlign w:val="center"/>
          </w:tcPr>
          <w:p w14:paraId="52A97369"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52.8%</w:t>
            </w:r>
          </w:p>
        </w:tc>
        <w:tc>
          <w:tcPr>
            <w:tcW w:w="1928" w:type="dxa"/>
            <w:vAlign w:val="center"/>
          </w:tcPr>
          <w:p w14:paraId="49BD5A5C"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50.0%</w:t>
            </w:r>
          </w:p>
        </w:tc>
        <w:tc>
          <w:tcPr>
            <w:tcW w:w="1928" w:type="dxa"/>
            <w:vAlign w:val="center"/>
          </w:tcPr>
          <w:p w14:paraId="004065C0"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14.3%</w:t>
            </w:r>
          </w:p>
        </w:tc>
        <w:tc>
          <w:tcPr>
            <w:tcW w:w="1928" w:type="dxa"/>
            <w:vAlign w:val="center"/>
          </w:tcPr>
          <w:p w14:paraId="418C208F"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48.6%</w:t>
            </w:r>
          </w:p>
        </w:tc>
      </w:tr>
      <w:tr w:rsidR="002A7944" w:rsidRPr="000352BE" w14:paraId="2E55350B" w14:textId="77777777" w:rsidTr="00006714">
        <w:trPr>
          <w:trHeight w:val="454"/>
        </w:trPr>
        <w:tc>
          <w:tcPr>
            <w:tcW w:w="708" w:type="dxa"/>
            <w:vMerge w:val="restart"/>
            <w:vAlign w:val="center"/>
          </w:tcPr>
          <w:p w14:paraId="59D938E7" w14:textId="77777777" w:rsidR="002A7944" w:rsidRPr="000352BE" w:rsidRDefault="002A7944" w:rsidP="00006714">
            <w:pPr>
              <w:spacing w:after="0" w:line="240" w:lineRule="auto"/>
              <w:ind w:left="30" w:right="40"/>
              <w:jc w:val="center"/>
              <w:rPr>
                <w:rFonts w:ascii="Calibri" w:hAnsi="Calibri" w:cs="Calibri"/>
                <w:b/>
                <w:bCs/>
                <w:color w:val="auto"/>
                <w:sz w:val="20"/>
                <w:szCs w:val="20"/>
              </w:rPr>
            </w:pPr>
            <w:r w:rsidRPr="000352BE">
              <w:rPr>
                <w:rFonts w:ascii="Calibri" w:eastAsia="Arial" w:hAnsi="Calibri" w:cs="Calibri"/>
                <w:b/>
                <w:bCs/>
                <w:color w:val="auto"/>
                <w:sz w:val="20"/>
                <w:szCs w:val="20"/>
              </w:rPr>
              <w:t>F</w:t>
            </w:r>
          </w:p>
        </w:tc>
        <w:tc>
          <w:tcPr>
            <w:tcW w:w="2494" w:type="dxa"/>
            <w:vAlign w:val="center"/>
          </w:tcPr>
          <w:p w14:paraId="7D68DBBE"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Count</w:t>
            </w:r>
          </w:p>
        </w:tc>
        <w:tc>
          <w:tcPr>
            <w:tcW w:w="1928" w:type="dxa"/>
            <w:vAlign w:val="center"/>
          </w:tcPr>
          <w:p w14:paraId="3AC30275"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25</w:t>
            </w:r>
          </w:p>
        </w:tc>
        <w:tc>
          <w:tcPr>
            <w:tcW w:w="1928" w:type="dxa"/>
            <w:vAlign w:val="center"/>
          </w:tcPr>
          <w:p w14:paraId="664214D9"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5</w:t>
            </w:r>
          </w:p>
        </w:tc>
        <w:tc>
          <w:tcPr>
            <w:tcW w:w="1928" w:type="dxa"/>
            <w:vAlign w:val="center"/>
          </w:tcPr>
          <w:p w14:paraId="1026BA94"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6</w:t>
            </w:r>
          </w:p>
        </w:tc>
        <w:tc>
          <w:tcPr>
            <w:tcW w:w="1928" w:type="dxa"/>
            <w:vAlign w:val="center"/>
          </w:tcPr>
          <w:p w14:paraId="38D068E7"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36</w:t>
            </w:r>
          </w:p>
        </w:tc>
      </w:tr>
      <w:tr w:rsidR="002A7944" w:rsidRPr="000352BE" w14:paraId="7AD9AE50" w14:textId="77777777" w:rsidTr="00006714">
        <w:trPr>
          <w:trHeight w:val="454"/>
        </w:trPr>
        <w:tc>
          <w:tcPr>
            <w:tcW w:w="708" w:type="dxa"/>
            <w:vMerge/>
            <w:vAlign w:val="center"/>
          </w:tcPr>
          <w:p w14:paraId="15E0B9A5" w14:textId="77777777" w:rsidR="002A7944" w:rsidRPr="000352BE" w:rsidRDefault="002A7944" w:rsidP="00006714">
            <w:pPr>
              <w:spacing w:after="0" w:line="240" w:lineRule="auto"/>
              <w:jc w:val="center"/>
              <w:rPr>
                <w:rFonts w:ascii="Calibri" w:hAnsi="Calibri" w:cs="Calibri"/>
                <w:b/>
                <w:bCs/>
                <w:color w:val="auto"/>
                <w:sz w:val="20"/>
                <w:szCs w:val="20"/>
              </w:rPr>
            </w:pPr>
          </w:p>
        </w:tc>
        <w:tc>
          <w:tcPr>
            <w:tcW w:w="2494" w:type="dxa"/>
            <w:vAlign w:val="center"/>
          </w:tcPr>
          <w:p w14:paraId="693EAFD4"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 within GENDER</w:t>
            </w:r>
          </w:p>
        </w:tc>
        <w:tc>
          <w:tcPr>
            <w:tcW w:w="1928" w:type="dxa"/>
            <w:vAlign w:val="center"/>
          </w:tcPr>
          <w:p w14:paraId="24EC3D65"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69.44%</w:t>
            </w:r>
          </w:p>
        </w:tc>
        <w:tc>
          <w:tcPr>
            <w:tcW w:w="1928" w:type="dxa"/>
            <w:vAlign w:val="center"/>
          </w:tcPr>
          <w:p w14:paraId="15FC1C51"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13.89%</w:t>
            </w:r>
          </w:p>
        </w:tc>
        <w:tc>
          <w:tcPr>
            <w:tcW w:w="1928" w:type="dxa"/>
            <w:vAlign w:val="center"/>
          </w:tcPr>
          <w:p w14:paraId="03D713FD"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16.67%</w:t>
            </w:r>
          </w:p>
        </w:tc>
        <w:tc>
          <w:tcPr>
            <w:tcW w:w="1928" w:type="dxa"/>
            <w:vAlign w:val="center"/>
          </w:tcPr>
          <w:p w14:paraId="6D268C1A"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100.0%</w:t>
            </w:r>
          </w:p>
        </w:tc>
      </w:tr>
      <w:tr w:rsidR="002A7944" w:rsidRPr="000352BE" w14:paraId="273E06ED" w14:textId="77777777" w:rsidTr="00006714">
        <w:trPr>
          <w:trHeight w:val="454"/>
        </w:trPr>
        <w:tc>
          <w:tcPr>
            <w:tcW w:w="708" w:type="dxa"/>
            <w:vMerge/>
            <w:vAlign w:val="center"/>
          </w:tcPr>
          <w:p w14:paraId="0C01306C" w14:textId="77777777" w:rsidR="002A7944" w:rsidRPr="000352BE" w:rsidRDefault="002A7944" w:rsidP="00006714">
            <w:pPr>
              <w:spacing w:after="0" w:line="240" w:lineRule="auto"/>
              <w:jc w:val="center"/>
              <w:rPr>
                <w:rFonts w:ascii="Calibri" w:hAnsi="Calibri" w:cs="Calibri"/>
                <w:b/>
                <w:bCs/>
                <w:color w:val="auto"/>
                <w:sz w:val="20"/>
                <w:szCs w:val="20"/>
              </w:rPr>
            </w:pPr>
          </w:p>
        </w:tc>
        <w:tc>
          <w:tcPr>
            <w:tcW w:w="2494" w:type="dxa"/>
            <w:vAlign w:val="center"/>
          </w:tcPr>
          <w:p w14:paraId="24AB4E5E"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 within MANUAL DEXTERITY</w:t>
            </w:r>
          </w:p>
        </w:tc>
        <w:tc>
          <w:tcPr>
            <w:tcW w:w="1928" w:type="dxa"/>
            <w:vAlign w:val="center"/>
          </w:tcPr>
          <w:p w14:paraId="5AEA294A"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47.2%</w:t>
            </w:r>
          </w:p>
        </w:tc>
        <w:tc>
          <w:tcPr>
            <w:tcW w:w="1928" w:type="dxa"/>
            <w:vAlign w:val="center"/>
          </w:tcPr>
          <w:p w14:paraId="643EDE1D"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50.0%</w:t>
            </w:r>
          </w:p>
        </w:tc>
        <w:tc>
          <w:tcPr>
            <w:tcW w:w="1928" w:type="dxa"/>
            <w:vAlign w:val="center"/>
          </w:tcPr>
          <w:p w14:paraId="5ADBDD65"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85.7%</w:t>
            </w:r>
          </w:p>
        </w:tc>
        <w:tc>
          <w:tcPr>
            <w:tcW w:w="1928" w:type="dxa"/>
            <w:vAlign w:val="center"/>
          </w:tcPr>
          <w:p w14:paraId="3FC943E2"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51.4%</w:t>
            </w:r>
          </w:p>
        </w:tc>
      </w:tr>
      <w:tr w:rsidR="002A7944" w:rsidRPr="000352BE" w14:paraId="6A967F67" w14:textId="77777777" w:rsidTr="00006714">
        <w:trPr>
          <w:trHeight w:val="454"/>
        </w:trPr>
        <w:tc>
          <w:tcPr>
            <w:tcW w:w="708" w:type="dxa"/>
            <w:vMerge w:val="restart"/>
            <w:vAlign w:val="center"/>
          </w:tcPr>
          <w:p w14:paraId="119C7310" w14:textId="77777777" w:rsidR="002A7944" w:rsidRPr="000352BE" w:rsidRDefault="002A7944" w:rsidP="00006714">
            <w:pPr>
              <w:spacing w:after="0" w:line="240" w:lineRule="auto"/>
              <w:ind w:left="30" w:right="40"/>
              <w:jc w:val="center"/>
              <w:rPr>
                <w:rFonts w:ascii="Calibri" w:hAnsi="Calibri" w:cs="Calibri"/>
                <w:b/>
                <w:bCs/>
                <w:caps/>
                <w:color w:val="auto"/>
                <w:sz w:val="20"/>
                <w:szCs w:val="20"/>
              </w:rPr>
            </w:pPr>
            <w:r w:rsidRPr="000352BE">
              <w:rPr>
                <w:rFonts w:ascii="Calibri" w:eastAsia="Arial" w:hAnsi="Calibri" w:cs="Calibri"/>
                <w:b/>
                <w:bCs/>
                <w:caps/>
                <w:color w:val="auto"/>
                <w:sz w:val="20"/>
                <w:szCs w:val="20"/>
              </w:rPr>
              <w:t>Total</w:t>
            </w:r>
          </w:p>
        </w:tc>
        <w:tc>
          <w:tcPr>
            <w:tcW w:w="2494" w:type="dxa"/>
            <w:vAlign w:val="center"/>
          </w:tcPr>
          <w:p w14:paraId="39F6F2CC"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Count</w:t>
            </w:r>
          </w:p>
        </w:tc>
        <w:tc>
          <w:tcPr>
            <w:tcW w:w="1928" w:type="dxa"/>
            <w:vAlign w:val="center"/>
          </w:tcPr>
          <w:p w14:paraId="51CD489C"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53</w:t>
            </w:r>
          </w:p>
        </w:tc>
        <w:tc>
          <w:tcPr>
            <w:tcW w:w="1928" w:type="dxa"/>
            <w:vAlign w:val="center"/>
          </w:tcPr>
          <w:p w14:paraId="4B6773F8"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10</w:t>
            </w:r>
          </w:p>
        </w:tc>
        <w:tc>
          <w:tcPr>
            <w:tcW w:w="1928" w:type="dxa"/>
            <w:vAlign w:val="center"/>
          </w:tcPr>
          <w:p w14:paraId="5AD8CF21"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7</w:t>
            </w:r>
          </w:p>
        </w:tc>
        <w:tc>
          <w:tcPr>
            <w:tcW w:w="1928" w:type="dxa"/>
            <w:vAlign w:val="center"/>
          </w:tcPr>
          <w:p w14:paraId="4A8EFD41"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70</w:t>
            </w:r>
          </w:p>
        </w:tc>
      </w:tr>
      <w:tr w:rsidR="002A7944" w:rsidRPr="000352BE" w14:paraId="3D110E00" w14:textId="77777777" w:rsidTr="00006714">
        <w:trPr>
          <w:trHeight w:val="454"/>
        </w:trPr>
        <w:tc>
          <w:tcPr>
            <w:tcW w:w="708" w:type="dxa"/>
            <w:vMerge/>
            <w:vAlign w:val="center"/>
          </w:tcPr>
          <w:p w14:paraId="2AA275A0" w14:textId="77777777" w:rsidR="002A7944" w:rsidRPr="000352BE" w:rsidRDefault="002A7944" w:rsidP="00006714">
            <w:pPr>
              <w:spacing w:after="0" w:line="240" w:lineRule="auto"/>
              <w:jc w:val="center"/>
              <w:rPr>
                <w:rFonts w:ascii="Calibri" w:hAnsi="Calibri" w:cs="Calibri"/>
                <w:color w:val="auto"/>
                <w:sz w:val="20"/>
                <w:szCs w:val="20"/>
              </w:rPr>
            </w:pPr>
          </w:p>
        </w:tc>
        <w:tc>
          <w:tcPr>
            <w:tcW w:w="2494" w:type="dxa"/>
            <w:vAlign w:val="center"/>
          </w:tcPr>
          <w:p w14:paraId="3587417C"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 within GENDER</w:t>
            </w:r>
          </w:p>
        </w:tc>
        <w:tc>
          <w:tcPr>
            <w:tcW w:w="1928" w:type="dxa"/>
            <w:vAlign w:val="center"/>
          </w:tcPr>
          <w:p w14:paraId="20E7FB07"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75.7%</w:t>
            </w:r>
          </w:p>
        </w:tc>
        <w:tc>
          <w:tcPr>
            <w:tcW w:w="1928" w:type="dxa"/>
            <w:vAlign w:val="center"/>
          </w:tcPr>
          <w:p w14:paraId="7E96123B"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14.3%</w:t>
            </w:r>
          </w:p>
        </w:tc>
        <w:tc>
          <w:tcPr>
            <w:tcW w:w="1928" w:type="dxa"/>
            <w:vAlign w:val="center"/>
          </w:tcPr>
          <w:p w14:paraId="5E4667B4"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10.0%</w:t>
            </w:r>
          </w:p>
        </w:tc>
        <w:tc>
          <w:tcPr>
            <w:tcW w:w="1928" w:type="dxa"/>
            <w:vAlign w:val="center"/>
          </w:tcPr>
          <w:p w14:paraId="4E055169"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100.0%</w:t>
            </w:r>
          </w:p>
        </w:tc>
      </w:tr>
      <w:tr w:rsidR="002A7944" w:rsidRPr="000352BE" w14:paraId="6CCE4FB4" w14:textId="77777777" w:rsidTr="00006714">
        <w:trPr>
          <w:trHeight w:val="454"/>
        </w:trPr>
        <w:tc>
          <w:tcPr>
            <w:tcW w:w="708" w:type="dxa"/>
            <w:vMerge/>
            <w:vAlign w:val="center"/>
          </w:tcPr>
          <w:p w14:paraId="5252DC35" w14:textId="77777777" w:rsidR="002A7944" w:rsidRPr="000352BE" w:rsidRDefault="002A7944" w:rsidP="00006714">
            <w:pPr>
              <w:spacing w:after="0" w:line="240" w:lineRule="auto"/>
              <w:jc w:val="center"/>
              <w:rPr>
                <w:rFonts w:ascii="Calibri" w:hAnsi="Calibri" w:cs="Calibri"/>
                <w:color w:val="auto"/>
                <w:sz w:val="20"/>
                <w:szCs w:val="20"/>
              </w:rPr>
            </w:pPr>
          </w:p>
        </w:tc>
        <w:tc>
          <w:tcPr>
            <w:tcW w:w="2494" w:type="dxa"/>
            <w:vAlign w:val="center"/>
          </w:tcPr>
          <w:p w14:paraId="4FD6BEA9"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 within MANUAL DEXTERITY</w:t>
            </w:r>
          </w:p>
        </w:tc>
        <w:tc>
          <w:tcPr>
            <w:tcW w:w="1928" w:type="dxa"/>
            <w:vAlign w:val="center"/>
          </w:tcPr>
          <w:p w14:paraId="7C5D3853"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100.0%</w:t>
            </w:r>
          </w:p>
        </w:tc>
        <w:tc>
          <w:tcPr>
            <w:tcW w:w="1928" w:type="dxa"/>
            <w:vAlign w:val="center"/>
          </w:tcPr>
          <w:p w14:paraId="1F46CDAD"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100.0%</w:t>
            </w:r>
          </w:p>
        </w:tc>
        <w:tc>
          <w:tcPr>
            <w:tcW w:w="1928" w:type="dxa"/>
            <w:vAlign w:val="center"/>
          </w:tcPr>
          <w:p w14:paraId="7A4D33B2"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100.0%</w:t>
            </w:r>
          </w:p>
        </w:tc>
        <w:tc>
          <w:tcPr>
            <w:tcW w:w="1928" w:type="dxa"/>
            <w:vAlign w:val="center"/>
          </w:tcPr>
          <w:p w14:paraId="7EC5294C"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100.0%</w:t>
            </w:r>
          </w:p>
        </w:tc>
      </w:tr>
      <w:tr w:rsidR="002A7944" w:rsidRPr="000352BE" w14:paraId="140E3613" w14:textId="77777777" w:rsidTr="00006714">
        <w:trPr>
          <w:trHeight w:val="454"/>
        </w:trPr>
        <w:tc>
          <w:tcPr>
            <w:tcW w:w="10914" w:type="dxa"/>
            <w:gridSpan w:val="6"/>
            <w:vAlign w:val="center"/>
          </w:tcPr>
          <w:p w14:paraId="41D49969" w14:textId="77777777" w:rsidR="002A7944" w:rsidRPr="000352BE" w:rsidRDefault="002A7944" w:rsidP="00006714">
            <w:pPr>
              <w:spacing w:after="0" w:line="240" w:lineRule="auto"/>
              <w:ind w:left="30" w:right="40"/>
              <w:jc w:val="center"/>
              <w:rPr>
                <w:rFonts w:ascii="Calibri" w:eastAsia="Arial" w:hAnsi="Calibri" w:cs="Calibri"/>
                <w:b/>
                <w:bCs/>
                <w:color w:val="auto"/>
                <w:sz w:val="20"/>
                <w:szCs w:val="20"/>
              </w:rPr>
            </w:pPr>
            <w:r w:rsidRPr="000352BE">
              <w:rPr>
                <w:rFonts w:ascii="Calibri" w:eastAsia="Arial" w:hAnsi="Calibri" w:cs="Calibri"/>
                <w:b/>
                <w:bCs/>
                <w:caps/>
                <w:color w:val="auto"/>
                <w:sz w:val="20"/>
                <w:szCs w:val="20"/>
              </w:rPr>
              <w:t xml:space="preserve">mabc-2 subtest for </w:t>
            </w:r>
            <w:r w:rsidRPr="000352BE">
              <w:rPr>
                <w:rFonts w:ascii="Calibri" w:eastAsia="Arial" w:hAnsi="Calibri" w:cs="Calibri"/>
                <w:b/>
                <w:bCs/>
                <w:color w:val="auto"/>
                <w:sz w:val="20"/>
                <w:szCs w:val="20"/>
              </w:rPr>
              <w:t>MANUAL DEXTERITY BY SCHOOL</w:t>
            </w:r>
          </w:p>
        </w:tc>
      </w:tr>
      <w:tr w:rsidR="002A7944" w:rsidRPr="000352BE" w14:paraId="04F00186" w14:textId="77777777" w:rsidTr="00006714">
        <w:trPr>
          <w:trHeight w:val="454"/>
        </w:trPr>
        <w:tc>
          <w:tcPr>
            <w:tcW w:w="708" w:type="dxa"/>
            <w:vMerge w:val="restart"/>
            <w:vAlign w:val="center"/>
          </w:tcPr>
          <w:p w14:paraId="003D4415" w14:textId="77777777" w:rsidR="002A7944" w:rsidRPr="000352BE" w:rsidRDefault="002A7944" w:rsidP="00006714">
            <w:pPr>
              <w:spacing w:after="0" w:line="240" w:lineRule="auto"/>
              <w:jc w:val="center"/>
              <w:rPr>
                <w:rFonts w:ascii="Calibri" w:hAnsi="Calibri" w:cs="Calibri"/>
                <w:b/>
                <w:bCs/>
                <w:color w:val="auto"/>
                <w:sz w:val="20"/>
                <w:szCs w:val="20"/>
              </w:rPr>
            </w:pPr>
            <w:r w:rsidRPr="000352BE">
              <w:rPr>
                <w:rFonts w:ascii="Calibri" w:hAnsi="Calibri" w:cs="Calibri"/>
                <w:b/>
                <w:bCs/>
                <w:color w:val="auto"/>
                <w:kern w:val="0"/>
                <w:sz w:val="20"/>
                <w:szCs w:val="20"/>
              </w:rPr>
              <w:t>SCHOOL A</w:t>
            </w:r>
          </w:p>
        </w:tc>
        <w:tc>
          <w:tcPr>
            <w:tcW w:w="2494" w:type="dxa"/>
            <w:vAlign w:val="center"/>
          </w:tcPr>
          <w:p w14:paraId="4969908D"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auto"/>
                <w:kern w:val="0"/>
                <w:sz w:val="20"/>
                <w:szCs w:val="20"/>
              </w:rPr>
              <w:t>Count</w:t>
            </w:r>
          </w:p>
        </w:tc>
        <w:tc>
          <w:tcPr>
            <w:tcW w:w="1928" w:type="dxa"/>
            <w:vAlign w:val="center"/>
          </w:tcPr>
          <w:p w14:paraId="71DB5088"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auto"/>
                <w:kern w:val="0"/>
                <w:sz w:val="20"/>
                <w:szCs w:val="20"/>
              </w:rPr>
              <w:t>26</w:t>
            </w:r>
          </w:p>
        </w:tc>
        <w:tc>
          <w:tcPr>
            <w:tcW w:w="1928" w:type="dxa"/>
            <w:vAlign w:val="center"/>
          </w:tcPr>
          <w:p w14:paraId="05AD5B6F"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auto"/>
                <w:kern w:val="0"/>
                <w:sz w:val="20"/>
                <w:szCs w:val="20"/>
              </w:rPr>
              <w:t>5</w:t>
            </w:r>
          </w:p>
        </w:tc>
        <w:tc>
          <w:tcPr>
            <w:tcW w:w="1928" w:type="dxa"/>
            <w:vAlign w:val="center"/>
          </w:tcPr>
          <w:p w14:paraId="669965B2"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auto"/>
                <w:kern w:val="0"/>
                <w:sz w:val="20"/>
                <w:szCs w:val="20"/>
              </w:rPr>
              <w:t>3</w:t>
            </w:r>
          </w:p>
        </w:tc>
        <w:tc>
          <w:tcPr>
            <w:tcW w:w="1928" w:type="dxa"/>
            <w:vAlign w:val="center"/>
          </w:tcPr>
          <w:p w14:paraId="25DF5C98"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auto"/>
                <w:kern w:val="0"/>
                <w:sz w:val="20"/>
                <w:szCs w:val="20"/>
              </w:rPr>
              <w:t>34</w:t>
            </w:r>
          </w:p>
        </w:tc>
      </w:tr>
      <w:tr w:rsidR="002A7944" w:rsidRPr="000352BE" w14:paraId="0B01445F" w14:textId="77777777" w:rsidTr="00006714">
        <w:trPr>
          <w:trHeight w:val="454"/>
        </w:trPr>
        <w:tc>
          <w:tcPr>
            <w:tcW w:w="708" w:type="dxa"/>
            <w:vMerge/>
            <w:vAlign w:val="center"/>
          </w:tcPr>
          <w:p w14:paraId="06771E0B" w14:textId="77777777" w:rsidR="002A7944" w:rsidRPr="000352BE" w:rsidRDefault="002A7944" w:rsidP="00006714">
            <w:pPr>
              <w:spacing w:after="0" w:line="240" w:lineRule="auto"/>
              <w:jc w:val="center"/>
              <w:rPr>
                <w:rFonts w:ascii="Calibri" w:hAnsi="Calibri" w:cs="Calibri"/>
                <w:b/>
                <w:bCs/>
                <w:color w:val="auto"/>
                <w:sz w:val="20"/>
                <w:szCs w:val="20"/>
              </w:rPr>
            </w:pPr>
          </w:p>
        </w:tc>
        <w:tc>
          <w:tcPr>
            <w:tcW w:w="2494" w:type="dxa"/>
            <w:vAlign w:val="center"/>
          </w:tcPr>
          <w:p w14:paraId="22C82D7E"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auto"/>
                <w:kern w:val="0"/>
                <w:sz w:val="20"/>
                <w:szCs w:val="20"/>
              </w:rPr>
              <w:t>% within SCHOOL</w:t>
            </w:r>
          </w:p>
        </w:tc>
        <w:tc>
          <w:tcPr>
            <w:tcW w:w="1928" w:type="dxa"/>
            <w:vAlign w:val="center"/>
          </w:tcPr>
          <w:p w14:paraId="7485F5AA"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auto"/>
                <w:kern w:val="0"/>
                <w:sz w:val="20"/>
                <w:szCs w:val="20"/>
              </w:rPr>
              <w:t>76.5%</w:t>
            </w:r>
          </w:p>
        </w:tc>
        <w:tc>
          <w:tcPr>
            <w:tcW w:w="1928" w:type="dxa"/>
            <w:vAlign w:val="center"/>
          </w:tcPr>
          <w:p w14:paraId="522E721E"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auto"/>
                <w:kern w:val="0"/>
                <w:sz w:val="20"/>
                <w:szCs w:val="20"/>
              </w:rPr>
              <w:t>14.7%</w:t>
            </w:r>
          </w:p>
        </w:tc>
        <w:tc>
          <w:tcPr>
            <w:tcW w:w="1928" w:type="dxa"/>
            <w:vAlign w:val="center"/>
          </w:tcPr>
          <w:p w14:paraId="5ADCD060"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auto"/>
                <w:kern w:val="0"/>
                <w:sz w:val="20"/>
                <w:szCs w:val="20"/>
              </w:rPr>
              <w:t>8.8%</w:t>
            </w:r>
          </w:p>
        </w:tc>
        <w:tc>
          <w:tcPr>
            <w:tcW w:w="1928" w:type="dxa"/>
            <w:vAlign w:val="center"/>
          </w:tcPr>
          <w:p w14:paraId="6432C6CB"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auto"/>
                <w:kern w:val="0"/>
                <w:sz w:val="20"/>
                <w:szCs w:val="20"/>
              </w:rPr>
              <w:t>100.0%</w:t>
            </w:r>
          </w:p>
        </w:tc>
      </w:tr>
      <w:tr w:rsidR="002A7944" w:rsidRPr="000352BE" w14:paraId="0CF26B88" w14:textId="77777777" w:rsidTr="00006714">
        <w:trPr>
          <w:trHeight w:val="454"/>
        </w:trPr>
        <w:tc>
          <w:tcPr>
            <w:tcW w:w="708" w:type="dxa"/>
            <w:vMerge/>
            <w:vAlign w:val="center"/>
          </w:tcPr>
          <w:p w14:paraId="4AA8B632" w14:textId="77777777" w:rsidR="002A7944" w:rsidRPr="000352BE" w:rsidRDefault="002A7944" w:rsidP="00006714">
            <w:pPr>
              <w:spacing w:after="0" w:line="240" w:lineRule="auto"/>
              <w:jc w:val="center"/>
              <w:rPr>
                <w:rFonts w:ascii="Calibri" w:hAnsi="Calibri" w:cs="Calibri"/>
                <w:b/>
                <w:bCs/>
                <w:color w:val="auto"/>
                <w:sz w:val="20"/>
                <w:szCs w:val="20"/>
              </w:rPr>
            </w:pPr>
          </w:p>
        </w:tc>
        <w:tc>
          <w:tcPr>
            <w:tcW w:w="2494" w:type="dxa"/>
            <w:vAlign w:val="center"/>
          </w:tcPr>
          <w:p w14:paraId="45627328"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auto"/>
                <w:kern w:val="0"/>
                <w:sz w:val="20"/>
                <w:szCs w:val="20"/>
              </w:rPr>
              <w:t>% within MANUAL DEXTERITY</w:t>
            </w:r>
          </w:p>
        </w:tc>
        <w:tc>
          <w:tcPr>
            <w:tcW w:w="1928" w:type="dxa"/>
            <w:vAlign w:val="center"/>
          </w:tcPr>
          <w:p w14:paraId="6CE89AF2"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auto"/>
                <w:kern w:val="0"/>
                <w:sz w:val="20"/>
                <w:szCs w:val="20"/>
              </w:rPr>
              <w:t>49.1%</w:t>
            </w:r>
          </w:p>
        </w:tc>
        <w:tc>
          <w:tcPr>
            <w:tcW w:w="1928" w:type="dxa"/>
            <w:vAlign w:val="center"/>
          </w:tcPr>
          <w:p w14:paraId="328D38D1"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auto"/>
                <w:kern w:val="0"/>
                <w:sz w:val="20"/>
                <w:szCs w:val="20"/>
              </w:rPr>
              <w:t>50.0%</w:t>
            </w:r>
          </w:p>
        </w:tc>
        <w:tc>
          <w:tcPr>
            <w:tcW w:w="1928" w:type="dxa"/>
            <w:vAlign w:val="center"/>
          </w:tcPr>
          <w:p w14:paraId="6EC969FD"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auto"/>
                <w:kern w:val="0"/>
                <w:sz w:val="20"/>
                <w:szCs w:val="20"/>
              </w:rPr>
              <w:t>42.9%</w:t>
            </w:r>
          </w:p>
        </w:tc>
        <w:tc>
          <w:tcPr>
            <w:tcW w:w="1928" w:type="dxa"/>
            <w:vAlign w:val="center"/>
          </w:tcPr>
          <w:p w14:paraId="3FF3F45D"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auto"/>
                <w:kern w:val="0"/>
                <w:sz w:val="20"/>
                <w:szCs w:val="20"/>
              </w:rPr>
              <w:t>48.6%</w:t>
            </w:r>
          </w:p>
        </w:tc>
      </w:tr>
      <w:tr w:rsidR="002A7944" w:rsidRPr="000352BE" w14:paraId="62370B93" w14:textId="77777777" w:rsidTr="00006714">
        <w:trPr>
          <w:trHeight w:val="454"/>
        </w:trPr>
        <w:tc>
          <w:tcPr>
            <w:tcW w:w="708" w:type="dxa"/>
            <w:vMerge w:val="restart"/>
            <w:vAlign w:val="center"/>
          </w:tcPr>
          <w:p w14:paraId="4B13E86B" w14:textId="77777777" w:rsidR="002A7944" w:rsidRPr="000352BE" w:rsidRDefault="002A7944" w:rsidP="00006714">
            <w:pPr>
              <w:spacing w:after="0" w:line="240" w:lineRule="auto"/>
              <w:jc w:val="center"/>
              <w:rPr>
                <w:rFonts w:ascii="Calibri" w:hAnsi="Calibri" w:cs="Calibri"/>
                <w:b/>
                <w:bCs/>
                <w:color w:val="auto"/>
                <w:sz w:val="20"/>
                <w:szCs w:val="20"/>
              </w:rPr>
            </w:pPr>
            <w:r w:rsidRPr="000352BE">
              <w:rPr>
                <w:rFonts w:ascii="Calibri" w:hAnsi="Calibri" w:cs="Calibri"/>
                <w:b/>
                <w:bCs/>
                <w:color w:val="auto"/>
                <w:kern w:val="0"/>
                <w:sz w:val="20"/>
                <w:szCs w:val="20"/>
              </w:rPr>
              <w:t>SCHOOL B</w:t>
            </w:r>
          </w:p>
        </w:tc>
        <w:tc>
          <w:tcPr>
            <w:tcW w:w="2494" w:type="dxa"/>
            <w:vAlign w:val="center"/>
          </w:tcPr>
          <w:p w14:paraId="55C82A8F"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auto"/>
                <w:kern w:val="0"/>
                <w:sz w:val="20"/>
                <w:szCs w:val="20"/>
              </w:rPr>
              <w:t>Count</w:t>
            </w:r>
          </w:p>
        </w:tc>
        <w:tc>
          <w:tcPr>
            <w:tcW w:w="1928" w:type="dxa"/>
            <w:vAlign w:val="center"/>
          </w:tcPr>
          <w:p w14:paraId="7B159A0B"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auto"/>
                <w:kern w:val="0"/>
                <w:sz w:val="20"/>
                <w:szCs w:val="20"/>
              </w:rPr>
              <w:t>27</w:t>
            </w:r>
          </w:p>
        </w:tc>
        <w:tc>
          <w:tcPr>
            <w:tcW w:w="1928" w:type="dxa"/>
            <w:vAlign w:val="center"/>
          </w:tcPr>
          <w:p w14:paraId="06C39FFF"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auto"/>
                <w:kern w:val="0"/>
                <w:sz w:val="20"/>
                <w:szCs w:val="20"/>
              </w:rPr>
              <w:t>5</w:t>
            </w:r>
          </w:p>
        </w:tc>
        <w:tc>
          <w:tcPr>
            <w:tcW w:w="1928" w:type="dxa"/>
            <w:vAlign w:val="center"/>
          </w:tcPr>
          <w:p w14:paraId="19DDA0D4"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auto"/>
                <w:kern w:val="0"/>
                <w:sz w:val="20"/>
                <w:szCs w:val="20"/>
              </w:rPr>
              <w:t>4</w:t>
            </w:r>
          </w:p>
        </w:tc>
        <w:tc>
          <w:tcPr>
            <w:tcW w:w="1928" w:type="dxa"/>
            <w:vAlign w:val="center"/>
          </w:tcPr>
          <w:p w14:paraId="666F986A"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auto"/>
                <w:kern w:val="0"/>
                <w:sz w:val="20"/>
                <w:szCs w:val="20"/>
              </w:rPr>
              <w:t>36</w:t>
            </w:r>
          </w:p>
        </w:tc>
      </w:tr>
      <w:tr w:rsidR="002A7944" w:rsidRPr="000352BE" w14:paraId="36F60451" w14:textId="77777777" w:rsidTr="00006714">
        <w:trPr>
          <w:trHeight w:val="454"/>
        </w:trPr>
        <w:tc>
          <w:tcPr>
            <w:tcW w:w="708" w:type="dxa"/>
            <w:vMerge/>
            <w:vAlign w:val="center"/>
          </w:tcPr>
          <w:p w14:paraId="74C3E3E9" w14:textId="77777777" w:rsidR="002A7944" w:rsidRPr="000352BE" w:rsidRDefault="002A7944" w:rsidP="00006714">
            <w:pPr>
              <w:spacing w:after="0" w:line="240" w:lineRule="auto"/>
              <w:jc w:val="center"/>
              <w:rPr>
                <w:rFonts w:ascii="Calibri" w:hAnsi="Calibri" w:cs="Calibri"/>
                <w:b/>
                <w:bCs/>
                <w:color w:val="auto"/>
                <w:sz w:val="20"/>
                <w:szCs w:val="20"/>
              </w:rPr>
            </w:pPr>
          </w:p>
        </w:tc>
        <w:tc>
          <w:tcPr>
            <w:tcW w:w="2494" w:type="dxa"/>
            <w:vAlign w:val="center"/>
          </w:tcPr>
          <w:p w14:paraId="1A0B55DC"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auto"/>
                <w:kern w:val="0"/>
                <w:sz w:val="20"/>
                <w:szCs w:val="20"/>
              </w:rPr>
              <w:t>% within SCHOOL</w:t>
            </w:r>
          </w:p>
        </w:tc>
        <w:tc>
          <w:tcPr>
            <w:tcW w:w="1928" w:type="dxa"/>
            <w:vAlign w:val="center"/>
          </w:tcPr>
          <w:p w14:paraId="3FE9A845"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auto"/>
                <w:kern w:val="0"/>
                <w:sz w:val="20"/>
                <w:szCs w:val="20"/>
              </w:rPr>
              <w:t>75.0%</w:t>
            </w:r>
          </w:p>
        </w:tc>
        <w:tc>
          <w:tcPr>
            <w:tcW w:w="1928" w:type="dxa"/>
            <w:vAlign w:val="center"/>
          </w:tcPr>
          <w:p w14:paraId="01E9469F"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auto"/>
                <w:kern w:val="0"/>
                <w:sz w:val="20"/>
                <w:szCs w:val="20"/>
              </w:rPr>
              <w:t>13.9%</w:t>
            </w:r>
          </w:p>
        </w:tc>
        <w:tc>
          <w:tcPr>
            <w:tcW w:w="1928" w:type="dxa"/>
            <w:vAlign w:val="center"/>
          </w:tcPr>
          <w:p w14:paraId="6D46F649"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auto"/>
                <w:kern w:val="0"/>
                <w:sz w:val="20"/>
                <w:szCs w:val="20"/>
              </w:rPr>
              <w:t>11.1%</w:t>
            </w:r>
          </w:p>
        </w:tc>
        <w:tc>
          <w:tcPr>
            <w:tcW w:w="1928" w:type="dxa"/>
            <w:vAlign w:val="center"/>
          </w:tcPr>
          <w:p w14:paraId="56633506"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auto"/>
                <w:kern w:val="0"/>
                <w:sz w:val="20"/>
                <w:szCs w:val="20"/>
              </w:rPr>
              <w:t>100.0%</w:t>
            </w:r>
          </w:p>
        </w:tc>
      </w:tr>
      <w:tr w:rsidR="002A7944" w:rsidRPr="000352BE" w14:paraId="7CA0866E" w14:textId="77777777" w:rsidTr="00006714">
        <w:trPr>
          <w:trHeight w:val="454"/>
        </w:trPr>
        <w:tc>
          <w:tcPr>
            <w:tcW w:w="708" w:type="dxa"/>
            <w:vMerge/>
            <w:tcBorders>
              <w:bottom w:val="single" w:sz="4" w:space="0" w:color="D9D9D9" w:themeColor="background1" w:themeShade="D9"/>
            </w:tcBorders>
            <w:vAlign w:val="center"/>
          </w:tcPr>
          <w:p w14:paraId="171068CD" w14:textId="77777777" w:rsidR="002A7944" w:rsidRPr="000352BE" w:rsidRDefault="002A7944" w:rsidP="00006714">
            <w:pPr>
              <w:spacing w:after="0" w:line="240" w:lineRule="auto"/>
              <w:jc w:val="center"/>
              <w:rPr>
                <w:rFonts w:ascii="Calibri" w:hAnsi="Calibri" w:cs="Calibri"/>
                <w:b/>
                <w:bCs/>
                <w:color w:val="auto"/>
                <w:sz w:val="20"/>
                <w:szCs w:val="20"/>
              </w:rPr>
            </w:pPr>
          </w:p>
        </w:tc>
        <w:tc>
          <w:tcPr>
            <w:tcW w:w="2494" w:type="dxa"/>
            <w:tcBorders>
              <w:bottom w:val="single" w:sz="4" w:space="0" w:color="D9D9D9" w:themeColor="background1" w:themeShade="D9"/>
            </w:tcBorders>
            <w:vAlign w:val="center"/>
          </w:tcPr>
          <w:p w14:paraId="6B913DFD"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auto"/>
                <w:kern w:val="0"/>
                <w:sz w:val="20"/>
                <w:szCs w:val="20"/>
              </w:rPr>
              <w:t>% within MANUAL DEXTERITY</w:t>
            </w:r>
          </w:p>
        </w:tc>
        <w:tc>
          <w:tcPr>
            <w:tcW w:w="1928" w:type="dxa"/>
            <w:tcBorders>
              <w:bottom w:val="single" w:sz="4" w:space="0" w:color="D9D9D9" w:themeColor="background1" w:themeShade="D9"/>
            </w:tcBorders>
            <w:vAlign w:val="center"/>
          </w:tcPr>
          <w:p w14:paraId="3E03F19F"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auto"/>
                <w:kern w:val="0"/>
                <w:sz w:val="20"/>
                <w:szCs w:val="20"/>
              </w:rPr>
              <w:t>50.9%</w:t>
            </w:r>
          </w:p>
        </w:tc>
        <w:tc>
          <w:tcPr>
            <w:tcW w:w="1928" w:type="dxa"/>
            <w:tcBorders>
              <w:bottom w:val="single" w:sz="4" w:space="0" w:color="D9D9D9" w:themeColor="background1" w:themeShade="D9"/>
            </w:tcBorders>
            <w:vAlign w:val="center"/>
          </w:tcPr>
          <w:p w14:paraId="38592B04"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auto"/>
                <w:kern w:val="0"/>
                <w:sz w:val="20"/>
                <w:szCs w:val="20"/>
              </w:rPr>
              <w:t>50.0%</w:t>
            </w:r>
          </w:p>
        </w:tc>
        <w:tc>
          <w:tcPr>
            <w:tcW w:w="1928" w:type="dxa"/>
            <w:tcBorders>
              <w:bottom w:val="single" w:sz="4" w:space="0" w:color="D9D9D9" w:themeColor="background1" w:themeShade="D9"/>
            </w:tcBorders>
            <w:vAlign w:val="center"/>
          </w:tcPr>
          <w:p w14:paraId="4FD41284"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auto"/>
                <w:kern w:val="0"/>
                <w:sz w:val="20"/>
                <w:szCs w:val="20"/>
              </w:rPr>
              <w:t>57.1%</w:t>
            </w:r>
          </w:p>
        </w:tc>
        <w:tc>
          <w:tcPr>
            <w:tcW w:w="1928" w:type="dxa"/>
            <w:tcBorders>
              <w:bottom w:val="single" w:sz="4" w:space="0" w:color="D9D9D9" w:themeColor="background1" w:themeShade="D9"/>
            </w:tcBorders>
            <w:vAlign w:val="center"/>
          </w:tcPr>
          <w:p w14:paraId="15D73888"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auto"/>
                <w:kern w:val="0"/>
                <w:sz w:val="20"/>
                <w:szCs w:val="20"/>
              </w:rPr>
              <w:t>51.4%</w:t>
            </w:r>
          </w:p>
        </w:tc>
      </w:tr>
      <w:tr w:rsidR="002A7944" w:rsidRPr="000352BE" w14:paraId="7BFA73A0" w14:textId="77777777" w:rsidTr="00006714">
        <w:trPr>
          <w:trHeight w:val="454"/>
        </w:trPr>
        <w:tc>
          <w:tcPr>
            <w:tcW w:w="708" w:type="dxa"/>
            <w:vMerge w:val="restart"/>
            <w:vAlign w:val="center"/>
          </w:tcPr>
          <w:p w14:paraId="35521FAD" w14:textId="77777777" w:rsidR="002A7944" w:rsidRPr="000352BE" w:rsidRDefault="002A7944" w:rsidP="00006714">
            <w:pPr>
              <w:spacing w:after="0" w:line="240" w:lineRule="auto"/>
              <w:jc w:val="center"/>
              <w:rPr>
                <w:rFonts w:ascii="Calibri" w:hAnsi="Calibri" w:cs="Calibri"/>
                <w:b/>
                <w:bCs/>
                <w:color w:val="auto"/>
                <w:sz w:val="20"/>
                <w:szCs w:val="20"/>
              </w:rPr>
            </w:pPr>
            <w:r w:rsidRPr="000352BE">
              <w:rPr>
                <w:rFonts w:ascii="Calibri" w:hAnsi="Calibri" w:cs="Calibri"/>
                <w:b/>
                <w:bCs/>
                <w:color w:val="auto"/>
                <w:sz w:val="20"/>
                <w:szCs w:val="20"/>
              </w:rPr>
              <w:t>TOTAL</w:t>
            </w:r>
          </w:p>
        </w:tc>
        <w:tc>
          <w:tcPr>
            <w:tcW w:w="2494" w:type="dxa"/>
            <w:vAlign w:val="center"/>
          </w:tcPr>
          <w:p w14:paraId="2A95F11D"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auto"/>
                <w:kern w:val="0"/>
                <w:sz w:val="20"/>
                <w:szCs w:val="20"/>
              </w:rPr>
              <w:t>Count</w:t>
            </w:r>
          </w:p>
        </w:tc>
        <w:tc>
          <w:tcPr>
            <w:tcW w:w="1928" w:type="dxa"/>
            <w:vAlign w:val="center"/>
          </w:tcPr>
          <w:p w14:paraId="554FA107"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auto"/>
                <w:kern w:val="0"/>
                <w:sz w:val="20"/>
                <w:szCs w:val="20"/>
              </w:rPr>
              <w:t>53</w:t>
            </w:r>
          </w:p>
        </w:tc>
        <w:tc>
          <w:tcPr>
            <w:tcW w:w="1928" w:type="dxa"/>
            <w:vAlign w:val="center"/>
          </w:tcPr>
          <w:p w14:paraId="6AE16BEC"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auto"/>
                <w:kern w:val="0"/>
                <w:sz w:val="20"/>
                <w:szCs w:val="20"/>
              </w:rPr>
              <w:t>10</w:t>
            </w:r>
          </w:p>
        </w:tc>
        <w:tc>
          <w:tcPr>
            <w:tcW w:w="1928" w:type="dxa"/>
            <w:vAlign w:val="center"/>
          </w:tcPr>
          <w:p w14:paraId="64F62987"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auto"/>
                <w:kern w:val="0"/>
                <w:sz w:val="20"/>
                <w:szCs w:val="20"/>
              </w:rPr>
              <w:t>7</w:t>
            </w:r>
          </w:p>
        </w:tc>
        <w:tc>
          <w:tcPr>
            <w:tcW w:w="1928" w:type="dxa"/>
            <w:vAlign w:val="center"/>
          </w:tcPr>
          <w:p w14:paraId="52A4165B"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auto"/>
                <w:kern w:val="0"/>
                <w:sz w:val="20"/>
                <w:szCs w:val="20"/>
              </w:rPr>
              <w:t>70</w:t>
            </w:r>
          </w:p>
        </w:tc>
      </w:tr>
      <w:tr w:rsidR="002A7944" w:rsidRPr="000352BE" w14:paraId="59F442E9" w14:textId="77777777" w:rsidTr="00006714">
        <w:trPr>
          <w:trHeight w:val="454"/>
        </w:trPr>
        <w:tc>
          <w:tcPr>
            <w:tcW w:w="708" w:type="dxa"/>
            <w:vMerge/>
            <w:vAlign w:val="center"/>
          </w:tcPr>
          <w:p w14:paraId="5232C7C5" w14:textId="77777777" w:rsidR="002A7944" w:rsidRPr="000352BE" w:rsidRDefault="002A7944" w:rsidP="00006714">
            <w:pPr>
              <w:spacing w:after="0" w:line="240" w:lineRule="auto"/>
              <w:jc w:val="center"/>
              <w:rPr>
                <w:rFonts w:ascii="Calibri" w:hAnsi="Calibri" w:cs="Calibri"/>
                <w:color w:val="auto"/>
                <w:sz w:val="20"/>
                <w:szCs w:val="20"/>
              </w:rPr>
            </w:pPr>
          </w:p>
        </w:tc>
        <w:tc>
          <w:tcPr>
            <w:tcW w:w="2494" w:type="dxa"/>
            <w:vAlign w:val="center"/>
          </w:tcPr>
          <w:p w14:paraId="0126BA25"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auto"/>
                <w:kern w:val="0"/>
                <w:sz w:val="20"/>
                <w:szCs w:val="20"/>
              </w:rPr>
              <w:t>% within SCHOOL</w:t>
            </w:r>
          </w:p>
        </w:tc>
        <w:tc>
          <w:tcPr>
            <w:tcW w:w="1928" w:type="dxa"/>
            <w:vAlign w:val="center"/>
          </w:tcPr>
          <w:p w14:paraId="45BFCE4B"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auto"/>
                <w:kern w:val="0"/>
                <w:sz w:val="20"/>
                <w:szCs w:val="20"/>
              </w:rPr>
              <w:t>75.7%</w:t>
            </w:r>
          </w:p>
        </w:tc>
        <w:tc>
          <w:tcPr>
            <w:tcW w:w="1928" w:type="dxa"/>
            <w:vAlign w:val="center"/>
          </w:tcPr>
          <w:p w14:paraId="6A59FD91"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auto"/>
                <w:kern w:val="0"/>
                <w:sz w:val="20"/>
                <w:szCs w:val="20"/>
              </w:rPr>
              <w:t>14.3%</w:t>
            </w:r>
          </w:p>
        </w:tc>
        <w:tc>
          <w:tcPr>
            <w:tcW w:w="1928" w:type="dxa"/>
            <w:vAlign w:val="center"/>
          </w:tcPr>
          <w:p w14:paraId="1961A5AE"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auto"/>
                <w:kern w:val="0"/>
                <w:sz w:val="20"/>
                <w:szCs w:val="20"/>
              </w:rPr>
              <w:t>10.0%</w:t>
            </w:r>
          </w:p>
        </w:tc>
        <w:tc>
          <w:tcPr>
            <w:tcW w:w="1928" w:type="dxa"/>
            <w:vAlign w:val="center"/>
          </w:tcPr>
          <w:p w14:paraId="521DBD4E"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auto"/>
                <w:kern w:val="0"/>
                <w:sz w:val="20"/>
                <w:szCs w:val="20"/>
              </w:rPr>
              <w:t>100.0%</w:t>
            </w:r>
          </w:p>
        </w:tc>
      </w:tr>
      <w:tr w:rsidR="002A7944" w:rsidRPr="000352BE" w14:paraId="751F1CF2" w14:textId="77777777" w:rsidTr="00006714">
        <w:trPr>
          <w:trHeight w:val="454"/>
        </w:trPr>
        <w:tc>
          <w:tcPr>
            <w:tcW w:w="708" w:type="dxa"/>
            <w:vMerge/>
            <w:tcBorders>
              <w:bottom w:val="single" w:sz="4" w:space="0" w:color="D9D9D9" w:themeColor="background1" w:themeShade="D9"/>
            </w:tcBorders>
            <w:vAlign w:val="center"/>
          </w:tcPr>
          <w:p w14:paraId="0AB7BBDD" w14:textId="77777777" w:rsidR="002A7944" w:rsidRPr="000352BE" w:rsidRDefault="002A7944" w:rsidP="00006714">
            <w:pPr>
              <w:spacing w:after="0" w:line="240" w:lineRule="auto"/>
              <w:jc w:val="center"/>
              <w:rPr>
                <w:rFonts w:ascii="Calibri" w:hAnsi="Calibri" w:cs="Calibri"/>
                <w:color w:val="auto"/>
                <w:sz w:val="20"/>
                <w:szCs w:val="20"/>
              </w:rPr>
            </w:pPr>
          </w:p>
        </w:tc>
        <w:tc>
          <w:tcPr>
            <w:tcW w:w="2494" w:type="dxa"/>
            <w:tcBorders>
              <w:bottom w:val="single" w:sz="4" w:space="0" w:color="D9D9D9" w:themeColor="background1" w:themeShade="D9"/>
            </w:tcBorders>
            <w:vAlign w:val="center"/>
          </w:tcPr>
          <w:p w14:paraId="45AED13F"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auto"/>
                <w:kern w:val="0"/>
                <w:sz w:val="20"/>
                <w:szCs w:val="20"/>
              </w:rPr>
              <w:t>% within MANUAL DEXTERITY</w:t>
            </w:r>
          </w:p>
        </w:tc>
        <w:tc>
          <w:tcPr>
            <w:tcW w:w="1928" w:type="dxa"/>
            <w:tcBorders>
              <w:bottom w:val="single" w:sz="4" w:space="0" w:color="D9D9D9" w:themeColor="background1" w:themeShade="D9"/>
            </w:tcBorders>
            <w:vAlign w:val="center"/>
          </w:tcPr>
          <w:p w14:paraId="5E9E2E0F"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auto"/>
                <w:kern w:val="0"/>
                <w:sz w:val="20"/>
                <w:szCs w:val="20"/>
              </w:rPr>
              <w:t>100.0%</w:t>
            </w:r>
          </w:p>
        </w:tc>
        <w:tc>
          <w:tcPr>
            <w:tcW w:w="1928" w:type="dxa"/>
            <w:tcBorders>
              <w:bottom w:val="single" w:sz="4" w:space="0" w:color="D9D9D9" w:themeColor="background1" w:themeShade="D9"/>
            </w:tcBorders>
            <w:vAlign w:val="center"/>
          </w:tcPr>
          <w:p w14:paraId="7559DCEC"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auto"/>
                <w:kern w:val="0"/>
                <w:sz w:val="20"/>
                <w:szCs w:val="20"/>
              </w:rPr>
              <w:t>100.0%</w:t>
            </w:r>
          </w:p>
        </w:tc>
        <w:tc>
          <w:tcPr>
            <w:tcW w:w="1928" w:type="dxa"/>
            <w:tcBorders>
              <w:bottom w:val="single" w:sz="4" w:space="0" w:color="D9D9D9" w:themeColor="background1" w:themeShade="D9"/>
            </w:tcBorders>
            <w:vAlign w:val="center"/>
          </w:tcPr>
          <w:p w14:paraId="137D4405"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auto"/>
                <w:kern w:val="0"/>
                <w:sz w:val="20"/>
                <w:szCs w:val="20"/>
              </w:rPr>
              <w:t>100.0%</w:t>
            </w:r>
          </w:p>
        </w:tc>
        <w:tc>
          <w:tcPr>
            <w:tcW w:w="1928" w:type="dxa"/>
            <w:tcBorders>
              <w:bottom w:val="single" w:sz="4" w:space="0" w:color="D9D9D9" w:themeColor="background1" w:themeShade="D9"/>
            </w:tcBorders>
            <w:vAlign w:val="center"/>
          </w:tcPr>
          <w:p w14:paraId="47A73813"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auto"/>
                <w:kern w:val="0"/>
                <w:sz w:val="20"/>
                <w:szCs w:val="20"/>
              </w:rPr>
              <w:t>100.0%</w:t>
            </w:r>
          </w:p>
        </w:tc>
      </w:tr>
      <w:tr w:rsidR="002A7944" w:rsidRPr="000352BE" w14:paraId="1CBAC590" w14:textId="77777777" w:rsidTr="00006714">
        <w:trPr>
          <w:trHeight w:val="454"/>
        </w:trPr>
        <w:tc>
          <w:tcPr>
            <w:tcW w:w="10914" w:type="dxa"/>
            <w:gridSpan w:val="6"/>
            <w:tcBorders>
              <w:top w:val="single" w:sz="4" w:space="0" w:color="D9D9D9" w:themeColor="background1" w:themeShade="D9"/>
              <w:left w:val="nil"/>
              <w:bottom w:val="nil"/>
              <w:right w:val="nil"/>
            </w:tcBorders>
            <w:vAlign w:val="center"/>
          </w:tcPr>
          <w:p w14:paraId="45A66D45" w14:textId="77777777" w:rsidR="002A7944" w:rsidRPr="000352BE" w:rsidRDefault="002A7944" w:rsidP="00006714">
            <w:pPr>
              <w:spacing w:after="0" w:line="240" w:lineRule="auto"/>
              <w:ind w:left="30" w:right="40"/>
              <w:jc w:val="right"/>
              <w:rPr>
                <w:rFonts w:ascii="Calibri" w:hAnsi="Calibri" w:cs="Calibri"/>
                <w:color w:val="auto"/>
                <w:kern w:val="0"/>
                <w:sz w:val="20"/>
                <w:szCs w:val="20"/>
              </w:rPr>
            </w:pPr>
            <w:r w:rsidRPr="000352BE">
              <w:rPr>
                <w:rFonts w:ascii="Calibri" w:hAnsi="Calibri" w:cs="Calibri"/>
                <w:color w:val="auto"/>
                <w:kern w:val="0"/>
                <w:sz w:val="20"/>
                <w:szCs w:val="20"/>
              </w:rPr>
              <w:t xml:space="preserve">Table 6: Crosstabulation of </w:t>
            </w:r>
            <w:r w:rsidRPr="000352BE">
              <w:rPr>
                <w:rFonts w:ascii="Calibri" w:hAnsi="Calibri" w:cs="Calibri"/>
                <w:caps/>
                <w:color w:val="auto"/>
                <w:kern w:val="0"/>
                <w:sz w:val="20"/>
                <w:szCs w:val="20"/>
              </w:rPr>
              <w:t>Manual Dexterity</w:t>
            </w:r>
            <w:r w:rsidRPr="000352BE">
              <w:rPr>
                <w:rFonts w:ascii="Calibri" w:hAnsi="Calibri" w:cs="Calibri"/>
                <w:color w:val="auto"/>
                <w:kern w:val="0"/>
                <w:sz w:val="20"/>
                <w:szCs w:val="20"/>
              </w:rPr>
              <w:t xml:space="preserve"> for Gender and School</w:t>
            </w:r>
          </w:p>
        </w:tc>
      </w:tr>
    </w:tbl>
    <w:p w14:paraId="4439E274" w14:textId="77777777" w:rsidR="002A7944" w:rsidRPr="000352BE" w:rsidRDefault="002A7944" w:rsidP="002A7944">
      <w:pPr>
        <w:spacing w:after="0" w:line="360" w:lineRule="auto"/>
        <w:jc w:val="both"/>
        <w:rPr>
          <w:rFonts w:ascii="Calibri" w:hAnsi="Calibri" w:cs="Calibri"/>
          <w:color w:val="auto"/>
          <w:sz w:val="24"/>
          <w:szCs w:val="24"/>
        </w:rPr>
      </w:pPr>
    </w:p>
    <w:p w14:paraId="7BB15E5E" w14:textId="77777777" w:rsidR="002A7944" w:rsidRPr="000352BE" w:rsidRDefault="002A7944" w:rsidP="002A7944">
      <w:pPr>
        <w:spacing w:after="0" w:line="360" w:lineRule="auto"/>
        <w:jc w:val="both"/>
        <w:rPr>
          <w:rFonts w:ascii="Calibri" w:hAnsi="Calibri" w:cs="Calibri"/>
          <w:color w:val="auto"/>
          <w:sz w:val="22"/>
          <w:szCs w:val="22"/>
        </w:rPr>
      </w:pPr>
      <w:r w:rsidRPr="000352BE">
        <w:rPr>
          <w:rFonts w:ascii="Calibri" w:hAnsi="Calibri" w:cs="Calibri"/>
          <w:color w:val="auto"/>
          <w:sz w:val="22"/>
          <w:szCs w:val="22"/>
        </w:rPr>
        <w:lastRenderedPageBreak/>
        <w:t>The Aiming and Catching subtest, which assessed children’s hand-eye coordination and object control, showed generally strong performance across the cohort as detailed in Table 7. Overall, 81.4% of children achieved scores above the 16</w:t>
      </w:r>
      <w:r w:rsidRPr="000352BE">
        <w:rPr>
          <w:rFonts w:ascii="Calibri" w:hAnsi="Calibri" w:cs="Calibri"/>
          <w:color w:val="auto"/>
          <w:sz w:val="22"/>
          <w:szCs w:val="22"/>
          <w:vertAlign w:val="superscript"/>
        </w:rPr>
        <w:t>th</w:t>
      </w:r>
      <w:r w:rsidRPr="000352BE">
        <w:rPr>
          <w:rFonts w:ascii="Calibri" w:hAnsi="Calibri" w:cs="Calibri"/>
          <w:color w:val="auto"/>
          <w:sz w:val="22"/>
          <w:szCs w:val="22"/>
        </w:rPr>
        <w:t xml:space="preserve"> percentile, indicating age-appropriate or better performance. A small proportion (10.0%) were placed below the 5</w:t>
      </w:r>
      <w:r w:rsidRPr="000352BE">
        <w:rPr>
          <w:rFonts w:ascii="Calibri" w:hAnsi="Calibri" w:cs="Calibri"/>
          <w:color w:val="auto"/>
          <w:sz w:val="22"/>
          <w:szCs w:val="22"/>
          <w:vertAlign w:val="superscript"/>
        </w:rPr>
        <w:t>th</w:t>
      </w:r>
      <w:r w:rsidRPr="000352BE">
        <w:rPr>
          <w:rFonts w:ascii="Calibri" w:hAnsi="Calibri" w:cs="Calibri"/>
          <w:color w:val="auto"/>
          <w:sz w:val="22"/>
          <w:szCs w:val="22"/>
        </w:rPr>
        <w:t xml:space="preserve"> percentile, while 8.6% fell within the 6</w:t>
      </w:r>
      <w:r w:rsidRPr="000352BE">
        <w:rPr>
          <w:rFonts w:ascii="Calibri" w:hAnsi="Calibri" w:cs="Calibri"/>
          <w:color w:val="auto"/>
          <w:sz w:val="22"/>
          <w:szCs w:val="22"/>
          <w:vertAlign w:val="superscript"/>
        </w:rPr>
        <w:t>th</w:t>
      </w:r>
      <w:r w:rsidRPr="000352BE">
        <w:rPr>
          <w:rFonts w:ascii="Calibri" w:hAnsi="Calibri" w:cs="Calibri"/>
          <w:color w:val="auto"/>
          <w:sz w:val="22"/>
          <w:szCs w:val="22"/>
        </w:rPr>
        <w:t xml:space="preserve"> &amp; 15</w:t>
      </w:r>
      <w:r w:rsidRPr="000352BE">
        <w:rPr>
          <w:rFonts w:ascii="Calibri" w:hAnsi="Calibri" w:cs="Calibri"/>
          <w:color w:val="auto"/>
          <w:sz w:val="22"/>
          <w:szCs w:val="22"/>
          <w:vertAlign w:val="superscript"/>
        </w:rPr>
        <w:t>th</w:t>
      </w:r>
      <w:r w:rsidRPr="000352BE">
        <w:rPr>
          <w:rFonts w:ascii="Calibri" w:hAnsi="Calibri" w:cs="Calibri"/>
          <w:color w:val="auto"/>
          <w:sz w:val="22"/>
          <w:szCs w:val="22"/>
        </w:rPr>
        <w:t xml:space="preserve"> percentile. When broken down by gender, slightly more females (86.1%) scored in the green band compared to males (76.5%), while a higher proportion of males (14.7%) were in the red band compared to females (5.6%). This suggests that although both genders performed well overall, boys may be slightly more likely to require additional support in this area.</w:t>
      </w:r>
    </w:p>
    <w:p w14:paraId="5E7E415F" w14:textId="77777777" w:rsidR="002A7944" w:rsidRPr="000352BE" w:rsidRDefault="002A7944" w:rsidP="002A7944">
      <w:pPr>
        <w:spacing w:after="0" w:line="360" w:lineRule="auto"/>
        <w:jc w:val="both"/>
        <w:rPr>
          <w:rFonts w:ascii="Calibri" w:hAnsi="Calibri" w:cs="Calibri"/>
          <w:color w:val="auto"/>
          <w:sz w:val="22"/>
          <w:szCs w:val="22"/>
        </w:rPr>
      </w:pPr>
      <w:r w:rsidRPr="000352BE">
        <w:rPr>
          <w:rFonts w:ascii="Calibri" w:hAnsi="Calibri" w:cs="Calibri"/>
          <w:color w:val="auto"/>
          <w:sz w:val="22"/>
          <w:szCs w:val="22"/>
        </w:rPr>
        <w:t xml:space="preserve">Comparisons between schools also showed strong outcomes. At School A, 85.3% of children achieved green band scores, compared to 77.8% at School B. Fewer pupils at School A were in the Red and Amber bands, indicating slightly stronger overall performance at that school. </w:t>
      </w:r>
    </w:p>
    <w:p w14:paraId="2C9EB1DB" w14:textId="77777777" w:rsidR="002A7944" w:rsidRPr="000352BE" w:rsidRDefault="002A7944" w:rsidP="002A7944">
      <w:pPr>
        <w:spacing w:after="0" w:line="360" w:lineRule="auto"/>
        <w:jc w:val="both"/>
        <w:rPr>
          <w:rFonts w:ascii="Calibri" w:hAnsi="Calibri" w:cs="Calibri"/>
          <w:color w:val="auto"/>
          <w:sz w:val="22"/>
          <w:szCs w:val="22"/>
        </w:rPr>
      </w:pPr>
    </w:p>
    <w:tbl>
      <w:tblPr>
        <w:tblW w:w="10914" w:type="dxa"/>
        <w:tblInd w:w="10" w:type="dxa"/>
        <w:tbl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insideH w:val="single" w:sz="4" w:space="0" w:color="D9D9D9" w:themeColor="background1" w:themeShade="D9"/>
          <w:insideV w:val="single" w:sz="4" w:space="0" w:color="D9D9D9" w:themeColor="background1" w:themeShade="D9"/>
        </w:tblBorders>
        <w:tblLayout w:type="fixed"/>
        <w:tblCellMar>
          <w:left w:w="10" w:type="dxa"/>
          <w:right w:w="10" w:type="dxa"/>
        </w:tblCellMar>
        <w:tblLook w:val="0000" w:firstRow="0" w:lastRow="0" w:firstColumn="0" w:lastColumn="0" w:noHBand="0" w:noVBand="0"/>
      </w:tblPr>
      <w:tblGrid>
        <w:gridCol w:w="708"/>
        <w:gridCol w:w="2494"/>
        <w:gridCol w:w="1928"/>
        <w:gridCol w:w="1928"/>
        <w:gridCol w:w="1928"/>
        <w:gridCol w:w="1928"/>
      </w:tblGrid>
      <w:tr w:rsidR="002A7944" w:rsidRPr="000352BE" w14:paraId="7D7E8AB9" w14:textId="77777777" w:rsidTr="00006714">
        <w:trPr>
          <w:trHeight w:val="454"/>
        </w:trPr>
        <w:tc>
          <w:tcPr>
            <w:tcW w:w="10914" w:type="dxa"/>
            <w:gridSpan w:val="6"/>
            <w:vAlign w:val="center"/>
          </w:tcPr>
          <w:p w14:paraId="5F19D7F4" w14:textId="77777777" w:rsidR="002A7944" w:rsidRPr="000352BE" w:rsidRDefault="002A7944" w:rsidP="00006714">
            <w:pPr>
              <w:spacing w:after="0" w:line="240" w:lineRule="auto"/>
              <w:jc w:val="center"/>
              <w:rPr>
                <w:rFonts w:ascii="Calibri" w:eastAsia="Arial" w:hAnsi="Calibri" w:cs="Calibri"/>
                <w:b/>
                <w:bCs/>
                <w:caps/>
                <w:color w:val="auto"/>
                <w:sz w:val="20"/>
                <w:szCs w:val="20"/>
              </w:rPr>
            </w:pPr>
            <w:r w:rsidRPr="000352BE">
              <w:rPr>
                <w:rFonts w:ascii="Calibri" w:eastAsia="Arial" w:hAnsi="Calibri" w:cs="Calibri"/>
                <w:b/>
                <w:bCs/>
                <w:caps/>
                <w:color w:val="auto"/>
                <w:sz w:val="20"/>
                <w:szCs w:val="20"/>
              </w:rPr>
              <w:t>mabc-2 subtest for aiming &amp; catching BY GENDER</w:t>
            </w:r>
          </w:p>
        </w:tc>
      </w:tr>
      <w:tr w:rsidR="002A7944" w:rsidRPr="000352BE" w14:paraId="2FC8462A" w14:textId="77777777" w:rsidTr="00006714">
        <w:trPr>
          <w:trHeight w:val="454"/>
        </w:trPr>
        <w:tc>
          <w:tcPr>
            <w:tcW w:w="3202" w:type="dxa"/>
            <w:gridSpan w:val="2"/>
            <w:vAlign w:val="center"/>
          </w:tcPr>
          <w:p w14:paraId="7A9CC84D" w14:textId="77777777" w:rsidR="002A7944" w:rsidRPr="000352BE" w:rsidRDefault="002A7944" w:rsidP="00006714">
            <w:pPr>
              <w:spacing w:after="0" w:line="240" w:lineRule="auto"/>
              <w:jc w:val="center"/>
              <w:rPr>
                <w:rFonts w:ascii="Calibri" w:hAnsi="Calibri" w:cs="Calibri"/>
                <w:color w:val="auto"/>
                <w:sz w:val="20"/>
                <w:szCs w:val="20"/>
              </w:rPr>
            </w:pPr>
          </w:p>
        </w:tc>
        <w:tc>
          <w:tcPr>
            <w:tcW w:w="1928" w:type="dxa"/>
            <w:vAlign w:val="center"/>
          </w:tcPr>
          <w:p w14:paraId="6BBD1DCB" w14:textId="77777777" w:rsidR="002A7944" w:rsidRPr="000352BE" w:rsidRDefault="002A7944" w:rsidP="00006714">
            <w:pPr>
              <w:spacing w:after="0" w:line="240" w:lineRule="auto"/>
              <w:ind w:left="30" w:right="40"/>
              <w:jc w:val="center"/>
              <w:rPr>
                <w:rFonts w:ascii="Calibri" w:hAnsi="Calibri" w:cs="Calibri"/>
                <w:b/>
                <w:bCs/>
                <w:caps/>
                <w:color w:val="auto"/>
                <w:sz w:val="20"/>
                <w:szCs w:val="20"/>
              </w:rPr>
            </w:pPr>
            <w:r w:rsidRPr="000352BE">
              <w:rPr>
                <w:rFonts w:ascii="Calibri" w:eastAsia="Arial" w:hAnsi="Calibri" w:cs="Calibri"/>
                <w:b/>
                <w:bCs/>
                <w:caps/>
                <w:color w:val="auto"/>
                <w:sz w:val="20"/>
                <w:szCs w:val="20"/>
              </w:rPr>
              <w:t>RED &lt;5TH PERCENTILE</w:t>
            </w:r>
          </w:p>
        </w:tc>
        <w:tc>
          <w:tcPr>
            <w:tcW w:w="1928" w:type="dxa"/>
            <w:vAlign w:val="center"/>
          </w:tcPr>
          <w:p w14:paraId="512CDD45" w14:textId="77777777" w:rsidR="002A7944" w:rsidRPr="000352BE" w:rsidRDefault="002A7944" w:rsidP="00006714">
            <w:pPr>
              <w:spacing w:after="0" w:line="240" w:lineRule="auto"/>
              <w:ind w:left="30" w:right="40"/>
              <w:jc w:val="center"/>
              <w:rPr>
                <w:rFonts w:ascii="Calibri" w:hAnsi="Calibri" w:cs="Calibri"/>
                <w:b/>
                <w:bCs/>
                <w:caps/>
                <w:color w:val="auto"/>
                <w:sz w:val="20"/>
                <w:szCs w:val="20"/>
              </w:rPr>
            </w:pPr>
            <w:r w:rsidRPr="000352BE">
              <w:rPr>
                <w:rFonts w:ascii="Calibri" w:eastAsia="Arial" w:hAnsi="Calibri" w:cs="Calibri"/>
                <w:b/>
                <w:bCs/>
                <w:caps/>
                <w:color w:val="auto"/>
                <w:sz w:val="20"/>
                <w:szCs w:val="20"/>
              </w:rPr>
              <w:t>AMBER 6-15TH PERCENTILE</w:t>
            </w:r>
          </w:p>
        </w:tc>
        <w:tc>
          <w:tcPr>
            <w:tcW w:w="1928" w:type="dxa"/>
            <w:vAlign w:val="center"/>
          </w:tcPr>
          <w:p w14:paraId="413188E4" w14:textId="77777777" w:rsidR="002A7944" w:rsidRPr="000352BE" w:rsidRDefault="002A7944" w:rsidP="00006714">
            <w:pPr>
              <w:spacing w:after="0" w:line="240" w:lineRule="auto"/>
              <w:ind w:left="30" w:right="40"/>
              <w:jc w:val="center"/>
              <w:rPr>
                <w:rFonts w:ascii="Calibri" w:hAnsi="Calibri" w:cs="Calibri"/>
                <w:b/>
                <w:bCs/>
                <w:caps/>
                <w:color w:val="auto"/>
                <w:sz w:val="20"/>
                <w:szCs w:val="20"/>
              </w:rPr>
            </w:pPr>
            <w:r w:rsidRPr="000352BE">
              <w:rPr>
                <w:rFonts w:ascii="Calibri" w:eastAsia="Arial" w:hAnsi="Calibri" w:cs="Calibri"/>
                <w:b/>
                <w:bCs/>
                <w:caps/>
                <w:color w:val="auto"/>
                <w:sz w:val="20"/>
                <w:szCs w:val="20"/>
              </w:rPr>
              <w:t>GREEN &gt;16TH PERCENTILE</w:t>
            </w:r>
          </w:p>
        </w:tc>
        <w:tc>
          <w:tcPr>
            <w:tcW w:w="1928" w:type="dxa"/>
            <w:vAlign w:val="center"/>
          </w:tcPr>
          <w:p w14:paraId="245D7117" w14:textId="77777777" w:rsidR="002A7944" w:rsidRPr="000352BE" w:rsidRDefault="002A7944" w:rsidP="00006714">
            <w:pPr>
              <w:spacing w:after="0" w:line="240" w:lineRule="auto"/>
              <w:jc w:val="center"/>
              <w:rPr>
                <w:rFonts w:ascii="Calibri" w:hAnsi="Calibri" w:cs="Calibri"/>
                <w:b/>
                <w:bCs/>
                <w:caps/>
                <w:color w:val="auto"/>
                <w:sz w:val="20"/>
                <w:szCs w:val="20"/>
              </w:rPr>
            </w:pPr>
            <w:r w:rsidRPr="000352BE">
              <w:rPr>
                <w:rFonts w:ascii="Calibri" w:eastAsia="Arial" w:hAnsi="Calibri" w:cs="Calibri"/>
                <w:b/>
                <w:bCs/>
                <w:caps/>
                <w:color w:val="auto"/>
                <w:sz w:val="20"/>
                <w:szCs w:val="20"/>
              </w:rPr>
              <w:t>Total</w:t>
            </w:r>
          </w:p>
        </w:tc>
      </w:tr>
      <w:tr w:rsidR="002A7944" w:rsidRPr="000352BE" w14:paraId="3A585A0A" w14:textId="77777777" w:rsidTr="00006714">
        <w:trPr>
          <w:trHeight w:val="454"/>
        </w:trPr>
        <w:tc>
          <w:tcPr>
            <w:tcW w:w="708" w:type="dxa"/>
            <w:vMerge w:val="restart"/>
            <w:vAlign w:val="center"/>
          </w:tcPr>
          <w:p w14:paraId="313885B0" w14:textId="77777777" w:rsidR="002A7944" w:rsidRPr="000352BE" w:rsidRDefault="002A7944" w:rsidP="00006714">
            <w:pPr>
              <w:spacing w:after="0" w:line="240" w:lineRule="auto"/>
              <w:ind w:left="30" w:right="40"/>
              <w:jc w:val="center"/>
              <w:rPr>
                <w:rFonts w:ascii="Calibri" w:hAnsi="Calibri" w:cs="Calibri"/>
                <w:b/>
                <w:bCs/>
                <w:color w:val="auto"/>
                <w:sz w:val="20"/>
                <w:szCs w:val="20"/>
              </w:rPr>
            </w:pPr>
            <w:r w:rsidRPr="000352BE">
              <w:rPr>
                <w:rFonts w:ascii="Calibri" w:eastAsia="Arial" w:hAnsi="Calibri" w:cs="Calibri"/>
                <w:b/>
                <w:bCs/>
                <w:color w:val="auto"/>
                <w:sz w:val="20"/>
                <w:szCs w:val="20"/>
              </w:rPr>
              <w:t>M</w:t>
            </w:r>
          </w:p>
        </w:tc>
        <w:tc>
          <w:tcPr>
            <w:tcW w:w="2494" w:type="dxa"/>
            <w:vAlign w:val="center"/>
          </w:tcPr>
          <w:p w14:paraId="606D6EE7"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Count</w:t>
            </w:r>
          </w:p>
        </w:tc>
        <w:tc>
          <w:tcPr>
            <w:tcW w:w="1928" w:type="dxa"/>
            <w:vAlign w:val="center"/>
          </w:tcPr>
          <w:p w14:paraId="61447613"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010205"/>
                <w:sz w:val="20"/>
                <w:szCs w:val="20"/>
              </w:rPr>
              <w:t>5</w:t>
            </w:r>
          </w:p>
        </w:tc>
        <w:tc>
          <w:tcPr>
            <w:tcW w:w="1928" w:type="dxa"/>
            <w:vAlign w:val="center"/>
          </w:tcPr>
          <w:p w14:paraId="1A728ECC"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010205"/>
                <w:sz w:val="20"/>
                <w:szCs w:val="20"/>
              </w:rPr>
              <w:t>3</w:t>
            </w:r>
          </w:p>
        </w:tc>
        <w:tc>
          <w:tcPr>
            <w:tcW w:w="1928" w:type="dxa"/>
            <w:vAlign w:val="center"/>
          </w:tcPr>
          <w:p w14:paraId="37DCDE0F"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010205"/>
                <w:sz w:val="20"/>
                <w:szCs w:val="20"/>
              </w:rPr>
              <w:t>26</w:t>
            </w:r>
          </w:p>
        </w:tc>
        <w:tc>
          <w:tcPr>
            <w:tcW w:w="1928" w:type="dxa"/>
            <w:vAlign w:val="center"/>
          </w:tcPr>
          <w:p w14:paraId="2F3FB6E6"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010205"/>
                <w:sz w:val="20"/>
                <w:szCs w:val="20"/>
              </w:rPr>
              <w:t>34</w:t>
            </w:r>
          </w:p>
        </w:tc>
      </w:tr>
      <w:tr w:rsidR="002A7944" w:rsidRPr="000352BE" w14:paraId="192ACC64" w14:textId="77777777" w:rsidTr="00006714">
        <w:trPr>
          <w:trHeight w:val="454"/>
        </w:trPr>
        <w:tc>
          <w:tcPr>
            <w:tcW w:w="708" w:type="dxa"/>
            <w:vMerge/>
            <w:vAlign w:val="center"/>
          </w:tcPr>
          <w:p w14:paraId="6A830C38" w14:textId="77777777" w:rsidR="002A7944" w:rsidRPr="000352BE" w:rsidRDefault="002A7944" w:rsidP="00006714">
            <w:pPr>
              <w:spacing w:after="0" w:line="240" w:lineRule="auto"/>
              <w:jc w:val="center"/>
              <w:rPr>
                <w:rFonts w:ascii="Calibri" w:hAnsi="Calibri" w:cs="Calibri"/>
                <w:b/>
                <w:bCs/>
                <w:color w:val="auto"/>
                <w:sz w:val="20"/>
                <w:szCs w:val="20"/>
              </w:rPr>
            </w:pPr>
          </w:p>
        </w:tc>
        <w:tc>
          <w:tcPr>
            <w:tcW w:w="2494" w:type="dxa"/>
            <w:vAlign w:val="center"/>
          </w:tcPr>
          <w:p w14:paraId="4078B156"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 within GENDER</w:t>
            </w:r>
          </w:p>
        </w:tc>
        <w:tc>
          <w:tcPr>
            <w:tcW w:w="1928" w:type="dxa"/>
            <w:vAlign w:val="center"/>
          </w:tcPr>
          <w:p w14:paraId="713806C8"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010205"/>
                <w:sz w:val="20"/>
                <w:szCs w:val="20"/>
              </w:rPr>
              <w:t>14.7%</w:t>
            </w:r>
          </w:p>
        </w:tc>
        <w:tc>
          <w:tcPr>
            <w:tcW w:w="1928" w:type="dxa"/>
            <w:vAlign w:val="center"/>
          </w:tcPr>
          <w:p w14:paraId="0D691EFF"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010205"/>
                <w:sz w:val="20"/>
                <w:szCs w:val="20"/>
              </w:rPr>
              <w:t>8.8%</w:t>
            </w:r>
          </w:p>
        </w:tc>
        <w:tc>
          <w:tcPr>
            <w:tcW w:w="1928" w:type="dxa"/>
            <w:vAlign w:val="center"/>
          </w:tcPr>
          <w:p w14:paraId="14D6C553"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010205"/>
                <w:sz w:val="20"/>
                <w:szCs w:val="20"/>
              </w:rPr>
              <w:t>76.5%</w:t>
            </w:r>
          </w:p>
        </w:tc>
        <w:tc>
          <w:tcPr>
            <w:tcW w:w="1928" w:type="dxa"/>
            <w:vAlign w:val="center"/>
          </w:tcPr>
          <w:p w14:paraId="0E5CCCD5"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010205"/>
                <w:sz w:val="20"/>
                <w:szCs w:val="20"/>
              </w:rPr>
              <w:t>100.0%</w:t>
            </w:r>
          </w:p>
        </w:tc>
      </w:tr>
      <w:tr w:rsidR="002A7944" w:rsidRPr="000352BE" w14:paraId="39170D8C" w14:textId="77777777" w:rsidTr="00006714">
        <w:trPr>
          <w:trHeight w:val="454"/>
        </w:trPr>
        <w:tc>
          <w:tcPr>
            <w:tcW w:w="708" w:type="dxa"/>
            <w:vMerge/>
            <w:vAlign w:val="center"/>
          </w:tcPr>
          <w:p w14:paraId="19EFD6F9" w14:textId="77777777" w:rsidR="002A7944" w:rsidRPr="000352BE" w:rsidRDefault="002A7944" w:rsidP="00006714">
            <w:pPr>
              <w:spacing w:after="0" w:line="240" w:lineRule="auto"/>
              <w:jc w:val="center"/>
              <w:rPr>
                <w:rFonts w:ascii="Calibri" w:hAnsi="Calibri" w:cs="Calibri"/>
                <w:b/>
                <w:bCs/>
                <w:color w:val="auto"/>
                <w:sz w:val="20"/>
                <w:szCs w:val="20"/>
              </w:rPr>
            </w:pPr>
          </w:p>
        </w:tc>
        <w:tc>
          <w:tcPr>
            <w:tcW w:w="2494" w:type="dxa"/>
            <w:vAlign w:val="center"/>
          </w:tcPr>
          <w:p w14:paraId="2116BC3E"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 xml:space="preserve">% within </w:t>
            </w:r>
            <w:r w:rsidRPr="000352BE">
              <w:rPr>
                <w:rFonts w:ascii="Calibri" w:eastAsia="Arial" w:hAnsi="Calibri" w:cs="Calibri"/>
                <w:caps/>
                <w:color w:val="auto"/>
                <w:sz w:val="20"/>
                <w:szCs w:val="20"/>
              </w:rPr>
              <w:t>aiming &amp; catching</w:t>
            </w:r>
          </w:p>
        </w:tc>
        <w:tc>
          <w:tcPr>
            <w:tcW w:w="1928" w:type="dxa"/>
            <w:vAlign w:val="center"/>
          </w:tcPr>
          <w:p w14:paraId="00404954"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010205"/>
                <w:sz w:val="20"/>
                <w:szCs w:val="20"/>
              </w:rPr>
              <w:t>71.4%</w:t>
            </w:r>
          </w:p>
        </w:tc>
        <w:tc>
          <w:tcPr>
            <w:tcW w:w="1928" w:type="dxa"/>
            <w:vAlign w:val="center"/>
          </w:tcPr>
          <w:p w14:paraId="3D49D4D6"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010205"/>
                <w:sz w:val="20"/>
                <w:szCs w:val="20"/>
              </w:rPr>
              <w:t>50.0%</w:t>
            </w:r>
          </w:p>
        </w:tc>
        <w:tc>
          <w:tcPr>
            <w:tcW w:w="1928" w:type="dxa"/>
            <w:vAlign w:val="center"/>
          </w:tcPr>
          <w:p w14:paraId="5476EDDC"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010205"/>
                <w:sz w:val="20"/>
                <w:szCs w:val="20"/>
              </w:rPr>
              <w:t>45.6%</w:t>
            </w:r>
          </w:p>
        </w:tc>
        <w:tc>
          <w:tcPr>
            <w:tcW w:w="1928" w:type="dxa"/>
            <w:vAlign w:val="center"/>
          </w:tcPr>
          <w:p w14:paraId="718FEA29"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010205"/>
                <w:sz w:val="20"/>
                <w:szCs w:val="20"/>
              </w:rPr>
              <w:t>48.6%</w:t>
            </w:r>
          </w:p>
        </w:tc>
      </w:tr>
      <w:tr w:rsidR="002A7944" w:rsidRPr="000352BE" w14:paraId="35AF42FD" w14:textId="77777777" w:rsidTr="00006714">
        <w:trPr>
          <w:trHeight w:val="454"/>
        </w:trPr>
        <w:tc>
          <w:tcPr>
            <w:tcW w:w="708" w:type="dxa"/>
            <w:vMerge w:val="restart"/>
            <w:vAlign w:val="center"/>
          </w:tcPr>
          <w:p w14:paraId="446F8801" w14:textId="77777777" w:rsidR="002A7944" w:rsidRPr="000352BE" w:rsidRDefault="002A7944" w:rsidP="00006714">
            <w:pPr>
              <w:spacing w:after="0" w:line="240" w:lineRule="auto"/>
              <w:ind w:left="30" w:right="40"/>
              <w:jc w:val="center"/>
              <w:rPr>
                <w:rFonts w:ascii="Calibri" w:hAnsi="Calibri" w:cs="Calibri"/>
                <w:b/>
                <w:bCs/>
                <w:color w:val="auto"/>
                <w:sz w:val="20"/>
                <w:szCs w:val="20"/>
              </w:rPr>
            </w:pPr>
            <w:r w:rsidRPr="000352BE">
              <w:rPr>
                <w:rFonts w:ascii="Calibri" w:eastAsia="Arial" w:hAnsi="Calibri" w:cs="Calibri"/>
                <w:b/>
                <w:bCs/>
                <w:color w:val="auto"/>
                <w:sz w:val="20"/>
                <w:szCs w:val="20"/>
              </w:rPr>
              <w:t>F</w:t>
            </w:r>
          </w:p>
        </w:tc>
        <w:tc>
          <w:tcPr>
            <w:tcW w:w="2494" w:type="dxa"/>
            <w:vAlign w:val="center"/>
          </w:tcPr>
          <w:p w14:paraId="05C16788"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Count</w:t>
            </w:r>
          </w:p>
        </w:tc>
        <w:tc>
          <w:tcPr>
            <w:tcW w:w="1928" w:type="dxa"/>
            <w:vAlign w:val="center"/>
          </w:tcPr>
          <w:p w14:paraId="67AD85B9"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010205"/>
                <w:sz w:val="20"/>
                <w:szCs w:val="20"/>
              </w:rPr>
              <w:t>2</w:t>
            </w:r>
          </w:p>
        </w:tc>
        <w:tc>
          <w:tcPr>
            <w:tcW w:w="1928" w:type="dxa"/>
            <w:vAlign w:val="center"/>
          </w:tcPr>
          <w:p w14:paraId="06F008B1"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010205"/>
                <w:sz w:val="20"/>
                <w:szCs w:val="20"/>
              </w:rPr>
              <w:t>3</w:t>
            </w:r>
          </w:p>
        </w:tc>
        <w:tc>
          <w:tcPr>
            <w:tcW w:w="1928" w:type="dxa"/>
            <w:vAlign w:val="center"/>
          </w:tcPr>
          <w:p w14:paraId="418A12CB"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010205"/>
                <w:sz w:val="20"/>
                <w:szCs w:val="20"/>
              </w:rPr>
              <w:t>31</w:t>
            </w:r>
          </w:p>
        </w:tc>
        <w:tc>
          <w:tcPr>
            <w:tcW w:w="1928" w:type="dxa"/>
            <w:vAlign w:val="center"/>
          </w:tcPr>
          <w:p w14:paraId="68FFBAD4"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010205"/>
                <w:sz w:val="20"/>
                <w:szCs w:val="20"/>
              </w:rPr>
              <w:t>36</w:t>
            </w:r>
          </w:p>
        </w:tc>
      </w:tr>
      <w:tr w:rsidR="002A7944" w:rsidRPr="000352BE" w14:paraId="46B43BD6" w14:textId="77777777" w:rsidTr="00006714">
        <w:trPr>
          <w:trHeight w:val="454"/>
        </w:trPr>
        <w:tc>
          <w:tcPr>
            <w:tcW w:w="708" w:type="dxa"/>
            <w:vMerge/>
            <w:vAlign w:val="center"/>
          </w:tcPr>
          <w:p w14:paraId="1FA9B3F0" w14:textId="77777777" w:rsidR="002A7944" w:rsidRPr="000352BE" w:rsidRDefault="002A7944" w:rsidP="00006714">
            <w:pPr>
              <w:spacing w:after="0" w:line="240" w:lineRule="auto"/>
              <w:jc w:val="center"/>
              <w:rPr>
                <w:rFonts w:ascii="Calibri" w:hAnsi="Calibri" w:cs="Calibri"/>
                <w:b/>
                <w:bCs/>
                <w:color w:val="auto"/>
                <w:sz w:val="20"/>
                <w:szCs w:val="20"/>
              </w:rPr>
            </w:pPr>
          </w:p>
        </w:tc>
        <w:tc>
          <w:tcPr>
            <w:tcW w:w="2494" w:type="dxa"/>
            <w:vAlign w:val="center"/>
          </w:tcPr>
          <w:p w14:paraId="4C68B15D"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 within GENDER</w:t>
            </w:r>
          </w:p>
        </w:tc>
        <w:tc>
          <w:tcPr>
            <w:tcW w:w="1928" w:type="dxa"/>
            <w:vAlign w:val="center"/>
          </w:tcPr>
          <w:p w14:paraId="676918F2"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010205"/>
                <w:sz w:val="20"/>
                <w:szCs w:val="20"/>
              </w:rPr>
              <w:t>5.6%</w:t>
            </w:r>
          </w:p>
        </w:tc>
        <w:tc>
          <w:tcPr>
            <w:tcW w:w="1928" w:type="dxa"/>
            <w:vAlign w:val="center"/>
          </w:tcPr>
          <w:p w14:paraId="45EEE5CA"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010205"/>
                <w:sz w:val="20"/>
                <w:szCs w:val="20"/>
              </w:rPr>
              <w:t>8.3%</w:t>
            </w:r>
          </w:p>
        </w:tc>
        <w:tc>
          <w:tcPr>
            <w:tcW w:w="1928" w:type="dxa"/>
            <w:vAlign w:val="center"/>
          </w:tcPr>
          <w:p w14:paraId="78F2431B"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010205"/>
                <w:sz w:val="20"/>
                <w:szCs w:val="20"/>
              </w:rPr>
              <w:t>86.1%</w:t>
            </w:r>
          </w:p>
        </w:tc>
        <w:tc>
          <w:tcPr>
            <w:tcW w:w="1928" w:type="dxa"/>
            <w:vAlign w:val="center"/>
          </w:tcPr>
          <w:p w14:paraId="01056304"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010205"/>
                <w:sz w:val="20"/>
                <w:szCs w:val="20"/>
              </w:rPr>
              <w:t>100.0%</w:t>
            </w:r>
          </w:p>
        </w:tc>
      </w:tr>
      <w:tr w:rsidR="002A7944" w:rsidRPr="000352BE" w14:paraId="77313AEB" w14:textId="77777777" w:rsidTr="00006714">
        <w:trPr>
          <w:trHeight w:val="454"/>
        </w:trPr>
        <w:tc>
          <w:tcPr>
            <w:tcW w:w="708" w:type="dxa"/>
            <w:vMerge/>
            <w:vAlign w:val="center"/>
          </w:tcPr>
          <w:p w14:paraId="0B68611B" w14:textId="77777777" w:rsidR="002A7944" w:rsidRPr="000352BE" w:rsidRDefault="002A7944" w:rsidP="00006714">
            <w:pPr>
              <w:spacing w:after="0" w:line="240" w:lineRule="auto"/>
              <w:jc w:val="center"/>
              <w:rPr>
                <w:rFonts w:ascii="Calibri" w:hAnsi="Calibri" w:cs="Calibri"/>
                <w:b/>
                <w:bCs/>
                <w:color w:val="auto"/>
                <w:sz w:val="20"/>
                <w:szCs w:val="20"/>
              </w:rPr>
            </w:pPr>
          </w:p>
        </w:tc>
        <w:tc>
          <w:tcPr>
            <w:tcW w:w="2494" w:type="dxa"/>
            <w:vAlign w:val="center"/>
          </w:tcPr>
          <w:p w14:paraId="3E61F804"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 xml:space="preserve">% within </w:t>
            </w:r>
            <w:r w:rsidRPr="000352BE">
              <w:rPr>
                <w:rFonts w:ascii="Calibri" w:eastAsia="Arial" w:hAnsi="Calibri" w:cs="Calibri"/>
                <w:caps/>
                <w:color w:val="auto"/>
                <w:sz w:val="20"/>
                <w:szCs w:val="20"/>
              </w:rPr>
              <w:t>aiming &amp; catching</w:t>
            </w:r>
          </w:p>
        </w:tc>
        <w:tc>
          <w:tcPr>
            <w:tcW w:w="1928" w:type="dxa"/>
            <w:vAlign w:val="center"/>
          </w:tcPr>
          <w:p w14:paraId="4F747590"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010205"/>
                <w:sz w:val="20"/>
                <w:szCs w:val="20"/>
              </w:rPr>
              <w:t>28.6%</w:t>
            </w:r>
          </w:p>
        </w:tc>
        <w:tc>
          <w:tcPr>
            <w:tcW w:w="1928" w:type="dxa"/>
            <w:vAlign w:val="center"/>
          </w:tcPr>
          <w:p w14:paraId="41CEF36C"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010205"/>
                <w:sz w:val="20"/>
                <w:szCs w:val="20"/>
              </w:rPr>
              <w:t>50.0%</w:t>
            </w:r>
          </w:p>
        </w:tc>
        <w:tc>
          <w:tcPr>
            <w:tcW w:w="1928" w:type="dxa"/>
            <w:vAlign w:val="center"/>
          </w:tcPr>
          <w:p w14:paraId="3B5D5578"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010205"/>
                <w:sz w:val="20"/>
                <w:szCs w:val="20"/>
              </w:rPr>
              <w:t>54.4%</w:t>
            </w:r>
          </w:p>
        </w:tc>
        <w:tc>
          <w:tcPr>
            <w:tcW w:w="1928" w:type="dxa"/>
            <w:vAlign w:val="center"/>
          </w:tcPr>
          <w:p w14:paraId="06A4B144"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010205"/>
                <w:sz w:val="20"/>
                <w:szCs w:val="20"/>
              </w:rPr>
              <w:t>51.4%</w:t>
            </w:r>
          </w:p>
        </w:tc>
      </w:tr>
      <w:tr w:rsidR="002A7944" w:rsidRPr="000352BE" w14:paraId="5062A213" w14:textId="77777777" w:rsidTr="00006714">
        <w:trPr>
          <w:trHeight w:val="454"/>
        </w:trPr>
        <w:tc>
          <w:tcPr>
            <w:tcW w:w="708" w:type="dxa"/>
            <w:vMerge w:val="restart"/>
            <w:vAlign w:val="center"/>
          </w:tcPr>
          <w:p w14:paraId="36AE3292" w14:textId="77777777" w:rsidR="002A7944" w:rsidRPr="000352BE" w:rsidRDefault="002A7944" w:rsidP="00006714">
            <w:pPr>
              <w:spacing w:after="0" w:line="240" w:lineRule="auto"/>
              <w:ind w:left="30" w:right="40"/>
              <w:jc w:val="center"/>
              <w:rPr>
                <w:rFonts w:ascii="Calibri" w:hAnsi="Calibri" w:cs="Calibri"/>
                <w:b/>
                <w:bCs/>
                <w:caps/>
                <w:color w:val="auto"/>
                <w:sz w:val="20"/>
                <w:szCs w:val="20"/>
              </w:rPr>
            </w:pPr>
            <w:r w:rsidRPr="000352BE">
              <w:rPr>
                <w:rFonts w:ascii="Calibri" w:eastAsia="Arial" w:hAnsi="Calibri" w:cs="Calibri"/>
                <w:b/>
                <w:bCs/>
                <w:caps/>
                <w:color w:val="auto"/>
                <w:sz w:val="20"/>
                <w:szCs w:val="20"/>
              </w:rPr>
              <w:t>Total</w:t>
            </w:r>
          </w:p>
        </w:tc>
        <w:tc>
          <w:tcPr>
            <w:tcW w:w="2494" w:type="dxa"/>
            <w:vAlign w:val="center"/>
          </w:tcPr>
          <w:p w14:paraId="53D6E5C7"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Count</w:t>
            </w:r>
          </w:p>
        </w:tc>
        <w:tc>
          <w:tcPr>
            <w:tcW w:w="1928" w:type="dxa"/>
            <w:vAlign w:val="center"/>
          </w:tcPr>
          <w:p w14:paraId="7639DBDB"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010205"/>
                <w:sz w:val="20"/>
                <w:szCs w:val="20"/>
              </w:rPr>
              <w:t>7</w:t>
            </w:r>
          </w:p>
        </w:tc>
        <w:tc>
          <w:tcPr>
            <w:tcW w:w="1928" w:type="dxa"/>
            <w:vAlign w:val="center"/>
          </w:tcPr>
          <w:p w14:paraId="24B45539"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010205"/>
                <w:sz w:val="20"/>
                <w:szCs w:val="20"/>
              </w:rPr>
              <w:t>6</w:t>
            </w:r>
          </w:p>
        </w:tc>
        <w:tc>
          <w:tcPr>
            <w:tcW w:w="1928" w:type="dxa"/>
            <w:vAlign w:val="center"/>
          </w:tcPr>
          <w:p w14:paraId="35363E81"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010205"/>
                <w:sz w:val="20"/>
                <w:szCs w:val="20"/>
              </w:rPr>
              <w:t>57</w:t>
            </w:r>
          </w:p>
        </w:tc>
        <w:tc>
          <w:tcPr>
            <w:tcW w:w="1928" w:type="dxa"/>
            <w:vAlign w:val="center"/>
          </w:tcPr>
          <w:p w14:paraId="7D08A9AF"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010205"/>
                <w:sz w:val="20"/>
                <w:szCs w:val="20"/>
              </w:rPr>
              <w:t>70</w:t>
            </w:r>
          </w:p>
        </w:tc>
      </w:tr>
      <w:tr w:rsidR="002A7944" w:rsidRPr="000352BE" w14:paraId="1291A430" w14:textId="77777777" w:rsidTr="00006714">
        <w:trPr>
          <w:trHeight w:val="454"/>
        </w:trPr>
        <w:tc>
          <w:tcPr>
            <w:tcW w:w="708" w:type="dxa"/>
            <w:vMerge/>
            <w:vAlign w:val="center"/>
          </w:tcPr>
          <w:p w14:paraId="72F08459" w14:textId="77777777" w:rsidR="002A7944" w:rsidRPr="000352BE" w:rsidRDefault="002A7944" w:rsidP="00006714">
            <w:pPr>
              <w:spacing w:after="0" w:line="240" w:lineRule="auto"/>
              <w:jc w:val="center"/>
              <w:rPr>
                <w:rFonts w:ascii="Calibri" w:hAnsi="Calibri" w:cs="Calibri"/>
                <w:color w:val="auto"/>
                <w:sz w:val="20"/>
                <w:szCs w:val="20"/>
              </w:rPr>
            </w:pPr>
          </w:p>
        </w:tc>
        <w:tc>
          <w:tcPr>
            <w:tcW w:w="2494" w:type="dxa"/>
            <w:vAlign w:val="center"/>
          </w:tcPr>
          <w:p w14:paraId="1012352F"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 within GENDER</w:t>
            </w:r>
          </w:p>
        </w:tc>
        <w:tc>
          <w:tcPr>
            <w:tcW w:w="1928" w:type="dxa"/>
            <w:vAlign w:val="center"/>
          </w:tcPr>
          <w:p w14:paraId="258F0073"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010205"/>
                <w:sz w:val="20"/>
                <w:szCs w:val="20"/>
              </w:rPr>
              <w:t>10.0%</w:t>
            </w:r>
          </w:p>
        </w:tc>
        <w:tc>
          <w:tcPr>
            <w:tcW w:w="1928" w:type="dxa"/>
            <w:vAlign w:val="center"/>
          </w:tcPr>
          <w:p w14:paraId="7A111457"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010205"/>
                <w:sz w:val="20"/>
                <w:szCs w:val="20"/>
              </w:rPr>
              <w:t>8.6%</w:t>
            </w:r>
          </w:p>
        </w:tc>
        <w:tc>
          <w:tcPr>
            <w:tcW w:w="1928" w:type="dxa"/>
            <w:vAlign w:val="center"/>
          </w:tcPr>
          <w:p w14:paraId="7C464244"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010205"/>
                <w:sz w:val="20"/>
                <w:szCs w:val="20"/>
              </w:rPr>
              <w:t>81.4%</w:t>
            </w:r>
          </w:p>
        </w:tc>
        <w:tc>
          <w:tcPr>
            <w:tcW w:w="1928" w:type="dxa"/>
            <w:vAlign w:val="center"/>
          </w:tcPr>
          <w:p w14:paraId="2E6923DD"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010205"/>
                <w:sz w:val="20"/>
                <w:szCs w:val="20"/>
              </w:rPr>
              <w:t>100.0%</w:t>
            </w:r>
          </w:p>
        </w:tc>
      </w:tr>
      <w:tr w:rsidR="002A7944" w:rsidRPr="000352BE" w14:paraId="192B7769" w14:textId="77777777" w:rsidTr="00006714">
        <w:trPr>
          <w:trHeight w:val="454"/>
        </w:trPr>
        <w:tc>
          <w:tcPr>
            <w:tcW w:w="708" w:type="dxa"/>
            <w:vMerge/>
            <w:vAlign w:val="center"/>
          </w:tcPr>
          <w:p w14:paraId="7854832D" w14:textId="77777777" w:rsidR="002A7944" w:rsidRPr="000352BE" w:rsidRDefault="002A7944" w:rsidP="00006714">
            <w:pPr>
              <w:spacing w:after="0" w:line="240" w:lineRule="auto"/>
              <w:jc w:val="center"/>
              <w:rPr>
                <w:rFonts w:ascii="Calibri" w:hAnsi="Calibri" w:cs="Calibri"/>
                <w:color w:val="auto"/>
                <w:sz w:val="20"/>
                <w:szCs w:val="20"/>
              </w:rPr>
            </w:pPr>
          </w:p>
        </w:tc>
        <w:tc>
          <w:tcPr>
            <w:tcW w:w="2494" w:type="dxa"/>
            <w:vAlign w:val="center"/>
          </w:tcPr>
          <w:p w14:paraId="5D3948F6"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 xml:space="preserve">% within </w:t>
            </w:r>
            <w:r w:rsidRPr="000352BE">
              <w:rPr>
                <w:rFonts w:ascii="Calibri" w:eastAsia="Arial" w:hAnsi="Calibri" w:cs="Calibri"/>
                <w:caps/>
                <w:color w:val="auto"/>
                <w:sz w:val="20"/>
                <w:szCs w:val="20"/>
              </w:rPr>
              <w:t>aiming &amp; catching</w:t>
            </w:r>
          </w:p>
        </w:tc>
        <w:tc>
          <w:tcPr>
            <w:tcW w:w="1928" w:type="dxa"/>
            <w:vAlign w:val="center"/>
          </w:tcPr>
          <w:p w14:paraId="79B0E9B1"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010205"/>
                <w:sz w:val="20"/>
                <w:szCs w:val="20"/>
              </w:rPr>
              <w:t>100.0%</w:t>
            </w:r>
          </w:p>
        </w:tc>
        <w:tc>
          <w:tcPr>
            <w:tcW w:w="1928" w:type="dxa"/>
            <w:vAlign w:val="center"/>
          </w:tcPr>
          <w:p w14:paraId="130233D3"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010205"/>
                <w:sz w:val="20"/>
                <w:szCs w:val="20"/>
              </w:rPr>
              <w:t>100.0%</w:t>
            </w:r>
          </w:p>
        </w:tc>
        <w:tc>
          <w:tcPr>
            <w:tcW w:w="1928" w:type="dxa"/>
            <w:vAlign w:val="center"/>
          </w:tcPr>
          <w:p w14:paraId="568AD754"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010205"/>
                <w:sz w:val="20"/>
                <w:szCs w:val="20"/>
              </w:rPr>
              <w:t>100.0%</w:t>
            </w:r>
          </w:p>
        </w:tc>
        <w:tc>
          <w:tcPr>
            <w:tcW w:w="1928" w:type="dxa"/>
            <w:vAlign w:val="center"/>
          </w:tcPr>
          <w:p w14:paraId="27739BC4"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010205"/>
                <w:sz w:val="20"/>
                <w:szCs w:val="20"/>
              </w:rPr>
              <w:t>100.0%</w:t>
            </w:r>
          </w:p>
        </w:tc>
      </w:tr>
      <w:tr w:rsidR="002A7944" w:rsidRPr="000352BE" w14:paraId="5297A8C8" w14:textId="77777777" w:rsidTr="00006714">
        <w:trPr>
          <w:trHeight w:val="454"/>
        </w:trPr>
        <w:tc>
          <w:tcPr>
            <w:tcW w:w="10914" w:type="dxa"/>
            <w:gridSpan w:val="6"/>
            <w:vAlign w:val="center"/>
          </w:tcPr>
          <w:p w14:paraId="3390BC61" w14:textId="77777777" w:rsidR="002A7944" w:rsidRPr="000352BE" w:rsidRDefault="002A7944" w:rsidP="00006714">
            <w:pPr>
              <w:spacing w:after="0" w:line="240" w:lineRule="auto"/>
              <w:ind w:left="30" w:right="40"/>
              <w:jc w:val="center"/>
              <w:rPr>
                <w:rFonts w:ascii="Calibri" w:eastAsia="Arial" w:hAnsi="Calibri" w:cs="Calibri"/>
                <w:b/>
                <w:bCs/>
                <w:color w:val="auto"/>
                <w:sz w:val="20"/>
                <w:szCs w:val="20"/>
              </w:rPr>
            </w:pPr>
            <w:r w:rsidRPr="000352BE">
              <w:rPr>
                <w:rFonts w:ascii="Calibri" w:eastAsia="Arial" w:hAnsi="Calibri" w:cs="Calibri"/>
                <w:b/>
                <w:bCs/>
                <w:caps/>
                <w:color w:val="auto"/>
                <w:sz w:val="20"/>
                <w:szCs w:val="20"/>
              </w:rPr>
              <w:t xml:space="preserve">mabc-2 subtest for aiming &amp; catching BY </w:t>
            </w:r>
            <w:r w:rsidRPr="000352BE">
              <w:rPr>
                <w:rFonts w:ascii="Calibri" w:eastAsia="Arial" w:hAnsi="Calibri" w:cs="Calibri"/>
                <w:b/>
                <w:bCs/>
                <w:color w:val="auto"/>
                <w:sz w:val="20"/>
                <w:szCs w:val="20"/>
              </w:rPr>
              <w:t>SCHOOL</w:t>
            </w:r>
          </w:p>
        </w:tc>
      </w:tr>
      <w:tr w:rsidR="002A7944" w:rsidRPr="000352BE" w14:paraId="4EE01463" w14:textId="77777777" w:rsidTr="00006714">
        <w:trPr>
          <w:trHeight w:val="454"/>
        </w:trPr>
        <w:tc>
          <w:tcPr>
            <w:tcW w:w="708" w:type="dxa"/>
            <w:vMerge w:val="restart"/>
            <w:vAlign w:val="center"/>
          </w:tcPr>
          <w:p w14:paraId="1F32EECE" w14:textId="77777777" w:rsidR="002A7944" w:rsidRPr="000352BE" w:rsidRDefault="002A7944" w:rsidP="00006714">
            <w:pPr>
              <w:spacing w:after="0" w:line="240" w:lineRule="auto"/>
              <w:jc w:val="center"/>
              <w:rPr>
                <w:rFonts w:ascii="Calibri" w:hAnsi="Calibri" w:cs="Calibri"/>
                <w:b/>
                <w:bCs/>
                <w:color w:val="auto"/>
                <w:sz w:val="20"/>
                <w:szCs w:val="20"/>
              </w:rPr>
            </w:pPr>
            <w:r w:rsidRPr="000352BE">
              <w:rPr>
                <w:rFonts w:ascii="Calibri" w:hAnsi="Calibri" w:cs="Calibri"/>
                <w:b/>
                <w:bCs/>
                <w:color w:val="auto"/>
                <w:kern w:val="0"/>
                <w:sz w:val="20"/>
                <w:szCs w:val="20"/>
              </w:rPr>
              <w:t>SCHOOL A</w:t>
            </w:r>
          </w:p>
        </w:tc>
        <w:tc>
          <w:tcPr>
            <w:tcW w:w="2494" w:type="dxa"/>
            <w:vAlign w:val="center"/>
          </w:tcPr>
          <w:p w14:paraId="000008C4"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auto"/>
                <w:kern w:val="0"/>
                <w:sz w:val="20"/>
                <w:szCs w:val="20"/>
              </w:rPr>
              <w:t>Count</w:t>
            </w:r>
          </w:p>
        </w:tc>
        <w:tc>
          <w:tcPr>
            <w:tcW w:w="1928" w:type="dxa"/>
            <w:vAlign w:val="center"/>
          </w:tcPr>
          <w:p w14:paraId="1C5CF5F6"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010205"/>
                <w:kern w:val="0"/>
                <w:sz w:val="20"/>
                <w:szCs w:val="20"/>
              </w:rPr>
              <w:t>3</w:t>
            </w:r>
          </w:p>
        </w:tc>
        <w:tc>
          <w:tcPr>
            <w:tcW w:w="1928" w:type="dxa"/>
            <w:vAlign w:val="center"/>
          </w:tcPr>
          <w:p w14:paraId="35549F08"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010205"/>
                <w:kern w:val="0"/>
                <w:sz w:val="20"/>
                <w:szCs w:val="20"/>
              </w:rPr>
              <w:t>2</w:t>
            </w:r>
          </w:p>
        </w:tc>
        <w:tc>
          <w:tcPr>
            <w:tcW w:w="1928" w:type="dxa"/>
            <w:vAlign w:val="center"/>
          </w:tcPr>
          <w:p w14:paraId="0A65D42B"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010205"/>
                <w:kern w:val="0"/>
                <w:sz w:val="20"/>
                <w:szCs w:val="20"/>
              </w:rPr>
              <w:t>29</w:t>
            </w:r>
          </w:p>
        </w:tc>
        <w:tc>
          <w:tcPr>
            <w:tcW w:w="1928" w:type="dxa"/>
            <w:vAlign w:val="center"/>
          </w:tcPr>
          <w:p w14:paraId="7F893C6D"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010205"/>
                <w:kern w:val="0"/>
                <w:sz w:val="20"/>
                <w:szCs w:val="20"/>
              </w:rPr>
              <w:t>34</w:t>
            </w:r>
          </w:p>
        </w:tc>
      </w:tr>
      <w:tr w:rsidR="002A7944" w:rsidRPr="000352BE" w14:paraId="3C4B4CFD" w14:textId="77777777" w:rsidTr="00006714">
        <w:trPr>
          <w:trHeight w:val="454"/>
        </w:trPr>
        <w:tc>
          <w:tcPr>
            <w:tcW w:w="708" w:type="dxa"/>
            <w:vMerge/>
            <w:vAlign w:val="center"/>
          </w:tcPr>
          <w:p w14:paraId="057AFE4C" w14:textId="77777777" w:rsidR="002A7944" w:rsidRPr="000352BE" w:rsidRDefault="002A7944" w:rsidP="00006714">
            <w:pPr>
              <w:spacing w:after="0" w:line="240" w:lineRule="auto"/>
              <w:jc w:val="center"/>
              <w:rPr>
                <w:rFonts w:ascii="Calibri" w:hAnsi="Calibri" w:cs="Calibri"/>
                <w:b/>
                <w:bCs/>
                <w:color w:val="auto"/>
                <w:sz w:val="20"/>
                <w:szCs w:val="20"/>
              </w:rPr>
            </w:pPr>
          </w:p>
        </w:tc>
        <w:tc>
          <w:tcPr>
            <w:tcW w:w="2494" w:type="dxa"/>
            <w:vAlign w:val="center"/>
          </w:tcPr>
          <w:p w14:paraId="5A7A6567"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auto"/>
                <w:kern w:val="0"/>
                <w:sz w:val="20"/>
                <w:szCs w:val="20"/>
              </w:rPr>
              <w:t>% within SCHOOL</w:t>
            </w:r>
          </w:p>
        </w:tc>
        <w:tc>
          <w:tcPr>
            <w:tcW w:w="1928" w:type="dxa"/>
            <w:vAlign w:val="center"/>
          </w:tcPr>
          <w:p w14:paraId="2490F850"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010205"/>
                <w:kern w:val="0"/>
                <w:sz w:val="20"/>
                <w:szCs w:val="20"/>
              </w:rPr>
              <w:t>8.8%</w:t>
            </w:r>
          </w:p>
        </w:tc>
        <w:tc>
          <w:tcPr>
            <w:tcW w:w="1928" w:type="dxa"/>
            <w:vAlign w:val="center"/>
          </w:tcPr>
          <w:p w14:paraId="6892CB02"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010205"/>
                <w:kern w:val="0"/>
                <w:sz w:val="20"/>
                <w:szCs w:val="20"/>
              </w:rPr>
              <w:t>5.9%</w:t>
            </w:r>
          </w:p>
        </w:tc>
        <w:tc>
          <w:tcPr>
            <w:tcW w:w="1928" w:type="dxa"/>
            <w:vAlign w:val="center"/>
          </w:tcPr>
          <w:p w14:paraId="62830389"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010205"/>
                <w:kern w:val="0"/>
                <w:sz w:val="20"/>
                <w:szCs w:val="20"/>
              </w:rPr>
              <w:t>85.3%</w:t>
            </w:r>
          </w:p>
        </w:tc>
        <w:tc>
          <w:tcPr>
            <w:tcW w:w="1928" w:type="dxa"/>
            <w:vAlign w:val="center"/>
          </w:tcPr>
          <w:p w14:paraId="572B899E"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010205"/>
                <w:kern w:val="0"/>
                <w:sz w:val="20"/>
                <w:szCs w:val="20"/>
              </w:rPr>
              <w:t>100.0%</w:t>
            </w:r>
          </w:p>
        </w:tc>
      </w:tr>
      <w:tr w:rsidR="002A7944" w:rsidRPr="000352BE" w14:paraId="5AC102A4" w14:textId="77777777" w:rsidTr="00006714">
        <w:trPr>
          <w:trHeight w:val="454"/>
        </w:trPr>
        <w:tc>
          <w:tcPr>
            <w:tcW w:w="708" w:type="dxa"/>
            <w:vMerge/>
            <w:vAlign w:val="center"/>
          </w:tcPr>
          <w:p w14:paraId="2FD5508A" w14:textId="77777777" w:rsidR="002A7944" w:rsidRPr="000352BE" w:rsidRDefault="002A7944" w:rsidP="00006714">
            <w:pPr>
              <w:spacing w:after="0" w:line="240" w:lineRule="auto"/>
              <w:jc w:val="center"/>
              <w:rPr>
                <w:rFonts w:ascii="Calibri" w:hAnsi="Calibri" w:cs="Calibri"/>
                <w:b/>
                <w:bCs/>
                <w:color w:val="auto"/>
                <w:sz w:val="20"/>
                <w:szCs w:val="20"/>
              </w:rPr>
            </w:pPr>
          </w:p>
        </w:tc>
        <w:tc>
          <w:tcPr>
            <w:tcW w:w="2494" w:type="dxa"/>
            <w:vAlign w:val="center"/>
          </w:tcPr>
          <w:p w14:paraId="257F94AD"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auto"/>
                <w:kern w:val="0"/>
                <w:sz w:val="20"/>
                <w:szCs w:val="20"/>
              </w:rPr>
              <w:t xml:space="preserve">% within </w:t>
            </w:r>
            <w:r w:rsidRPr="000352BE">
              <w:rPr>
                <w:rFonts w:ascii="Calibri" w:eastAsia="Arial" w:hAnsi="Calibri" w:cs="Calibri"/>
                <w:caps/>
                <w:color w:val="auto"/>
                <w:sz w:val="20"/>
                <w:szCs w:val="20"/>
              </w:rPr>
              <w:t>aiming &amp; catching</w:t>
            </w:r>
          </w:p>
        </w:tc>
        <w:tc>
          <w:tcPr>
            <w:tcW w:w="1928" w:type="dxa"/>
            <w:vAlign w:val="center"/>
          </w:tcPr>
          <w:p w14:paraId="2A7782D2"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010205"/>
                <w:kern w:val="0"/>
                <w:sz w:val="20"/>
                <w:szCs w:val="20"/>
              </w:rPr>
              <w:t>42.9%</w:t>
            </w:r>
          </w:p>
        </w:tc>
        <w:tc>
          <w:tcPr>
            <w:tcW w:w="1928" w:type="dxa"/>
            <w:vAlign w:val="center"/>
          </w:tcPr>
          <w:p w14:paraId="45E28130"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010205"/>
                <w:kern w:val="0"/>
                <w:sz w:val="20"/>
                <w:szCs w:val="20"/>
              </w:rPr>
              <w:t>33.3%</w:t>
            </w:r>
          </w:p>
        </w:tc>
        <w:tc>
          <w:tcPr>
            <w:tcW w:w="1928" w:type="dxa"/>
            <w:vAlign w:val="center"/>
          </w:tcPr>
          <w:p w14:paraId="1D82F28B"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010205"/>
                <w:kern w:val="0"/>
                <w:sz w:val="20"/>
                <w:szCs w:val="20"/>
              </w:rPr>
              <w:t>50.9%</w:t>
            </w:r>
          </w:p>
        </w:tc>
        <w:tc>
          <w:tcPr>
            <w:tcW w:w="1928" w:type="dxa"/>
            <w:vAlign w:val="center"/>
          </w:tcPr>
          <w:p w14:paraId="439F8BBF"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010205"/>
                <w:kern w:val="0"/>
                <w:sz w:val="20"/>
                <w:szCs w:val="20"/>
              </w:rPr>
              <w:t>48.6%</w:t>
            </w:r>
          </w:p>
        </w:tc>
      </w:tr>
      <w:tr w:rsidR="002A7944" w:rsidRPr="000352BE" w14:paraId="5D6E2841" w14:textId="77777777" w:rsidTr="00006714">
        <w:trPr>
          <w:trHeight w:val="454"/>
        </w:trPr>
        <w:tc>
          <w:tcPr>
            <w:tcW w:w="708" w:type="dxa"/>
            <w:vMerge w:val="restart"/>
            <w:vAlign w:val="center"/>
          </w:tcPr>
          <w:p w14:paraId="398F28C4" w14:textId="77777777" w:rsidR="002A7944" w:rsidRPr="000352BE" w:rsidRDefault="002A7944" w:rsidP="00006714">
            <w:pPr>
              <w:spacing w:after="0" w:line="240" w:lineRule="auto"/>
              <w:jc w:val="center"/>
              <w:rPr>
                <w:rFonts w:ascii="Calibri" w:hAnsi="Calibri" w:cs="Calibri"/>
                <w:b/>
                <w:bCs/>
                <w:color w:val="auto"/>
                <w:sz w:val="20"/>
                <w:szCs w:val="20"/>
              </w:rPr>
            </w:pPr>
            <w:r w:rsidRPr="000352BE">
              <w:rPr>
                <w:rFonts w:ascii="Calibri" w:hAnsi="Calibri" w:cs="Calibri"/>
                <w:b/>
                <w:bCs/>
                <w:color w:val="auto"/>
                <w:kern w:val="0"/>
                <w:sz w:val="20"/>
                <w:szCs w:val="20"/>
              </w:rPr>
              <w:t>SCHOOL B</w:t>
            </w:r>
          </w:p>
        </w:tc>
        <w:tc>
          <w:tcPr>
            <w:tcW w:w="2494" w:type="dxa"/>
            <w:vAlign w:val="center"/>
          </w:tcPr>
          <w:p w14:paraId="441BC337"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auto"/>
                <w:kern w:val="0"/>
                <w:sz w:val="20"/>
                <w:szCs w:val="20"/>
              </w:rPr>
              <w:t>Count</w:t>
            </w:r>
          </w:p>
        </w:tc>
        <w:tc>
          <w:tcPr>
            <w:tcW w:w="1928" w:type="dxa"/>
            <w:vAlign w:val="center"/>
          </w:tcPr>
          <w:p w14:paraId="781CF0EA"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010205"/>
                <w:kern w:val="0"/>
                <w:sz w:val="20"/>
                <w:szCs w:val="20"/>
              </w:rPr>
              <w:t>4</w:t>
            </w:r>
          </w:p>
        </w:tc>
        <w:tc>
          <w:tcPr>
            <w:tcW w:w="1928" w:type="dxa"/>
            <w:vAlign w:val="center"/>
          </w:tcPr>
          <w:p w14:paraId="09533C58"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010205"/>
                <w:kern w:val="0"/>
                <w:sz w:val="20"/>
                <w:szCs w:val="20"/>
              </w:rPr>
              <w:t>4</w:t>
            </w:r>
          </w:p>
        </w:tc>
        <w:tc>
          <w:tcPr>
            <w:tcW w:w="1928" w:type="dxa"/>
            <w:vAlign w:val="center"/>
          </w:tcPr>
          <w:p w14:paraId="593EAED8"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010205"/>
                <w:kern w:val="0"/>
                <w:sz w:val="20"/>
                <w:szCs w:val="20"/>
              </w:rPr>
              <w:t>28</w:t>
            </w:r>
          </w:p>
        </w:tc>
        <w:tc>
          <w:tcPr>
            <w:tcW w:w="1928" w:type="dxa"/>
            <w:vAlign w:val="center"/>
          </w:tcPr>
          <w:p w14:paraId="54C67B1F"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010205"/>
                <w:kern w:val="0"/>
                <w:sz w:val="20"/>
                <w:szCs w:val="20"/>
              </w:rPr>
              <w:t>36</w:t>
            </w:r>
          </w:p>
        </w:tc>
      </w:tr>
      <w:tr w:rsidR="002A7944" w:rsidRPr="000352BE" w14:paraId="4AB6954C" w14:textId="77777777" w:rsidTr="00006714">
        <w:trPr>
          <w:trHeight w:val="454"/>
        </w:trPr>
        <w:tc>
          <w:tcPr>
            <w:tcW w:w="708" w:type="dxa"/>
            <w:vMerge/>
            <w:vAlign w:val="center"/>
          </w:tcPr>
          <w:p w14:paraId="660B3734" w14:textId="77777777" w:rsidR="002A7944" w:rsidRPr="000352BE" w:rsidRDefault="002A7944" w:rsidP="00006714">
            <w:pPr>
              <w:spacing w:after="0" w:line="240" w:lineRule="auto"/>
              <w:jc w:val="center"/>
              <w:rPr>
                <w:rFonts w:ascii="Calibri" w:hAnsi="Calibri" w:cs="Calibri"/>
                <w:b/>
                <w:bCs/>
                <w:color w:val="auto"/>
                <w:sz w:val="20"/>
                <w:szCs w:val="20"/>
              </w:rPr>
            </w:pPr>
          </w:p>
        </w:tc>
        <w:tc>
          <w:tcPr>
            <w:tcW w:w="2494" w:type="dxa"/>
            <w:vAlign w:val="center"/>
          </w:tcPr>
          <w:p w14:paraId="5751ADD1"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auto"/>
                <w:kern w:val="0"/>
                <w:sz w:val="20"/>
                <w:szCs w:val="20"/>
              </w:rPr>
              <w:t>% within SCHOOL</w:t>
            </w:r>
          </w:p>
        </w:tc>
        <w:tc>
          <w:tcPr>
            <w:tcW w:w="1928" w:type="dxa"/>
            <w:vAlign w:val="center"/>
          </w:tcPr>
          <w:p w14:paraId="7386024A"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010205"/>
                <w:kern w:val="0"/>
                <w:sz w:val="20"/>
                <w:szCs w:val="20"/>
              </w:rPr>
              <w:t>11.1%</w:t>
            </w:r>
          </w:p>
        </w:tc>
        <w:tc>
          <w:tcPr>
            <w:tcW w:w="1928" w:type="dxa"/>
            <w:vAlign w:val="center"/>
          </w:tcPr>
          <w:p w14:paraId="7712C924"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010205"/>
                <w:kern w:val="0"/>
                <w:sz w:val="20"/>
                <w:szCs w:val="20"/>
              </w:rPr>
              <w:t>11.1%</w:t>
            </w:r>
          </w:p>
        </w:tc>
        <w:tc>
          <w:tcPr>
            <w:tcW w:w="1928" w:type="dxa"/>
            <w:vAlign w:val="center"/>
          </w:tcPr>
          <w:p w14:paraId="26BB5873"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010205"/>
                <w:kern w:val="0"/>
                <w:sz w:val="20"/>
                <w:szCs w:val="20"/>
              </w:rPr>
              <w:t>77.8%</w:t>
            </w:r>
          </w:p>
        </w:tc>
        <w:tc>
          <w:tcPr>
            <w:tcW w:w="1928" w:type="dxa"/>
            <w:vAlign w:val="center"/>
          </w:tcPr>
          <w:p w14:paraId="7C3CFCAE"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010205"/>
                <w:kern w:val="0"/>
                <w:sz w:val="20"/>
                <w:szCs w:val="20"/>
              </w:rPr>
              <w:t>100.0%</w:t>
            </w:r>
          </w:p>
        </w:tc>
      </w:tr>
      <w:tr w:rsidR="002A7944" w:rsidRPr="000352BE" w14:paraId="6FD8C67B" w14:textId="77777777" w:rsidTr="00006714">
        <w:trPr>
          <w:trHeight w:val="454"/>
        </w:trPr>
        <w:tc>
          <w:tcPr>
            <w:tcW w:w="708" w:type="dxa"/>
            <w:vMerge/>
            <w:tcBorders>
              <w:bottom w:val="single" w:sz="4" w:space="0" w:color="D9D9D9" w:themeColor="background1" w:themeShade="D9"/>
            </w:tcBorders>
            <w:vAlign w:val="center"/>
          </w:tcPr>
          <w:p w14:paraId="598A68A3" w14:textId="77777777" w:rsidR="002A7944" w:rsidRPr="000352BE" w:rsidRDefault="002A7944" w:rsidP="00006714">
            <w:pPr>
              <w:spacing w:after="0" w:line="240" w:lineRule="auto"/>
              <w:jc w:val="center"/>
              <w:rPr>
                <w:rFonts w:ascii="Calibri" w:hAnsi="Calibri" w:cs="Calibri"/>
                <w:b/>
                <w:bCs/>
                <w:color w:val="auto"/>
                <w:sz w:val="20"/>
                <w:szCs w:val="20"/>
              </w:rPr>
            </w:pPr>
          </w:p>
        </w:tc>
        <w:tc>
          <w:tcPr>
            <w:tcW w:w="2494" w:type="dxa"/>
            <w:tcBorders>
              <w:bottom w:val="single" w:sz="4" w:space="0" w:color="D9D9D9" w:themeColor="background1" w:themeShade="D9"/>
            </w:tcBorders>
            <w:vAlign w:val="center"/>
          </w:tcPr>
          <w:p w14:paraId="2DDD21DD"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auto"/>
                <w:kern w:val="0"/>
                <w:sz w:val="20"/>
                <w:szCs w:val="20"/>
              </w:rPr>
              <w:t xml:space="preserve">% within </w:t>
            </w:r>
            <w:r w:rsidRPr="000352BE">
              <w:rPr>
                <w:rFonts w:ascii="Calibri" w:eastAsia="Arial" w:hAnsi="Calibri" w:cs="Calibri"/>
                <w:caps/>
                <w:color w:val="auto"/>
                <w:sz w:val="20"/>
                <w:szCs w:val="20"/>
              </w:rPr>
              <w:t>aiming &amp; catching</w:t>
            </w:r>
          </w:p>
        </w:tc>
        <w:tc>
          <w:tcPr>
            <w:tcW w:w="1928" w:type="dxa"/>
            <w:tcBorders>
              <w:bottom w:val="single" w:sz="4" w:space="0" w:color="D9D9D9" w:themeColor="background1" w:themeShade="D9"/>
            </w:tcBorders>
            <w:vAlign w:val="center"/>
          </w:tcPr>
          <w:p w14:paraId="1768DD4D"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010205"/>
                <w:kern w:val="0"/>
                <w:sz w:val="20"/>
                <w:szCs w:val="20"/>
              </w:rPr>
              <w:t>57.1%</w:t>
            </w:r>
          </w:p>
        </w:tc>
        <w:tc>
          <w:tcPr>
            <w:tcW w:w="1928" w:type="dxa"/>
            <w:tcBorders>
              <w:bottom w:val="single" w:sz="4" w:space="0" w:color="D9D9D9" w:themeColor="background1" w:themeShade="D9"/>
            </w:tcBorders>
            <w:vAlign w:val="center"/>
          </w:tcPr>
          <w:p w14:paraId="2CFE876D"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010205"/>
                <w:kern w:val="0"/>
                <w:sz w:val="20"/>
                <w:szCs w:val="20"/>
              </w:rPr>
              <w:t>66.7%</w:t>
            </w:r>
          </w:p>
        </w:tc>
        <w:tc>
          <w:tcPr>
            <w:tcW w:w="1928" w:type="dxa"/>
            <w:tcBorders>
              <w:bottom w:val="single" w:sz="4" w:space="0" w:color="D9D9D9" w:themeColor="background1" w:themeShade="D9"/>
            </w:tcBorders>
            <w:vAlign w:val="center"/>
          </w:tcPr>
          <w:p w14:paraId="3B9E19C5"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010205"/>
                <w:kern w:val="0"/>
                <w:sz w:val="20"/>
                <w:szCs w:val="20"/>
              </w:rPr>
              <w:t>49.1%</w:t>
            </w:r>
          </w:p>
        </w:tc>
        <w:tc>
          <w:tcPr>
            <w:tcW w:w="1928" w:type="dxa"/>
            <w:tcBorders>
              <w:bottom w:val="single" w:sz="4" w:space="0" w:color="D9D9D9" w:themeColor="background1" w:themeShade="D9"/>
            </w:tcBorders>
            <w:vAlign w:val="center"/>
          </w:tcPr>
          <w:p w14:paraId="3B4F64BF"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010205"/>
                <w:kern w:val="0"/>
                <w:sz w:val="20"/>
                <w:szCs w:val="20"/>
              </w:rPr>
              <w:t>51.4%</w:t>
            </w:r>
          </w:p>
        </w:tc>
      </w:tr>
      <w:tr w:rsidR="002A7944" w:rsidRPr="000352BE" w14:paraId="718B1E15" w14:textId="77777777" w:rsidTr="00006714">
        <w:trPr>
          <w:trHeight w:val="454"/>
        </w:trPr>
        <w:tc>
          <w:tcPr>
            <w:tcW w:w="708" w:type="dxa"/>
            <w:vMerge w:val="restart"/>
            <w:vAlign w:val="center"/>
          </w:tcPr>
          <w:p w14:paraId="6A434761" w14:textId="77777777" w:rsidR="002A7944" w:rsidRPr="000352BE" w:rsidRDefault="002A7944" w:rsidP="00006714">
            <w:pPr>
              <w:spacing w:after="0" w:line="240" w:lineRule="auto"/>
              <w:jc w:val="center"/>
              <w:rPr>
                <w:rFonts w:ascii="Calibri" w:hAnsi="Calibri" w:cs="Calibri"/>
                <w:b/>
                <w:bCs/>
                <w:color w:val="auto"/>
                <w:sz w:val="20"/>
                <w:szCs w:val="20"/>
              </w:rPr>
            </w:pPr>
            <w:r w:rsidRPr="000352BE">
              <w:rPr>
                <w:rFonts w:ascii="Calibri" w:hAnsi="Calibri" w:cs="Calibri"/>
                <w:b/>
                <w:bCs/>
                <w:color w:val="auto"/>
                <w:sz w:val="20"/>
                <w:szCs w:val="20"/>
              </w:rPr>
              <w:t>TOTAL</w:t>
            </w:r>
          </w:p>
        </w:tc>
        <w:tc>
          <w:tcPr>
            <w:tcW w:w="2494" w:type="dxa"/>
            <w:vAlign w:val="center"/>
          </w:tcPr>
          <w:p w14:paraId="32164741"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auto"/>
                <w:kern w:val="0"/>
                <w:sz w:val="20"/>
                <w:szCs w:val="20"/>
              </w:rPr>
              <w:t>Count</w:t>
            </w:r>
          </w:p>
        </w:tc>
        <w:tc>
          <w:tcPr>
            <w:tcW w:w="1928" w:type="dxa"/>
            <w:vAlign w:val="center"/>
          </w:tcPr>
          <w:p w14:paraId="1BB85B7D"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010205"/>
                <w:kern w:val="0"/>
                <w:sz w:val="20"/>
                <w:szCs w:val="20"/>
              </w:rPr>
              <w:t>7</w:t>
            </w:r>
          </w:p>
        </w:tc>
        <w:tc>
          <w:tcPr>
            <w:tcW w:w="1928" w:type="dxa"/>
            <w:vAlign w:val="center"/>
          </w:tcPr>
          <w:p w14:paraId="0A9A79D8"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010205"/>
                <w:kern w:val="0"/>
                <w:sz w:val="20"/>
                <w:szCs w:val="20"/>
              </w:rPr>
              <w:t>6</w:t>
            </w:r>
          </w:p>
        </w:tc>
        <w:tc>
          <w:tcPr>
            <w:tcW w:w="1928" w:type="dxa"/>
            <w:vAlign w:val="center"/>
          </w:tcPr>
          <w:p w14:paraId="6341061E"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010205"/>
                <w:kern w:val="0"/>
                <w:sz w:val="20"/>
                <w:szCs w:val="20"/>
              </w:rPr>
              <w:t>57</w:t>
            </w:r>
          </w:p>
        </w:tc>
        <w:tc>
          <w:tcPr>
            <w:tcW w:w="1928" w:type="dxa"/>
            <w:vAlign w:val="center"/>
          </w:tcPr>
          <w:p w14:paraId="5094A502"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010205"/>
                <w:kern w:val="0"/>
                <w:sz w:val="20"/>
                <w:szCs w:val="20"/>
              </w:rPr>
              <w:t>70</w:t>
            </w:r>
          </w:p>
        </w:tc>
      </w:tr>
      <w:tr w:rsidR="002A7944" w:rsidRPr="000352BE" w14:paraId="1D1989B5" w14:textId="77777777" w:rsidTr="00006714">
        <w:trPr>
          <w:trHeight w:val="454"/>
        </w:trPr>
        <w:tc>
          <w:tcPr>
            <w:tcW w:w="708" w:type="dxa"/>
            <w:vMerge/>
            <w:vAlign w:val="center"/>
          </w:tcPr>
          <w:p w14:paraId="010DFC1A" w14:textId="77777777" w:rsidR="002A7944" w:rsidRPr="000352BE" w:rsidRDefault="002A7944" w:rsidP="00006714">
            <w:pPr>
              <w:spacing w:after="0" w:line="240" w:lineRule="auto"/>
              <w:jc w:val="center"/>
              <w:rPr>
                <w:rFonts w:ascii="Calibri" w:hAnsi="Calibri" w:cs="Calibri"/>
                <w:color w:val="auto"/>
                <w:sz w:val="20"/>
                <w:szCs w:val="20"/>
              </w:rPr>
            </w:pPr>
          </w:p>
        </w:tc>
        <w:tc>
          <w:tcPr>
            <w:tcW w:w="2494" w:type="dxa"/>
            <w:vAlign w:val="center"/>
          </w:tcPr>
          <w:p w14:paraId="108D174A"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auto"/>
                <w:kern w:val="0"/>
                <w:sz w:val="20"/>
                <w:szCs w:val="20"/>
              </w:rPr>
              <w:t>% within SCHOOL</w:t>
            </w:r>
          </w:p>
        </w:tc>
        <w:tc>
          <w:tcPr>
            <w:tcW w:w="1928" w:type="dxa"/>
            <w:vAlign w:val="center"/>
          </w:tcPr>
          <w:p w14:paraId="0FC31AF3"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010205"/>
                <w:kern w:val="0"/>
                <w:sz w:val="20"/>
                <w:szCs w:val="20"/>
              </w:rPr>
              <w:t>10.0%</w:t>
            </w:r>
          </w:p>
        </w:tc>
        <w:tc>
          <w:tcPr>
            <w:tcW w:w="1928" w:type="dxa"/>
            <w:vAlign w:val="center"/>
          </w:tcPr>
          <w:p w14:paraId="4AED8992"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010205"/>
                <w:kern w:val="0"/>
                <w:sz w:val="20"/>
                <w:szCs w:val="20"/>
              </w:rPr>
              <w:t>8.6%</w:t>
            </w:r>
          </w:p>
        </w:tc>
        <w:tc>
          <w:tcPr>
            <w:tcW w:w="1928" w:type="dxa"/>
            <w:vAlign w:val="center"/>
          </w:tcPr>
          <w:p w14:paraId="15C38B75"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010205"/>
                <w:kern w:val="0"/>
                <w:sz w:val="20"/>
                <w:szCs w:val="20"/>
              </w:rPr>
              <w:t>81.4%</w:t>
            </w:r>
          </w:p>
        </w:tc>
        <w:tc>
          <w:tcPr>
            <w:tcW w:w="1928" w:type="dxa"/>
            <w:vAlign w:val="center"/>
          </w:tcPr>
          <w:p w14:paraId="09C9C865"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010205"/>
                <w:kern w:val="0"/>
                <w:sz w:val="20"/>
                <w:szCs w:val="20"/>
              </w:rPr>
              <w:t>100.0%</w:t>
            </w:r>
          </w:p>
        </w:tc>
      </w:tr>
      <w:tr w:rsidR="002A7944" w:rsidRPr="000352BE" w14:paraId="4185A976" w14:textId="77777777" w:rsidTr="00006714">
        <w:trPr>
          <w:trHeight w:val="454"/>
        </w:trPr>
        <w:tc>
          <w:tcPr>
            <w:tcW w:w="708" w:type="dxa"/>
            <w:vMerge/>
            <w:tcBorders>
              <w:bottom w:val="single" w:sz="4" w:space="0" w:color="D9D9D9" w:themeColor="background1" w:themeShade="D9"/>
            </w:tcBorders>
            <w:vAlign w:val="center"/>
          </w:tcPr>
          <w:p w14:paraId="77C4B560" w14:textId="77777777" w:rsidR="002A7944" w:rsidRPr="000352BE" w:rsidRDefault="002A7944" w:rsidP="00006714">
            <w:pPr>
              <w:spacing w:after="0" w:line="240" w:lineRule="auto"/>
              <w:jc w:val="center"/>
              <w:rPr>
                <w:rFonts w:ascii="Calibri" w:hAnsi="Calibri" w:cs="Calibri"/>
                <w:color w:val="auto"/>
                <w:sz w:val="20"/>
                <w:szCs w:val="20"/>
              </w:rPr>
            </w:pPr>
          </w:p>
        </w:tc>
        <w:tc>
          <w:tcPr>
            <w:tcW w:w="2494" w:type="dxa"/>
            <w:tcBorders>
              <w:bottom w:val="single" w:sz="4" w:space="0" w:color="D9D9D9" w:themeColor="background1" w:themeShade="D9"/>
            </w:tcBorders>
            <w:vAlign w:val="center"/>
          </w:tcPr>
          <w:p w14:paraId="506F0ECC"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auto"/>
                <w:kern w:val="0"/>
                <w:sz w:val="20"/>
                <w:szCs w:val="20"/>
              </w:rPr>
              <w:t xml:space="preserve">% within </w:t>
            </w:r>
            <w:r w:rsidRPr="000352BE">
              <w:rPr>
                <w:rFonts w:ascii="Calibri" w:eastAsia="Arial" w:hAnsi="Calibri" w:cs="Calibri"/>
                <w:caps/>
                <w:color w:val="auto"/>
                <w:sz w:val="20"/>
                <w:szCs w:val="20"/>
              </w:rPr>
              <w:t>aiming &amp; catching</w:t>
            </w:r>
          </w:p>
        </w:tc>
        <w:tc>
          <w:tcPr>
            <w:tcW w:w="1928" w:type="dxa"/>
            <w:tcBorders>
              <w:bottom w:val="single" w:sz="4" w:space="0" w:color="D9D9D9" w:themeColor="background1" w:themeShade="D9"/>
            </w:tcBorders>
            <w:vAlign w:val="center"/>
          </w:tcPr>
          <w:p w14:paraId="4F9789BE"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010205"/>
                <w:kern w:val="0"/>
                <w:sz w:val="20"/>
                <w:szCs w:val="20"/>
              </w:rPr>
              <w:t>100.0%</w:t>
            </w:r>
          </w:p>
        </w:tc>
        <w:tc>
          <w:tcPr>
            <w:tcW w:w="1928" w:type="dxa"/>
            <w:tcBorders>
              <w:bottom w:val="single" w:sz="4" w:space="0" w:color="D9D9D9" w:themeColor="background1" w:themeShade="D9"/>
            </w:tcBorders>
            <w:vAlign w:val="center"/>
          </w:tcPr>
          <w:p w14:paraId="038C0B81"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010205"/>
                <w:kern w:val="0"/>
                <w:sz w:val="20"/>
                <w:szCs w:val="20"/>
              </w:rPr>
              <w:t>100.0%</w:t>
            </w:r>
          </w:p>
        </w:tc>
        <w:tc>
          <w:tcPr>
            <w:tcW w:w="1928" w:type="dxa"/>
            <w:tcBorders>
              <w:bottom w:val="single" w:sz="4" w:space="0" w:color="D9D9D9" w:themeColor="background1" w:themeShade="D9"/>
            </w:tcBorders>
            <w:vAlign w:val="center"/>
          </w:tcPr>
          <w:p w14:paraId="2EA2004C"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010205"/>
                <w:kern w:val="0"/>
                <w:sz w:val="20"/>
                <w:szCs w:val="20"/>
              </w:rPr>
              <w:t>100.0%</w:t>
            </w:r>
          </w:p>
        </w:tc>
        <w:tc>
          <w:tcPr>
            <w:tcW w:w="1928" w:type="dxa"/>
            <w:tcBorders>
              <w:bottom w:val="single" w:sz="4" w:space="0" w:color="D9D9D9" w:themeColor="background1" w:themeShade="D9"/>
            </w:tcBorders>
            <w:vAlign w:val="center"/>
          </w:tcPr>
          <w:p w14:paraId="17F23270"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010205"/>
                <w:kern w:val="0"/>
                <w:sz w:val="20"/>
                <w:szCs w:val="20"/>
              </w:rPr>
              <w:t>100.0%</w:t>
            </w:r>
          </w:p>
        </w:tc>
      </w:tr>
      <w:tr w:rsidR="002A7944" w:rsidRPr="000352BE" w14:paraId="32E1390A" w14:textId="77777777" w:rsidTr="00006714">
        <w:trPr>
          <w:trHeight w:val="454"/>
        </w:trPr>
        <w:tc>
          <w:tcPr>
            <w:tcW w:w="10914" w:type="dxa"/>
            <w:gridSpan w:val="6"/>
            <w:tcBorders>
              <w:top w:val="single" w:sz="4" w:space="0" w:color="D9D9D9" w:themeColor="background1" w:themeShade="D9"/>
              <w:left w:val="nil"/>
              <w:bottom w:val="nil"/>
              <w:right w:val="nil"/>
            </w:tcBorders>
            <w:vAlign w:val="center"/>
          </w:tcPr>
          <w:p w14:paraId="3FC2E53D" w14:textId="77777777" w:rsidR="002A7944" w:rsidRPr="000352BE" w:rsidRDefault="002A7944" w:rsidP="00006714">
            <w:pPr>
              <w:spacing w:after="0" w:line="240" w:lineRule="auto"/>
              <w:ind w:left="30" w:right="40"/>
              <w:jc w:val="right"/>
              <w:rPr>
                <w:rFonts w:ascii="Calibri" w:eastAsia="Arial" w:hAnsi="Calibri" w:cs="Calibri"/>
                <w:b/>
                <w:bCs/>
                <w:caps/>
                <w:color w:val="auto"/>
                <w:sz w:val="20"/>
                <w:szCs w:val="20"/>
              </w:rPr>
            </w:pPr>
            <w:r w:rsidRPr="000352BE">
              <w:rPr>
                <w:rFonts w:ascii="Calibri" w:hAnsi="Calibri" w:cs="Calibri"/>
                <w:color w:val="auto"/>
                <w:kern w:val="0"/>
                <w:sz w:val="20"/>
                <w:szCs w:val="20"/>
              </w:rPr>
              <w:t xml:space="preserve">Table 7: Crosstabulation of </w:t>
            </w:r>
            <w:r w:rsidRPr="000352BE">
              <w:rPr>
                <w:rFonts w:ascii="Calibri" w:eastAsia="Arial" w:hAnsi="Calibri" w:cs="Calibri"/>
                <w:caps/>
                <w:color w:val="auto"/>
                <w:sz w:val="20"/>
                <w:szCs w:val="20"/>
              </w:rPr>
              <w:t>aiming &amp; catching</w:t>
            </w:r>
            <w:r w:rsidRPr="000352BE">
              <w:rPr>
                <w:rFonts w:ascii="Calibri" w:eastAsia="Arial" w:hAnsi="Calibri" w:cs="Calibri"/>
                <w:b/>
                <w:bCs/>
                <w:caps/>
                <w:color w:val="auto"/>
                <w:sz w:val="20"/>
                <w:szCs w:val="20"/>
              </w:rPr>
              <w:t xml:space="preserve"> </w:t>
            </w:r>
            <w:r w:rsidRPr="000352BE">
              <w:rPr>
                <w:rFonts w:ascii="Calibri" w:hAnsi="Calibri" w:cs="Calibri"/>
                <w:color w:val="auto"/>
                <w:kern w:val="0"/>
                <w:sz w:val="20"/>
                <w:szCs w:val="20"/>
              </w:rPr>
              <w:t>for Gender and School</w:t>
            </w:r>
          </w:p>
        </w:tc>
      </w:tr>
    </w:tbl>
    <w:p w14:paraId="05561359" w14:textId="77777777" w:rsidR="002A7944" w:rsidRPr="000352BE" w:rsidRDefault="002A7944" w:rsidP="002A7944">
      <w:pPr>
        <w:spacing w:after="0" w:line="360" w:lineRule="auto"/>
        <w:jc w:val="both"/>
        <w:rPr>
          <w:rFonts w:ascii="Calibri" w:hAnsi="Calibri" w:cs="Calibri"/>
          <w:color w:val="auto"/>
          <w:sz w:val="24"/>
          <w:szCs w:val="24"/>
        </w:rPr>
      </w:pPr>
    </w:p>
    <w:p w14:paraId="5230E139" w14:textId="77777777" w:rsidR="002A7944" w:rsidRPr="000352BE" w:rsidRDefault="002A7944" w:rsidP="002A7944">
      <w:pPr>
        <w:spacing w:after="0" w:line="360" w:lineRule="auto"/>
        <w:jc w:val="both"/>
        <w:rPr>
          <w:rFonts w:ascii="Calibri" w:hAnsi="Calibri" w:cs="Calibri"/>
          <w:color w:val="auto"/>
          <w:sz w:val="22"/>
          <w:szCs w:val="22"/>
        </w:rPr>
      </w:pPr>
      <w:r w:rsidRPr="000352BE">
        <w:rPr>
          <w:rFonts w:ascii="Calibri" w:hAnsi="Calibri" w:cs="Calibri"/>
          <w:color w:val="auto"/>
          <w:sz w:val="22"/>
          <w:szCs w:val="22"/>
        </w:rPr>
        <w:t>The Balance subtest results, shown in Table 8, were distributed across two performance bands: between the 6th–15th percentile and above the 16th percentile. Notably, no children scored below the 5th percentile. 84.3% of pupils achieved scores within the green band, while 15.7% were placed in the Amber band. This indicates a generally strong level of balance across the group, with all children performing above the most concerning threshold.</w:t>
      </w:r>
    </w:p>
    <w:p w14:paraId="383D21C6" w14:textId="77777777" w:rsidR="002A7944" w:rsidRPr="000352BE" w:rsidRDefault="002A7944" w:rsidP="002A7944">
      <w:pPr>
        <w:spacing w:after="0" w:line="360" w:lineRule="auto"/>
        <w:jc w:val="both"/>
        <w:rPr>
          <w:rFonts w:ascii="Calibri" w:hAnsi="Calibri" w:cs="Calibri"/>
          <w:color w:val="auto"/>
          <w:sz w:val="22"/>
          <w:szCs w:val="22"/>
        </w:rPr>
      </w:pPr>
      <w:r w:rsidRPr="000352BE">
        <w:rPr>
          <w:rFonts w:ascii="Calibri" w:hAnsi="Calibri" w:cs="Calibri"/>
          <w:color w:val="auto"/>
          <w:sz w:val="22"/>
          <w:szCs w:val="22"/>
        </w:rPr>
        <w:t>When broken down by gender, both boys and girls performed well, 88.2% of males scored in the green band, with only 11.8% in the Amber band. In comparison, 80.6% of females achieving the green band scores, while 19.4% were placed in the Amber band. This suggests that slightly more males demonstrated stronger balance performance, although both groups showed no extreme difficulties.</w:t>
      </w:r>
    </w:p>
    <w:p w14:paraId="2DDF7D78" w14:textId="0FA3163F" w:rsidR="002A7944" w:rsidRPr="000352BE" w:rsidRDefault="002A7944" w:rsidP="002A7944">
      <w:pPr>
        <w:spacing w:after="0" w:line="360" w:lineRule="auto"/>
        <w:jc w:val="both"/>
        <w:rPr>
          <w:rFonts w:ascii="Calibri" w:hAnsi="Calibri" w:cs="Calibri"/>
          <w:color w:val="auto"/>
          <w:sz w:val="22"/>
          <w:szCs w:val="22"/>
        </w:rPr>
      </w:pPr>
      <w:r w:rsidRPr="000352BE">
        <w:rPr>
          <w:rFonts w:ascii="Calibri" w:hAnsi="Calibri" w:cs="Calibri"/>
          <w:color w:val="auto"/>
          <w:sz w:val="22"/>
          <w:szCs w:val="22"/>
        </w:rPr>
        <w:t xml:space="preserve">A comparison between schools also revealed strong outcomes. School </w:t>
      </w:r>
      <w:r w:rsidRPr="000352BE">
        <w:rPr>
          <w:rFonts w:ascii="Calibri" w:hAnsi="Calibri" w:cs="Calibri"/>
          <w:caps/>
          <w:color w:val="auto"/>
          <w:sz w:val="22"/>
          <w:szCs w:val="22"/>
        </w:rPr>
        <w:t>A</w:t>
      </w:r>
      <w:r w:rsidRPr="000352BE">
        <w:rPr>
          <w:rFonts w:ascii="Calibri" w:hAnsi="Calibri" w:cs="Calibri"/>
          <w:color w:val="auto"/>
          <w:sz w:val="22"/>
          <w:szCs w:val="22"/>
        </w:rPr>
        <w:t>, 91.2% of pupils scored in the green band, compared to 77.8% at School B. This suggests that, while both schools performed well, School A had a greater proportion of children reaching higher percentile rankings in balance.</w:t>
      </w:r>
    </w:p>
    <w:tbl>
      <w:tblPr>
        <w:tblW w:w="10914" w:type="dxa"/>
        <w:tblInd w:w="10" w:type="dxa"/>
        <w:tbl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insideH w:val="single" w:sz="4" w:space="0" w:color="D9D9D9" w:themeColor="background1" w:themeShade="D9"/>
          <w:insideV w:val="single" w:sz="4" w:space="0" w:color="D9D9D9" w:themeColor="background1" w:themeShade="D9"/>
        </w:tblBorders>
        <w:tblLayout w:type="fixed"/>
        <w:tblCellMar>
          <w:left w:w="10" w:type="dxa"/>
          <w:right w:w="10" w:type="dxa"/>
        </w:tblCellMar>
        <w:tblLook w:val="0000" w:firstRow="0" w:lastRow="0" w:firstColumn="0" w:lastColumn="0" w:noHBand="0" w:noVBand="0"/>
      </w:tblPr>
      <w:tblGrid>
        <w:gridCol w:w="708"/>
        <w:gridCol w:w="2494"/>
        <w:gridCol w:w="1928"/>
        <w:gridCol w:w="1928"/>
        <w:gridCol w:w="1928"/>
        <w:gridCol w:w="1928"/>
      </w:tblGrid>
      <w:tr w:rsidR="002A7944" w:rsidRPr="000352BE" w14:paraId="4E1E8C1A" w14:textId="77777777" w:rsidTr="00006714">
        <w:trPr>
          <w:trHeight w:val="454"/>
        </w:trPr>
        <w:tc>
          <w:tcPr>
            <w:tcW w:w="10914" w:type="dxa"/>
            <w:gridSpan w:val="6"/>
            <w:vAlign w:val="center"/>
          </w:tcPr>
          <w:p w14:paraId="71DD33F1" w14:textId="77777777" w:rsidR="002A7944" w:rsidRPr="000352BE" w:rsidRDefault="002A7944" w:rsidP="00006714">
            <w:pPr>
              <w:spacing w:after="0" w:line="240" w:lineRule="auto"/>
              <w:jc w:val="center"/>
              <w:rPr>
                <w:rFonts w:ascii="Calibri" w:eastAsia="Arial" w:hAnsi="Calibri" w:cs="Calibri"/>
                <w:b/>
                <w:bCs/>
                <w:caps/>
                <w:color w:val="auto"/>
                <w:sz w:val="20"/>
                <w:szCs w:val="20"/>
              </w:rPr>
            </w:pPr>
            <w:r w:rsidRPr="000352BE">
              <w:rPr>
                <w:rFonts w:ascii="Calibri" w:eastAsia="Arial" w:hAnsi="Calibri" w:cs="Calibri"/>
                <w:b/>
                <w:bCs/>
                <w:caps/>
                <w:color w:val="auto"/>
                <w:sz w:val="20"/>
                <w:szCs w:val="20"/>
              </w:rPr>
              <w:t>mabc-2 subtest for balance BY GENDER</w:t>
            </w:r>
          </w:p>
        </w:tc>
      </w:tr>
      <w:tr w:rsidR="002A7944" w:rsidRPr="000352BE" w14:paraId="7A148216" w14:textId="77777777" w:rsidTr="00006714">
        <w:trPr>
          <w:trHeight w:val="454"/>
        </w:trPr>
        <w:tc>
          <w:tcPr>
            <w:tcW w:w="3202" w:type="dxa"/>
            <w:gridSpan w:val="2"/>
            <w:vAlign w:val="center"/>
          </w:tcPr>
          <w:p w14:paraId="04F19C7D" w14:textId="77777777" w:rsidR="002A7944" w:rsidRPr="000352BE" w:rsidRDefault="002A7944" w:rsidP="00006714">
            <w:pPr>
              <w:spacing w:after="0" w:line="240" w:lineRule="auto"/>
              <w:jc w:val="center"/>
              <w:rPr>
                <w:rFonts w:ascii="Calibri" w:hAnsi="Calibri" w:cs="Calibri"/>
                <w:color w:val="auto"/>
                <w:sz w:val="20"/>
                <w:szCs w:val="20"/>
              </w:rPr>
            </w:pPr>
          </w:p>
        </w:tc>
        <w:tc>
          <w:tcPr>
            <w:tcW w:w="1928" w:type="dxa"/>
            <w:vAlign w:val="center"/>
          </w:tcPr>
          <w:p w14:paraId="440D0F1F" w14:textId="77777777" w:rsidR="002A7944" w:rsidRPr="000352BE" w:rsidRDefault="002A7944" w:rsidP="00006714">
            <w:pPr>
              <w:spacing w:after="0" w:line="240" w:lineRule="auto"/>
              <w:ind w:left="30" w:right="40"/>
              <w:jc w:val="center"/>
              <w:rPr>
                <w:rFonts w:ascii="Calibri" w:hAnsi="Calibri" w:cs="Calibri"/>
                <w:b/>
                <w:bCs/>
                <w:caps/>
                <w:color w:val="auto"/>
                <w:sz w:val="20"/>
                <w:szCs w:val="20"/>
              </w:rPr>
            </w:pPr>
            <w:r w:rsidRPr="000352BE">
              <w:rPr>
                <w:rFonts w:ascii="Calibri" w:eastAsia="Arial" w:hAnsi="Calibri" w:cs="Calibri"/>
                <w:b/>
                <w:bCs/>
                <w:caps/>
                <w:color w:val="auto"/>
                <w:sz w:val="20"/>
                <w:szCs w:val="20"/>
              </w:rPr>
              <w:t>RED &lt;5TH PERCENTILE</w:t>
            </w:r>
          </w:p>
        </w:tc>
        <w:tc>
          <w:tcPr>
            <w:tcW w:w="1928" w:type="dxa"/>
            <w:vAlign w:val="center"/>
          </w:tcPr>
          <w:p w14:paraId="4409FC71" w14:textId="77777777" w:rsidR="002A7944" w:rsidRPr="000352BE" w:rsidRDefault="002A7944" w:rsidP="00006714">
            <w:pPr>
              <w:spacing w:after="0" w:line="240" w:lineRule="auto"/>
              <w:ind w:left="30" w:right="40"/>
              <w:jc w:val="center"/>
              <w:rPr>
                <w:rFonts w:ascii="Calibri" w:hAnsi="Calibri" w:cs="Calibri"/>
                <w:b/>
                <w:bCs/>
                <w:caps/>
                <w:color w:val="auto"/>
                <w:sz w:val="20"/>
                <w:szCs w:val="20"/>
              </w:rPr>
            </w:pPr>
            <w:r w:rsidRPr="000352BE">
              <w:rPr>
                <w:rFonts w:ascii="Calibri" w:eastAsia="Arial" w:hAnsi="Calibri" w:cs="Calibri"/>
                <w:b/>
                <w:bCs/>
                <w:caps/>
                <w:color w:val="auto"/>
                <w:sz w:val="20"/>
                <w:szCs w:val="20"/>
              </w:rPr>
              <w:t>AMBER 6-15TH PERCENTILE</w:t>
            </w:r>
          </w:p>
        </w:tc>
        <w:tc>
          <w:tcPr>
            <w:tcW w:w="1928" w:type="dxa"/>
            <w:vAlign w:val="center"/>
          </w:tcPr>
          <w:p w14:paraId="4E264F45" w14:textId="77777777" w:rsidR="002A7944" w:rsidRPr="000352BE" w:rsidRDefault="002A7944" w:rsidP="00006714">
            <w:pPr>
              <w:spacing w:after="0" w:line="240" w:lineRule="auto"/>
              <w:ind w:left="30" w:right="40"/>
              <w:jc w:val="center"/>
              <w:rPr>
                <w:rFonts w:ascii="Calibri" w:hAnsi="Calibri" w:cs="Calibri"/>
                <w:b/>
                <w:bCs/>
                <w:caps/>
                <w:color w:val="auto"/>
                <w:sz w:val="20"/>
                <w:szCs w:val="20"/>
              </w:rPr>
            </w:pPr>
            <w:r w:rsidRPr="000352BE">
              <w:rPr>
                <w:rFonts w:ascii="Calibri" w:eastAsia="Arial" w:hAnsi="Calibri" w:cs="Calibri"/>
                <w:b/>
                <w:bCs/>
                <w:caps/>
                <w:color w:val="auto"/>
                <w:sz w:val="20"/>
                <w:szCs w:val="20"/>
              </w:rPr>
              <w:t>GREEN &gt;16TH PERCENTILE</w:t>
            </w:r>
          </w:p>
        </w:tc>
        <w:tc>
          <w:tcPr>
            <w:tcW w:w="1928" w:type="dxa"/>
            <w:vAlign w:val="center"/>
          </w:tcPr>
          <w:p w14:paraId="2EBBEA33" w14:textId="77777777" w:rsidR="002A7944" w:rsidRPr="000352BE" w:rsidRDefault="002A7944" w:rsidP="00006714">
            <w:pPr>
              <w:spacing w:after="0" w:line="240" w:lineRule="auto"/>
              <w:jc w:val="center"/>
              <w:rPr>
                <w:rFonts w:ascii="Calibri" w:hAnsi="Calibri" w:cs="Calibri"/>
                <w:b/>
                <w:bCs/>
                <w:caps/>
                <w:color w:val="auto"/>
                <w:sz w:val="20"/>
                <w:szCs w:val="20"/>
              </w:rPr>
            </w:pPr>
            <w:r w:rsidRPr="000352BE">
              <w:rPr>
                <w:rFonts w:ascii="Calibri" w:eastAsia="Arial" w:hAnsi="Calibri" w:cs="Calibri"/>
                <w:b/>
                <w:bCs/>
                <w:caps/>
                <w:color w:val="auto"/>
                <w:sz w:val="20"/>
                <w:szCs w:val="20"/>
              </w:rPr>
              <w:t>Total</w:t>
            </w:r>
          </w:p>
        </w:tc>
      </w:tr>
      <w:tr w:rsidR="002A7944" w:rsidRPr="000352BE" w14:paraId="7BAB5A9F" w14:textId="77777777" w:rsidTr="00006714">
        <w:trPr>
          <w:trHeight w:val="454"/>
        </w:trPr>
        <w:tc>
          <w:tcPr>
            <w:tcW w:w="708" w:type="dxa"/>
            <w:vMerge w:val="restart"/>
            <w:vAlign w:val="center"/>
          </w:tcPr>
          <w:p w14:paraId="7FCF84D8" w14:textId="77777777" w:rsidR="002A7944" w:rsidRPr="000352BE" w:rsidRDefault="002A7944" w:rsidP="00006714">
            <w:pPr>
              <w:spacing w:after="0" w:line="240" w:lineRule="auto"/>
              <w:ind w:left="30" w:right="40"/>
              <w:jc w:val="center"/>
              <w:rPr>
                <w:rFonts w:ascii="Calibri" w:hAnsi="Calibri" w:cs="Calibri"/>
                <w:b/>
                <w:bCs/>
                <w:color w:val="auto"/>
                <w:sz w:val="20"/>
                <w:szCs w:val="20"/>
              </w:rPr>
            </w:pPr>
            <w:r w:rsidRPr="000352BE">
              <w:rPr>
                <w:rFonts w:ascii="Calibri" w:eastAsia="Arial" w:hAnsi="Calibri" w:cs="Calibri"/>
                <w:b/>
                <w:bCs/>
                <w:color w:val="auto"/>
                <w:sz w:val="20"/>
                <w:szCs w:val="20"/>
              </w:rPr>
              <w:t>M</w:t>
            </w:r>
          </w:p>
        </w:tc>
        <w:tc>
          <w:tcPr>
            <w:tcW w:w="2494" w:type="dxa"/>
            <w:vAlign w:val="center"/>
          </w:tcPr>
          <w:p w14:paraId="5728403D"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Count</w:t>
            </w:r>
          </w:p>
        </w:tc>
        <w:tc>
          <w:tcPr>
            <w:tcW w:w="1928" w:type="dxa"/>
            <w:vAlign w:val="center"/>
          </w:tcPr>
          <w:p w14:paraId="3E35420C"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0</w:t>
            </w:r>
          </w:p>
        </w:tc>
        <w:tc>
          <w:tcPr>
            <w:tcW w:w="1928" w:type="dxa"/>
            <w:vAlign w:val="center"/>
          </w:tcPr>
          <w:p w14:paraId="1C3390B1"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4</w:t>
            </w:r>
          </w:p>
        </w:tc>
        <w:tc>
          <w:tcPr>
            <w:tcW w:w="1928" w:type="dxa"/>
            <w:vAlign w:val="center"/>
          </w:tcPr>
          <w:p w14:paraId="014290F9"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30</w:t>
            </w:r>
          </w:p>
        </w:tc>
        <w:tc>
          <w:tcPr>
            <w:tcW w:w="1928" w:type="dxa"/>
            <w:vAlign w:val="center"/>
          </w:tcPr>
          <w:p w14:paraId="71C05C8C"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34</w:t>
            </w:r>
          </w:p>
        </w:tc>
      </w:tr>
      <w:tr w:rsidR="002A7944" w:rsidRPr="000352BE" w14:paraId="00C7B67C" w14:textId="77777777" w:rsidTr="00006714">
        <w:trPr>
          <w:trHeight w:val="454"/>
        </w:trPr>
        <w:tc>
          <w:tcPr>
            <w:tcW w:w="708" w:type="dxa"/>
            <w:vMerge/>
            <w:vAlign w:val="center"/>
          </w:tcPr>
          <w:p w14:paraId="77C08390" w14:textId="77777777" w:rsidR="002A7944" w:rsidRPr="000352BE" w:rsidRDefault="002A7944" w:rsidP="00006714">
            <w:pPr>
              <w:spacing w:after="0" w:line="240" w:lineRule="auto"/>
              <w:jc w:val="center"/>
              <w:rPr>
                <w:rFonts w:ascii="Calibri" w:hAnsi="Calibri" w:cs="Calibri"/>
                <w:b/>
                <w:bCs/>
                <w:color w:val="auto"/>
                <w:sz w:val="20"/>
                <w:szCs w:val="20"/>
              </w:rPr>
            </w:pPr>
          </w:p>
        </w:tc>
        <w:tc>
          <w:tcPr>
            <w:tcW w:w="2494" w:type="dxa"/>
            <w:vAlign w:val="center"/>
          </w:tcPr>
          <w:p w14:paraId="2F842A9E"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 within GENDER</w:t>
            </w:r>
          </w:p>
        </w:tc>
        <w:tc>
          <w:tcPr>
            <w:tcW w:w="1928" w:type="dxa"/>
            <w:vAlign w:val="center"/>
          </w:tcPr>
          <w:p w14:paraId="7C63BA40"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0%</w:t>
            </w:r>
          </w:p>
        </w:tc>
        <w:tc>
          <w:tcPr>
            <w:tcW w:w="1928" w:type="dxa"/>
            <w:vAlign w:val="center"/>
          </w:tcPr>
          <w:p w14:paraId="18ED14B3"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11.8%</w:t>
            </w:r>
          </w:p>
        </w:tc>
        <w:tc>
          <w:tcPr>
            <w:tcW w:w="1928" w:type="dxa"/>
            <w:vAlign w:val="center"/>
          </w:tcPr>
          <w:p w14:paraId="5A3FDCC9"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88.2%</w:t>
            </w:r>
          </w:p>
        </w:tc>
        <w:tc>
          <w:tcPr>
            <w:tcW w:w="1928" w:type="dxa"/>
            <w:vAlign w:val="center"/>
          </w:tcPr>
          <w:p w14:paraId="5F05E8FA"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100.0%</w:t>
            </w:r>
          </w:p>
        </w:tc>
      </w:tr>
      <w:tr w:rsidR="002A7944" w:rsidRPr="000352BE" w14:paraId="5561FCE8" w14:textId="77777777" w:rsidTr="00006714">
        <w:trPr>
          <w:trHeight w:val="454"/>
        </w:trPr>
        <w:tc>
          <w:tcPr>
            <w:tcW w:w="708" w:type="dxa"/>
            <w:vMerge/>
            <w:vAlign w:val="center"/>
          </w:tcPr>
          <w:p w14:paraId="08B06999" w14:textId="77777777" w:rsidR="002A7944" w:rsidRPr="000352BE" w:rsidRDefault="002A7944" w:rsidP="00006714">
            <w:pPr>
              <w:spacing w:after="0" w:line="240" w:lineRule="auto"/>
              <w:jc w:val="center"/>
              <w:rPr>
                <w:rFonts w:ascii="Calibri" w:hAnsi="Calibri" w:cs="Calibri"/>
                <w:b/>
                <w:bCs/>
                <w:color w:val="auto"/>
                <w:sz w:val="20"/>
                <w:szCs w:val="20"/>
              </w:rPr>
            </w:pPr>
          </w:p>
        </w:tc>
        <w:tc>
          <w:tcPr>
            <w:tcW w:w="2494" w:type="dxa"/>
            <w:vAlign w:val="center"/>
          </w:tcPr>
          <w:p w14:paraId="72CFCF0C"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 xml:space="preserve">% within </w:t>
            </w:r>
            <w:r w:rsidRPr="000352BE">
              <w:rPr>
                <w:rFonts w:ascii="Calibri" w:eastAsia="Arial" w:hAnsi="Calibri" w:cs="Calibri"/>
                <w:caps/>
                <w:color w:val="auto"/>
                <w:sz w:val="20"/>
                <w:szCs w:val="20"/>
              </w:rPr>
              <w:t>balance</w:t>
            </w:r>
          </w:p>
        </w:tc>
        <w:tc>
          <w:tcPr>
            <w:tcW w:w="1928" w:type="dxa"/>
            <w:vAlign w:val="center"/>
          </w:tcPr>
          <w:p w14:paraId="2946FB1B"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0%</w:t>
            </w:r>
          </w:p>
        </w:tc>
        <w:tc>
          <w:tcPr>
            <w:tcW w:w="1928" w:type="dxa"/>
            <w:vAlign w:val="center"/>
          </w:tcPr>
          <w:p w14:paraId="231C00B8"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36.4%</w:t>
            </w:r>
          </w:p>
        </w:tc>
        <w:tc>
          <w:tcPr>
            <w:tcW w:w="1928" w:type="dxa"/>
            <w:vAlign w:val="center"/>
          </w:tcPr>
          <w:p w14:paraId="04545862"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50.8%</w:t>
            </w:r>
          </w:p>
        </w:tc>
        <w:tc>
          <w:tcPr>
            <w:tcW w:w="1928" w:type="dxa"/>
            <w:vAlign w:val="center"/>
          </w:tcPr>
          <w:p w14:paraId="32CF4A4B"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48.6%</w:t>
            </w:r>
          </w:p>
        </w:tc>
      </w:tr>
      <w:tr w:rsidR="002A7944" w:rsidRPr="000352BE" w14:paraId="1F43297E" w14:textId="77777777" w:rsidTr="00006714">
        <w:trPr>
          <w:trHeight w:val="454"/>
        </w:trPr>
        <w:tc>
          <w:tcPr>
            <w:tcW w:w="708" w:type="dxa"/>
            <w:vMerge w:val="restart"/>
            <w:vAlign w:val="center"/>
          </w:tcPr>
          <w:p w14:paraId="2B302C12" w14:textId="77777777" w:rsidR="002A7944" w:rsidRPr="000352BE" w:rsidRDefault="002A7944" w:rsidP="00006714">
            <w:pPr>
              <w:spacing w:after="0" w:line="240" w:lineRule="auto"/>
              <w:ind w:left="30" w:right="40"/>
              <w:jc w:val="center"/>
              <w:rPr>
                <w:rFonts w:ascii="Calibri" w:hAnsi="Calibri" w:cs="Calibri"/>
                <w:b/>
                <w:bCs/>
                <w:color w:val="auto"/>
                <w:sz w:val="20"/>
                <w:szCs w:val="20"/>
              </w:rPr>
            </w:pPr>
            <w:r w:rsidRPr="000352BE">
              <w:rPr>
                <w:rFonts w:ascii="Calibri" w:eastAsia="Arial" w:hAnsi="Calibri" w:cs="Calibri"/>
                <w:b/>
                <w:bCs/>
                <w:color w:val="auto"/>
                <w:sz w:val="20"/>
                <w:szCs w:val="20"/>
              </w:rPr>
              <w:t>F</w:t>
            </w:r>
          </w:p>
        </w:tc>
        <w:tc>
          <w:tcPr>
            <w:tcW w:w="2494" w:type="dxa"/>
            <w:vAlign w:val="center"/>
          </w:tcPr>
          <w:p w14:paraId="72177591"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Count</w:t>
            </w:r>
          </w:p>
        </w:tc>
        <w:tc>
          <w:tcPr>
            <w:tcW w:w="1928" w:type="dxa"/>
            <w:vAlign w:val="center"/>
          </w:tcPr>
          <w:p w14:paraId="09064360"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0</w:t>
            </w:r>
          </w:p>
        </w:tc>
        <w:tc>
          <w:tcPr>
            <w:tcW w:w="1928" w:type="dxa"/>
            <w:vAlign w:val="center"/>
          </w:tcPr>
          <w:p w14:paraId="50536B8D"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7</w:t>
            </w:r>
          </w:p>
        </w:tc>
        <w:tc>
          <w:tcPr>
            <w:tcW w:w="1928" w:type="dxa"/>
            <w:vAlign w:val="center"/>
          </w:tcPr>
          <w:p w14:paraId="2B51EA79"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29</w:t>
            </w:r>
          </w:p>
        </w:tc>
        <w:tc>
          <w:tcPr>
            <w:tcW w:w="1928" w:type="dxa"/>
            <w:vAlign w:val="center"/>
          </w:tcPr>
          <w:p w14:paraId="009CED2B"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36</w:t>
            </w:r>
          </w:p>
        </w:tc>
      </w:tr>
      <w:tr w:rsidR="002A7944" w:rsidRPr="000352BE" w14:paraId="02E8C46E" w14:textId="77777777" w:rsidTr="00006714">
        <w:trPr>
          <w:trHeight w:val="454"/>
        </w:trPr>
        <w:tc>
          <w:tcPr>
            <w:tcW w:w="708" w:type="dxa"/>
            <w:vMerge/>
            <w:vAlign w:val="center"/>
          </w:tcPr>
          <w:p w14:paraId="6E9B9A51" w14:textId="77777777" w:rsidR="002A7944" w:rsidRPr="000352BE" w:rsidRDefault="002A7944" w:rsidP="00006714">
            <w:pPr>
              <w:spacing w:after="0" w:line="240" w:lineRule="auto"/>
              <w:jc w:val="center"/>
              <w:rPr>
                <w:rFonts w:ascii="Calibri" w:hAnsi="Calibri" w:cs="Calibri"/>
                <w:b/>
                <w:bCs/>
                <w:color w:val="auto"/>
                <w:sz w:val="20"/>
                <w:szCs w:val="20"/>
              </w:rPr>
            </w:pPr>
          </w:p>
        </w:tc>
        <w:tc>
          <w:tcPr>
            <w:tcW w:w="2494" w:type="dxa"/>
            <w:vAlign w:val="center"/>
          </w:tcPr>
          <w:p w14:paraId="627C0F12"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 within GENDER</w:t>
            </w:r>
          </w:p>
        </w:tc>
        <w:tc>
          <w:tcPr>
            <w:tcW w:w="1928" w:type="dxa"/>
            <w:vAlign w:val="center"/>
          </w:tcPr>
          <w:p w14:paraId="4C5B0E83"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0%</w:t>
            </w:r>
          </w:p>
        </w:tc>
        <w:tc>
          <w:tcPr>
            <w:tcW w:w="1928" w:type="dxa"/>
            <w:vAlign w:val="center"/>
          </w:tcPr>
          <w:p w14:paraId="5C48A3C9"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19.4%</w:t>
            </w:r>
          </w:p>
        </w:tc>
        <w:tc>
          <w:tcPr>
            <w:tcW w:w="1928" w:type="dxa"/>
            <w:vAlign w:val="center"/>
          </w:tcPr>
          <w:p w14:paraId="69C03AF2"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80.6%</w:t>
            </w:r>
          </w:p>
        </w:tc>
        <w:tc>
          <w:tcPr>
            <w:tcW w:w="1928" w:type="dxa"/>
            <w:vAlign w:val="center"/>
          </w:tcPr>
          <w:p w14:paraId="0EA24975"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100.0%</w:t>
            </w:r>
          </w:p>
        </w:tc>
      </w:tr>
      <w:tr w:rsidR="002A7944" w:rsidRPr="000352BE" w14:paraId="0ACBAF9D" w14:textId="77777777" w:rsidTr="00006714">
        <w:trPr>
          <w:trHeight w:val="454"/>
        </w:trPr>
        <w:tc>
          <w:tcPr>
            <w:tcW w:w="708" w:type="dxa"/>
            <w:vMerge/>
            <w:vAlign w:val="center"/>
          </w:tcPr>
          <w:p w14:paraId="36C468E8" w14:textId="77777777" w:rsidR="002A7944" w:rsidRPr="000352BE" w:rsidRDefault="002A7944" w:rsidP="00006714">
            <w:pPr>
              <w:spacing w:after="0" w:line="240" w:lineRule="auto"/>
              <w:jc w:val="center"/>
              <w:rPr>
                <w:rFonts w:ascii="Calibri" w:hAnsi="Calibri" w:cs="Calibri"/>
                <w:b/>
                <w:bCs/>
                <w:color w:val="auto"/>
                <w:sz w:val="20"/>
                <w:szCs w:val="20"/>
              </w:rPr>
            </w:pPr>
          </w:p>
        </w:tc>
        <w:tc>
          <w:tcPr>
            <w:tcW w:w="2494" w:type="dxa"/>
            <w:vAlign w:val="center"/>
          </w:tcPr>
          <w:p w14:paraId="27F967EC"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 xml:space="preserve">% within </w:t>
            </w:r>
            <w:r w:rsidRPr="000352BE">
              <w:rPr>
                <w:rFonts w:ascii="Calibri" w:eastAsia="Arial" w:hAnsi="Calibri" w:cs="Calibri"/>
                <w:caps/>
                <w:color w:val="auto"/>
                <w:sz w:val="20"/>
                <w:szCs w:val="20"/>
              </w:rPr>
              <w:t>balance</w:t>
            </w:r>
          </w:p>
        </w:tc>
        <w:tc>
          <w:tcPr>
            <w:tcW w:w="1928" w:type="dxa"/>
            <w:vAlign w:val="center"/>
          </w:tcPr>
          <w:p w14:paraId="261498D6"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0%</w:t>
            </w:r>
          </w:p>
        </w:tc>
        <w:tc>
          <w:tcPr>
            <w:tcW w:w="1928" w:type="dxa"/>
            <w:vAlign w:val="center"/>
          </w:tcPr>
          <w:p w14:paraId="7F3803E2"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63.6%</w:t>
            </w:r>
          </w:p>
        </w:tc>
        <w:tc>
          <w:tcPr>
            <w:tcW w:w="1928" w:type="dxa"/>
            <w:vAlign w:val="center"/>
          </w:tcPr>
          <w:p w14:paraId="22F9F382"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49.2%</w:t>
            </w:r>
          </w:p>
        </w:tc>
        <w:tc>
          <w:tcPr>
            <w:tcW w:w="1928" w:type="dxa"/>
            <w:vAlign w:val="center"/>
          </w:tcPr>
          <w:p w14:paraId="69FF862F"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51.4%</w:t>
            </w:r>
          </w:p>
        </w:tc>
      </w:tr>
      <w:tr w:rsidR="002A7944" w:rsidRPr="000352BE" w14:paraId="4A6D2626" w14:textId="77777777" w:rsidTr="00006714">
        <w:trPr>
          <w:trHeight w:val="454"/>
        </w:trPr>
        <w:tc>
          <w:tcPr>
            <w:tcW w:w="708" w:type="dxa"/>
            <w:vMerge w:val="restart"/>
            <w:vAlign w:val="center"/>
          </w:tcPr>
          <w:p w14:paraId="431CDB26" w14:textId="77777777" w:rsidR="002A7944" w:rsidRPr="000352BE" w:rsidRDefault="002A7944" w:rsidP="00006714">
            <w:pPr>
              <w:spacing w:after="0" w:line="240" w:lineRule="auto"/>
              <w:ind w:left="30" w:right="40"/>
              <w:jc w:val="center"/>
              <w:rPr>
                <w:rFonts w:ascii="Calibri" w:hAnsi="Calibri" w:cs="Calibri"/>
                <w:b/>
                <w:bCs/>
                <w:caps/>
                <w:color w:val="auto"/>
                <w:sz w:val="20"/>
                <w:szCs w:val="20"/>
              </w:rPr>
            </w:pPr>
            <w:r w:rsidRPr="000352BE">
              <w:rPr>
                <w:rFonts w:ascii="Calibri" w:eastAsia="Arial" w:hAnsi="Calibri" w:cs="Calibri"/>
                <w:b/>
                <w:bCs/>
                <w:caps/>
                <w:color w:val="auto"/>
                <w:sz w:val="20"/>
                <w:szCs w:val="20"/>
              </w:rPr>
              <w:t>Total</w:t>
            </w:r>
          </w:p>
        </w:tc>
        <w:tc>
          <w:tcPr>
            <w:tcW w:w="2494" w:type="dxa"/>
            <w:vAlign w:val="center"/>
          </w:tcPr>
          <w:p w14:paraId="451014B9"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Count</w:t>
            </w:r>
          </w:p>
        </w:tc>
        <w:tc>
          <w:tcPr>
            <w:tcW w:w="1928" w:type="dxa"/>
            <w:vAlign w:val="center"/>
          </w:tcPr>
          <w:p w14:paraId="14F7E7D5"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0</w:t>
            </w:r>
          </w:p>
        </w:tc>
        <w:tc>
          <w:tcPr>
            <w:tcW w:w="1928" w:type="dxa"/>
            <w:vAlign w:val="center"/>
          </w:tcPr>
          <w:p w14:paraId="05859C11"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11</w:t>
            </w:r>
          </w:p>
        </w:tc>
        <w:tc>
          <w:tcPr>
            <w:tcW w:w="1928" w:type="dxa"/>
            <w:vAlign w:val="center"/>
          </w:tcPr>
          <w:p w14:paraId="71C0E8CD"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59</w:t>
            </w:r>
          </w:p>
        </w:tc>
        <w:tc>
          <w:tcPr>
            <w:tcW w:w="1928" w:type="dxa"/>
            <w:vAlign w:val="center"/>
          </w:tcPr>
          <w:p w14:paraId="10AFFC42"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70</w:t>
            </w:r>
          </w:p>
        </w:tc>
      </w:tr>
      <w:tr w:rsidR="002A7944" w:rsidRPr="000352BE" w14:paraId="7F093326" w14:textId="77777777" w:rsidTr="00006714">
        <w:trPr>
          <w:trHeight w:val="454"/>
        </w:trPr>
        <w:tc>
          <w:tcPr>
            <w:tcW w:w="708" w:type="dxa"/>
            <w:vMerge/>
            <w:vAlign w:val="center"/>
          </w:tcPr>
          <w:p w14:paraId="585D6628" w14:textId="77777777" w:rsidR="002A7944" w:rsidRPr="000352BE" w:rsidRDefault="002A7944" w:rsidP="00006714">
            <w:pPr>
              <w:spacing w:after="0" w:line="240" w:lineRule="auto"/>
              <w:jc w:val="center"/>
              <w:rPr>
                <w:rFonts w:ascii="Calibri" w:hAnsi="Calibri" w:cs="Calibri"/>
                <w:color w:val="auto"/>
                <w:sz w:val="20"/>
                <w:szCs w:val="20"/>
              </w:rPr>
            </w:pPr>
          </w:p>
        </w:tc>
        <w:tc>
          <w:tcPr>
            <w:tcW w:w="2494" w:type="dxa"/>
            <w:vAlign w:val="center"/>
          </w:tcPr>
          <w:p w14:paraId="1224EB05"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 within GENDER</w:t>
            </w:r>
          </w:p>
        </w:tc>
        <w:tc>
          <w:tcPr>
            <w:tcW w:w="1928" w:type="dxa"/>
            <w:vAlign w:val="center"/>
          </w:tcPr>
          <w:p w14:paraId="2D58D42B"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0%</w:t>
            </w:r>
          </w:p>
        </w:tc>
        <w:tc>
          <w:tcPr>
            <w:tcW w:w="1928" w:type="dxa"/>
            <w:vAlign w:val="center"/>
          </w:tcPr>
          <w:p w14:paraId="43D035AF"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15.7%</w:t>
            </w:r>
          </w:p>
        </w:tc>
        <w:tc>
          <w:tcPr>
            <w:tcW w:w="1928" w:type="dxa"/>
            <w:vAlign w:val="center"/>
          </w:tcPr>
          <w:p w14:paraId="25A86007"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84.3%</w:t>
            </w:r>
          </w:p>
        </w:tc>
        <w:tc>
          <w:tcPr>
            <w:tcW w:w="1928" w:type="dxa"/>
            <w:vAlign w:val="center"/>
          </w:tcPr>
          <w:p w14:paraId="4778C422"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100.0%</w:t>
            </w:r>
          </w:p>
        </w:tc>
      </w:tr>
      <w:tr w:rsidR="002A7944" w:rsidRPr="000352BE" w14:paraId="7A3DF6EB" w14:textId="77777777" w:rsidTr="00006714">
        <w:trPr>
          <w:trHeight w:val="454"/>
        </w:trPr>
        <w:tc>
          <w:tcPr>
            <w:tcW w:w="708" w:type="dxa"/>
            <w:vMerge/>
            <w:vAlign w:val="center"/>
          </w:tcPr>
          <w:p w14:paraId="1EFC411A" w14:textId="77777777" w:rsidR="002A7944" w:rsidRPr="000352BE" w:rsidRDefault="002A7944" w:rsidP="00006714">
            <w:pPr>
              <w:spacing w:after="0" w:line="240" w:lineRule="auto"/>
              <w:jc w:val="center"/>
              <w:rPr>
                <w:rFonts w:ascii="Calibri" w:hAnsi="Calibri" w:cs="Calibri"/>
                <w:color w:val="auto"/>
                <w:sz w:val="20"/>
                <w:szCs w:val="20"/>
              </w:rPr>
            </w:pPr>
          </w:p>
        </w:tc>
        <w:tc>
          <w:tcPr>
            <w:tcW w:w="2494" w:type="dxa"/>
            <w:vAlign w:val="center"/>
          </w:tcPr>
          <w:p w14:paraId="4E5A4581"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 xml:space="preserve">% within </w:t>
            </w:r>
            <w:r w:rsidRPr="000352BE">
              <w:rPr>
                <w:rFonts w:ascii="Calibri" w:eastAsia="Arial" w:hAnsi="Calibri" w:cs="Calibri"/>
                <w:caps/>
                <w:color w:val="auto"/>
                <w:sz w:val="20"/>
                <w:szCs w:val="20"/>
              </w:rPr>
              <w:t>balance</w:t>
            </w:r>
          </w:p>
        </w:tc>
        <w:tc>
          <w:tcPr>
            <w:tcW w:w="1928" w:type="dxa"/>
            <w:vAlign w:val="center"/>
          </w:tcPr>
          <w:p w14:paraId="78295581"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0%</w:t>
            </w:r>
          </w:p>
        </w:tc>
        <w:tc>
          <w:tcPr>
            <w:tcW w:w="1928" w:type="dxa"/>
            <w:vAlign w:val="center"/>
          </w:tcPr>
          <w:p w14:paraId="64C2286D"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100.0%</w:t>
            </w:r>
          </w:p>
        </w:tc>
        <w:tc>
          <w:tcPr>
            <w:tcW w:w="1928" w:type="dxa"/>
            <w:vAlign w:val="center"/>
          </w:tcPr>
          <w:p w14:paraId="0795D377"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100.0%</w:t>
            </w:r>
          </w:p>
        </w:tc>
        <w:tc>
          <w:tcPr>
            <w:tcW w:w="1928" w:type="dxa"/>
            <w:vAlign w:val="center"/>
          </w:tcPr>
          <w:p w14:paraId="19DE24FE" w14:textId="77777777" w:rsidR="002A7944" w:rsidRPr="000352BE" w:rsidRDefault="002A7944" w:rsidP="00006714">
            <w:pPr>
              <w:spacing w:after="0" w:line="240" w:lineRule="auto"/>
              <w:ind w:left="30" w:right="40"/>
              <w:jc w:val="center"/>
              <w:rPr>
                <w:rFonts w:ascii="Calibri" w:hAnsi="Calibri" w:cs="Calibri"/>
                <w:color w:val="auto"/>
                <w:sz w:val="20"/>
                <w:szCs w:val="20"/>
              </w:rPr>
            </w:pPr>
            <w:r w:rsidRPr="000352BE">
              <w:rPr>
                <w:rFonts w:ascii="Calibri" w:eastAsia="Arial" w:hAnsi="Calibri" w:cs="Calibri"/>
                <w:color w:val="auto"/>
                <w:sz w:val="20"/>
                <w:szCs w:val="20"/>
              </w:rPr>
              <w:t>100.0%</w:t>
            </w:r>
          </w:p>
        </w:tc>
      </w:tr>
      <w:tr w:rsidR="002A7944" w:rsidRPr="000352BE" w14:paraId="6357C54A" w14:textId="77777777" w:rsidTr="00006714">
        <w:trPr>
          <w:trHeight w:val="454"/>
        </w:trPr>
        <w:tc>
          <w:tcPr>
            <w:tcW w:w="10914" w:type="dxa"/>
            <w:gridSpan w:val="6"/>
            <w:vAlign w:val="center"/>
          </w:tcPr>
          <w:p w14:paraId="36367CA0" w14:textId="77777777" w:rsidR="002A7944" w:rsidRPr="000352BE" w:rsidRDefault="002A7944" w:rsidP="00006714">
            <w:pPr>
              <w:spacing w:after="0" w:line="240" w:lineRule="auto"/>
              <w:ind w:left="30" w:right="40"/>
              <w:jc w:val="center"/>
              <w:rPr>
                <w:rFonts w:ascii="Calibri" w:eastAsia="Arial" w:hAnsi="Calibri" w:cs="Calibri"/>
                <w:b/>
                <w:bCs/>
                <w:color w:val="auto"/>
                <w:sz w:val="20"/>
                <w:szCs w:val="20"/>
              </w:rPr>
            </w:pPr>
            <w:r w:rsidRPr="000352BE">
              <w:rPr>
                <w:rFonts w:ascii="Calibri" w:eastAsia="Arial" w:hAnsi="Calibri" w:cs="Calibri"/>
                <w:b/>
                <w:bCs/>
                <w:caps/>
                <w:color w:val="auto"/>
                <w:sz w:val="20"/>
                <w:szCs w:val="20"/>
              </w:rPr>
              <w:t xml:space="preserve">mabc-2 subtest for balance BY </w:t>
            </w:r>
            <w:r w:rsidRPr="000352BE">
              <w:rPr>
                <w:rFonts w:ascii="Calibri" w:eastAsia="Arial" w:hAnsi="Calibri" w:cs="Calibri"/>
                <w:b/>
                <w:bCs/>
                <w:color w:val="auto"/>
                <w:sz w:val="20"/>
                <w:szCs w:val="20"/>
              </w:rPr>
              <w:t>SCHOOL</w:t>
            </w:r>
          </w:p>
        </w:tc>
      </w:tr>
      <w:tr w:rsidR="002A7944" w:rsidRPr="000352BE" w14:paraId="46F6588B" w14:textId="77777777" w:rsidTr="00006714">
        <w:trPr>
          <w:trHeight w:val="454"/>
        </w:trPr>
        <w:tc>
          <w:tcPr>
            <w:tcW w:w="708" w:type="dxa"/>
            <w:vMerge w:val="restart"/>
            <w:vAlign w:val="center"/>
          </w:tcPr>
          <w:p w14:paraId="39388671" w14:textId="77777777" w:rsidR="002A7944" w:rsidRPr="000352BE" w:rsidRDefault="002A7944" w:rsidP="00006714">
            <w:pPr>
              <w:spacing w:after="0" w:line="240" w:lineRule="auto"/>
              <w:jc w:val="center"/>
              <w:rPr>
                <w:rFonts w:ascii="Calibri" w:hAnsi="Calibri" w:cs="Calibri"/>
                <w:b/>
                <w:bCs/>
                <w:color w:val="auto"/>
                <w:sz w:val="20"/>
                <w:szCs w:val="20"/>
              </w:rPr>
            </w:pPr>
            <w:r w:rsidRPr="000352BE">
              <w:rPr>
                <w:rFonts w:ascii="Calibri" w:hAnsi="Calibri" w:cs="Calibri"/>
                <w:b/>
                <w:bCs/>
                <w:color w:val="auto"/>
                <w:kern w:val="0"/>
                <w:sz w:val="20"/>
                <w:szCs w:val="20"/>
              </w:rPr>
              <w:t>SCHOOL A</w:t>
            </w:r>
          </w:p>
        </w:tc>
        <w:tc>
          <w:tcPr>
            <w:tcW w:w="2494" w:type="dxa"/>
            <w:vAlign w:val="center"/>
          </w:tcPr>
          <w:p w14:paraId="488A7FBB"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auto"/>
                <w:kern w:val="0"/>
                <w:sz w:val="20"/>
                <w:szCs w:val="20"/>
              </w:rPr>
              <w:t>Count</w:t>
            </w:r>
          </w:p>
        </w:tc>
        <w:tc>
          <w:tcPr>
            <w:tcW w:w="1928" w:type="dxa"/>
            <w:vAlign w:val="center"/>
          </w:tcPr>
          <w:p w14:paraId="04530B3E"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eastAsia="Arial" w:hAnsi="Calibri" w:cs="Calibri"/>
                <w:color w:val="010205"/>
                <w:sz w:val="20"/>
                <w:szCs w:val="20"/>
              </w:rPr>
              <w:t>0</w:t>
            </w:r>
          </w:p>
        </w:tc>
        <w:tc>
          <w:tcPr>
            <w:tcW w:w="1928" w:type="dxa"/>
            <w:vAlign w:val="center"/>
          </w:tcPr>
          <w:p w14:paraId="00E308FE"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010205"/>
                <w:kern w:val="0"/>
                <w:sz w:val="20"/>
                <w:szCs w:val="20"/>
              </w:rPr>
              <w:t>3</w:t>
            </w:r>
          </w:p>
        </w:tc>
        <w:tc>
          <w:tcPr>
            <w:tcW w:w="1928" w:type="dxa"/>
            <w:vAlign w:val="center"/>
          </w:tcPr>
          <w:p w14:paraId="20DCA5FB"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010205"/>
                <w:kern w:val="0"/>
                <w:sz w:val="20"/>
                <w:szCs w:val="20"/>
              </w:rPr>
              <w:t>31</w:t>
            </w:r>
          </w:p>
        </w:tc>
        <w:tc>
          <w:tcPr>
            <w:tcW w:w="1928" w:type="dxa"/>
            <w:vAlign w:val="center"/>
          </w:tcPr>
          <w:p w14:paraId="4BD86061"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010205"/>
                <w:kern w:val="0"/>
                <w:sz w:val="20"/>
                <w:szCs w:val="20"/>
              </w:rPr>
              <w:t>34</w:t>
            </w:r>
          </w:p>
        </w:tc>
      </w:tr>
      <w:tr w:rsidR="002A7944" w:rsidRPr="000352BE" w14:paraId="72F857CE" w14:textId="77777777" w:rsidTr="00006714">
        <w:trPr>
          <w:trHeight w:val="454"/>
        </w:trPr>
        <w:tc>
          <w:tcPr>
            <w:tcW w:w="708" w:type="dxa"/>
            <w:vMerge/>
            <w:vAlign w:val="center"/>
          </w:tcPr>
          <w:p w14:paraId="73AFB2D8" w14:textId="77777777" w:rsidR="002A7944" w:rsidRPr="000352BE" w:rsidRDefault="002A7944" w:rsidP="00006714">
            <w:pPr>
              <w:spacing w:after="0" w:line="240" w:lineRule="auto"/>
              <w:jc w:val="center"/>
              <w:rPr>
                <w:rFonts w:ascii="Calibri" w:hAnsi="Calibri" w:cs="Calibri"/>
                <w:b/>
                <w:bCs/>
                <w:color w:val="auto"/>
                <w:sz w:val="20"/>
                <w:szCs w:val="20"/>
              </w:rPr>
            </w:pPr>
          </w:p>
        </w:tc>
        <w:tc>
          <w:tcPr>
            <w:tcW w:w="2494" w:type="dxa"/>
            <w:vAlign w:val="center"/>
          </w:tcPr>
          <w:p w14:paraId="366D0D51"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auto"/>
                <w:kern w:val="0"/>
                <w:sz w:val="20"/>
                <w:szCs w:val="20"/>
              </w:rPr>
              <w:t>% within SCHOOL</w:t>
            </w:r>
          </w:p>
        </w:tc>
        <w:tc>
          <w:tcPr>
            <w:tcW w:w="1928" w:type="dxa"/>
            <w:vAlign w:val="center"/>
          </w:tcPr>
          <w:p w14:paraId="10A4B837"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eastAsia="Arial" w:hAnsi="Calibri" w:cs="Calibri"/>
                <w:color w:val="010205"/>
                <w:sz w:val="20"/>
                <w:szCs w:val="20"/>
              </w:rPr>
              <w:t>0%</w:t>
            </w:r>
          </w:p>
        </w:tc>
        <w:tc>
          <w:tcPr>
            <w:tcW w:w="1928" w:type="dxa"/>
            <w:vAlign w:val="center"/>
          </w:tcPr>
          <w:p w14:paraId="1A3BDD04"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010205"/>
                <w:kern w:val="0"/>
                <w:sz w:val="20"/>
                <w:szCs w:val="20"/>
              </w:rPr>
              <w:t>8.8%</w:t>
            </w:r>
          </w:p>
        </w:tc>
        <w:tc>
          <w:tcPr>
            <w:tcW w:w="1928" w:type="dxa"/>
            <w:vAlign w:val="center"/>
          </w:tcPr>
          <w:p w14:paraId="059A9D6D"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010205"/>
                <w:kern w:val="0"/>
                <w:sz w:val="20"/>
                <w:szCs w:val="20"/>
              </w:rPr>
              <w:t>91.2%</w:t>
            </w:r>
          </w:p>
        </w:tc>
        <w:tc>
          <w:tcPr>
            <w:tcW w:w="1928" w:type="dxa"/>
            <w:vAlign w:val="center"/>
          </w:tcPr>
          <w:p w14:paraId="17961034"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010205"/>
                <w:kern w:val="0"/>
                <w:sz w:val="20"/>
                <w:szCs w:val="20"/>
              </w:rPr>
              <w:t>100.0%</w:t>
            </w:r>
          </w:p>
        </w:tc>
      </w:tr>
      <w:tr w:rsidR="002A7944" w:rsidRPr="000352BE" w14:paraId="366EA7A8" w14:textId="77777777" w:rsidTr="00006714">
        <w:trPr>
          <w:trHeight w:val="454"/>
        </w:trPr>
        <w:tc>
          <w:tcPr>
            <w:tcW w:w="708" w:type="dxa"/>
            <w:vMerge/>
            <w:vAlign w:val="center"/>
          </w:tcPr>
          <w:p w14:paraId="3C4D6D87" w14:textId="77777777" w:rsidR="002A7944" w:rsidRPr="000352BE" w:rsidRDefault="002A7944" w:rsidP="00006714">
            <w:pPr>
              <w:spacing w:after="0" w:line="240" w:lineRule="auto"/>
              <w:jc w:val="center"/>
              <w:rPr>
                <w:rFonts w:ascii="Calibri" w:hAnsi="Calibri" w:cs="Calibri"/>
                <w:b/>
                <w:bCs/>
                <w:color w:val="auto"/>
                <w:sz w:val="20"/>
                <w:szCs w:val="20"/>
              </w:rPr>
            </w:pPr>
          </w:p>
        </w:tc>
        <w:tc>
          <w:tcPr>
            <w:tcW w:w="2494" w:type="dxa"/>
            <w:vAlign w:val="center"/>
          </w:tcPr>
          <w:p w14:paraId="016F98E8"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auto"/>
                <w:kern w:val="0"/>
                <w:sz w:val="20"/>
                <w:szCs w:val="20"/>
              </w:rPr>
              <w:t xml:space="preserve">% within </w:t>
            </w:r>
            <w:r w:rsidRPr="000352BE">
              <w:rPr>
                <w:rFonts w:ascii="Calibri" w:eastAsia="Arial" w:hAnsi="Calibri" w:cs="Calibri"/>
                <w:caps/>
                <w:color w:val="auto"/>
                <w:sz w:val="20"/>
                <w:szCs w:val="20"/>
              </w:rPr>
              <w:t>balance</w:t>
            </w:r>
          </w:p>
        </w:tc>
        <w:tc>
          <w:tcPr>
            <w:tcW w:w="1928" w:type="dxa"/>
            <w:vAlign w:val="center"/>
          </w:tcPr>
          <w:p w14:paraId="3149ACFC"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eastAsia="Arial" w:hAnsi="Calibri" w:cs="Calibri"/>
                <w:color w:val="010205"/>
                <w:sz w:val="20"/>
                <w:szCs w:val="20"/>
              </w:rPr>
              <w:t>0%</w:t>
            </w:r>
          </w:p>
        </w:tc>
        <w:tc>
          <w:tcPr>
            <w:tcW w:w="1928" w:type="dxa"/>
            <w:vAlign w:val="center"/>
          </w:tcPr>
          <w:p w14:paraId="727E1BEF"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010205"/>
                <w:kern w:val="0"/>
                <w:sz w:val="20"/>
                <w:szCs w:val="20"/>
              </w:rPr>
              <w:t>27.3%</w:t>
            </w:r>
          </w:p>
        </w:tc>
        <w:tc>
          <w:tcPr>
            <w:tcW w:w="1928" w:type="dxa"/>
            <w:vAlign w:val="center"/>
          </w:tcPr>
          <w:p w14:paraId="6B0283BD"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010205"/>
                <w:kern w:val="0"/>
                <w:sz w:val="20"/>
                <w:szCs w:val="20"/>
              </w:rPr>
              <w:t>52.5%</w:t>
            </w:r>
          </w:p>
        </w:tc>
        <w:tc>
          <w:tcPr>
            <w:tcW w:w="1928" w:type="dxa"/>
            <w:vAlign w:val="center"/>
          </w:tcPr>
          <w:p w14:paraId="5A84DF12"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010205"/>
                <w:kern w:val="0"/>
                <w:sz w:val="20"/>
                <w:szCs w:val="20"/>
              </w:rPr>
              <w:t>48.6%</w:t>
            </w:r>
          </w:p>
        </w:tc>
      </w:tr>
      <w:tr w:rsidR="002A7944" w:rsidRPr="000352BE" w14:paraId="2897BA73" w14:textId="77777777" w:rsidTr="00006714">
        <w:trPr>
          <w:trHeight w:val="454"/>
        </w:trPr>
        <w:tc>
          <w:tcPr>
            <w:tcW w:w="708" w:type="dxa"/>
            <w:vMerge w:val="restart"/>
            <w:vAlign w:val="center"/>
          </w:tcPr>
          <w:p w14:paraId="4E22A402" w14:textId="77777777" w:rsidR="002A7944" w:rsidRPr="000352BE" w:rsidRDefault="002A7944" w:rsidP="00006714">
            <w:pPr>
              <w:spacing w:after="0" w:line="240" w:lineRule="auto"/>
              <w:jc w:val="center"/>
              <w:rPr>
                <w:rFonts w:ascii="Calibri" w:hAnsi="Calibri" w:cs="Calibri"/>
                <w:b/>
                <w:bCs/>
                <w:color w:val="auto"/>
                <w:sz w:val="20"/>
                <w:szCs w:val="20"/>
              </w:rPr>
            </w:pPr>
            <w:r w:rsidRPr="000352BE">
              <w:rPr>
                <w:rFonts w:ascii="Calibri" w:hAnsi="Calibri" w:cs="Calibri"/>
                <w:b/>
                <w:bCs/>
                <w:color w:val="auto"/>
                <w:kern w:val="0"/>
                <w:sz w:val="20"/>
                <w:szCs w:val="20"/>
              </w:rPr>
              <w:t>SCHOOL B</w:t>
            </w:r>
          </w:p>
        </w:tc>
        <w:tc>
          <w:tcPr>
            <w:tcW w:w="2494" w:type="dxa"/>
            <w:vAlign w:val="center"/>
          </w:tcPr>
          <w:p w14:paraId="21FAC19C"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auto"/>
                <w:kern w:val="0"/>
                <w:sz w:val="20"/>
                <w:szCs w:val="20"/>
              </w:rPr>
              <w:t>Count</w:t>
            </w:r>
          </w:p>
        </w:tc>
        <w:tc>
          <w:tcPr>
            <w:tcW w:w="1928" w:type="dxa"/>
            <w:vAlign w:val="center"/>
          </w:tcPr>
          <w:p w14:paraId="2BE25231"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eastAsia="Arial" w:hAnsi="Calibri" w:cs="Calibri"/>
                <w:color w:val="010205"/>
                <w:sz w:val="20"/>
                <w:szCs w:val="20"/>
              </w:rPr>
              <w:t>0</w:t>
            </w:r>
          </w:p>
        </w:tc>
        <w:tc>
          <w:tcPr>
            <w:tcW w:w="1928" w:type="dxa"/>
            <w:vAlign w:val="center"/>
          </w:tcPr>
          <w:p w14:paraId="2477F772"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010205"/>
                <w:kern w:val="0"/>
                <w:sz w:val="20"/>
                <w:szCs w:val="20"/>
              </w:rPr>
              <w:t>8</w:t>
            </w:r>
          </w:p>
        </w:tc>
        <w:tc>
          <w:tcPr>
            <w:tcW w:w="1928" w:type="dxa"/>
            <w:vAlign w:val="center"/>
          </w:tcPr>
          <w:p w14:paraId="295C9B7E"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010205"/>
                <w:kern w:val="0"/>
                <w:sz w:val="20"/>
                <w:szCs w:val="20"/>
              </w:rPr>
              <w:t>28</w:t>
            </w:r>
          </w:p>
        </w:tc>
        <w:tc>
          <w:tcPr>
            <w:tcW w:w="1928" w:type="dxa"/>
            <w:vAlign w:val="center"/>
          </w:tcPr>
          <w:p w14:paraId="60C60AC3"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010205"/>
                <w:kern w:val="0"/>
                <w:sz w:val="20"/>
                <w:szCs w:val="20"/>
              </w:rPr>
              <w:t>36</w:t>
            </w:r>
          </w:p>
        </w:tc>
      </w:tr>
      <w:tr w:rsidR="002A7944" w:rsidRPr="000352BE" w14:paraId="47DAB4C2" w14:textId="77777777" w:rsidTr="00006714">
        <w:trPr>
          <w:trHeight w:val="454"/>
        </w:trPr>
        <w:tc>
          <w:tcPr>
            <w:tcW w:w="708" w:type="dxa"/>
            <w:vMerge/>
            <w:vAlign w:val="center"/>
          </w:tcPr>
          <w:p w14:paraId="5FD89EEC" w14:textId="77777777" w:rsidR="002A7944" w:rsidRPr="000352BE" w:rsidRDefault="002A7944" w:rsidP="00006714">
            <w:pPr>
              <w:spacing w:after="0" w:line="240" w:lineRule="auto"/>
              <w:jc w:val="center"/>
              <w:rPr>
                <w:rFonts w:ascii="Calibri" w:hAnsi="Calibri" w:cs="Calibri"/>
                <w:b/>
                <w:bCs/>
                <w:color w:val="auto"/>
                <w:sz w:val="20"/>
                <w:szCs w:val="20"/>
              </w:rPr>
            </w:pPr>
          </w:p>
        </w:tc>
        <w:tc>
          <w:tcPr>
            <w:tcW w:w="2494" w:type="dxa"/>
            <w:vAlign w:val="center"/>
          </w:tcPr>
          <w:p w14:paraId="1455B913"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auto"/>
                <w:kern w:val="0"/>
                <w:sz w:val="20"/>
                <w:szCs w:val="20"/>
              </w:rPr>
              <w:t>% within SCHOOL</w:t>
            </w:r>
          </w:p>
        </w:tc>
        <w:tc>
          <w:tcPr>
            <w:tcW w:w="1928" w:type="dxa"/>
            <w:vAlign w:val="center"/>
          </w:tcPr>
          <w:p w14:paraId="37A9D29D"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eastAsia="Arial" w:hAnsi="Calibri" w:cs="Calibri"/>
                <w:color w:val="010205"/>
                <w:sz w:val="20"/>
                <w:szCs w:val="20"/>
              </w:rPr>
              <w:t>0%</w:t>
            </w:r>
          </w:p>
        </w:tc>
        <w:tc>
          <w:tcPr>
            <w:tcW w:w="1928" w:type="dxa"/>
            <w:vAlign w:val="center"/>
          </w:tcPr>
          <w:p w14:paraId="09019A2B"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010205"/>
                <w:kern w:val="0"/>
                <w:sz w:val="20"/>
                <w:szCs w:val="20"/>
              </w:rPr>
              <w:t>22.2%</w:t>
            </w:r>
          </w:p>
        </w:tc>
        <w:tc>
          <w:tcPr>
            <w:tcW w:w="1928" w:type="dxa"/>
            <w:vAlign w:val="center"/>
          </w:tcPr>
          <w:p w14:paraId="1D8421E4"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010205"/>
                <w:kern w:val="0"/>
                <w:sz w:val="20"/>
                <w:szCs w:val="20"/>
              </w:rPr>
              <w:t>77.8%</w:t>
            </w:r>
          </w:p>
        </w:tc>
        <w:tc>
          <w:tcPr>
            <w:tcW w:w="1928" w:type="dxa"/>
            <w:vAlign w:val="center"/>
          </w:tcPr>
          <w:p w14:paraId="7114D921"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010205"/>
                <w:kern w:val="0"/>
                <w:sz w:val="20"/>
                <w:szCs w:val="20"/>
              </w:rPr>
              <w:t>100.0%</w:t>
            </w:r>
          </w:p>
        </w:tc>
      </w:tr>
      <w:tr w:rsidR="002A7944" w:rsidRPr="000352BE" w14:paraId="0DDF3880" w14:textId="77777777" w:rsidTr="00006714">
        <w:trPr>
          <w:trHeight w:val="454"/>
        </w:trPr>
        <w:tc>
          <w:tcPr>
            <w:tcW w:w="708" w:type="dxa"/>
            <w:vMerge/>
            <w:tcBorders>
              <w:bottom w:val="single" w:sz="4" w:space="0" w:color="D9D9D9" w:themeColor="background1" w:themeShade="D9"/>
            </w:tcBorders>
            <w:vAlign w:val="center"/>
          </w:tcPr>
          <w:p w14:paraId="2C55545D" w14:textId="77777777" w:rsidR="002A7944" w:rsidRPr="000352BE" w:rsidRDefault="002A7944" w:rsidP="00006714">
            <w:pPr>
              <w:spacing w:after="0" w:line="240" w:lineRule="auto"/>
              <w:jc w:val="center"/>
              <w:rPr>
                <w:rFonts w:ascii="Calibri" w:hAnsi="Calibri" w:cs="Calibri"/>
                <w:b/>
                <w:bCs/>
                <w:color w:val="auto"/>
                <w:sz w:val="20"/>
                <w:szCs w:val="20"/>
              </w:rPr>
            </w:pPr>
          </w:p>
        </w:tc>
        <w:tc>
          <w:tcPr>
            <w:tcW w:w="2494" w:type="dxa"/>
            <w:tcBorders>
              <w:bottom w:val="single" w:sz="4" w:space="0" w:color="D9D9D9" w:themeColor="background1" w:themeShade="D9"/>
            </w:tcBorders>
            <w:vAlign w:val="center"/>
          </w:tcPr>
          <w:p w14:paraId="60923E1D"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auto"/>
                <w:kern w:val="0"/>
                <w:sz w:val="20"/>
                <w:szCs w:val="20"/>
              </w:rPr>
              <w:t xml:space="preserve">% within </w:t>
            </w:r>
            <w:r w:rsidRPr="000352BE">
              <w:rPr>
                <w:rFonts w:ascii="Calibri" w:eastAsia="Arial" w:hAnsi="Calibri" w:cs="Calibri"/>
                <w:caps/>
                <w:color w:val="auto"/>
                <w:sz w:val="20"/>
                <w:szCs w:val="20"/>
              </w:rPr>
              <w:t>balance</w:t>
            </w:r>
          </w:p>
        </w:tc>
        <w:tc>
          <w:tcPr>
            <w:tcW w:w="1928" w:type="dxa"/>
            <w:tcBorders>
              <w:bottom w:val="single" w:sz="4" w:space="0" w:color="D9D9D9" w:themeColor="background1" w:themeShade="D9"/>
            </w:tcBorders>
            <w:vAlign w:val="center"/>
          </w:tcPr>
          <w:p w14:paraId="6565BF91"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eastAsia="Arial" w:hAnsi="Calibri" w:cs="Calibri"/>
                <w:color w:val="010205"/>
                <w:sz w:val="20"/>
                <w:szCs w:val="20"/>
              </w:rPr>
              <w:t>0%</w:t>
            </w:r>
          </w:p>
        </w:tc>
        <w:tc>
          <w:tcPr>
            <w:tcW w:w="1928" w:type="dxa"/>
            <w:tcBorders>
              <w:bottom w:val="single" w:sz="4" w:space="0" w:color="D9D9D9" w:themeColor="background1" w:themeShade="D9"/>
            </w:tcBorders>
            <w:vAlign w:val="center"/>
          </w:tcPr>
          <w:p w14:paraId="0B730023"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010205"/>
                <w:kern w:val="0"/>
                <w:sz w:val="20"/>
                <w:szCs w:val="20"/>
              </w:rPr>
              <w:t>72.7%</w:t>
            </w:r>
          </w:p>
        </w:tc>
        <w:tc>
          <w:tcPr>
            <w:tcW w:w="1928" w:type="dxa"/>
            <w:tcBorders>
              <w:bottom w:val="single" w:sz="4" w:space="0" w:color="D9D9D9" w:themeColor="background1" w:themeShade="D9"/>
            </w:tcBorders>
            <w:vAlign w:val="center"/>
          </w:tcPr>
          <w:p w14:paraId="55D8E5C0"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010205"/>
                <w:kern w:val="0"/>
                <w:sz w:val="20"/>
                <w:szCs w:val="20"/>
              </w:rPr>
              <w:t>47.5%</w:t>
            </w:r>
          </w:p>
        </w:tc>
        <w:tc>
          <w:tcPr>
            <w:tcW w:w="1928" w:type="dxa"/>
            <w:tcBorders>
              <w:bottom w:val="single" w:sz="4" w:space="0" w:color="D9D9D9" w:themeColor="background1" w:themeShade="D9"/>
            </w:tcBorders>
            <w:vAlign w:val="center"/>
          </w:tcPr>
          <w:p w14:paraId="7CF2E8F0"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010205"/>
                <w:kern w:val="0"/>
                <w:sz w:val="20"/>
                <w:szCs w:val="20"/>
              </w:rPr>
              <w:t>51.4%</w:t>
            </w:r>
          </w:p>
        </w:tc>
      </w:tr>
      <w:tr w:rsidR="002A7944" w:rsidRPr="000352BE" w14:paraId="1942D7D7" w14:textId="77777777" w:rsidTr="00006714">
        <w:trPr>
          <w:trHeight w:val="454"/>
        </w:trPr>
        <w:tc>
          <w:tcPr>
            <w:tcW w:w="708" w:type="dxa"/>
            <w:vMerge w:val="restart"/>
            <w:vAlign w:val="center"/>
          </w:tcPr>
          <w:p w14:paraId="47873CF9" w14:textId="77777777" w:rsidR="002A7944" w:rsidRPr="000352BE" w:rsidRDefault="002A7944" w:rsidP="00006714">
            <w:pPr>
              <w:spacing w:after="0" w:line="240" w:lineRule="auto"/>
              <w:jc w:val="center"/>
              <w:rPr>
                <w:rFonts w:ascii="Calibri" w:hAnsi="Calibri" w:cs="Calibri"/>
                <w:b/>
                <w:bCs/>
                <w:color w:val="auto"/>
                <w:sz w:val="20"/>
                <w:szCs w:val="20"/>
              </w:rPr>
            </w:pPr>
            <w:r w:rsidRPr="000352BE">
              <w:rPr>
                <w:rFonts w:ascii="Calibri" w:hAnsi="Calibri" w:cs="Calibri"/>
                <w:b/>
                <w:bCs/>
                <w:color w:val="auto"/>
                <w:sz w:val="20"/>
                <w:szCs w:val="20"/>
              </w:rPr>
              <w:t>TOTAL</w:t>
            </w:r>
          </w:p>
        </w:tc>
        <w:tc>
          <w:tcPr>
            <w:tcW w:w="2494" w:type="dxa"/>
            <w:vAlign w:val="center"/>
          </w:tcPr>
          <w:p w14:paraId="2A3AF852"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auto"/>
                <w:kern w:val="0"/>
                <w:sz w:val="20"/>
                <w:szCs w:val="20"/>
              </w:rPr>
              <w:t>Count</w:t>
            </w:r>
          </w:p>
        </w:tc>
        <w:tc>
          <w:tcPr>
            <w:tcW w:w="1928" w:type="dxa"/>
            <w:vAlign w:val="center"/>
          </w:tcPr>
          <w:p w14:paraId="33552FCA"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eastAsia="Arial" w:hAnsi="Calibri" w:cs="Calibri"/>
                <w:color w:val="010205"/>
                <w:sz w:val="20"/>
                <w:szCs w:val="20"/>
              </w:rPr>
              <w:t>0</w:t>
            </w:r>
          </w:p>
        </w:tc>
        <w:tc>
          <w:tcPr>
            <w:tcW w:w="1928" w:type="dxa"/>
            <w:vAlign w:val="center"/>
          </w:tcPr>
          <w:p w14:paraId="66173597"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010205"/>
                <w:kern w:val="0"/>
                <w:sz w:val="20"/>
                <w:szCs w:val="20"/>
              </w:rPr>
              <w:t>11</w:t>
            </w:r>
          </w:p>
        </w:tc>
        <w:tc>
          <w:tcPr>
            <w:tcW w:w="1928" w:type="dxa"/>
            <w:vAlign w:val="center"/>
          </w:tcPr>
          <w:p w14:paraId="236FE090"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010205"/>
                <w:kern w:val="0"/>
                <w:sz w:val="20"/>
                <w:szCs w:val="20"/>
              </w:rPr>
              <w:t>59</w:t>
            </w:r>
          </w:p>
        </w:tc>
        <w:tc>
          <w:tcPr>
            <w:tcW w:w="1928" w:type="dxa"/>
            <w:vAlign w:val="center"/>
          </w:tcPr>
          <w:p w14:paraId="1606ADB6"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010205"/>
                <w:kern w:val="0"/>
                <w:sz w:val="20"/>
                <w:szCs w:val="20"/>
              </w:rPr>
              <w:t>70</w:t>
            </w:r>
          </w:p>
        </w:tc>
      </w:tr>
      <w:tr w:rsidR="002A7944" w:rsidRPr="000352BE" w14:paraId="35B1A47E" w14:textId="77777777" w:rsidTr="00006714">
        <w:trPr>
          <w:trHeight w:val="454"/>
        </w:trPr>
        <w:tc>
          <w:tcPr>
            <w:tcW w:w="708" w:type="dxa"/>
            <w:vMerge/>
            <w:vAlign w:val="center"/>
          </w:tcPr>
          <w:p w14:paraId="345F19D7" w14:textId="77777777" w:rsidR="002A7944" w:rsidRPr="000352BE" w:rsidRDefault="002A7944" w:rsidP="00006714">
            <w:pPr>
              <w:spacing w:after="0" w:line="240" w:lineRule="auto"/>
              <w:jc w:val="center"/>
              <w:rPr>
                <w:rFonts w:ascii="Calibri" w:hAnsi="Calibri" w:cs="Calibri"/>
                <w:color w:val="auto"/>
                <w:sz w:val="20"/>
                <w:szCs w:val="20"/>
              </w:rPr>
            </w:pPr>
          </w:p>
        </w:tc>
        <w:tc>
          <w:tcPr>
            <w:tcW w:w="2494" w:type="dxa"/>
            <w:vAlign w:val="center"/>
          </w:tcPr>
          <w:p w14:paraId="3F6F1290"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auto"/>
                <w:kern w:val="0"/>
                <w:sz w:val="20"/>
                <w:szCs w:val="20"/>
              </w:rPr>
              <w:t>% within SCHOOL</w:t>
            </w:r>
          </w:p>
        </w:tc>
        <w:tc>
          <w:tcPr>
            <w:tcW w:w="1928" w:type="dxa"/>
            <w:vAlign w:val="center"/>
          </w:tcPr>
          <w:p w14:paraId="232806C4"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eastAsia="Arial" w:hAnsi="Calibri" w:cs="Calibri"/>
                <w:color w:val="010205"/>
                <w:sz w:val="20"/>
                <w:szCs w:val="20"/>
              </w:rPr>
              <w:t>0%</w:t>
            </w:r>
          </w:p>
        </w:tc>
        <w:tc>
          <w:tcPr>
            <w:tcW w:w="1928" w:type="dxa"/>
            <w:vAlign w:val="center"/>
          </w:tcPr>
          <w:p w14:paraId="5198489F"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010205"/>
                <w:kern w:val="0"/>
                <w:sz w:val="20"/>
                <w:szCs w:val="20"/>
              </w:rPr>
              <w:t>15.7%</w:t>
            </w:r>
          </w:p>
        </w:tc>
        <w:tc>
          <w:tcPr>
            <w:tcW w:w="1928" w:type="dxa"/>
            <w:vAlign w:val="center"/>
          </w:tcPr>
          <w:p w14:paraId="5A26D72C"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010205"/>
                <w:kern w:val="0"/>
                <w:sz w:val="20"/>
                <w:szCs w:val="20"/>
              </w:rPr>
              <w:t>84.3%</w:t>
            </w:r>
          </w:p>
        </w:tc>
        <w:tc>
          <w:tcPr>
            <w:tcW w:w="1928" w:type="dxa"/>
            <w:vAlign w:val="center"/>
          </w:tcPr>
          <w:p w14:paraId="1F19A3E7"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010205"/>
                <w:kern w:val="0"/>
                <w:sz w:val="20"/>
                <w:szCs w:val="20"/>
              </w:rPr>
              <w:t>100.0%</w:t>
            </w:r>
          </w:p>
        </w:tc>
      </w:tr>
      <w:tr w:rsidR="002A7944" w:rsidRPr="000352BE" w14:paraId="5E0DD6DA" w14:textId="77777777" w:rsidTr="00006714">
        <w:trPr>
          <w:trHeight w:val="454"/>
        </w:trPr>
        <w:tc>
          <w:tcPr>
            <w:tcW w:w="708" w:type="dxa"/>
            <w:vMerge/>
            <w:tcBorders>
              <w:bottom w:val="single" w:sz="4" w:space="0" w:color="D9D9D9" w:themeColor="background1" w:themeShade="D9"/>
            </w:tcBorders>
            <w:vAlign w:val="center"/>
          </w:tcPr>
          <w:p w14:paraId="7B004BDD" w14:textId="77777777" w:rsidR="002A7944" w:rsidRPr="000352BE" w:rsidRDefault="002A7944" w:rsidP="00006714">
            <w:pPr>
              <w:spacing w:after="0" w:line="240" w:lineRule="auto"/>
              <w:jc w:val="center"/>
              <w:rPr>
                <w:rFonts w:ascii="Calibri" w:hAnsi="Calibri" w:cs="Calibri"/>
                <w:color w:val="auto"/>
                <w:sz w:val="20"/>
                <w:szCs w:val="20"/>
              </w:rPr>
            </w:pPr>
          </w:p>
        </w:tc>
        <w:tc>
          <w:tcPr>
            <w:tcW w:w="2494" w:type="dxa"/>
            <w:tcBorders>
              <w:bottom w:val="single" w:sz="4" w:space="0" w:color="D9D9D9" w:themeColor="background1" w:themeShade="D9"/>
            </w:tcBorders>
            <w:vAlign w:val="center"/>
          </w:tcPr>
          <w:p w14:paraId="556B522C"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auto"/>
                <w:kern w:val="0"/>
                <w:sz w:val="20"/>
                <w:szCs w:val="20"/>
              </w:rPr>
              <w:t xml:space="preserve">% within </w:t>
            </w:r>
            <w:r w:rsidRPr="000352BE">
              <w:rPr>
                <w:rFonts w:ascii="Calibri" w:eastAsia="Arial" w:hAnsi="Calibri" w:cs="Calibri"/>
                <w:caps/>
                <w:color w:val="auto"/>
                <w:sz w:val="20"/>
                <w:szCs w:val="20"/>
              </w:rPr>
              <w:t>balance</w:t>
            </w:r>
          </w:p>
        </w:tc>
        <w:tc>
          <w:tcPr>
            <w:tcW w:w="1928" w:type="dxa"/>
            <w:tcBorders>
              <w:bottom w:val="single" w:sz="4" w:space="0" w:color="D9D9D9" w:themeColor="background1" w:themeShade="D9"/>
            </w:tcBorders>
            <w:vAlign w:val="center"/>
          </w:tcPr>
          <w:p w14:paraId="113C499D"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eastAsia="Arial" w:hAnsi="Calibri" w:cs="Calibri"/>
                <w:color w:val="010205"/>
                <w:sz w:val="20"/>
                <w:szCs w:val="20"/>
              </w:rPr>
              <w:t>0%</w:t>
            </w:r>
          </w:p>
        </w:tc>
        <w:tc>
          <w:tcPr>
            <w:tcW w:w="1928" w:type="dxa"/>
            <w:tcBorders>
              <w:bottom w:val="single" w:sz="4" w:space="0" w:color="D9D9D9" w:themeColor="background1" w:themeShade="D9"/>
            </w:tcBorders>
            <w:vAlign w:val="center"/>
          </w:tcPr>
          <w:p w14:paraId="50E0C787"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010205"/>
                <w:kern w:val="0"/>
                <w:sz w:val="20"/>
                <w:szCs w:val="20"/>
              </w:rPr>
              <w:t>100.0%</w:t>
            </w:r>
          </w:p>
        </w:tc>
        <w:tc>
          <w:tcPr>
            <w:tcW w:w="1928" w:type="dxa"/>
            <w:tcBorders>
              <w:bottom w:val="single" w:sz="4" w:space="0" w:color="D9D9D9" w:themeColor="background1" w:themeShade="D9"/>
            </w:tcBorders>
            <w:vAlign w:val="center"/>
          </w:tcPr>
          <w:p w14:paraId="5A53686C"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010205"/>
                <w:kern w:val="0"/>
                <w:sz w:val="20"/>
                <w:szCs w:val="20"/>
              </w:rPr>
              <w:t>100.0%</w:t>
            </w:r>
          </w:p>
        </w:tc>
        <w:tc>
          <w:tcPr>
            <w:tcW w:w="1928" w:type="dxa"/>
            <w:tcBorders>
              <w:bottom w:val="single" w:sz="4" w:space="0" w:color="D9D9D9" w:themeColor="background1" w:themeShade="D9"/>
            </w:tcBorders>
            <w:vAlign w:val="center"/>
          </w:tcPr>
          <w:p w14:paraId="4CD9E408" w14:textId="77777777" w:rsidR="002A7944" w:rsidRPr="000352BE" w:rsidRDefault="002A7944" w:rsidP="00006714">
            <w:pPr>
              <w:spacing w:after="0" w:line="240" w:lineRule="auto"/>
              <w:ind w:left="30" w:right="40"/>
              <w:jc w:val="center"/>
              <w:rPr>
                <w:rFonts w:ascii="Calibri" w:eastAsia="Arial" w:hAnsi="Calibri" w:cs="Calibri"/>
                <w:color w:val="auto"/>
                <w:sz w:val="20"/>
                <w:szCs w:val="20"/>
              </w:rPr>
            </w:pPr>
            <w:r w:rsidRPr="000352BE">
              <w:rPr>
                <w:rFonts w:ascii="Calibri" w:hAnsi="Calibri" w:cs="Calibri"/>
                <w:color w:val="010205"/>
                <w:kern w:val="0"/>
                <w:sz w:val="20"/>
                <w:szCs w:val="20"/>
              </w:rPr>
              <w:t>100.0%</w:t>
            </w:r>
          </w:p>
        </w:tc>
      </w:tr>
      <w:tr w:rsidR="002A7944" w:rsidRPr="000352BE" w14:paraId="7AD96C45" w14:textId="77777777" w:rsidTr="00006714">
        <w:trPr>
          <w:trHeight w:val="454"/>
        </w:trPr>
        <w:tc>
          <w:tcPr>
            <w:tcW w:w="10914" w:type="dxa"/>
            <w:gridSpan w:val="6"/>
            <w:tcBorders>
              <w:top w:val="single" w:sz="4" w:space="0" w:color="D9D9D9" w:themeColor="background1" w:themeShade="D9"/>
              <w:left w:val="nil"/>
              <w:bottom w:val="nil"/>
              <w:right w:val="nil"/>
            </w:tcBorders>
            <w:vAlign w:val="center"/>
          </w:tcPr>
          <w:p w14:paraId="53F86221" w14:textId="77777777" w:rsidR="002A7944" w:rsidRPr="000352BE" w:rsidRDefault="002A7944" w:rsidP="00006714">
            <w:pPr>
              <w:spacing w:after="0" w:line="240" w:lineRule="auto"/>
              <w:ind w:left="30" w:right="40"/>
              <w:jc w:val="right"/>
              <w:rPr>
                <w:rFonts w:ascii="Calibri" w:eastAsia="Arial" w:hAnsi="Calibri" w:cs="Calibri"/>
                <w:b/>
                <w:bCs/>
                <w:caps/>
                <w:color w:val="auto"/>
                <w:sz w:val="20"/>
                <w:szCs w:val="20"/>
              </w:rPr>
            </w:pPr>
            <w:r w:rsidRPr="000352BE">
              <w:rPr>
                <w:rFonts w:ascii="Calibri" w:hAnsi="Calibri" w:cs="Calibri"/>
                <w:color w:val="auto"/>
                <w:kern w:val="0"/>
                <w:sz w:val="20"/>
                <w:szCs w:val="20"/>
              </w:rPr>
              <w:t xml:space="preserve">Table 8: Crosstabulation of </w:t>
            </w:r>
            <w:r w:rsidRPr="000352BE">
              <w:rPr>
                <w:rFonts w:ascii="Calibri" w:eastAsia="Arial" w:hAnsi="Calibri" w:cs="Calibri"/>
                <w:caps/>
                <w:color w:val="auto"/>
                <w:sz w:val="20"/>
                <w:szCs w:val="20"/>
              </w:rPr>
              <w:t>BALANCE</w:t>
            </w:r>
            <w:r w:rsidRPr="000352BE">
              <w:rPr>
                <w:rFonts w:ascii="Calibri" w:eastAsia="Arial" w:hAnsi="Calibri" w:cs="Calibri"/>
                <w:b/>
                <w:bCs/>
                <w:caps/>
                <w:color w:val="auto"/>
                <w:sz w:val="20"/>
                <w:szCs w:val="20"/>
              </w:rPr>
              <w:t xml:space="preserve"> </w:t>
            </w:r>
            <w:r w:rsidRPr="000352BE">
              <w:rPr>
                <w:rFonts w:ascii="Calibri" w:hAnsi="Calibri" w:cs="Calibri"/>
                <w:color w:val="auto"/>
                <w:kern w:val="0"/>
                <w:sz w:val="20"/>
                <w:szCs w:val="20"/>
              </w:rPr>
              <w:t>for Gender and School</w:t>
            </w:r>
          </w:p>
        </w:tc>
      </w:tr>
    </w:tbl>
    <w:p w14:paraId="22512D97" w14:textId="09128258" w:rsidR="002A7944" w:rsidRPr="000352BE" w:rsidRDefault="002A7944" w:rsidP="002A7944">
      <w:pPr>
        <w:spacing w:after="0" w:line="360" w:lineRule="auto"/>
        <w:jc w:val="both"/>
        <w:rPr>
          <w:rFonts w:ascii="Calibri" w:hAnsi="Calibri" w:cs="Calibri"/>
          <w:color w:val="auto"/>
          <w:sz w:val="22"/>
          <w:szCs w:val="22"/>
        </w:rPr>
      </w:pPr>
      <w:r w:rsidRPr="000352BE">
        <w:rPr>
          <w:rFonts w:ascii="Calibri" w:hAnsi="Calibri" w:cs="Calibri"/>
          <w:color w:val="auto"/>
          <w:sz w:val="22"/>
          <w:szCs w:val="22"/>
        </w:rPr>
        <w:lastRenderedPageBreak/>
        <w:t xml:space="preserve">When comparing the results from the EYFS Data and the results from the MABC-2 it highlights a significant difference. The EYFS framework aims to monitor general developmental progress, focusing on readiness for school, such as reading, writing and numeracy, whereas MABC-2 specifically identifies motor difficulties (Henderson et al., 2007). </w:t>
      </w:r>
      <w:r w:rsidR="00BA7FC6">
        <w:rPr>
          <w:rFonts w:ascii="Calibri" w:hAnsi="Calibri" w:cs="Calibri"/>
          <w:color w:val="auto"/>
          <w:sz w:val="22"/>
          <w:szCs w:val="22"/>
        </w:rPr>
        <w:t xml:space="preserve"> </w:t>
      </w:r>
      <w:r w:rsidRPr="000352BE">
        <w:rPr>
          <w:rFonts w:ascii="Calibri" w:hAnsi="Calibri" w:cs="Calibri"/>
          <w:color w:val="auto"/>
          <w:sz w:val="22"/>
          <w:szCs w:val="22"/>
        </w:rPr>
        <w:t>According to the EYFS Data, where the results are from teacher assessments, 68.66% of pupils were recorded as achieving a GLD suggesting that the majority of children were developing as expected within their settings.</w:t>
      </w:r>
    </w:p>
    <w:p w14:paraId="1F4EBC65" w14:textId="77777777" w:rsidR="002A7944" w:rsidRPr="000352BE" w:rsidRDefault="002A7944" w:rsidP="002A7944">
      <w:pPr>
        <w:spacing w:after="0" w:line="360" w:lineRule="auto"/>
        <w:jc w:val="both"/>
        <w:rPr>
          <w:rFonts w:ascii="Calibri" w:hAnsi="Calibri" w:cs="Calibri"/>
          <w:color w:val="auto"/>
          <w:sz w:val="22"/>
          <w:szCs w:val="22"/>
        </w:rPr>
      </w:pPr>
      <w:r w:rsidRPr="000352BE">
        <w:rPr>
          <w:rFonts w:ascii="Calibri" w:hAnsi="Calibri" w:cs="Calibri"/>
          <w:color w:val="auto"/>
          <w:sz w:val="22"/>
          <w:szCs w:val="22"/>
        </w:rPr>
        <w:t>However, the MABC-2 results showed that only 28.57% of children fell within the ‘</w:t>
      </w:r>
      <w:r w:rsidRPr="000352BE">
        <w:rPr>
          <w:rFonts w:ascii="Calibri" w:eastAsia="Times New Roman" w:hAnsi="Calibri" w:cs="Calibri"/>
          <w:color w:val="000000"/>
          <w:kern w:val="0"/>
          <w:sz w:val="22"/>
          <w:szCs w:val="22"/>
          <w:lang w:eastAsia="en-GB"/>
          <w14:ligatures w14:val="none"/>
        </w:rPr>
        <w:t>No movement difficulty detected</w:t>
      </w:r>
      <w:r w:rsidRPr="000352BE">
        <w:rPr>
          <w:rFonts w:ascii="Calibri" w:hAnsi="Calibri" w:cs="Calibri"/>
          <w:color w:val="auto"/>
          <w:sz w:val="22"/>
          <w:szCs w:val="22"/>
        </w:rPr>
        <w:t>’ category. This considerable difference suggests that children with any form of motor coordination difficulties are not necessarily being identified within the classroom setting.</w:t>
      </w:r>
    </w:p>
    <w:p w14:paraId="2A9E2D8F" w14:textId="77777777" w:rsidR="002A7944" w:rsidRPr="000352BE" w:rsidRDefault="002A7944" w:rsidP="002A7944">
      <w:pPr>
        <w:spacing w:after="0" w:line="360" w:lineRule="auto"/>
        <w:jc w:val="both"/>
        <w:rPr>
          <w:rFonts w:ascii="Calibri" w:hAnsi="Calibri" w:cs="Calibri"/>
          <w:color w:val="auto"/>
          <w:sz w:val="22"/>
          <w:szCs w:val="22"/>
        </w:rPr>
      </w:pPr>
    </w:p>
    <w:p w14:paraId="58B61D42" w14:textId="5CD06EFE" w:rsidR="002A7944" w:rsidRPr="000352BE" w:rsidRDefault="002A7944" w:rsidP="002A7944">
      <w:pPr>
        <w:spacing w:after="0" w:line="360" w:lineRule="auto"/>
        <w:jc w:val="both"/>
        <w:rPr>
          <w:rFonts w:ascii="Calibri" w:hAnsi="Calibri" w:cs="Calibri"/>
          <w:color w:val="auto"/>
          <w:sz w:val="22"/>
          <w:szCs w:val="22"/>
        </w:rPr>
      </w:pPr>
      <w:r w:rsidRPr="000352BE">
        <w:rPr>
          <w:rFonts w:ascii="Calibri" w:hAnsi="Calibri" w:cs="Calibri"/>
          <w:color w:val="auto"/>
          <w:sz w:val="22"/>
          <w:szCs w:val="22"/>
        </w:rPr>
        <w:t>We know that in the EY, teachers observe children across multiple areas of development, while physical development is part of this process, it may receive less attention. If the child is not showing severe signs of delay, and that other areas of the child’s behaviour are not affecting their day-to-day learning, then any delays in motor skills will go unidentified. Burton &amp; Miller (1998) suggests that subtle motor deficits, in particular those in less obvious fine motor are difficult to detect without the use of a specific test. So, using teachers’ observations during daily activities to assess a child does not specifically find the deficits that may be present.</w:t>
      </w:r>
      <w:r w:rsidR="00BA7FC6">
        <w:rPr>
          <w:rFonts w:ascii="Calibri" w:hAnsi="Calibri" w:cs="Calibri"/>
          <w:color w:val="auto"/>
          <w:sz w:val="22"/>
          <w:szCs w:val="22"/>
        </w:rPr>
        <w:t xml:space="preserve"> </w:t>
      </w:r>
      <w:r w:rsidRPr="000352BE">
        <w:rPr>
          <w:rFonts w:ascii="Calibri" w:hAnsi="Calibri" w:cs="Calibri"/>
          <w:color w:val="auto"/>
          <w:sz w:val="22"/>
          <w:szCs w:val="22"/>
        </w:rPr>
        <w:t>With the nature of the EYFS set up within schools in England, some children may be able to hide their perceived difficulties</w:t>
      </w:r>
      <w:r w:rsidR="00BA7FC6">
        <w:rPr>
          <w:rFonts w:ascii="Calibri" w:hAnsi="Calibri" w:cs="Calibri"/>
          <w:color w:val="auto"/>
          <w:sz w:val="22"/>
          <w:szCs w:val="22"/>
        </w:rPr>
        <w:t xml:space="preserve"> or with so many children with poo motor skills this has been normalised in EYFS settings</w:t>
      </w:r>
      <w:r w:rsidRPr="000352BE">
        <w:rPr>
          <w:rFonts w:ascii="Calibri" w:hAnsi="Calibri" w:cs="Calibri"/>
          <w:color w:val="auto"/>
          <w:sz w:val="22"/>
          <w:szCs w:val="22"/>
        </w:rPr>
        <w:t>, meaning any issues will only be presented through a more detail test, such as the MABC-2.</w:t>
      </w:r>
      <w:r w:rsidR="00BA7FC6">
        <w:rPr>
          <w:rFonts w:ascii="Calibri" w:hAnsi="Calibri" w:cs="Calibri"/>
          <w:color w:val="auto"/>
          <w:sz w:val="22"/>
          <w:szCs w:val="22"/>
        </w:rPr>
        <w:t xml:space="preserve"> </w:t>
      </w:r>
      <w:r w:rsidRPr="000352BE">
        <w:rPr>
          <w:rFonts w:ascii="Calibri" w:hAnsi="Calibri" w:cs="Calibri"/>
          <w:color w:val="auto"/>
          <w:sz w:val="22"/>
          <w:szCs w:val="22"/>
        </w:rPr>
        <w:t>The use of a standardised tool, such as MABC-2 to work alongside the current teacher assessment would be more beneficial in painting a clearer picture of a child’s development.</w:t>
      </w:r>
    </w:p>
    <w:p w14:paraId="13CAE498" w14:textId="62DA1426" w:rsidR="002A7944" w:rsidRPr="000352BE" w:rsidRDefault="002A7944" w:rsidP="002A7944">
      <w:pPr>
        <w:spacing w:after="0" w:line="360" w:lineRule="auto"/>
        <w:jc w:val="both"/>
        <w:rPr>
          <w:rFonts w:ascii="Calibri" w:hAnsi="Calibri" w:cs="Calibri"/>
          <w:color w:val="auto"/>
          <w:sz w:val="22"/>
          <w:szCs w:val="22"/>
        </w:rPr>
      </w:pPr>
      <w:r w:rsidRPr="000352BE">
        <w:rPr>
          <w:rFonts w:ascii="Calibri" w:hAnsi="Calibri" w:cs="Calibri"/>
          <w:color w:val="auto"/>
          <w:sz w:val="22"/>
          <w:szCs w:val="22"/>
        </w:rPr>
        <w:t xml:space="preserve">If we want to ensure children leaving the EYFS are fully prepared for ‘school life’ we need to make sure children with motor difficulties, are highlighted at the early stages. The early years of a child’s life is key to laying the foundations of good fundamental movement skills and ensuring lifelong participation in physical activity. </w:t>
      </w:r>
      <w:r w:rsidR="00BA7FC6">
        <w:rPr>
          <w:rFonts w:ascii="Calibri" w:hAnsi="Calibri" w:cs="Calibri"/>
          <w:color w:val="auto"/>
          <w:sz w:val="22"/>
          <w:szCs w:val="22"/>
        </w:rPr>
        <w:t xml:space="preserve"> </w:t>
      </w:r>
      <w:r w:rsidRPr="000352BE">
        <w:rPr>
          <w:rFonts w:ascii="Calibri" w:hAnsi="Calibri" w:cs="Calibri"/>
          <w:color w:val="auto"/>
          <w:sz w:val="22"/>
          <w:szCs w:val="22"/>
        </w:rPr>
        <w:t>Also, a greater focus must be placed on improving Initial Teacher Training, not just in the Early Years, but across all years, as the benefits of physical activity support all areas of learning. Supporting teachers in understanding physical development, and how to identify small discrepancies in children, and how best to work with them to improve, through targeted interventions, elements set up within the classroom setting and greater knowledge around the wider benefits of having children with good gross and fine motor skills.</w:t>
      </w:r>
    </w:p>
    <w:p w14:paraId="69B065EC" w14:textId="77777777" w:rsidR="002A7944" w:rsidRPr="000352BE" w:rsidRDefault="002A7944" w:rsidP="002A7944">
      <w:pPr>
        <w:spacing w:after="0" w:line="360" w:lineRule="auto"/>
        <w:jc w:val="both"/>
        <w:rPr>
          <w:rFonts w:ascii="Calibri" w:hAnsi="Calibri" w:cs="Calibri"/>
          <w:color w:val="auto"/>
          <w:sz w:val="22"/>
          <w:szCs w:val="22"/>
        </w:rPr>
      </w:pPr>
      <w:r w:rsidRPr="000352BE">
        <w:rPr>
          <w:rFonts w:ascii="Calibri" w:hAnsi="Calibri" w:cs="Calibri"/>
          <w:color w:val="auto"/>
          <w:sz w:val="22"/>
          <w:szCs w:val="22"/>
        </w:rPr>
        <w:t>There also needs to be more targeted CPD opportunities around physical development and motor skills within Early Years and the start of Primary Education. Developing a teacher’s knowledge in this area is a key step towards narrowing the gap between the results of a standardised test and that of their observational judgements.</w:t>
      </w:r>
    </w:p>
    <w:p w14:paraId="2F42EC3F" w14:textId="77777777" w:rsidR="002A7944" w:rsidRPr="000352BE" w:rsidRDefault="002A7944" w:rsidP="002A7944">
      <w:pPr>
        <w:spacing w:after="0" w:line="360" w:lineRule="auto"/>
        <w:jc w:val="both"/>
        <w:rPr>
          <w:rFonts w:ascii="Calibri" w:hAnsi="Calibri" w:cs="Calibri"/>
          <w:color w:val="auto"/>
          <w:sz w:val="22"/>
          <w:szCs w:val="22"/>
        </w:rPr>
      </w:pPr>
    </w:p>
    <w:p w14:paraId="356DFABD" w14:textId="5A7083EE" w:rsidR="002A7944" w:rsidRPr="000352BE" w:rsidRDefault="002A7944" w:rsidP="002A7944">
      <w:pPr>
        <w:spacing w:after="0" w:line="360" w:lineRule="auto"/>
        <w:jc w:val="both"/>
        <w:rPr>
          <w:rFonts w:ascii="Calibri" w:hAnsi="Calibri" w:cs="Calibri"/>
          <w:color w:val="auto"/>
          <w:sz w:val="22"/>
          <w:szCs w:val="22"/>
        </w:rPr>
      </w:pPr>
      <w:r w:rsidRPr="000352BE">
        <w:rPr>
          <w:rFonts w:ascii="Calibri" w:hAnsi="Calibri" w:cs="Calibri"/>
          <w:color w:val="auto"/>
          <w:sz w:val="22"/>
          <w:szCs w:val="22"/>
        </w:rPr>
        <w:t>Fine motor skills (76.12%) with marked</w:t>
      </w:r>
      <w:r w:rsidR="00024D9F">
        <w:rPr>
          <w:rFonts w:ascii="Calibri" w:hAnsi="Calibri" w:cs="Calibri"/>
          <w:color w:val="auto"/>
          <w:sz w:val="22"/>
          <w:szCs w:val="22"/>
        </w:rPr>
        <w:t>ly</w:t>
      </w:r>
      <w:r w:rsidRPr="000352BE">
        <w:rPr>
          <w:rFonts w:ascii="Calibri" w:hAnsi="Calibri" w:cs="Calibri"/>
          <w:color w:val="auto"/>
          <w:sz w:val="22"/>
          <w:szCs w:val="22"/>
        </w:rPr>
        <w:t xml:space="preserve"> lower than gross motor skills (85.07%) in teacher assessments (Table 3), are finding that aligns with previous research, such as that of Piek et al. (2008), who emphasized the challenges many young children face with fine motor coordination. The differences between gross and fine motor skill development suggests that fine motor skills may not receive the same support in early years settings. Gross motor skills are naturally embedded in the daily routine through running, walking jumping etc, and delays would be very visual. In contrast, fine motor skills require smaller tasks like mark-making, holding a pencil or threading beads where difficulties are not seen as easily.</w:t>
      </w:r>
    </w:p>
    <w:p w14:paraId="0A308CCB" w14:textId="32D5FABF" w:rsidR="002A7944" w:rsidRPr="000352BE" w:rsidRDefault="002A7944" w:rsidP="002A7944">
      <w:pPr>
        <w:spacing w:after="0" w:line="360" w:lineRule="auto"/>
        <w:jc w:val="both"/>
        <w:rPr>
          <w:rFonts w:ascii="Calibri" w:hAnsi="Calibri" w:cs="Calibri"/>
          <w:color w:val="auto"/>
          <w:sz w:val="22"/>
          <w:szCs w:val="22"/>
        </w:rPr>
      </w:pPr>
      <w:r w:rsidRPr="000352BE">
        <w:rPr>
          <w:rFonts w:ascii="Calibri" w:hAnsi="Calibri" w:cs="Calibri"/>
          <w:color w:val="auto"/>
          <w:sz w:val="22"/>
          <w:szCs w:val="22"/>
        </w:rPr>
        <w:lastRenderedPageBreak/>
        <w:t>Table 4 identifies this with the MABC-2 results showing a high proportion of children having movement difficulties, particularly in tasks requiring fine motor coordination. These findings highlight the importance of embedding both structured fine motor development activities and high-quality gross motor activities—focusing on core strength, balance, and coordination—within early years programs.</w:t>
      </w:r>
      <w:r w:rsidR="00BA7FC6">
        <w:rPr>
          <w:rFonts w:ascii="Calibri" w:hAnsi="Calibri" w:cs="Calibri"/>
          <w:color w:val="auto"/>
          <w:sz w:val="22"/>
          <w:szCs w:val="22"/>
        </w:rPr>
        <w:t xml:space="preserve"> </w:t>
      </w:r>
      <w:r w:rsidRPr="000352BE">
        <w:rPr>
          <w:rFonts w:ascii="Calibri" w:hAnsi="Calibri" w:cs="Calibri"/>
          <w:color w:val="auto"/>
          <w:sz w:val="22"/>
          <w:szCs w:val="22"/>
        </w:rPr>
        <w:t>Cameron et al., (2012) stresses the significance of early identification of fine motor delays to prevent longer-term academic difficulties. The research by Cameron et al., (2012) suggests that children with lower levels of fine motor skills are significantly prone to falling behind in other areas of the EYFS and Key Stage 1.</w:t>
      </w:r>
      <w:r w:rsidR="00BA7FC6">
        <w:rPr>
          <w:rFonts w:ascii="Calibri" w:hAnsi="Calibri" w:cs="Calibri"/>
          <w:color w:val="auto"/>
          <w:sz w:val="22"/>
          <w:szCs w:val="22"/>
        </w:rPr>
        <w:t xml:space="preserve"> </w:t>
      </w:r>
      <w:r w:rsidRPr="000352BE">
        <w:rPr>
          <w:rFonts w:ascii="Calibri" w:hAnsi="Calibri" w:cs="Calibri"/>
          <w:color w:val="auto"/>
          <w:sz w:val="22"/>
          <w:szCs w:val="22"/>
        </w:rPr>
        <w:t xml:space="preserve">Table 4 also shows that females scored slightly higher than males on the MABC-2 assessment in physical development, with fewer movement difficulties identified. This suggests that girls are developing at an advanced rate in the early years. In the EYFS teacher assessments, males scored lower than females in both gross and fine motor skill categories, highlighting a consistent pattern across both the MABC-2 results and the EYFS data. This is possibly down to engagement in boys with them being more physically active but less involved in structured tasks that develop fine motor skills, such as cutting, writing, or threading beads without interventions or specific support. </w:t>
      </w:r>
    </w:p>
    <w:p w14:paraId="0859DCA5" w14:textId="77777777" w:rsidR="00BA7FC6" w:rsidRDefault="00BA7FC6" w:rsidP="002A7944">
      <w:pPr>
        <w:spacing w:after="0" w:line="360" w:lineRule="auto"/>
        <w:jc w:val="both"/>
        <w:rPr>
          <w:rFonts w:ascii="Calibri" w:hAnsi="Calibri" w:cs="Calibri"/>
          <w:color w:val="auto"/>
          <w:sz w:val="22"/>
          <w:szCs w:val="22"/>
        </w:rPr>
      </w:pPr>
    </w:p>
    <w:p w14:paraId="03960784" w14:textId="56013BA4" w:rsidR="002A7944" w:rsidRPr="000352BE" w:rsidRDefault="002A7944" w:rsidP="002A7944">
      <w:pPr>
        <w:spacing w:after="0" w:line="360" w:lineRule="auto"/>
        <w:jc w:val="both"/>
        <w:rPr>
          <w:rFonts w:ascii="Calibri" w:hAnsi="Calibri" w:cs="Calibri"/>
          <w:color w:val="auto"/>
          <w:sz w:val="22"/>
          <w:szCs w:val="22"/>
        </w:rPr>
      </w:pPr>
      <w:r w:rsidRPr="000352BE">
        <w:rPr>
          <w:rFonts w:ascii="Calibri" w:hAnsi="Calibri" w:cs="Calibri"/>
          <w:color w:val="auto"/>
          <w:sz w:val="22"/>
          <w:szCs w:val="22"/>
        </w:rPr>
        <w:t>In summary, this chapter has presented the results of the comparison between teacher assessments of early years physical development and the standardised MABC-2 assessment. The findings revealed a notable mismatch between the two approaches: while teachers judged over 68% of children to have good physical development, the MABC-2 identified more than 70% of the cohort as performing below the 15th percentile, classifying them as delayed or at risk of developmental delay. These results highlight significant differences in how children’s motor abilities are identified and assessed, providing a critical foundation for the discussion in the next chapter.</w:t>
      </w:r>
    </w:p>
    <w:p w14:paraId="2DAAF62C" w14:textId="77777777" w:rsidR="002A7944" w:rsidRPr="000352BE" w:rsidRDefault="002A7944" w:rsidP="002A7944">
      <w:pPr>
        <w:spacing w:after="0" w:line="360" w:lineRule="auto"/>
        <w:rPr>
          <w:rFonts w:ascii="Calibri" w:hAnsi="Calibri" w:cs="Calibri"/>
          <w:color w:val="auto"/>
          <w:sz w:val="22"/>
          <w:szCs w:val="22"/>
        </w:rPr>
      </w:pPr>
      <w:r w:rsidRPr="000352BE">
        <w:rPr>
          <w:rFonts w:ascii="Calibri" w:hAnsi="Calibri" w:cs="Calibri"/>
          <w:color w:val="auto"/>
          <w:sz w:val="22"/>
          <w:szCs w:val="22"/>
        </w:rPr>
        <w:t>The next chapter will discuss the implications of these findings and examine the importance of early identification and intervention in physical development.</w:t>
      </w:r>
      <w:r w:rsidRPr="000352BE">
        <w:rPr>
          <w:rFonts w:ascii="Calibri" w:hAnsi="Calibri" w:cs="Calibri"/>
          <w:color w:val="auto"/>
          <w:sz w:val="22"/>
          <w:szCs w:val="22"/>
        </w:rPr>
        <w:br/>
      </w:r>
    </w:p>
    <w:p w14:paraId="14F5C6EA" w14:textId="77777777" w:rsidR="002A7944" w:rsidRDefault="002A7944"/>
    <w:p w14:paraId="0D36E71C" w14:textId="77777777" w:rsidR="002A7944" w:rsidRDefault="002A7944"/>
    <w:p w14:paraId="333DE9DE" w14:textId="77777777" w:rsidR="002A7944" w:rsidRDefault="002A7944"/>
    <w:p w14:paraId="1851E27A" w14:textId="77777777" w:rsidR="002A7944" w:rsidRDefault="002A7944"/>
    <w:p w14:paraId="3A291564" w14:textId="77777777" w:rsidR="002A7944" w:rsidRDefault="002A7944"/>
    <w:p w14:paraId="40E450B7" w14:textId="77777777" w:rsidR="002A7944" w:rsidRDefault="002A7944"/>
    <w:p w14:paraId="23C50CBC" w14:textId="77777777" w:rsidR="002A7944" w:rsidRDefault="002A7944"/>
    <w:p w14:paraId="0DA74CFE" w14:textId="77777777" w:rsidR="002A7944" w:rsidRDefault="002A7944"/>
    <w:p w14:paraId="76CC25DB" w14:textId="77777777" w:rsidR="002A7944" w:rsidRDefault="002A7944"/>
    <w:p w14:paraId="5FE7EA97" w14:textId="77777777" w:rsidR="002A7944" w:rsidRDefault="002A7944"/>
    <w:p w14:paraId="563627E1" w14:textId="77777777" w:rsidR="002A7944" w:rsidRDefault="002A7944"/>
    <w:p w14:paraId="11C5D990" w14:textId="77777777" w:rsidR="00BA7FC6" w:rsidRDefault="00BA7FC6"/>
    <w:p w14:paraId="7822D528" w14:textId="77777777" w:rsidR="00BA7FC6" w:rsidRDefault="00BA7FC6"/>
    <w:p w14:paraId="2895AEEE" w14:textId="77777777" w:rsidR="002A7944" w:rsidRDefault="002A7944"/>
    <w:p w14:paraId="5FAAF4E3" w14:textId="77777777" w:rsidR="002A7944" w:rsidRDefault="002A7944"/>
    <w:p w14:paraId="02889EF1" w14:textId="77777777" w:rsidR="002A7944" w:rsidRDefault="002A7944"/>
    <w:p w14:paraId="52132F1D" w14:textId="77777777" w:rsidR="002A7944" w:rsidRDefault="002A7944"/>
    <w:p w14:paraId="4873855A" w14:textId="77777777" w:rsidR="002A7944" w:rsidRPr="000352BE" w:rsidRDefault="002A7944" w:rsidP="002A7944">
      <w:pPr>
        <w:spacing w:line="360" w:lineRule="auto"/>
        <w:rPr>
          <w:rFonts w:ascii="Calibri" w:hAnsi="Calibri" w:cs="Calibri"/>
          <w:caps/>
          <w:sz w:val="16"/>
          <w:szCs w:val="16"/>
        </w:rPr>
      </w:pPr>
      <w:r w:rsidRPr="000352BE">
        <w:rPr>
          <w:rFonts w:ascii="Calibri" w:hAnsi="Calibri" w:cs="Calibri"/>
          <w:caps/>
          <w:color w:val="auto"/>
          <w:sz w:val="44"/>
          <w:szCs w:val="44"/>
        </w:rPr>
        <w:lastRenderedPageBreak/>
        <w:t>Discussion</w:t>
      </w:r>
    </w:p>
    <w:p w14:paraId="418399A7" w14:textId="3EF3E230" w:rsidR="002A7944" w:rsidRPr="000352BE" w:rsidRDefault="002A7944" w:rsidP="002A7944">
      <w:pPr>
        <w:spacing w:line="360" w:lineRule="auto"/>
        <w:jc w:val="both"/>
        <w:rPr>
          <w:rFonts w:ascii="Calibri" w:hAnsi="Calibri" w:cs="Calibri"/>
          <w:color w:val="auto"/>
          <w:sz w:val="22"/>
          <w:szCs w:val="22"/>
        </w:rPr>
      </w:pPr>
      <w:r w:rsidRPr="000352BE">
        <w:rPr>
          <w:rFonts w:ascii="Calibri" w:hAnsi="Calibri" w:cs="Calibri"/>
          <w:color w:val="auto"/>
          <w:sz w:val="22"/>
          <w:szCs w:val="22"/>
        </w:rPr>
        <w:t xml:space="preserve">This chapter </w:t>
      </w:r>
      <w:r w:rsidR="00BA7FC6">
        <w:rPr>
          <w:rFonts w:ascii="Calibri" w:hAnsi="Calibri" w:cs="Calibri"/>
          <w:color w:val="auto"/>
          <w:sz w:val="22"/>
          <w:szCs w:val="22"/>
        </w:rPr>
        <w:t>discusses</w:t>
      </w:r>
      <w:r w:rsidRPr="000352BE">
        <w:rPr>
          <w:rFonts w:ascii="Calibri" w:hAnsi="Calibri" w:cs="Calibri"/>
          <w:color w:val="auto"/>
          <w:sz w:val="22"/>
          <w:szCs w:val="22"/>
        </w:rPr>
        <w:t xml:space="preserve"> the key findings from a comparison between two approaches to assessing children’s motor skills, the Movement Assessment Battery for Children – Second Edition (MABC-2) and the Early Years Foundation Stage (EYFS) Physical Development data. By comparing both methods, the analysis explores how teacher-led observations recorded through the EYFS framework align with the more standardised and structured testing procedures of the MABC-2. Particular attention is given to the extent to which each method identifies children who may be experiencing motor development difficulties, and whether the </w:t>
      </w:r>
      <w:r w:rsidR="00320059" w:rsidRPr="00320059">
        <w:rPr>
          <w:rFonts w:ascii="Calibri" w:hAnsi="Calibri" w:cs="Calibri"/>
          <w:color w:val="auto"/>
          <w:sz w:val="22"/>
          <w:szCs w:val="22"/>
        </w:rPr>
        <w:t>two assessment formats produced consistent results</w:t>
      </w:r>
      <w:r w:rsidRPr="000352BE">
        <w:rPr>
          <w:rFonts w:ascii="Calibri" w:hAnsi="Calibri" w:cs="Calibri"/>
          <w:color w:val="auto"/>
          <w:sz w:val="22"/>
          <w:szCs w:val="22"/>
        </w:rPr>
        <w:t xml:space="preserve"> across the sample of children in the study.</w:t>
      </w:r>
      <w:r w:rsidR="00A97298">
        <w:rPr>
          <w:rFonts w:ascii="Calibri" w:hAnsi="Calibri" w:cs="Calibri"/>
          <w:color w:val="auto"/>
          <w:sz w:val="22"/>
          <w:szCs w:val="22"/>
        </w:rPr>
        <w:t xml:space="preserve"> </w:t>
      </w:r>
      <w:r w:rsidRPr="000352BE">
        <w:rPr>
          <w:rFonts w:ascii="Calibri" w:hAnsi="Calibri" w:cs="Calibri"/>
          <w:color w:val="auto"/>
          <w:sz w:val="22"/>
          <w:szCs w:val="22"/>
        </w:rPr>
        <w:t>As well as the main comparison, the chapter also investigates gender-based and school-specific via the subtest results from the MABC-2, offering a more in-depth picture of children’s physical development and whether there are any movement delays that have yet to be detected. These results provide an opportunity to identify specific areas of strength or difficulty that may not always be captured through broader EYFS judgments. Early years practitioners are expected to make accurate and reliable judgments about children’s physical development when using the EYFS Early Learning Goals (ELGs). Therefore, this chapter considers the extent to which the EYFS assessments correspond with MABC-2 outcomes, and what any discrepancies may suggest about the effectiveness and limitations of current assessment practices in early years settings.</w:t>
      </w:r>
    </w:p>
    <w:p w14:paraId="70AA665E" w14:textId="0E565F65" w:rsidR="002A7944" w:rsidRPr="000352BE" w:rsidRDefault="002A7944" w:rsidP="002A7944">
      <w:pPr>
        <w:spacing w:line="360" w:lineRule="auto"/>
        <w:jc w:val="both"/>
        <w:rPr>
          <w:rFonts w:ascii="Calibri" w:hAnsi="Calibri" w:cs="Calibri"/>
          <w:color w:val="auto"/>
          <w:sz w:val="22"/>
          <w:szCs w:val="22"/>
        </w:rPr>
      </w:pPr>
      <w:r w:rsidRPr="000352BE">
        <w:rPr>
          <w:rFonts w:ascii="Calibri" w:hAnsi="Calibri" w:cs="Calibri"/>
          <w:color w:val="auto"/>
          <w:sz w:val="22"/>
          <w:szCs w:val="22"/>
        </w:rPr>
        <w:t xml:space="preserve">This chapter will interpret and evaluate the data collected in the study, highlighting key patterns and differences between teacher-led and </w:t>
      </w:r>
      <w:r w:rsidR="00DA53C0">
        <w:rPr>
          <w:rFonts w:ascii="Calibri" w:hAnsi="Calibri" w:cs="Calibri"/>
          <w:color w:val="auto"/>
          <w:sz w:val="22"/>
          <w:szCs w:val="22"/>
        </w:rPr>
        <w:t>standardised</w:t>
      </w:r>
      <w:r w:rsidRPr="000352BE">
        <w:rPr>
          <w:rFonts w:ascii="Calibri" w:hAnsi="Calibri" w:cs="Calibri"/>
          <w:color w:val="auto"/>
          <w:sz w:val="22"/>
          <w:szCs w:val="22"/>
        </w:rPr>
        <w:t xml:space="preserve"> assessment methods. It will discuss the comparison between the assessments of physical development in young children through the </w:t>
      </w:r>
      <w:r w:rsidR="00DA53C0">
        <w:rPr>
          <w:rFonts w:ascii="Calibri" w:hAnsi="Calibri" w:cs="Calibri"/>
          <w:color w:val="auto"/>
          <w:sz w:val="22"/>
          <w:szCs w:val="22"/>
        </w:rPr>
        <w:t>standardised</w:t>
      </w:r>
      <w:r w:rsidRPr="000352BE">
        <w:rPr>
          <w:rFonts w:ascii="Calibri" w:hAnsi="Calibri" w:cs="Calibri"/>
          <w:color w:val="auto"/>
          <w:sz w:val="22"/>
          <w:szCs w:val="22"/>
        </w:rPr>
        <w:t xml:space="preserve"> MABC-2, and the Early Years Foundation Stage (EYFS) Physical Development evaluations undertaken by the class teachers’ observations. The findings provide insight into the strengths and limitations of each assessment tool, reveal patterns across gender and school settings, and raise important implications for practice, early identification, and teacher training.</w:t>
      </w:r>
    </w:p>
    <w:p w14:paraId="0D3DCE2F" w14:textId="7A015685" w:rsidR="002A7944" w:rsidRPr="000352BE" w:rsidRDefault="002A7944" w:rsidP="002A7944">
      <w:pPr>
        <w:spacing w:line="360" w:lineRule="auto"/>
        <w:jc w:val="both"/>
        <w:rPr>
          <w:rFonts w:ascii="Calibri" w:hAnsi="Calibri" w:cs="Calibri"/>
          <w:color w:val="auto"/>
          <w:sz w:val="22"/>
          <w:szCs w:val="22"/>
        </w:rPr>
      </w:pPr>
      <w:r w:rsidRPr="000352BE">
        <w:rPr>
          <w:rFonts w:ascii="Calibri" w:hAnsi="Calibri" w:cs="Calibri"/>
          <w:color w:val="auto"/>
          <w:sz w:val="22"/>
          <w:szCs w:val="22"/>
        </w:rPr>
        <w:t xml:space="preserve">The primary aim of this research was to examine the extent to which teacher observations recorded through the EYFS Physical Development framework align with the outcomes of a </w:t>
      </w:r>
      <w:r w:rsidR="00DA53C0">
        <w:rPr>
          <w:rFonts w:ascii="Calibri" w:hAnsi="Calibri" w:cs="Calibri"/>
          <w:color w:val="auto"/>
          <w:sz w:val="22"/>
          <w:szCs w:val="22"/>
        </w:rPr>
        <w:t>standardised</w:t>
      </w:r>
      <w:r w:rsidRPr="000352BE">
        <w:rPr>
          <w:rFonts w:ascii="Calibri" w:hAnsi="Calibri" w:cs="Calibri"/>
          <w:color w:val="auto"/>
          <w:sz w:val="22"/>
          <w:szCs w:val="22"/>
        </w:rPr>
        <w:t xml:space="preserve"> assessment tool, the MABC-2. This focus is particularly significant given that early childhood represents a critical period for physical, cognitive, and social development. Current policy emphasises the importance of early identification of developmental delays to ensure that appropriate interventions and support are provided as early as possible (</w:t>
      </w:r>
      <w:r w:rsidR="00320059">
        <w:rPr>
          <w:rFonts w:ascii="Calibri" w:hAnsi="Calibri" w:cs="Calibri"/>
          <w:color w:val="auto"/>
          <w:sz w:val="22"/>
          <w:szCs w:val="22"/>
        </w:rPr>
        <w:t>DfE</w:t>
      </w:r>
      <w:r w:rsidRPr="000352BE">
        <w:rPr>
          <w:rFonts w:ascii="Calibri" w:hAnsi="Calibri" w:cs="Calibri"/>
          <w:color w:val="auto"/>
          <w:sz w:val="22"/>
          <w:szCs w:val="22"/>
        </w:rPr>
        <w:t>, 2021; Basterfield et al, 2023).</w:t>
      </w:r>
      <w:r w:rsidR="00A97298">
        <w:rPr>
          <w:rFonts w:ascii="Calibri" w:hAnsi="Calibri" w:cs="Calibri"/>
          <w:color w:val="auto"/>
          <w:sz w:val="22"/>
          <w:szCs w:val="22"/>
        </w:rPr>
        <w:t xml:space="preserve"> </w:t>
      </w:r>
      <w:r w:rsidRPr="000352BE">
        <w:rPr>
          <w:rFonts w:ascii="Calibri" w:hAnsi="Calibri" w:cs="Calibri"/>
          <w:color w:val="auto"/>
          <w:sz w:val="22"/>
          <w:szCs w:val="22"/>
        </w:rPr>
        <w:t>The Early Years Foundation Stage (EYFS) framework serves as statutory guidance for EY settings working with children from birth to five years old (</w:t>
      </w:r>
      <w:r w:rsidR="00320059">
        <w:rPr>
          <w:rFonts w:ascii="Calibri" w:hAnsi="Calibri" w:cs="Calibri"/>
          <w:color w:val="auto"/>
          <w:sz w:val="22"/>
          <w:szCs w:val="22"/>
        </w:rPr>
        <w:t>DfE</w:t>
      </w:r>
      <w:r w:rsidRPr="000352BE">
        <w:rPr>
          <w:rFonts w:ascii="Calibri" w:hAnsi="Calibri" w:cs="Calibri"/>
          <w:color w:val="auto"/>
          <w:sz w:val="22"/>
          <w:szCs w:val="22"/>
        </w:rPr>
        <w:t>, 2021). The EYFS Framework consists of 17 Early Learning Goals (ELGs), with Physical Development identified as a prime area.</w:t>
      </w:r>
      <w:r w:rsidR="00A97298">
        <w:rPr>
          <w:rFonts w:ascii="Calibri" w:hAnsi="Calibri" w:cs="Calibri"/>
          <w:color w:val="auto"/>
          <w:sz w:val="22"/>
          <w:szCs w:val="22"/>
        </w:rPr>
        <w:t xml:space="preserve"> </w:t>
      </w:r>
      <w:r w:rsidRPr="000352BE">
        <w:rPr>
          <w:rFonts w:ascii="Calibri" w:hAnsi="Calibri" w:cs="Calibri"/>
          <w:color w:val="auto"/>
          <w:sz w:val="22"/>
          <w:szCs w:val="22"/>
        </w:rPr>
        <w:t>Assessment within the EYFS relies on teachers’ observational evidence to rate each child’s development in the ELGs as Emerging, Expected, or Exceeding. Achieving a Good Level of Development (GLD) requires children to meet or exceed expectations across all ELGs (</w:t>
      </w:r>
      <w:r w:rsidR="00320059">
        <w:rPr>
          <w:rFonts w:ascii="Calibri" w:hAnsi="Calibri" w:cs="Calibri"/>
          <w:color w:val="auto"/>
          <w:sz w:val="22"/>
          <w:szCs w:val="22"/>
        </w:rPr>
        <w:t>DfE</w:t>
      </w:r>
      <w:r w:rsidRPr="000352BE">
        <w:rPr>
          <w:rFonts w:ascii="Calibri" w:hAnsi="Calibri" w:cs="Calibri"/>
          <w:color w:val="auto"/>
          <w:sz w:val="22"/>
          <w:szCs w:val="22"/>
        </w:rPr>
        <w:t xml:space="preserve">, 2024). Recent data from the </w:t>
      </w:r>
      <w:r w:rsidR="00320059">
        <w:rPr>
          <w:rFonts w:ascii="Calibri" w:hAnsi="Calibri" w:cs="Calibri"/>
          <w:color w:val="auto"/>
          <w:sz w:val="22"/>
          <w:szCs w:val="22"/>
        </w:rPr>
        <w:t>DfE</w:t>
      </w:r>
      <w:r w:rsidRPr="000352BE">
        <w:rPr>
          <w:rFonts w:ascii="Calibri" w:hAnsi="Calibri" w:cs="Calibri"/>
          <w:color w:val="auto"/>
          <w:sz w:val="22"/>
          <w:szCs w:val="22"/>
        </w:rPr>
        <w:t xml:space="preserve"> reveals an increased improvement in GLD attainment over the 3-year period where results were published, with approximately 67.7% of children achieving this milestone in the 2023/24 academic year. Physical Development has consistently been the strongest areas of achievement, with 84.48% of children meeting or exceeding expected milestones. Comparing with the data from the 2 schools who took part in the study, show 68.66% met the GLD for PD. This is slightly lower than national average. </w:t>
      </w:r>
    </w:p>
    <w:p w14:paraId="171B9B4C" w14:textId="5B7CDF4D" w:rsidR="002A7944" w:rsidRPr="000352BE" w:rsidRDefault="002A7944" w:rsidP="002A7944">
      <w:pPr>
        <w:spacing w:line="360" w:lineRule="auto"/>
        <w:jc w:val="both"/>
        <w:rPr>
          <w:rFonts w:ascii="Calibri" w:hAnsi="Calibri" w:cs="Calibri"/>
          <w:color w:val="auto"/>
          <w:sz w:val="22"/>
          <w:szCs w:val="22"/>
        </w:rPr>
      </w:pPr>
      <w:r w:rsidRPr="000352BE">
        <w:rPr>
          <w:rFonts w:ascii="Calibri" w:hAnsi="Calibri" w:cs="Calibri"/>
          <w:color w:val="auto"/>
          <w:sz w:val="22"/>
          <w:szCs w:val="22"/>
        </w:rPr>
        <w:lastRenderedPageBreak/>
        <w:t xml:space="preserve">The reliance on teacher observations rather than </w:t>
      </w:r>
      <w:r w:rsidR="00DA53C0">
        <w:rPr>
          <w:rFonts w:ascii="Calibri" w:hAnsi="Calibri" w:cs="Calibri"/>
          <w:color w:val="auto"/>
          <w:sz w:val="22"/>
          <w:szCs w:val="22"/>
        </w:rPr>
        <w:t>standardised</w:t>
      </w:r>
      <w:r w:rsidRPr="000352BE">
        <w:rPr>
          <w:rFonts w:ascii="Calibri" w:hAnsi="Calibri" w:cs="Calibri"/>
          <w:color w:val="auto"/>
          <w:sz w:val="22"/>
          <w:szCs w:val="22"/>
        </w:rPr>
        <w:t xml:space="preserve"> assessments introduces potential </w:t>
      </w:r>
      <w:r w:rsidR="00F604AB">
        <w:rPr>
          <w:rFonts w:ascii="Calibri" w:hAnsi="Calibri" w:cs="Calibri"/>
          <w:color w:val="auto"/>
          <w:sz w:val="22"/>
          <w:szCs w:val="22"/>
        </w:rPr>
        <w:t>misjudgement</w:t>
      </w:r>
      <w:r w:rsidRPr="000352BE">
        <w:rPr>
          <w:rFonts w:ascii="Calibri" w:hAnsi="Calibri" w:cs="Calibri"/>
          <w:color w:val="auto"/>
          <w:sz w:val="22"/>
          <w:szCs w:val="22"/>
        </w:rPr>
        <w:t xml:space="preserve"> in the data. Burton and Miller (1998) suggest factors such as experience, frequency of observational opportunities, and interpretation of what expected milestones look like and how all could affect the assessment outcomes  Given the key role that physical development plays in children’s readiness for formal schooling and in the awarding of GLD as a Prime Area, schools need to ensure the accuracy and consistency of observational assessment (</w:t>
      </w:r>
      <w:r w:rsidR="00320059">
        <w:rPr>
          <w:rFonts w:ascii="Calibri" w:hAnsi="Calibri" w:cs="Calibri"/>
          <w:color w:val="auto"/>
          <w:sz w:val="22"/>
          <w:szCs w:val="22"/>
        </w:rPr>
        <w:t>DfE</w:t>
      </w:r>
      <w:r w:rsidRPr="000352BE">
        <w:rPr>
          <w:rFonts w:ascii="Calibri" w:hAnsi="Calibri" w:cs="Calibri"/>
          <w:color w:val="auto"/>
          <w:sz w:val="22"/>
          <w:szCs w:val="22"/>
        </w:rPr>
        <w:t>, 2024). More work around training and support for teachers in how to spot FMS issues, as well as potentially integrating a standardised assessment tool, could help support teacher judgement and address any issues that may occur with children showing delays (Preedy, Duncombe and Gorely, 2022). This approach would support more targeted interventions, particularly for children who may be at risk of delays in motor skill acquisition (Duncombe 2019).</w:t>
      </w:r>
    </w:p>
    <w:p w14:paraId="321C82BE" w14:textId="23632EDF" w:rsidR="002A7944" w:rsidRPr="000352BE" w:rsidRDefault="002A7944" w:rsidP="002A7944">
      <w:pPr>
        <w:spacing w:line="360" w:lineRule="auto"/>
        <w:jc w:val="both"/>
        <w:rPr>
          <w:rFonts w:ascii="Calibri" w:hAnsi="Calibri" w:cs="Calibri"/>
          <w:color w:val="auto"/>
          <w:sz w:val="22"/>
          <w:szCs w:val="22"/>
        </w:rPr>
      </w:pPr>
      <w:r w:rsidRPr="000352BE">
        <w:rPr>
          <w:rFonts w:ascii="Calibri" w:hAnsi="Calibri" w:cs="Calibri"/>
          <w:color w:val="auto"/>
          <w:sz w:val="22"/>
          <w:szCs w:val="22"/>
        </w:rPr>
        <w:t>Teachers and practitioners are required to observe and evaluate children's development in these areas, assigning judgments as either 'Emerging,' 'Expected,' or 'Exceeding' by the end of the reception year. A child is considered to have achieved a 'Good Level of Development' (GLD) if they meet or exceed expectations in all prime areas and specific aspects of literacy and numeracy (DfE, 2024). Preedy, Sanderson&amp; Ball, (2018) highlight that this form of assessment has trouble finding children who are underachieving in the Physical Development subcategory, and the problems go under the radar.</w:t>
      </w:r>
      <w:r w:rsidR="00A97298">
        <w:rPr>
          <w:rFonts w:ascii="Calibri" w:hAnsi="Calibri" w:cs="Calibri"/>
          <w:color w:val="auto"/>
          <w:sz w:val="22"/>
          <w:szCs w:val="22"/>
        </w:rPr>
        <w:t xml:space="preserve"> </w:t>
      </w:r>
      <w:r w:rsidRPr="000352BE">
        <w:rPr>
          <w:rFonts w:ascii="Calibri" w:hAnsi="Calibri" w:cs="Calibri"/>
          <w:color w:val="auto"/>
          <w:sz w:val="22"/>
          <w:szCs w:val="22"/>
        </w:rPr>
        <w:t>From the findings of the research, teacher assessments (EYFS data) indicated that 68.66% of the children reached a GLD in Physical Development (see Table 2). This data aligned with national trends, where over 84% of children typically achieve expected levels in physical development outcomes (DfE, 2023). These figures suggest that most children are progressing as expected in their Physical Development. However, when compared to the outcomes from the MABC-2, a different picture appears. The MABC-2 found that only 28.57% of the same children were classified as having no movement difficulty. The majority (71.43%) fell within the “at risk” (6th–15th percentile) or “significant movement difficulty” (&lt;5th percentile) categories (see Table 4).</w:t>
      </w:r>
    </w:p>
    <w:p w14:paraId="0AD07C9B" w14:textId="77777777" w:rsidR="002A7944" w:rsidRPr="000352BE" w:rsidRDefault="002A7944" w:rsidP="002A7944">
      <w:pPr>
        <w:spacing w:line="360" w:lineRule="auto"/>
        <w:jc w:val="both"/>
        <w:rPr>
          <w:rFonts w:ascii="Calibri" w:hAnsi="Calibri" w:cs="Calibri"/>
          <w:color w:val="auto"/>
          <w:sz w:val="22"/>
          <w:szCs w:val="22"/>
        </w:rPr>
      </w:pPr>
      <w:r w:rsidRPr="000352BE">
        <w:rPr>
          <w:rFonts w:ascii="Calibri" w:hAnsi="Calibri" w:cs="Calibri"/>
          <w:color w:val="auto"/>
          <w:sz w:val="22"/>
          <w:szCs w:val="22"/>
        </w:rPr>
        <w:t xml:space="preserve">This notable difference of the 2 sets of data raises important questions about the consistency of the EYFS Physical development assessments. EYFS observational assessments have the advantage of </w:t>
      </w:r>
      <w:proofErr w:type="gramStart"/>
      <w:r w:rsidRPr="000352BE">
        <w:rPr>
          <w:rFonts w:ascii="Calibri" w:hAnsi="Calibri" w:cs="Calibri"/>
          <w:color w:val="auto"/>
          <w:sz w:val="22"/>
          <w:szCs w:val="22"/>
        </w:rPr>
        <w:t>taking into account</w:t>
      </w:r>
      <w:proofErr w:type="gramEnd"/>
      <w:r w:rsidRPr="000352BE">
        <w:rPr>
          <w:rFonts w:ascii="Calibri" w:hAnsi="Calibri" w:cs="Calibri"/>
          <w:color w:val="auto"/>
          <w:sz w:val="22"/>
          <w:szCs w:val="22"/>
        </w:rPr>
        <w:t xml:space="preserve"> the learning context and classroom environment, recent research suggests it may lack the reliability to detect subtle motor coordination difficulties, more importantly in those children who appear to be coping with typical everyday tasks (Blank et al., 2019). If left undetected, these motor skill difficulties can impact not only physical education participation but also wider areas of learning. The MABC-2’s more specific focus on motor development may allow it to detect issues that the EYFS framework overlooks. The results comparisons, potentially highlight the need to use a more formalized assessment with EYFS practice to support the teacher observations and improve early identification of any subtle delays. (Henderson, Sugden and Barnett, 2007).</w:t>
      </w:r>
    </w:p>
    <w:p w14:paraId="7B490804" w14:textId="77777777" w:rsidR="002A7944" w:rsidRPr="000352BE" w:rsidRDefault="002A7944" w:rsidP="002A7944">
      <w:pPr>
        <w:spacing w:line="360" w:lineRule="auto"/>
        <w:jc w:val="both"/>
        <w:rPr>
          <w:rFonts w:ascii="Calibri" w:hAnsi="Calibri" w:cs="Calibri"/>
          <w:color w:val="auto"/>
          <w:sz w:val="22"/>
          <w:szCs w:val="22"/>
        </w:rPr>
      </w:pPr>
      <w:r w:rsidRPr="000352BE">
        <w:rPr>
          <w:rFonts w:ascii="Calibri" w:hAnsi="Calibri" w:cs="Calibri"/>
          <w:color w:val="auto"/>
          <w:sz w:val="22"/>
          <w:szCs w:val="22"/>
        </w:rPr>
        <w:t>The data presented in Table 3 shows 85.07% met expected milestones in gross motor skills, compared to only 76.12% for fine motor skills. This gap likely stems from the more observable nature of GMS such as running, jumping, or balancing versus less visible elements of FMS like pencil grip and manipulating small objects. Accurately identifying these finer competencies often requires structured observation or formal assessment tools (Strooband et al., 2023) and cannot be seen solely by everyday observational tasks.</w:t>
      </w:r>
    </w:p>
    <w:p w14:paraId="3BC58D1F" w14:textId="72B31EAD" w:rsidR="002A7944" w:rsidRPr="000352BE" w:rsidRDefault="002A7944" w:rsidP="002A7944">
      <w:pPr>
        <w:spacing w:line="360" w:lineRule="auto"/>
        <w:jc w:val="both"/>
        <w:rPr>
          <w:rFonts w:ascii="Calibri" w:hAnsi="Calibri" w:cs="Calibri"/>
          <w:color w:val="auto"/>
          <w:sz w:val="22"/>
          <w:szCs w:val="22"/>
        </w:rPr>
      </w:pPr>
      <w:r w:rsidRPr="000352BE">
        <w:rPr>
          <w:rFonts w:ascii="Calibri" w:hAnsi="Calibri" w:cs="Calibri"/>
          <w:color w:val="auto"/>
          <w:sz w:val="22"/>
          <w:szCs w:val="22"/>
        </w:rPr>
        <w:lastRenderedPageBreak/>
        <w:t xml:space="preserve">Despite this observed gap between gross and fine motor assessments within the EYFS framework, the teachers’ evaluations still present a more optimistic outlook compared to the findings obtained through the MABC-2. Table 6 indicates that 75.7% of children scored below the 5th percentile in the manual dexterity task. This significant difference between teacher assessments and the MABC-2 results highlights the limitations of relying solely on observational data in early years settings. The MABC-2’s task-specific and </w:t>
      </w:r>
      <w:r w:rsidR="00DA53C0">
        <w:rPr>
          <w:rFonts w:ascii="Calibri" w:hAnsi="Calibri" w:cs="Calibri"/>
          <w:color w:val="auto"/>
          <w:sz w:val="22"/>
          <w:szCs w:val="22"/>
        </w:rPr>
        <w:t>standardised</w:t>
      </w:r>
      <w:r w:rsidRPr="000352BE">
        <w:rPr>
          <w:rFonts w:ascii="Calibri" w:hAnsi="Calibri" w:cs="Calibri"/>
          <w:color w:val="auto"/>
          <w:sz w:val="22"/>
          <w:szCs w:val="22"/>
        </w:rPr>
        <w:t xml:space="preserve"> approach enables the identification of subtle motor difficulties that can easily go unnoticed in the observations typical of EYFS assessments (Henderson, Sugden and Barnett, 2007).</w:t>
      </w:r>
      <w:r w:rsidR="00A97298">
        <w:rPr>
          <w:rFonts w:ascii="Calibri" w:hAnsi="Calibri" w:cs="Calibri"/>
          <w:color w:val="auto"/>
          <w:sz w:val="22"/>
          <w:szCs w:val="22"/>
        </w:rPr>
        <w:t xml:space="preserve"> </w:t>
      </w:r>
      <w:r w:rsidR="00A97298">
        <w:rPr>
          <w:rFonts w:ascii="Calibri" w:hAnsi="Calibri" w:cs="Calibri"/>
          <w:color w:val="auto"/>
          <w:sz w:val="22"/>
          <w:szCs w:val="22"/>
        </w:rPr>
        <w:t>Fu</w:t>
      </w:r>
      <w:r w:rsidR="00A97298">
        <w:rPr>
          <w:rFonts w:ascii="Calibri" w:hAnsi="Calibri" w:cs="Calibri"/>
          <w:color w:val="auto"/>
          <w:sz w:val="22"/>
          <w:szCs w:val="22"/>
        </w:rPr>
        <w:t>r</w:t>
      </w:r>
      <w:r w:rsidR="00A97298">
        <w:rPr>
          <w:rFonts w:ascii="Calibri" w:hAnsi="Calibri" w:cs="Calibri"/>
          <w:color w:val="auto"/>
          <w:sz w:val="22"/>
          <w:szCs w:val="22"/>
        </w:rPr>
        <w:t>ther</w:t>
      </w:r>
      <w:r w:rsidR="00A97298" w:rsidRPr="002B70AF">
        <w:rPr>
          <w:rFonts w:ascii="Calibri" w:hAnsi="Calibri" w:cs="Calibri"/>
          <w:color w:val="auto"/>
          <w:sz w:val="22"/>
          <w:szCs w:val="22"/>
        </w:rPr>
        <w:t xml:space="preserve"> evidence suggests that declines in children’s motor competence may be becoming normalised</w:t>
      </w:r>
      <w:r w:rsidR="00A97298">
        <w:rPr>
          <w:rFonts w:ascii="Calibri" w:hAnsi="Calibri" w:cs="Calibri"/>
          <w:color w:val="auto"/>
          <w:sz w:val="22"/>
          <w:szCs w:val="22"/>
        </w:rPr>
        <w:t xml:space="preserve"> in everyday settings</w:t>
      </w:r>
      <w:r w:rsidR="00A97298" w:rsidRPr="002B70AF">
        <w:rPr>
          <w:rFonts w:ascii="Calibri" w:hAnsi="Calibri" w:cs="Calibri"/>
          <w:color w:val="auto"/>
          <w:sz w:val="22"/>
          <w:szCs w:val="22"/>
        </w:rPr>
        <w:t xml:space="preserve">. </w:t>
      </w:r>
      <w:r w:rsidR="00A97298" w:rsidRPr="002B70AF">
        <w:rPr>
          <w:rFonts w:ascii="Calibri" w:hAnsi="Calibri" w:cs="Calibri"/>
          <w:color w:val="auto"/>
          <w:sz w:val="22"/>
          <w:szCs w:val="22"/>
        </w:rPr>
        <w:t>Brian et al. (2019)</w:t>
      </w:r>
      <w:r w:rsidR="00A97298" w:rsidRPr="002B70AF">
        <w:rPr>
          <w:rFonts w:ascii="Calibri" w:hAnsi="Calibri" w:cs="Calibri"/>
          <w:color w:val="auto"/>
          <w:sz w:val="22"/>
          <w:szCs w:val="22"/>
        </w:rPr>
        <w:t xml:space="preserve"> found this when comparing </w:t>
      </w:r>
      <w:r w:rsidR="00A97298" w:rsidRPr="00A97298">
        <w:rPr>
          <w:rFonts w:ascii="Calibri" w:hAnsi="Calibri" w:cs="Calibri"/>
          <w:color w:val="auto"/>
          <w:sz w:val="22"/>
          <w:szCs w:val="22"/>
        </w:rPr>
        <w:t>Test of Gross Motor Development</w:t>
      </w:r>
      <w:r w:rsidR="00A97298">
        <w:rPr>
          <w:rFonts w:ascii="Calibri" w:hAnsi="Calibri" w:cs="Calibri"/>
          <w:color w:val="auto"/>
          <w:sz w:val="22"/>
          <w:szCs w:val="22"/>
        </w:rPr>
        <w:t xml:space="preserve"> </w:t>
      </w:r>
      <w:r w:rsidR="00A97298" w:rsidRPr="002B70AF">
        <w:rPr>
          <w:rFonts w:ascii="Calibri" w:hAnsi="Calibri" w:cs="Calibri"/>
          <w:color w:val="auto"/>
          <w:sz w:val="22"/>
          <w:szCs w:val="22"/>
        </w:rPr>
        <w:t xml:space="preserve">2 and 3 data, warning that </w:t>
      </w:r>
      <w:r w:rsidR="00A97298">
        <w:rPr>
          <w:rFonts w:ascii="Calibri" w:hAnsi="Calibri" w:cs="Calibri"/>
          <w:color w:val="auto"/>
          <w:sz w:val="22"/>
          <w:szCs w:val="22"/>
        </w:rPr>
        <w:t>l</w:t>
      </w:r>
      <w:r w:rsidR="00A97298" w:rsidRPr="00A97298">
        <w:rPr>
          <w:rFonts w:ascii="Calibri" w:hAnsi="Calibri" w:cs="Calibri"/>
          <w:color w:val="auto"/>
          <w:sz w:val="22"/>
          <w:szCs w:val="22"/>
        </w:rPr>
        <w:t>ower benchmarks could hide real developmental concerns and change what people see as “normal” motor ability.</w:t>
      </w:r>
    </w:p>
    <w:p w14:paraId="24C3A7EB" w14:textId="77777777" w:rsidR="002A7944" w:rsidRPr="000352BE" w:rsidRDefault="002A7944" w:rsidP="002A7944">
      <w:pPr>
        <w:spacing w:line="360" w:lineRule="auto"/>
        <w:jc w:val="both"/>
        <w:rPr>
          <w:rFonts w:ascii="Calibri" w:hAnsi="Calibri" w:cs="Calibri"/>
          <w:color w:val="auto"/>
          <w:sz w:val="22"/>
          <w:szCs w:val="22"/>
        </w:rPr>
      </w:pPr>
      <w:r w:rsidRPr="000352BE">
        <w:rPr>
          <w:rFonts w:ascii="Calibri" w:hAnsi="Calibri" w:cs="Calibri"/>
          <w:color w:val="auto"/>
          <w:sz w:val="22"/>
          <w:szCs w:val="22"/>
        </w:rPr>
        <w:t>While teacher judgments are invaluable forms of assessment due to their understanding of each child’s daily habits and behaviours, there may be a benefit from being supported with a formal assessment tool as suggested</w:t>
      </w:r>
      <w:r w:rsidRPr="000352BE">
        <w:rPr>
          <w:rFonts w:ascii="Calibri" w:hAnsi="Calibri" w:cs="Calibri"/>
          <w:color w:val="auto"/>
          <w:sz w:val="22"/>
          <w:szCs w:val="22"/>
          <w:u w:val="single"/>
        </w:rPr>
        <w:t xml:space="preserve"> </w:t>
      </w:r>
      <w:r w:rsidRPr="000352BE">
        <w:rPr>
          <w:rFonts w:ascii="Calibri" w:hAnsi="Calibri" w:cs="Calibri"/>
          <w:color w:val="auto"/>
          <w:sz w:val="22"/>
          <w:szCs w:val="22"/>
        </w:rPr>
        <w:t>by Strooband et al. (2023). For example, using the subtests of the MABC-2 in the EYFS setting would support more accurate and early identification of children at risk of motor delays, especially those with mild difficulties that might otherwise remain undetected (Barnett and Hill, 2019).</w:t>
      </w:r>
    </w:p>
    <w:p w14:paraId="22DE7850" w14:textId="30419266" w:rsidR="002A7944" w:rsidRPr="000352BE" w:rsidRDefault="002A7944" w:rsidP="002A7944">
      <w:pPr>
        <w:spacing w:line="360" w:lineRule="auto"/>
        <w:jc w:val="both"/>
        <w:rPr>
          <w:rFonts w:ascii="Calibri" w:hAnsi="Calibri" w:cs="Calibri"/>
          <w:color w:val="auto"/>
          <w:sz w:val="22"/>
          <w:szCs w:val="22"/>
        </w:rPr>
      </w:pPr>
      <w:r w:rsidRPr="000352BE">
        <w:rPr>
          <w:rFonts w:ascii="Calibri" w:hAnsi="Calibri" w:cs="Calibri"/>
          <w:color w:val="auto"/>
          <w:sz w:val="22"/>
          <w:szCs w:val="22"/>
        </w:rPr>
        <w:t xml:space="preserve">Early identification of motor difficulties through the use of </w:t>
      </w:r>
      <w:r w:rsidR="00DA53C0">
        <w:rPr>
          <w:rFonts w:ascii="Calibri" w:hAnsi="Calibri" w:cs="Calibri"/>
          <w:color w:val="auto"/>
          <w:sz w:val="22"/>
          <w:szCs w:val="22"/>
        </w:rPr>
        <w:t>standardised</w:t>
      </w:r>
      <w:r w:rsidRPr="000352BE">
        <w:rPr>
          <w:rFonts w:ascii="Calibri" w:hAnsi="Calibri" w:cs="Calibri"/>
          <w:color w:val="auto"/>
          <w:sz w:val="22"/>
          <w:szCs w:val="22"/>
        </w:rPr>
        <w:t xml:space="preserve"> assessments within the EYFS setting could support a more timely and targeted intervention. In particularly in the areas of GMS and FMS. Research has shown the long-term impact of early motor skill development on important areas such as handwriting, self-care, and participation in physical activity (Cameron et al., 2012; Sugden, 2007). By combining teacher-led observation with formal assessment tools, teachers could adopt a more proactive approach to identifying and supporting children with motor coordination challenges. This could lead to better developmental outcomes by addressing difficulties early, rather than waiting until they affect learning at a later point in the child’s education. The differences found between EYFS teacher assessments and MABC-2 results in this study further highlight the need for a more balanced approach, one that maintains the value of teacher led observation while also incorporating the accuracy of </w:t>
      </w:r>
      <w:r w:rsidR="00DA53C0">
        <w:rPr>
          <w:rFonts w:ascii="Calibri" w:hAnsi="Calibri" w:cs="Calibri"/>
          <w:color w:val="auto"/>
          <w:sz w:val="22"/>
          <w:szCs w:val="22"/>
        </w:rPr>
        <w:t>standardised</w:t>
      </w:r>
      <w:r w:rsidRPr="000352BE">
        <w:rPr>
          <w:rFonts w:ascii="Calibri" w:hAnsi="Calibri" w:cs="Calibri"/>
          <w:color w:val="auto"/>
          <w:sz w:val="22"/>
          <w:szCs w:val="22"/>
        </w:rPr>
        <w:t xml:space="preserve"> motor assessments (Henderson, Sugden and Barnett, 2007).</w:t>
      </w:r>
      <w:r w:rsidR="00A97298">
        <w:rPr>
          <w:rFonts w:ascii="Calibri" w:hAnsi="Calibri" w:cs="Calibri"/>
          <w:color w:val="auto"/>
          <w:sz w:val="22"/>
          <w:szCs w:val="22"/>
        </w:rPr>
        <w:t xml:space="preserve"> </w:t>
      </w:r>
      <w:r w:rsidRPr="000352BE">
        <w:rPr>
          <w:rFonts w:ascii="Calibri" w:hAnsi="Calibri" w:cs="Calibri"/>
          <w:color w:val="auto"/>
          <w:sz w:val="22"/>
          <w:szCs w:val="22"/>
        </w:rPr>
        <w:t>As Henderson, Sugden, and Barnett (2007) explain, the MABC-2 is effective in identifying motor difficulties, including Developmental Coordination Disorder (DCD), due to its clinical validity, precise subtests, and sensitivity to small but meaningful deviations in motor performance.</w:t>
      </w:r>
      <w:r w:rsidR="00A97298">
        <w:rPr>
          <w:rFonts w:ascii="Calibri" w:hAnsi="Calibri" w:cs="Calibri"/>
          <w:color w:val="auto"/>
          <w:sz w:val="22"/>
          <w:szCs w:val="22"/>
        </w:rPr>
        <w:t xml:space="preserve"> </w:t>
      </w:r>
      <w:r w:rsidRPr="000352BE">
        <w:rPr>
          <w:rFonts w:ascii="Calibri" w:hAnsi="Calibri" w:cs="Calibri"/>
          <w:color w:val="auto"/>
          <w:sz w:val="22"/>
          <w:szCs w:val="22"/>
        </w:rPr>
        <w:t>The detailed nature of the MABC-2’s subtests allow for a more in-depth look into motor control, particularly in areas like manual dexterity. Children may not show signs of difficulty during routine classroom tasks, but they will come to light in more demanding tasks. These difficulties, if left undetected and interventions not put in place will lead to challenges in handwriting, and broader academic situations as the children leave EYFS and progress through school (Cameron et al., 2012).</w:t>
      </w:r>
    </w:p>
    <w:p w14:paraId="4BBA65B8" w14:textId="77777777" w:rsidR="002A7944" w:rsidRPr="000352BE" w:rsidRDefault="002A7944" w:rsidP="002A7944">
      <w:pPr>
        <w:spacing w:line="360" w:lineRule="auto"/>
        <w:jc w:val="both"/>
        <w:rPr>
          <w:rFonts w:ascii="Calibri" w:hAnsi="Calibri" w:cs="Calibri"/>
          <w:color w:val="auto"/>
          <w:sz w:val="22"/>
          <w:szCs w:val="22"/>
        </w:rPr>
      </w:pPr>
      <w:r w:rsidRPr="000352BE">
        <w:rPr>
          <w:rFonts w:ascii="Calibri" w:hAnsi="Calibri" w:cs="Calibri"/>
          <w:color w:val="auto"/>
          <w:sz w:val="22"/>
          <w:szCs w:val="22"/>
        </w:rPr>
        <w:t>The results in Table 6 (</w:t>
      </w:r>
      <w:r w:rsidRPr="000352BE">
        <w:rPr>
          <w:rFonts w:ascii="Calibri" w:hAnsi="Calibri" w:cs="Calibri"/>
          <w:color w:val="auto"/>
          <w:kern w:val="0"/>
          <w:sz w:val="22"/>
          <w:szCs w:val="22"/>
        </w:rPr>
        <w:t>Crosstabulation of Manual Dexterity for Gender and School)</w:t>
      </w:r>
      <w:r w:rsidRPr="000352BE">
        <w:rPr>
          <w:rFonts w:ascii="Calibri" w:hAnsi="Calibri" w:cs="Calibri"/>
          <w:color w:val="auto"/>
          <w:sz w:val="22"/>
          <w:szCs w:val="22"/>
        </w:rPr>
        <w:t xml:space="preserve"> further reinforce the value of the MABC-2 testing. The data shows that both male and female participants exhibited significant difficulties with manual dexterity with 75.7% scoring below the 5th percentile. These difficulties were consistent across both school settings (School A &amp; School B), suggesting that the issue is not confined to specific environments but is instead revealing of broader gaps in fine motor skills within early education and highlighting when children are at risk of delay. These finding supports the work of </w:t>
      </w:r>
      <w:r w:rsidRPr="000352BE">
        <w:rPr>
          <w:rFonts w:ascii="Calibri" w:hAnsi="Calibri" w:cs="Calibri"/>
          <w:color w:val="auto"/>
          <w:sz w:val="22"/>
          <w:szCs w:val="22"/>
        </w:rPr>
        <w:lastRenderedPageBreak/>
        <w:t>Piek et al. (2008), who found that fine motor control is a common area of concern in young children and often requires targeted interventions to support improvement.</w:t>
      </w:r>
    </w:p>
    <w:p w14:paraId="48DD176D" w14:textId="4F390803" w:rsidR="002A7944" w:rsidRPr="000352BE" w:rsidRDefault="002A7944" w:rsidP="002A7944">
      <w:pPr>
        <w:spacing w:line="360" w:lineRule="auto"/>
        <w:jc w:val="both"/>
        <w:rPr>
          <w:rFonts w:ascii="Calibri" w:hAnsi="Calibri" w:cs="Calibri"/>
          <w:color w:val="auto"/>
          <w:sz w:val="22"/>
          <w:szCs w:val="22"/>
        </w:rPr>
      </w:pPr>
      <w:r w:rsidRPr="000352BE">
        <w:rPr>
          <w:rFonts w:ascii="Calibri" w:hAnsi="Calibri" w:cs="Calibri"/>
          <w:color w:val="auto"/>
          <w:sz w:val="22"/>
          <w:szCs w:val="22"/>
        </w:rPr>
        <w:t>When looking at the Aiming and Catching subtest of the MABC-2 (Table 7), children in this study appeared to perform significantly better than in other areas of the assessment. A large proportion of the children (81.4%) scored in the “above the 16th percentile” category (green), suggesting that most children demonstrated no significant motor difficulties in this area. One likely explanation for this stronger performance is that object control skills such as throwing, catching, and aiming are more frequently practised in everyday settings. These activities are commonly embedded within outdoor play, PE lessons, and informal games, all of which offer repeated opportunities for skill development (Goodway and Branta, 2003; Logan et al., 2012). Object control skills are often perceived as more enjoyable and interactive than FMS tasks, these skills form the foundation for future movement and physical activity (Clark &amp; Metcalfe, 2002). Repeated exposure through fun and structured play contributes to improvements in coordination and timing, both of which are critical for success in aiming and catching tasks (Stodden et al., 2008). Moreover, within the EYFS curriculum, activities involving balls, beanbags, hoops, and throwing targets are often part of group games and PE sessions, giving children consistent exposure and support (</w:t>
      </w:r>
      <w:r w:rsidR="00320059">
        <w:rPr>
          <w:rFonts w:ascii="Calibri" w:hAnsi="Calibri" w:cs="Calibri"/>
          <w:color w:val="auto"/>
          <w:sz w:val="22"/>
          <w:szCs w:val="22"/>
        </w:rPr>
        <w:t>DfE</w:t>
      </w:r>
      <w:r w:rsidRPr="000352BE">
        <w:rPr>
          <w:rFonts w:ascii="Calibri" w:hAnsi="Calibri" w:cs="Calibri"/>
          <w:color w:val="auto"/>
          <w:sz w:val="22"/>
          <w:szCs w:val="22"/>
        </w:rPr>
        <w:t xml:space="preserve">, 2021). Also, research suggests that early mastery of object control skills can be linked to increased motivation and self-confidence, which in turn encourages more participation in physical activity (Barnett et al., 2009). This was also suggested by Seefeldt (1980) that competency in FMS was necessary to break through a hypothetical “proficiency barrier”. If we leave movement delays until it’s too late, children deem themselves not competent, and the levels of physical activity in later life will therefore be lower.                                        </w:t>
      </w:r>
    </w:p>
    <w:p w14:paraId="64D88F01" w14:textId="77777777" w:rsidR="002A7944" w:rsidRPr="000352BE" w:rsidRDefault="002A7944" w:rsidP="002A7944">
      <w:pPr>
        <w:spacing w:line="360" w:lineRule="auto"/>
        <w:jc w:val="both"/>
        <w:rPr>
          <w:rFonts w:ascii="Calibri" w:hAnsi="Calibri" w:cs="Calibri"/>
          <w:color w:val="auto"/>
          <w:sz w:val="22"/>
          <w:szCs w:val="22"/>
        </w:rPr>
      </w:pPr>
      <w:r w:rsidRPr="000352BE">
        <w:rPr>
          <w:rFonts w:ascii="Calibri" w:hAnsi="Calibri" w:cs="Calibri"/>
          <w:color w:val="auto"/>
          <w:sz w:val="22"/>
          <w:szCs w:val="22"/>
        </w:rPr>
        <w:t xml:space="preserve">When the data was broken down by gender, there’s an interesting pattern, although much of the motor development literature suggests that girls are typically more delayed in object-control (OC) skills than boys (Barnett et al., 2016), the findings of this study revealed a contrasting pattern. Males were more likely to fall into the significant movement difficulty category, with 14.7% scoring in this range compared to just 5.6% of females. This difference could be linked to the EYFS setting, where boys may struggle more with a broader range of motor skills, such as fine motor control and balance. These difficulties might increase their overall risk of movement delay, even though girls are usually the ones shown to be behind in object-control skills. </w:t>
      </w:r>
    </w:p>
    <w:p w14:paraId="62F31478" w14:textId="32607914" w:rsidR="002A7944" w:rsidRPr="000352BE" w:rsidRDefault="002A7944" w:rsidP="002A7944">
      <w:pPr>
        <w:spacing w:line="360" w:lineRule="auto"/>
        <w:jc w:val="both"/>
        <w:rPr>
          <w:rFonts w:ascii="Calibri" w:hAnsi="Calibri" w:cs="Calibri"/>
          <w:color w:val="auto"/>
          <w:sz w:val="22"/>
          <w:szCs w:val="22"/>
        </w:rPr>
      </w:pPr>
      <w:r w:rsidRPr="000352BE">
        <w:rPr>
          <w:rFonts w:ascii="Calibri" w:hAnsi="Calibri" w:cs="Calibri"/>
          <w:color w:val="auto"/>
          <w:sz w:val="22"/>
          <w:szCs w:val="22"/>
        </w:rPr>
        <w:t>The findings relating to the balance test results were very encouraging in comparison to others. The majority of children demonstrating competence in this area. As shown in Table 8, 84.3% of participants scored within the green band on the balance subtest of the MABC-2, indicating no significant motor coordination difficulties. Notably, no children scored in the red band, suggesting that severe balance impairments were absent in the sample. Males slightly outperformed females, with 88.2% of boys in the green band compared to 80.6% of girls. This aligns with broader developmental research that suggests boys may engage more frequently in activities that promote gross motor development, including those that challenge balance such as climbing, jumping, and dynamic outdoor play (Stodden et al., 2008; Barnett et al., 2010). Balance, as a gross motor skill, appears to be well supported in the EYFS environment due to the structure of the EYFSF, which encourages regular opportunities for physical activity through both structured PE and unstructured free play (</w:t>
      </w:r>
      <w:r w:rsidR="00320059">
        <w:rPr>
          <w:rFonts w:ascii="Calibri" w:hAnsi="Calibri" w:cs="Calibri"/>
          <w:color w:val="auto"/>
          <w:sz w:val="22"/>
          <w:szCs w:val="22"/>
        </w:rPr>
        <w:t>DfE</w:t>
      </w:r>
      <w:r w:rsidRPr="000352BE">
        <w:rPr>
          <w:rFonts w:ascii="Calibri" w:hAnsi="Calibri" w:cs="Calibri"/>
          <w:color w:val="auto"/>
          <w:sz w:val="22"/>
          <w:szCs w:val="22"/>
        </w:rPr>
        <w:t xml:space="preserve">, 2021). Activities such as balancing on beams, using balance bikes and general playground equipment are commonly included in early years settings and promote balance in a natural, engaging way (Logan et al., 2012). The physical </w:t>
      </w:r>
      <w:r w:rsidRPr="000352BE">
        <w:rPr>
          <w:rFonts w:ascii="Calibri" w:hAnsi="Calibri" w:cs="Calibri"/>
          <w:color w:val="auto"/>
          <w:sz w:val="22"/>
          <w:szCs w:val="22"/>
        </w:rPr>
        <w:lastRenderedPageBreak/>
        <w:t>environment can significantly enhance children’s balance and overall physical development when designed to include a wide range of activities and engaging movement opportunities (</w:t>
      </w:r>
      <w:r w:rsidRPr="000352BE">
        <w:rPr>
          <w:rFonts w:ascii="Calibri" w:hAnsi="Calibri" w:cs="Calibri"/>
          <w:sz w:val="22"/>
          <w:szCs w:val="22"/>
        </w:rPr>
        <w:t xml:space="preserve">Haav, A., Oja, L. and </w:t>
      </w:r>
      <w:proofErr w:type="spellStart"/>
      <w:r w:rsidRPr="000352BE">
        <w:rPr>
          <w:rFonts w:ascii="Calibri" w:hAnsi="Calibri" w:cs="Calibri"/>
          <w:sz w:val="22"/>
          <w:szCs w:val="22"/>
        </w:rPr>
        <w:t>Piksööt</w:t>
      </w:r>
      <w:proofErr w:type="spellEnd"/>
      <w:r w:rsidRPr="000352BE">
        <w:rPr>
          <w:rFonts w:ascii="Calibri" w:hAnsi="Calibri" w:cs="Calibri"/>
          <w:sz w:val="22"/>
          <w:szCs w:val="22"/>
        </w:rPr>
        <w:t>, J., 2024</w:t>
      </w:r>
      <w:r w:rsidRPr="000352BE">
        <w:rPr>
          <w:rFonts w:ascii="Calibri" w:hAnsi="Calibri" w:cs="Calibri"/>
          <w:color w:val="auto"/>
          <w:sz w:val="22"/>
          <w:szCs w:val="22"/>
        </w:rPr>
        <w:t xml:space="preserve">). Balance skills are typically easy for practitioners to identify during everyday opportunities. Children who develop strong balance skills are often better prepared for academic tasks requiring postural control, such as sitting still for extended periods. Research by Lima et al., (2020) indicates that having good balance skills are positively associated with academic performance in children and improved task performance in the classroom. While gross motor skills like balance may be well supported, the slight gap in performance between genders may still indicate the need for inclusive practice. Ensuring that all children, regardless of gender, are given equal access and encouragement to develop physical competence is essential. </w:t>
      </w:r>
    </w:p>
    <w:p w14:paraId="1E0E8C29" w14:textId="43094C05" w:rsidR="002A7944" w:rsidRPr="000352BE" w:rsidRDefault="002A7944" w:rsidP="002A7944">
      <w:pPr>
        <w:spacing w:line="360" w:lineRule="auto"/>
        <w:jc w:val="both"/>
        <w:rPr>
          <w:rFonts w:ascii="Calibri" w:hAnsi="Calibri" w:cs="Calibri"/>
          <w:color w:val="auto"/>
          <w:sz w:val="22"/>
          <w:szCs w:val="22"/>
        </w:rPr>
      </w:pPr>
      <w:r w:rsidRPr="000352BE">
        <w:rPr>
          <w:rFonts w:ascii="Calibri" w:hAnsi="Calibri" w:cs="Calibri"/>
          <w:color w:val="auto"/>
          <w:sz w:val="22"/>
          <w:szCs w:val="22"/>
        </w:rPr>
        <w:t>A more detailed look at the differences between males and females within this study show a consistent theme. Looking at the EYFS teacher assessments (see Table 2 and Charts 2 and 3), females consistently outscored the males in both gross motor skills and fine motor skills, this data came from each individual schools EYFS data. The MABC-2 results (Table 4) back this up, showing that 33.3% of females had no motor difficulties, compared to only 23.5% males. At the same time, nearly half of the males (47.1%) scored below the 5th percentile, which means they had significant motor challenges, while this was the case for 38.9% of females.</w:t>
      </w:r>
      <w:r w:rsidR="00A97298">
        <w:rPr>
          <w:rFonts w:ascii="Calibri" w:hAnsi="Calibri" w:cs="Calibri"/>
          <w:color w:val="auto"/>
          <w:sz w:val="22"/>
          <w:szCs w:val="22"/>
        </w:rPr>
        <w:t xml:space="preserve"> </w:t>
      </w:r>
      <w:r w:rsidRPr="000352BE">
        <w:rPr>
          <w:rFonts w:ascii="Calibri" w:hAnsi="Calibri" w:cs="Calibri"/>
          <w:color w:val="auto"/>
          <w:sz w:val="22"/>
          <w:szCs w:val="22"/>
        </w:rPr>
        <w:t>Research indicates that gender differences in early motor development are well established. Else-Quest et al. (2006) found that girls often develop fine motor and social skills earlier than boys during the early years, a pattern that is generally reflected in observational and standardised assessments. Boys and girls also tend to engage in different types of physical play: boys are more frequently involved in active, gross motor activities such as running, climbing, and ball games, whereas girls spend relatively more time on fine motor and focused tasks, unless boys are specifically encouraged to engage in these activities (Zheng et al., 2022). However, the EYFS data from this study diverged from these typical patterns. Teachers’ observations indicated that girls outperformed boys in both fundamental and gross motor skills (FMS and GMS), as shown in Table 6, suggesting that observational assessment may not always align with established developmental trends. Consistent with the wider literature, Barnett et al. (2010) highlighted that boys are generally more proficient than girls in object-control skills during childhood and adolescence. Interestingly, this pattern was not apparent in any of the MABC-2 subtests in the current study, with only balance tasks showing males outperforming females. These discrepancies highlight the potential influence of teacher experience, observation accuracy, and the learning environment, underscoring the importance of complementing observational assessments with standardised tools to ensure accurate identification of motor competence and support for intervention.</w:t>
      </w:r>
    </w:p>
    <w:p w14:paraId="2F23B5A5" w14:textId="77777777" w:rsidR="002A7944" w:rsidRPr="000352BE" w:rsidRDefault="002A7944" w:rsidP="002A7944">
      <w:pPr>
        <w:spacing w:line="360" w:lineRule="auto"/>
        <w:jc w:val="both"/>
        <w:rPr>
          <w:rFonts w:ascii="Calibri" w:hAnsi="Calibri" w:cs="Calibri"/>
          <w:color w:val="auto"/>
          <w:sz w:val="12"/>
          <w:szCs w:val="12"/>
        </w:rPr>
      </w:pPr>
      <w:r w:rsidRPr="000352BE">
        <w:rPr>
          <w:rFonts w:ascii="Calibri" w:hAnsi="Calibri" w:cs="Calibri"/>
          <w:color w:val="auto"/>
          <w:sz w:val="22"/>
          <w:szCs w:val="22"/>
        </w:rPr>
        <w:t>Rogers et al., (2024) suggest that parents frequently promote gender specific activities which could be possibly seen in the results of the study where girls surpassed boys in FMS domains, while boys performed more strongly in GMS. This highlights the need for EYFS teachers to deliberately design learning environments that ensure balanced development. Teachers should not assume that all children will develop in the same way or at the same pace. Boys, in particular, may benefit from extra encouragement in fine motor skill activities such as threading beads, manipulating playdough, or cutting with scissors, skills assessed within the MABC-2. Providing playful and scaffolded fine motor tasks can help boys catch up in these foundational skills, ensuring more equitable developmental outcomes.</w:t>
      </w:r>
    </w:p>
    <w:p w14:paraId="07FC4FFD" w14:textId="77777777" w:rsidR="002A7944" w:rsidRPr="000352BE" w:rsidRDefault="002A7944" w:rsidP="002A7944">
      <w:pPr>
        <w:spacing w:line="360" w:lineRule="auto"/>
        <w:jc w:val="both"/>
        <w:rPr>
          <w:rFonts w:ascii="Calibri" w:hAnsi="Calibri" w:cs="Calibri"/>
          <w:color w:val="auto"/>
          <w:sz w:val="22"/>
          <w:szCs w:val="22"/>
        </w:rPr>
      </w:pPr>
      <w:r w:rsidRPr="000352BE">
        <w:rPr>
          <w:rFonts w:ascii="Calibri" w:hAnsi="Calibri" w:cs="Calibri"/>
          <w:color w:val="auto"/>
          <w:sz w:val="22"/>
          <w:szCs w:val="22"/>
        </w:rPr>
        <w:t>Within the EYFS setting, teachers should look to adopt a balanced and gender-sensitive approach to motor development. Evidence suggests that males may be less engaged with fine motor tasks unless specifically encouraged to participate (Else-</w:t>
      </w:r>
      <w:r w:rsidRPr="000352BE">
        <w:rPr>
          <w:rFonts w:ascii="Calibri" w:hAnsi="Calibri" w:cs="Calibri"/>
          <w:color w:val="auto"/>
          <w:sz w:val="22"/>
          <w:szCs w:val="22"/>
        </w:rPr>
        <w:lastRenderedPageBreak/>
        <w:t xml:space="preserve">Quest et al., 2006). Therefore, Early Years teachers should integrate engaging, hands-on activities such as playdough modelling, threading, small construction, and crafts in a way that appeals to all children, especially boys who may lean more toward active, gross motor play (DfE, 2021). Providing a mix of stimulating gross and fine motor experiences enables all children to develop skills essential for independence and school readiness. Supporting FMS development early on is crucial, not just because it prepares children for formal schooling and tasks such as handwriting, but also because it helps build their confidence and independence. When children are able to perform tasks independently, they gain a sense of competence, which positively influences their motivation and self-esteem (Grissmer et al., 2010). FMS also support a child’s ability to carry out essential self-care tasks such as buttoning clothes or doing a zip on a coat (Berk, 2015). These everyday tasks, while simple, provide repeated essential for being school-ready (Jones et al., 2021). </w:t>
      </w:r>
    </w:p>
    <w:p w14:paraId="7595569A" w14:textId="4CF8432E" w:rsidR="002A7944" w:rsidRPr="000352BE" w:rsidRDefault="002A7944" w:rsidP="002A7944">
      <w:pPr>
        <w:spacing w:line="360" w:lineRule="auto"/>
        <w:jc w:val="both"/>
        <w:rPr>
          <w:rFonts w:ascii="Calibri" w:hAnsi="Calibri" w:cs="Calibri"/>
          <w:color w:val="auto"/>
          <w:sz w:val="22"/>
          <w:szCs w:val="22"/>
        </w:rPr>
      </w:pPr>
      <w:r w:rsidRPr="000352BE">
        <w:rPr>
          <w:rFonts w:ascii="Calibri" w:hAnsi="Calibri" w:cs="Calibri"/>
          <w:color w:val="auto"/>
          <w:sz w:val="22"/>
          <w:szCs w:val="22"/>
        </w:rPr>
        <w:t xml:space="preserve">In summary, this chapter compared EYFS teacher-led observations with the MABC-2 test, revealing notable differences between the two. While the EYFS data suggested that most children met expected PD GLD, the MABC-2 findings indicated that a significant proportion of children were at risk of, or experiencing movement difficulties, particularly in fine motor tasks / manual dexterity. The differences show the limitations of relying solely on observations as a form of assessment, which may overlook subtle movement issues. Gender differences were also evident, with girls generally outperforming boys in fine motor skills, while boys showed slightly stronger results in gross motor areas such as balance and object control. The study highlighted the value of potentially combining teacher observations with </w:t>
      </w:r>
      <w:r w:rsidR="00DA53C0">
        <w:rPr>
          <w:rFonts w:ascii="Calibri" w:hAnsi="Calibri" w:cs="Calibri"/>
          <w:color w:val="auto"/>
          <w:sz w:val="22"/>
          <w:szCs w:val="22"/>
        </w:rPr>
        <w:t>standardised</w:t>
      </w:r>
      <w:r w:rsidRPr="000352BE">
        <w:rPr>
          <w:rFonts w:ascii="Calibri" w:hAnsi="Calibri" w:cs="Calibri"/>
          <w:color w:val="auto"/>
          <w:sz w:val="22"/>
          <w:szCs w:val="22"/>
        </w:rPr>
        <w:t xml:space="preserve"> tools such as the MABC-2 to ensure earlier and more accurate identification of motor skill delays. </w:t>
      </w:r>
    </w:p>
    <w:p w14:paraId="7D284CE6" w14:textId="77777777" w:rsidR="002A7944" w:rsidRPr="000352BE" w:rsidRDefault="002A7944" w:rsidP="002A7944">
      <w:pPr>
        <w:spacing w:line="360" w:lineRule="auto"/>
        <w:jc w:val="both"/>
        <w:rPr>
          <w:rFonts w:ascii="Calibri" w:hAnsi="Calibri" w:cs="Calibri"/>
          <w:color w:val="auto"/>
          <w:sz w:val="22"/>
          <w:szCs w:val="22"/>
        </w:rPr>
      </w:pPr>
      <w:r w:rsidRPr="000352BE">
        <w:rPr>
          <w:rFonts w:ascii="Calibri" w:hAnsi="Calibri" w:cs="Calibri"/>
          <w:color w:val="auto"/>
          <w:sz w:val="22"/>
          <w:szCs w:val="22"/>
        </w:rPr>
        <w:t>These findings will be explored further in the conclusion chapter, which will reflect on the implications for early years practice, teacher training offering recommendations to improve the accuracy and consistency of PD assessments in the EYFS.</w:t>
      </w:r>
    </w:p>
    <w:p w14:paraId="7560E8BC" w14:textId="77777777" w:rsidR="002A7944" w:rsidRDefault="002A7944"/>
    <w:p w14:paraId="796F5A0F" w14:textId="77777777" w:rsidR="002A7944" w:rsidRDefault="002A7944"/>
    <w:p w14:paraId="63181162" w14:textId="77777777" w:rsidR="002A7944" w:rsidRDefault="002A7944"/>
    <w:p w14:paraId="4FE350D0" w14:textId="77777777" w:rsidR="002A7944" w:rsidRDefault="002A7944"/>
    <w:p w14:paraId="3D8A4BCA" w14:textId="77777777" w:rsidR="002A7944" w:rsidRDefault="002A7944"/>
    <w:p w14:paraId="408F9F68" w14:textId="77777777" w:rsidR="002A7944" w:rsidRDefault="002A7944"/>
    <w:p w14:paraId="0456AF40" w14:textId="77777777" w:rsidR="002A7944" w:rsidRDefault="002A7944"/>
    <w:p w14:paraId="7DA0A7A6" w14:textId="77777777" w:rsidR="002A7944" w:rsidRDefault="002A7944"/>
    <w:p w14:paraId="2FF9933D" w14:textId="77777777" w:rsidR="000C60C4" w:rsidRDefault="000C60C4"/>
    <w:p w14:paraId="4D4DF8C9" w14:textId="77777777" w:rsidR="000C60C4" w:rsidRDefault="000C60C4"/>
    <w:p w14:paraId="26F7A1EE" w14:textId="77777777" w:rsidR="000C60C4" w:rsidRDefault="000C60C4"/>
    <w:p w14:paraId="34C0C501" w14:textId="77777777" w:rsidR="000C60C4" w:rsidRDefault="000C60C4"/>
    <w:p w14:paraId="2B60B057" w14:textId="77777777" w:rsidR="002A7944" w:rsidRDefault="002A7944"/>
    <w:p w14:paraId="27188100" w14:textId="77777777" w:rsidR="00A97298" w:rsidRDefault="00A97298"/>
    <w:p w14:paraId="5A2465DA" w14:textId="77777777" w:rsidR="00A97298" w:rsidRDefault="00A97298"/>
    <w:p w14:paraId="3FAA2437" w14:textId="77777777" w:rsidR="00A97298" w:rsidRDefault="00A97298"/>
    <w:p w14:paraId="056D4B5E" w14:textId="77777777" w:rsidR="00A97298" w:rsidRDefault="00A97298"/>
    <w:p w14:paraId="5360D0C4" w14:textId="77777777" w:rsidR="00A97298" w:rsidRDefault="00A97298"/>
    <w:p w14:paraId="4DCADB95" w14:textId="77777777" w:rsidR="002A7944" w:rsidRPr="000352BE" w:rsidRDefault="002A7944" w:rsidP="002A7944">
      <w:pPr>
        <w:spacing w:after="120" w:line="360" w:lineRule="auto"/>
        <w:rPr>
          <w:rFonts w:ascii="Calibri" w:hAnsi="Calibri" w:cs="Calibri"/>
          <w:caps/>
          <w:color w:val="auto"/>
          <w:sz w:val="44"/>
          <w:szCs w:val="44"/>
        </w:rPr>
      </w:pPr>
      <w:r w:rsidRPr="000352BE">
        <w:rPr>
          <w:rFonts w:ascii="Calibri" w:hAnsi="Calibri" w:cs="Calibri"/>
          <w:caps/>
          <w:color w:val="auto"/>
          <w:sz w:val="44"/>
          <w:szCs w:val="44"/>
        </w:rPr>
        <w:lastRenderedPageBreak/>
        <w:t>Conclusion</w:t>
      </w:r>
    </w:p>
    <w:p w14:paraId="7A56D23F" w14:textId="77777777" w:rsidR="002A7944" w:rsidRPr="000352BE" w:rsidRDefault="002A7944" w:rsidP="002A7944">
      <w:pPr>
        <w:spacing w:after="120" w:line="360" w:lineRule="auto"/>
        <w:jc w:val="both"/>
        <w:rPr>
          <w:rFonts w:ascii="Calibri" w:hAnsi="Calibri" w:cs="Calibri"/>
          <w:color w:val="auto"/>
          <w:sz w:val="22"/>
          <w:szCs w:val="22"/>
        </w:rPr>
      </w:pPr>
      <w:r w:rsidRPr="000352BE">
        <w:rPr>
          <w:rFonts w:ascii="Calibri" w:hAnsi="Calibri" w:cs="Calibri"/>
          <w:color w:val="auto"/>
          <w:sz w:val="22"/>
          <w:szCs w:val="22"/>
        </w:rPr>
        <w:t xml:space="preserve">The chapter looks at how the research question of this this study asked: How does EYFS data compare to a standardised test for physical development? The findings of this research provide a clear answer, demonstrating that while EYFS assessments offer valuable insights into children’s broader developmental, they do not consistently align with the outcomes of standardised assessments such as the MABC-2. The EYFS data from the two participating schools indicated that </w:t>
      </w:r>
      <w:r w:rsidRPr="000352BE">
        <w:rPr>
          <w:rFonts w:ascii="Calibri" w:hAnsi="Calibri" w:cs="Calibri"/>
          <w:b/>
          <w:bCs/>
          <w:color w:val="auto"/>
          <w:sz w:val="22"/>
          <w:szCs w:val="22"/>
        </w:rPr>
        <w:t>68.66%</w:t>
      </w:r>
      <w:r w:rsidRPr="000352BE">
        <w:rPr>
          <w:rFonts w:ascii="Calibri" w:hAnsi="Calibri" w:cs="Calibri"/>
          <w:color w:val="auto"/>
          <w:sz w:val="22"/>
          <w:szCs w:val="22"/>
        </w:rPr>
        <w:t xml:space="preserve"> (Table 2) of children achieved a GLD in Physical Development. These outcomes are broadly consistent with national trends, reflecting the perception that children in the early years are generally meeting expected milestones for gross and fine motor skills (DfE, 2023). Looking at the data, the EYFS assessments suggest that the majority of children were developing at age related expectations in physical competence which is reassuring for teachers and schools. However, the results of the MABC-2 presented a considerably different picture, with only </w:t>
      </w:r>
      <w:r w:rsidRPr="000352BE">
        <w:rPr>
          <w:rFonts w:ascii="Calibri" w:hAnsi="Calibri" w:cs="Calibri"/>
          <w:b/>
          <w:bCs/>
          <w:color w:val="auto"/>
          <w:sz w:val="22"/>
          <w:szCs w:val="22"/>
        </w:rPr>
        <w:t>28.57%</w:t>
      </w:r>
      <w:r w:rsidRPr="000352BE">
        <w:rPr>
          <w:rFonts w:ascii="Calibri" w:hAnsi="Calibri" w:cs="Calibri"/>
          <w:color w:val="auto"/>
          <w:sz w:val="22"/>
          <w:szCs w:val="22"/>
        </w:rPr>
        <w:t xml:space="preserve"> (Table 4) of children were classified as having no movement difficulties, while over </w:t>
      </w:r>
      <w:r w:rsidRPr="000352BE">
        <w:rPr>
          <w:rFonts w:ascii="Calibri" w:hAnsi="Calibri" w:cs="Calibri"/>
          <w:b/>
          <w:bCs/>
          <w:color w:val="auto"/>
          <w:sz w:val="22"/>
          <w:szCs w:val="22"/>
        </w:rPr>
        <w:t>70%</w:t>
      </w:r>
      <w:r w:rsidRPr="000352BE">
        <w:rPr>
          <w:rFonts w:ascii="Calibri" w:hAnsi="Calibri" w:cs="Calibri"/>
          <w:color w:val="auto"/>
          <w:sz w:val="22"/>
          <w:szCs w:val="22"/>
        </w:rPr>
        <w:t xml:space="preserve"> were identified as either at risk or exhibiting significant motor challenges.</w:t>
      </w:r>
    </w:p>
    <w:p w14:paraId="6FCCA309" w14:textId="77777777" w:rsidR="002A7944" w:rsidRPr="000352BE" w:rsidRDefault="002A7944" w:rsidP="002A7944">
      <w:pPr>
        <w:spacing w:after="120" w:line="360" w:lineRule="auto"/>
        <w:jc w:val="both"/>
        <w:rPr>
          <w:rFonts w:ascii="Calibri" w:hAnsi="Calibri" w:cs="Calibri"/>
          <w:color w:val="auto"/>
          <w:sz w:val="22"/>
          <w:szCs w:val="22"/>
        </w:rPr>
      </w:pPr>
      <w:r w:rsidRPr="000352BE">
        <w:rPr>
          <w:rFonts w:ascii="Calibri" w:hAnsi="Calibri" w:cs="Calibri"/>
          <w:color w:val="auto"/>
          <w:sz w:val="22"/>
          <w:szCs w:val="22"/>
        </w:rPr>
        <w:t xml:space="preserve">Physical development in early childhood offers a whole range of benefits, not only as a key indicator of school readiness but also long-term academic performance, health outcomes, and overall well-being. Failure to identify poor motor competence can have lasting consequences, including reduced physical activity, increased risk of obesity, and related health challenges in middle and late childhood (DfE, 2021). </w:t>
      </w:r>
    </w:p>
    <w:p w14:paraId="18977CB2" w14:textId="5581D17C" w:rsidR="002A7944" w:rsidRPr="000352BE" w:rsidRDefault="002A7944" w:rsidP="002A7944">
      <w:pPr>
        <w:spacing w:after="120" w:line="360" w:lineRule="auto"/>
        <w:jc w:val="both"/>
        <w:rPr>
          <w:rFonts w:ascii="Calibri" w:hAnsi="Calibri" w:cs="Calibri"/>
          <w:color w:val="auto"/>
          <w:sz w:val="22"/>
          <w:szCs w:val="22"/>
        </w:rPr>
      </w:pPr>
      <w:r w:rsidRPr="000352BE">
        <w:rPr>
          <w:rFonts w:ascii="Calibri" w:hAnsi="Calibri" w:cs="Calibri"/>
          <w:color w:val="auto"/>
          <w:sz w:val="22"/>
          <w:szCs w:val="22"/>
        </w:rPr>
        <w:t xml:space="preserve">The key findings for this research indicated that 68.66% of children achieved a GLD in Physical Development. These results are consistent with national trends reported by the </w:t>
      </w:r>
      <w:r w:rsidR="00320059">
        <w:rPr>
          <w:rFonts w:ascii="Calibri" w:hAnsi="Calibri" w:cs="Calibri"/>
          <w:color w:val="auto"/>
          <w:sz w:val="22"/>
          <w:szCs w:val="22"/>
        </w:rPr>
        <w:t>DfE</w:t>
      </w:r>
      <w:r w:rsidRPr="000352BE">
        <w:rPr>
          <w:rFonts w:ascii="Calibri" w:hAnsi="Calibri" w:cs="Calibri"/>
          <w:color w:val="auto"/>
          <w:sz w:val="22"/>
          <w:szCs w:val="22"/>
        </w:rPr>
        <w:t xml:space="preserve"> (DfE, 2023), which suggest that physical development is often one of the strongest areas of achievement in early years education. Teacher observations captured children’s competence in gross motor activities, such as running, jumping, balancing, and coordination tasks, which appear to be relatively well-developed in this age group. On the surface, these data suggested that the majority of children were progressing appropriately in their physical development, reinforcing the perception that EYFS assessments provide a reliable measure of overall motor competence.</w:t>
      </w:r>
    </w:p>
    <w:p w14:paraId="069765DA" w14:textId="77777777" w:rsidR="002A7944" w:rsidRPr="000352BE" w:rsidRDefault="002A7944" w:rsidP="002A7944">
      <w:pPr>
        <w:spacing w:after="120" w:line="360" w:lineRule="auto"/>
        <w:jc w:val="both"/>
        <w:rPr>
          <w:rFonts w:ascii="Calibri" w:hAnsi="Calibri" w:cs="Calibri"/>
          <w:color w:val="auto"/>
          <w:sz w:val="22"/>
          <w:szCs w:val="22"/>
        </w:rPr>
      </w:pPr>
      <w:r w:rsidRPr="000352BE">
        <w:rPr>
          <w:rFonts w:ascii="Calibri" w:hAnsi="Calibri" w:cs="Calibri"/>
          <w:color w:val="auto"/>
          <w:sz w:val="22"/>
          <w:szCs w:val="22"/>
        </w:rPr>
        <w:t>In contrast, the MABC-2 results revealed a strikingly different picture. Only 28.57% of children were classified as having no movement difficulties, while over 70% were identified as either at risk (6th–15th percentile) or experiencing significant movement difficulties (below the 5th percentile). Manual Dexterity emerged as the area of greatest concern, with 75.7% of children scoring below the 5th percentile. In comparison, performance in Aiming and Catching (81.4% in the green band) and Balance (84.3% in the green band) was considerably stronger. This pattern indicates that while gross motor skills are generally within typical developmental ranges, fine motor difficulties are prevalent and may be largely overlooked in classroom-based assessments. These findings echo previous research highlighting the challenges of identifying subtle fine motor deficits through observational assessment alone (Burton &amp; Miller, 1998; Piek et al., 2008).</w:t>
      </w:r>
    </w:p>
    <w:p w14:paraId="792AFD9C" w14:textId="144417BA" w:rsidR="002A7944" w:rsidRPr="000352BE" w:rsidRDefault="002A7944" w:rsidP="002A7944">
      <w:pPr>
        <w:spacing w:after="120" w:line="360" w:lineRule="auto"/>
        <w:jc w:val="both"/>
        <w:rPr>
          <w:rFonts w:ascii="Calibri" w:hAnsi="Calibri" w:cs="Calibri"/>
          <w:color w:val="auto"/>
          <w:sz w:val="22"/>
          <w:szCs w:val="22"/>
        </w:rPr>
      </w:pPr>
      <w:r w:rsidRPr="000352BE">
        <w:rPr>
          <w:rFonts w:ascii="Calibri" w:hAnsi="Calibri" w:cs="Calibri"/>
          <w:color w:val="auto"/>
          <w:sz w:val="22"/>
          <w:szCs w:val="22"/>
        </w:rPr>
        <w:t xml:space="preserve">The comparisons between EYFS data the MABC-2 highlights a significant difference in the identification of motor delays in young children. Teacher observations often indicate that children are developing appropriately in GMS, which can create the perception that overall physical development is progressing as expected. However, </w:t>
      </w:r>
      <w:r w:rsidR="00DA53C0">
        <w:rPr>
          <w:rFonts w:ascii="Calibri" w:hAnsi="Calibri" w:cs="Calibri"/>
          <w:color w:val="auto"/>
          <w:sz w:val="22"/>
          <w:szCs w:val="22"/>
        </w:rPr>
        <w:t>standardised</w:t>
      </w:r>
      <w:r w:rsidRPr="000352BE">
        <w:rPr>
          <w:rFonts w:ascii="Calibri" w:hAnsi="Calibri" w:cs="Calibri"/>
          <w:color w:val="auto"/>
          <w:sz w:val="22"/>
          <w:szCs w:val="22"/>
        </w:rPr>
        <w:t xml:space="preserve"> assessments reveal that FMS are far more prevalent than classroom observations alone would suggest. This highlights the limitations of relying </w:t>
      </w:r>
      <w:r w:rsidRPr="000352BE">
        <w:rPr>
          <w:rFonts w:ascii="Calibri" w:hAnsi="Calibri" w:cs="Calibri"/>
          <w:color w:val="auto"/>
          <w:sz w:val="22"/>
          <w:szCs w:val="22"/>
        </w:rPr>
        <w:lastRenderedPageBreak/>
        <w:t xml:space="preserve">solely on observational assessment in all areas of the EYFS in particularly PD. FMS are the start point for a wide range of tasks including writing, self-care, and coordinated activities that children needed to embed with EY. Any delays in FMS can affect not only school readiness but also later academic achievement. The findings show the possible importance of using a </w:t>
      </w:r>
      <w:r w:rsidR="00DA53C0">
        <w:rPr>
          <w:rFonts w:ascii="Calibri" w:hAnsi="Calibri" w:cs="Calibri"/>
          <w:color w:val="auto"/>
          <w:sz w:val="22"/>
          <w:szCs w:val="22"/>
        </w:rPr>
        <w:t>standardised</w:t>
      </w:r>
      <w:r w:rsidRPr="000352BE">
        <w:rPr>
          <w:rFonts w:ascii="Calibri" w:hAnsi="Calibri" w:cs="Calibri"/>
          <w:color w:val="auto"/>
          <w:sz w:val="22"/>
          <w:szCs w:val="22"/>
        </w:rPr>
        <w:t xml:space="preserve"> assessment for physical development alongside the current observational methods in EY settings. This will support a more comprehensive and accurate understanding of children’s motor competence coupled with the understanding of each individual child though observations in the classroom. Using a combined approach, teacher and senior leaders can identify children who may otherwise be overlooked, allowing for timely interventions allowing all children to reach their full potential, both academically and physically. while fostering lifelong engagement in physical activity and healthy development.</w:t>
      </w:r>
      <w:r w:rsidRPr="000352BE">
        <w:rPr>
          <w:color w:val="auto"/>
        </w:rPr>
        <w:t xml:space="preserve"> </w:t>
      </w:r>
      <w:r w:rsidRPr="000352BE">
        <w:rPr>
          <w:rFonts w:ascii="Calibri" w:hAnsi="Calibri" w:cs="Calibri"/>
          <w:color w:val="auto"/>
          <w:sz w:val="22"/>
          <w:szCs w:val="22"/>
        </w:rPr>
        <w:t>Sport England's (2023) Physical Literacy Consensus Statement states, "Physical literacy is our relationship with movement and physical activity throughout life." This shows the importance of nurturing positive experiences and skills from an early age to build a foundation for lifelong physical activity and well-being.</w:t>
      </w:r>
    </w:p>
    <w:p w14:paraId="01504A54" w14:textId="77777777" w:rsidR="002A7944" w:rsidRPr="000352BE" w:rsidRDefault="002A7944" w:rsidP="002A7944">
      <w:pPr>
        <w:spacing w:after="120" w:line="360" w:lineRule="auto"/>
        <w:jc w:val="both"/>
        <w:rPr>
          <w:rFonts w:ascii="Calibri" w:hAnsi="Calibri" w:cs="Calibri"/>
          <w:color w:val="auto"/>
          <w:sz w:val="22"/>
          <w:szCs w:val="22"/>
        </w:rPr>
      </w:pPr>
      <w:r w:rsidRPr="000352BE">
        <w:rPr>
          <w:rFonts w:ascii="Calibri" w:hAnsi="Calibri" w:cs="Calibri"/>
          <w:color w:val="auto"/>
          <w:sz w:val="22"/>
          <w:szCs w:val="22"/>
        </w:rPr>
        <w:t xml:space="preserve">These results highlight both the strengths and limitations of current assessment practices. Teacher observations offer an overall perspective on child’s development, looking at how they behave in everyday motor functioning as well as social situations. They may the reliability and validity to detect subtle fine motor difficulties, as suggested by Piek et al. (2008). In contrast, the MABC-2 provides reliable, norm-referenced data and can highlight deficits not easily visible in classroom observation. Henderson, Sugden and Barnett (2007) note, the structured nature of such assessments may not fully capture children’s natural performance in everyday contexts. We should not view the 2 approaches as competing methods (observational and standardised) but rather as tool used together to provide a more accurate picture of a child’s PD. A more integrated approach to assessment is required. Combining the contextual strengths of teacher observation with the diagnostic precision of tools such as MABC-2 to offer the best opportunity to ensure all children’s needs are accurately identified and supported at the earliest age, to prevent ay motor difficulties going unrecognised. </w:t>
      </w:r>
    </w:p>
    <w:p w14:paraId="0040275A" w14:textId="77777777" w:rsidR="002A7944" w:rsidRPr="000352BE" w:rsidRDefault="002A7944" w:rsidP="002A7944">
      <w:pPr>
        <w:spacing w:after="120" w:line="360" w:lineRule="auto"/>
        <w:jc w:val="both"/>
        <w:rPr>
          <w:rFonts w:ascii="Calibri" w:hAnsi="Calibri" w:cs="Calibri"/>
          <w:color w:val="auto"/>
          <w:sz w:val="22"/>
          <w:szCs w:val="22"/>
        </w:rPr>
      </w:pPr>
      <w:r w:rsidRPr="000352BE">
        <w:rPr>
          <w:rFonts w:ascii="Calibri" w:hAnsi="Calibri" w:cs="Calibri"/>
          <w:color w:val="auto"/>
          <w:sz w:val="22"/>
          <w:szCs w:val="22"/>
        </w:rPr>
        <w:t>The analysis between the EYFS PD data and MABC-2 outcomes revealed significant differences, particularly in the identification of children experiencing motor skill difficulties. Teacher observations, which form the basis of EYFS assessment judgments, suggested that approximately two-thirds of children achieved a Good Level of Development (GLD) in physical development, consistent with national trends where around 85% of children typically meet expected physical milestones. Yet, the MABC-2 painted a markedly different picture, with only 28.57% of children classified as having no movement difficulty, and the majority—over 70%—falling within at-risk or significant movement difficulty categories.</w:t>
      </w:r>
    </w:p>
    <w:p w14:paraId="383248F7" w14:textId="77777777" w:rsidR="002A7944" w:rsidRPr="000352BE" w:rsidRDefault="002A7944" w:rsidP="002A7944">
      <w:pPr>
        <w:spacing w:after="120" w:line="360" w:lineRule="auto"/>
        <w:jc w:val="both"/>
        <w:rPr>
          <w:rFonts w:ascii="Calibri" w:hAnsi="Calibri" w:cs="Calibri"/>
          <w:color w:val="auto"/>
          <w:sz w:val="22"/>
          <w:szCs w:val="22"/>
        </w:rPr>
      </w:pPr>
      <w:r w:rsidRPr="000352BE">
        <w:rPr>
          <w:rFonts w:ascii="Calibri" w:hAnsi="Calibri" w:cs="Calibri"/>
          <w:color w:val="auto"/>
          <w:sz w:val="22"/>
          <w:szCs w:val="22"/>
        </w:rPr>
        <w:t>This contrast suggests that while teachers are able to identify many children developing as expected, less obvious motor coordination issues, especially in fine motor skills, are being missed. The EYFS assessments appeared to more confidently capture gross motor competencies, with over 85% of children meeting or exceeding expectations in this domain, whereas fine motor skills were rated lower, with just over 76% of children assessed as meeting expectations. Even so, MABC-2 findings revealed that 75.7% of children scored below the 5th percentile on manual dexterity subtests, a sign that many children’s FMS challenges remain undetected in everyday classroom observations.</w:t>
      </w:r>
    </w:p>
    <w:p w14:paraId="7C260394" w14:textId="20A8B9BA" w:rsidR="002A7944" w:rsidRPr="000352BE" w:rsidRDefault="002A7944" w:rsidP="002A7944">
      <w:pPr>
        <w:spacing w:after="120" w:line="360" w:lineRule="auto"/>
        <w:jc w:val="both"/>
        <w:rPr>
          <w:rFonts w:ascii="Calibri" w:hAnsi="Calibri" w:cs="Calibri"/>
          <w:color w:val="auto"/>
          <w:sz w:val="22"/>
          <w:szCs w:val="22"/>
        </w:rPr>
      </w:pPr>
      <w:r w:rsidRPr="000352BE">
        <w:rPr>
          <w:rFonts w:ascii="Calibri" w:hAnsi="Calibri" w:cs="Calibri"/>
          <w:color w:val="auto"/>
          <w:sz w:val="22"/>
          <w:szCs w:val="22"/>
        </w:rPr>
        <w:t xml:space="preserve">The differences between the two sets of data, show both the strengths and limitations of each approach. Teacher observations benefit from the understanding of each child’s daily functioning across multiple environments and times. They allow for assessments that occur in daily practice and supported by adults in the classroom. However, observations </w:t>
      </w:r>
      <w:r w:rsidRPr="000352BE">
        <w:rPr>
          <w:rFonts w:ascii="Calibri" w:hAnsi="Calibri" w:cs="Calibri"/>
          <w:color w:val="auto"/>
          <w:sz w:val="22"/>
          <w:szCs w:val="22"/>
        </w:rPr>
        <w:lastRenderedPageBreak/>
        <w:t xml:space="preserve">sometimes lack the precision to emerging motor difficulties, especially in children who are deemed to be following the rules and meeting behaviour expectations. In comparison, the MABC-2 provides a structured evaluation of motor competence through validated tasks that assess fine and gross motor skills with high sensitivity. It identifies children with subtle motor coordination challenges that may otherwise remain unnoticed until academic or social difficulties become pronounced. Thus, </w:t>
      </w:r>
      <w:r w:rsidR="00DA53C0">
        <w:rPr>
          <w:rFonts w:ascii="Calibri" w:hAnsi="Calibri" w:cs="Calibri"/>
          <w:color w:val="auto"/>
          <w:sz w:val="22"/>
          <w:szCs w:val="22"/>
        </w:rPr>
        <w:t>standardised</w:t>
      </w:r>
      <w:r w:rsidRPr="000352BE">
        <w:rPr>
          <w:rFonts w:ascii="Calibri" w:hAnsi="Calibri" w:cs="Calibri"/>
          <w:color w:val="auto"/>
          <w:sz w:val="22"/>
          <w:szCs w:val="22"/>
        </w:rPr>
        <w:t xml:space="preserve"> assessments serve as a crucial complement to teacher observations, enabling earlier identification and intervention for children at risk of developmental coordination disorder (DCD) and other motor-related delays. Given both these findings, a mixed approach by combining observational assessments with </w:t>
      </w:r>
      <w:r w:rsidR="00DA53C0">
        <w:rPr>
          <w:rFonts w:ascii="Calibri" w:hAnsi="Calibri" w:cs="Calibri"/>
          <w:color w:val="auto"/>
          <w:sz w:val="22"/>
          <w:szCs w:val="22"/>
        </w:rPr>
        <w:t>standardised</w:t>
      </w:r>
      <w:r w:rsidRPr="000352BE">
        <w:rPr>
          <w:rFonts w:ascii="Calibri" w:hAnsi="Calibri" w:cs="Calibri"/>
          <w:color w:val="auto"/>
          <w:sz w:val="22"/>
          <w:szCs w:val="22"/>
        </w:rPr>
        <w:t xml:space="preserve"> tools could be preferable in early years settings. This integration would provide a more accurate picture of children’s motor development, allowing teachers to support children with intervention that are more effective in developing areas of need. Introducing tools like the MABC-2, or brief / easy to administer version of the testing, adapted for early years, could provide results that complement teacher observations. Using tools like MABC-2 throughout the academic year alongside observational assessment will help highlight any issues, and support children in overcoming any issues that arise. </w:t>
      </w:r>
    </w:p>
    <w:p w14:paraId="59644305" w14:textId="77777777" w:rsidR="002A7944" w:rsidRPr="000352BE" w:rsidRDefault="002A7944" w:rsidP="002A7944">
      <w:pPr>
        <w:spacing w:after="120" w:line="360" w:lineRule="auto"/>
        <w:jc w:val="both"/>
        <w:rPr>
          <w:rFonts w:ascii="Calibri" w:hAnsi="Calibri" w:cs="Calibri"/>
          <w:color w:val="auto"/>
          <w:sz w:val="22"/>
          <w:szCs w:val="22"/>
        </w:rPr>
      </w:pPr>
      <w:r w:rsidRPr="000352BE">
        <w:rPr>
          <w:rFonts w:ascii="Calibri" w:hAnsi="Calibri" w:cs="Calibri"/>
          <w:color w:val="auto"/>
          <w:sz w:val="22"/>
          <w:szCs w:val="22"/>
        </w:rPr>
        <w:t>The clear differences between the EYFS PD data and the MABC-2 results underline the limitations of relying solely on observational assessments for the early identification of motor difficulties. Standardised assessments provide a more robust means of identifying children at risk, ensuring that difficulties are not overlooked in the early years. Gender differences were also evident, with girls outperforming boys in fine motor tasks and boys more frequently scoring below expectations. However, this study’s findings regarding object-control skills did not fully align with existing literature, which typically reports boys outperforming girls in these domains (Barnett et al., 2016). This inconsistency highlights the importance of context, suggesting that EYFS provision, teaching practices, or opportunities for skill practice may influence developmental outcomes. Such findings reinforce the need for more nuanced approaches that combine observational and standardised assessments to ensure accurate identification and targeted intervention across different motor domains (Else-Quest et al., 2006).</w:t>
      </w:r>
    </w:p>
    <w:p w14:paraId="766BF333" w14:textId="08A3AB17" w:rsidR="002A7944" w:rsidRPr="000352BE" w:rsidRDefault="002A7944" w:rsidP="002A7944">
      <w:pPr>
        <w:spacing w:after="120" w:line="360" w:lineRule="auto"/>
        <w:jc w:val="both"/>
        <w:rPr>
          <w:rFonts w:ascii="Calibri" w:hAnsi="Calibri" w:cs="Calibri"/>
          <w:color w:val="auto"/>
          <w:sz w:val="22"/>
          <w:szCs w:val="22"/>
        </w:rPr>
      </w:pPr>
      <w:r w:rsidRPr="000352BE">
        <w:rPr>
          <w:rFonts w:ascii="Calibri" w:hAnsi="Calibri" w:cs="Calibri"/>
          <w:color w:val="auto"/>
          <w:sz w:val="22"/>
          <w:szCs w:val="22"/>
        </w:rPr>
        <w:t>Early Years settings do use a type of standardised test via the Reception Baseline Assessment (RBA). (</w:t>
      </w:r>
      <w:r w:rsidR="00320059">
        <w:rPr>
          <w:rFonts w:ascii="Calibri" w:hAnsi="Calibri" w:cs="Calibri"/>
          <w:color w:val="auto"/>
          <w:sz w:val="22"/>
          <w:szCs w:val="22"/>
        </w:rPr>
        <w:t>DfE</w:t>
      </w:r>
      <w:r w:rsidRPr="000352BE">
        <w:rPr>
          <w:rFonts w:ascii="Calibri" w:hAnsi="Calibri" w:cs="Calibri"/>
          <w:color w:val="auto"/>
          <w:sz w:val="22"/>
          <w:szCs w:val="22"/>
        </w:rPr>
        <w:t>, 2025) The RBA is a statutory assessment conducted in the first few weeks of a child starting school to establish their initial skills in communication, language, literacy, and mathematics, there is no section for Physical Development, which is a concern as any issues would and should be highlighted early in the child’s entry into the EYFS. At the government level, this study highlights concerns regarding the adequacy of the current EYFS assessment, although EYFS values observational assessments, the findings imply that relying solely on observation may allow many children at risk of motor developmental delays to remain undetected. Potentially, things should be put in place to supplement statutory EYFS data with brief, standardised motor skill measures to enhance the reliability of national physical development monitoring. This could be closely linked to the RBA, and then activities related to it. This can then be used daily as part of the EYFS environment, ant the continuous provision that is provided for all children to access. Settings in EY’s should provide plenty of opportunities for gross and fine motor development relevant activities to engage all children. This supports FMS and GMS skill acquisition, confidence and school readiness (Piek et al., 2008; Barnett et al., 2016).</w:t>
      </w:r>
    </w:p>
    <w:p w14:paraId="265DEA4F" w14:textId="77777777" w:rsidR="002A7944" w:rsidRPr="000352BE" w:rsidRDefault="002A7944" w:rsidP="002A7944">
      <w:pPr>
        <w:spacing w:line="360" w:lineRule="auto"/>
        <w:jc w:val="both"/>
        <w:rPr>
          <w:rFonts w:ascii="Calibri" w:hAnsi="Calibri" w:cs="Calibri"/>
          <w:color w:val="auto"/>
          <w:sz w:val="22"/>
          <w:szCs w:val="22"/>
        </w:rPr>
      </w:pPr>
      <w:r w:rsidRPr="000352BE">
        <w:rPr>
          <w:rFonts w:ascii="Calibri" w:hAnsi="Calibri" w:cs="Calibri"/>
          <w:color w:val="auto"/>
          <w:sz w:val="22"/>
          <w:szCs w:val="22"/>
        </w:rPr>
        <w:t xml:space="preserve">The results from this research highlight an area in which the current statutory assessment system in EYFS needs rethinking. The EYFSF places significant emphasis on literacy and numeracy as markers of GLD, but as physical development is a prime </w:t>
      </w:r>
      <w:r w:rsidRPr="000352BE">
        <w:rPr>
          <w:rFonts w:ascii="Calibri" w:hAnsi="Calibri" w:cs="Calibri"/>
          <w:color w:val="auto"/>
          <w:sz w:val="22"/>
          <w:szCs w:val="22"/>
        </w:rPr>
        <w:lastRenderedPageBreak/>
        <w:t>area that underpins these outcomes, we can’t be seen to leaving any typer of movement difficulties undetected. If they are not identified within EYFS assessments, it allows children to progress into Key Stage 1 with hidden barriers to learning and participation. This not only affects individual children but also places additional strain on schools tasked with providing later interventions.</w:t>
      </w:r>
    </w:p>
    <w:p w14:paraId="7BF2990F" w14:textId="07E0F5B6" w:rsidR="002A7944" w:rsidRPr="000352BE" w:rsidRDefault="002A7944" w:rsidP="002A7944">
      <w:pPr>
        <w:spacing w:line="360" w:lineRule="auto"/>
        <w:jc w:val="both"/>
        <w:rPr>
          <w:rFonts w:ascii="Calibri" w:hAnsi="Calibri" w:cs="Calibri"/>
          <w:color w:val="auto"/>
          <w:sz w:val="22"/>
          <w:szCs w:val="22"/>
        </w:rPr>
      </w:pPr>
      <w:r w:rsidRPr="000352BE">
        <w:rPr>
          <w:rFonts w:ascii="Calibri" w:hAnsi="Calibri" w:cs="Calibri"/>
          <w:color w:val="auto"/>
          <w:sz w:val="22"/>
          <w:szCs w:val="22"/>
        </w:rPr>
        <w:t>The significance of these findings extends beyond a simple comparison of different assessment tools. They raise important questions about the effectiveness of the Early Years Foundation Stage Framework (EYFSF) in fulfilling its central purpose: ensuring that all children leave the early years equipped with the skills necessary to access the next stage of their education (</w:t>
      </w:r>
      <w:r w:rsidR="00320059">
        <w:rPr>
          <w:rFonts w:ascii="Calibri" w:hAnsi="Calibri" w:cs="Calibri"/>
          <w:color w:val="auto"/>
          <w:sz w:val="22"/>
          <w:szCs w:val="22"/>
        </w:rPr>
        <w:t>DfE</w:t>
      </w:r>
      <w:r w:rsidRPr="000352BE">
        <w:rPr>
          <w:rFonts w:ascii="Calibri" w:hAnsi="Calibri" w:cs="Calibri"/>
          <w:color w:val="auto"/>
          <w:sz w:val="22"/>
          <w:szCs w:val="22"/>
        </w:rPr>
        <w:t>, 2021). In particular, concerns emerge around the ‘prime area’ of physical development, which is intended to underpin and support progress in all areas of the EYFSF, (Barnett et al., 2016). If the EYFSF does not support in developing and enhancing a child’s motor competence, there is a risk that some children may transition into Key Stage 1 with unrecognised motor difficulties (Cameron et al., 2012). This has implications not only for school readiness but also for children’s confidence, participation in play, and long-term engagement in physical activity (Robinson et al., 2015)</w:t>
      </w:r>
    </w:p>
    <w:p w14:paraId="24E6D5C7" w14:textId="77777777" w:rsidR="002A7944" w:rsidRPr="000352BE" w:rsidRDefault="002A7944" w:rsidP="002A7944">
      <w:pPr>
        <w:spacing w:line="360" w:lineRule="auto"/>
        <w:jc w:val="both"/>
        <w:rPr>
          <w:rFonts w:ascii="Calibri" w:hAnsi="Calibri" w:cs="Calibri"/>
          <w:color w:val="auto"/>
          <w:sz w:val="22"/>
          <w:szCs w:val="22"/>
        </w:rPr>
      </w:pPr>
      <w:r w:rsidRPr="000352BE">
        <w:rPr>
          <w:rFonts w:ascii="Calibri" w:hAnsi="Calibri" w:cs="Calibri"/>
          <w:color w:val="auto"/>
          <w:sz w:val="22"/>
          <w:szCs w:val="22"/>
        </w:rPr>
        <w:t>From the child’s perspective, the any issues of motor difficulties left undetected carries implications such as delays in FMS can affect handwriting, self-care tasks, and classroom engagement (Grissmer et al., 2010). Similarly, poor motor competence has been linked to lower participation in physical activity. These difficulties not only affect a child’s capacity to meet everyday school demands but also influence their confidence and willingness to participate in classroom activities (Bart et al., 2007). Stodden et al., (2008) found that poor motor competence has been linked to lower levels of participation in physical activity, which in leads to reduced physical fitness, poor health outcomes, and lower levels wellbeing across the child’s lifetime. If difficulties are not detected early, children may experience cumulative disadvantages in both academic and physical domains. If difficulties are not detected early, children may face problems both physically academically (Barnett et al., 2016)</w:t>
      </w:r>
    </w:p>
    <w:p w14:paraId="46A3FA8D" w14:textId="77777777" w:rsidR="002A7944" w:rsidRPr="000352BE" w:rsidRDefault="002A7944" w:rsidP="002A7944">
      <w:pPr>
        <w:spacing w:line="360" w:lineRule="auto"/>
        <w:jc w:val="both"/>
        <w:rPr>
          <w:rFonts w:ascii="Calibri" w:hAnsi="Calibri" w:cs="Calibri"/>
          <w:color w:val="auto"/>
          <w:sz w:val="22"/>
          <w:szCs w:val="22"/>
        </w:rPr>
      </w:pPr>
      <w:r w:rsidRPr="000352BE">
        <w:rPr>
          <w:rFonts w:ascii="Calibri" w:hAnsi="Calibri" w:cs="Calibri"/>
          <w:color w:val="auto"/>
          <w:sz w:val="22"/>
          <w:szCs w:val="22"/>
        </w:rPr>
        <w:t>From a teacher’s perspective, the findings highlight the limitations of relying solely on observational assessments. While teacher judgment is invaluable due to its contextual and holistic nature, this study shows that teachers may overlook less obvious deficits, particularly when these do not immediately interfere with classroom behaviour or learning. The discrepancy between EYFS outcomes and MABC-2 results illustrates how reliance on observation alone risks missing those children who are “coping” superficially, but who nevertheless require targeted support to thrive.</w:t>
      </w:r>
    </w:p>
    <w:p w14:paraId="1BCFC319" w14:textId="77777777" w:rsidR="002A7944" w:rsidRPr="000352BE" w:rsidRDefault="002A7944" w:rsidP="002A7944">
      <w:pPr>
        <w:spacing w:after="120" w:line="360" w:lineRule="auto"/>
        <w:jc w:val="both"/>
        <w:rPr>
          <w:rFonts w:ascii="Calibri" w:hAnsi="Calibri" w:cs="Calibri"/>
          <w:color w:val="auto"/>
          <w:sz w:val="22"/>
          <w:szCs w:val="22"/>
        </w:rPr>
      </w:pPr>
      <w:r w:rsidRPr="000352BE">
        <w:rPr>
          <w:rFonts w:ascii="Calibri" w:hAnsi="Calibri" w:cs="Calibri"/>
          <w:color w:val="auto"/>
          <w:sz w:val="22"/>
          <w:szCs w:val="22"/>
        </w:rPr>
        <w:t>The disparity in both sets of results highlights the need for enhanced training and professional development for early years practitioners. Research has shown that many teachers enter the profession with limited training in physical education and motor development, which does not help when trying to assess FMS and GMS in young children (Morgan and Bourke, 2008). Many teachers enter the profession with limited physical education training, which may hinder their ability to recognize and assess fine motor challenges confidently. Providing targeted professional learning opportunities focused on motor development, assessment literacy, and intervention strategies would better equip educators to identify and support children’s motor needs. This lack of preparation often results in an over reliance on observation within the EYFS, which, as has been found to be valuable, may not provide the ability to detect subtle motor difficulties (Capel, 2007).</w:t>
      </w:r>
    </w:p>
    <w:p w14:paraId="0C7C61B0" w14:textId="77777777" w:rsidR="002A7944" w:rsidRPr="000352BE" w:rsidRDefault="002A7944" w:rsidP="002A7944">
      <w:pPr>
        <w:spacing w:after="120" w:line="360" w:lineRule="auto"/>
        <w:jc w:val="both"/>
        <w:rPr>
          <w:rFonts w:ascii="Calibri" w:hAnsi="Calibri" w:cs="Calibri"/>
          <w:color w:val="auto"/>
          <w:sz w:val="22"/>
          <w:szCs w:val="22"/>
        </w:rPr>
      </w:pPr>
      <w:r w:rsidRPr="000352BE">
        <w:rPr>
          <w:rFonts w:ascii="Calibri" w:hAnsi="Calibri" w:cs="Calibri"/>
          <w:color w:val="auto"/>
          <w:sz w:val="22"/>
          <w:szCs w:val="22"/>
        </w:rPr>
        <w:lastRenderedPageBreak/>
        <w:t xml:space="preserve">Providing CPD that focus on motor development, assessment and intervention could better equip teachers to identify children at risk and respond appropriately (Logan et al., 2012). This type of CPD should form part of both initial teacher training and ongoing training, </w:t>
      </w:r>
    </w:p>
    <w:p w14:paraId="1ABC5AFB" w14:textId="77777777" w:rsidR="002A7944" w:rsidRPr="000352BE" w:rsidRDefault="002A7944" w:rsidP="002A7944">
      <w:pPr>
        <w:spacing w:after="120" w:line="360" w:lineRule="auto"/>
        <w:rPr>
          <w:rFonts w:ascii="Calibri" w:hAnsi="Calibri" w:cs="Calibri"/>
          <w:caps/>
          <w:color w:val="auto"/>
          <w:sz w:val="22"/>
          <w:szCs w:val="22"/>
        </w:rPr>
      </w:pPr>
      <w:r w:rsidRPr="000352BE">
        <w:rPr>
          <w:rFonts w:ascii="Calibri" w:hAnsi="Calibri" w:cs="Calibri"/>
          <w:b/>
          <w:bCs/>
          <w:caps/>
          <w:color w:val="auto"/>
          <w:sz w:val="22"/>
          <w:szCs w:val="22"/>
        </w:rPr>
        <w:t>Limitations of the Study</w:t>
      </w:r>
    </w:p>
    <w:p w14:paraId="46FB11F2" w14:textId="77777777" w:rsidR="002A7944" w:rsidRPr="000352BE" w:rsidRDefault="002A7944" w:rsidP="002A7944">
      <w:pPr>
        <w:spacing w:after="120" w:line="360" w:lineRule="auto"/>
        <w:jc w:val="both"/>
        <w:rPr>
          <w:rFonts w:ascii="Calibri" w:hAnsi="Calibri" w:cs="Calibri"/>
          <w:color w:val="auto"/>
          <w:sz w:val="22"/>
          <w:szCs w:val="22"/>
        </w:rPr>
      </w:pPr>
      <w:r w:rsidRPr="000352BE">
        <w:rPr>
          <w:rFonts w:ascii="Calibri" w:hAnsi="Calibri" w:cs="Calibri"/>
          <w:color w:val="auto"/>
          <w:sz w:val="22"/>
          <w:szCs w:val="22"/>
        </w:rPr>
        <w:t>While this research project provided some key take aways in regards PD there were several limitations that are needed to be considered. The sample was limited to two school settings was relatively small (70 children across two schools), which may affect the generalizability of findings across different contexts. Large-scale, multi-site investigations are needed to determine whether discrepancies between EYFS teacher observations and standardised assessments, such as the MABC-2, are consistent across a range of different school settings. The findings cannot also be assumed to represent all EYFS settings. Patterns were apparent across both schools, a larger study across a more widespread network would be required to confirm generalisability.</w:t>
      </w:r>
    </w:p>
    <w:p w14:paraId="28EC44B0" w14:textId="77777777" w:rsidR="002A7944" w:rsidRPr="000352BE" w:rsidRDefault="002A7944" w:rsidP="002A7944">
      <w:pPr>
        <w:spacing w:after="120" w:line="360" w:lineRule="auto"/>
        <w:jc w:val="both"/>
        <w:rPr>
          <w:rFonts w:ascii="Calibri" w:hAnsi="Calibri" w:cs="Calibri"/>
          <w:color w:val="auto"/>
          <w:sz w:val="22"/>
          <w:szCs w:val="22"/>
        </w:rPr>
      </w:pPr>
      <w:r w:rsidRPr="000352BE">
        <w:rPr>
          <w:rFonts w:ascii="Calibri" w:hAnsi="Calibri" w:cs="Calibri"/>
          <w:color w:val="auto"/>
          <w:sz w:val="22"/>
          <w:szCs w:val="22"/>
        </w:rPr>
        <w:t>The reliance on teacher led observations in EY data could influence results that are available. Some teachers may have greater assessment expertise or experience than others or could depend on teacher experience, training, and interpretation of milestones that each child needs to achieve in PD.</w:t>
      </w:r>
    </w:p>
    <w:p w14:paraId="0B13CA44" w14:textId="77777777" w:rsidR="002A7944" w:rsidRPr="000352BE" w:rsidRDefault="002A7944" w:rsidP="002A7944">
      <w:pPr>
        <w:spacing w:after="120" w:line="360" w:lineRule="auto"/>
        <w:jc w:val="both"/>
        <w:rPr>
          <w:rFonts w:ascii="Calibri" w:hAnsi="Calibri" w:cs="Calibri"/>
          <w:color w:val="auto"/>
          <w:sz w:val="22"/>
          <w:szCs w:val="22"/>
        </w:rPr>
      </w:pPr>
      <w:r w:rsidRPr="000352BE">
        <w:rPr>
          <w:rFonts w:ascii="Calibri" w:hAnsi="Calibri" w:cs="Calibri"/>
          <w:color w:val="auto"/>
          <w:sz w:val="22"/>
          <w:szCs w:val="22"/>
        </w:rPr>
        <w:t>Additionally, the 2</w:t>
      </w:r>
      <w:r w:rsidRPr="000352BE">
        <w:rPr>
          <w:rFonts w:ascii="Calibri" w:hAnsi="Calibri" w:cs="Calibri"/>
          <w:color w:val="auto"/>
          <w:sz w:val="22"/>
          <w:szCs w:val="22"/>
          <w:vertAlign w:val="superscript"/>
        </w:rPr>
        <w:t>nd</w:t>
      </w:r>
      <w:r w:rsidRPr="000352BE">
        <w:rPr>
          <w:rFonts w:ascii="Calibri" w:hAnsi="Calibri" w:cs="Calibri"/>
          <w:color w:val="auto"/>
          <w:sz w:val="22"/>
          <w:szCs w:val="22"/>
        </w:rPr>
        <w:t xml:space="preserve"> type of assessment used was the MABC-2, while a robust tool, it is not without limitations. Each individual test is time consuming, requires training to administer consistently and reliably and may not capture the full range of motor competencies relevant to educational settings. Due to the nature of the MABC-2 and the 1:1 nature of the test, this could influence children’s motivation. It was found that at both schools, children were excited to take part, so potentially this increased their scores due to the higher motivation levels. However, this doesn’t seem to have affected the results, as we have seen a significant level of children with a risk of movement difficulties or significant movement difficulty.</w:t>
      </w:r>
    </w:p>
    <w:p w14:paraId="11433A45" w14:textId="3C6CB1DB" w:rsidR="002A7944" w:rsidRPr="000352BE" w:rsidRDefault="002A7944" w:rsidP="002A7944">
      <w:pPr>
        <w:spacing w:after="120" w:line="360" w:lineRule="auto"/>
        <w:jc w:val="both"/>
        <w:rPr>
          <w:rFonts w:ascii="Calibri" w:hAnsi="Calibri" w:cs="Calibri"/>
          <w:color w:val="auto"/>
          <w:sz w:val="22"/>
          <w:szCs w:val="22"/>
        </w:rPr>
      </w:pPr>
      <w:r w:rsidRPr="000352BE">
        <w:rPr>
          <w:rFonts w:ascii="Calibri" w:hAnsi="Calibri" w:cs="Calibri"/>
          <w:color w:val="auto"/>
          <w:sz w:val="22"/>
          <w:szCs w:val="22"/>
        </w:rPr>
        <w:t xml:space="preserve">Moving forward, future studies could expand the sample size and diversify the range of schools used more. It would also need to look at exploring the long-term implications of </w:t>
      </w:r>
      <w:r w:rsidR="00DA53C0">
        <w:rPr>
          <w:rFonts w:ascii="Calibri" w:hAnsi="Calibri" w:cs="Calibri"/>
          <w:color w:val="auto"/>
          <w:sz w:val="22"/>
          <w:szCs w:val="22"/>
        </w:rPr>
        <w:t>standardised</w:t>
      </w:r>
      <w:r w:rsidRPr="000352BE">
        <w:rPr>
          <w:rFonts w:ascii="Calibri" w:hAnsi="Calibri" w:cs="Calibri"/>
          <w:color w:val="auto"/>
          <w:sz w:val="22"/>
          <w:szCs w:val="22"/>
        </w:rPr>
        <w:t xml:space="preserve"> assessments within EYFS settings and how early motor delays links to later outcomes that could affect children in being school ready (Barnett et al., 2016; Stodden et al., 2008). </w:t>
      </w:r>
    </w:p>
    <w:p w14:paraId="5B1F18F2" w14:textId="77777777" w:rsidR="002A7944" w:rsidRPr="000352BE" w:rsidRDefault="002A7944" w:rsidP="002A7944">
      <w:pPr>
        <w:spacing w:after="120" w:line="360" w:lineRule="auto"/>
        <w:jc w:val="both"/>
        <w:rPr>
          <w:rFonts w:ascii="Calibri" w:hAnsi="Calibri" w:cs="Calibri"/>
          <w:color w:val="auto"/>
          <w:sz w:val="22"/>
          <w:szCs w:val="22"/>
        </w:rPr>
      </w:pPr>
      <w:r w:rsidRPr="000352BE">
        <w:rPr>
          <w:rFonts w:ascii="Calibri" w:hAnsi="Calibri" w:cs="Calibri"/>
          <w:color w:val="auto"/>
          <w:sz w:val="22"/>
          <w:szCs w:val="22"/>
        </w:rPr>
        <w:t>Any type of future research or additions to assessment in EYFS would need to come with effective teacher training models and assessment approaches. Teachers would need support into effectively adding interventions into the day-to-day provision in EYFS and how they would support children with developing their skills. It would also be useful, when delays are found, having any interventions available as continuing professional development (CPD) for teachers in order to support in developing motor skills in EYFS. This could come with easy-to-follow early years motor screening tools to support routine monitoring, early identification, and timely intervention (Logan et al., 2012)</w:t>
      </w:r>
    </w:p>
    <w:p w14:paraId="530CD860" w14:textId="77777777" w:rsidR="002A7944" w:rsidRPr="000352BE" w:rsidRDefault="002A7944" w:rsidP="002A7944">
      <w:pPr>
        <w:spacing w:after="120" w:line="360" w:lineRule="auto"/>
        <w:jc w:val="both"/>
        <w:rPr>
          <w:rFonts w:ascii="Calibri" w:hAnsi="Calibri" w:cs="Calibri"/>
          <w:color w:val="auto"/>
          <w:sz w:val="22"/>
          <w:szCs w:val="22"/>
        </w:rPr>
      </w:pPr>
      <w:r w:rsidRPr="000352BE">
        <w:rPr>
          <w:rFonts w:ascii="Calibri" w:hAnsi="Calibri" w:cs="Calibri"/>
          <w:color w:val="auto"/>
          <w:sz w:val="22"/>
          <w:szCs w:val="22"/>
        </w:rPr>
        <w:t xml:space="preserve">More comparative studies looking at wider range of assessment tools (similar to MABC-2) that can work alongside the EYFS framework could EYFS teacher observations in gaining a better understanding of the child’s physical development (Blank et al., 2019). </w:t>
      </w:r>
    </w:p>
    <w:p w14:paraId="2ED5BA43" w14:textId="77777777" w:rsidR="002A7944" w:rsidRPr="00A6196D" w:rsidRDefault="002A7944" w:rsidP="002A7944">
      <w:pPr>
        <w:spacing w:after="120" w:line="360" w:lineRule="auto"/>
        <w:jc w:val="both"/>
        <w:rPr>
          <w:rFonts w:ascii="Calibri" w:hAnsi="Calibri" w:cs="Calibri"/>
          <w:color w:val="auto"/>
          <w:sz w:val="22"/>
          <w:szCs w:val="22"/>
        </w:rPr>
      </w:pPr>
      <w:r w:rsidRPr="000352BE">
        <w:rPr>
          <w:rFonts w:ascii="Calibri" w:hAnsi="Calibri" w:cs="Calibri"/>
          <w:color w:val="auto"/>
          <w:sz w:val="22"/>
          <w:szCs w:val="22"/>
        </w:rPr>
        <w:t xml:space="preserve">This study sought to answer the research question: </w:t>
      </w:r>
      <w:r w:rsidRPr="000352BE">
        <w:rPr>
          <w:rFonts w:ascii="Calibri" w:hAnsi="Calibri" w:cs="Calibri"/>
          <w:b/>
          <w:bCs/>
          <w:i/>
          <w:iCs/>
          <w:color w:val="auto"/>
          <w:sz w:val="22"/>
          <w:szCs w:val="22"/>
        </w:rPr>
        <w:t>How does EYFS data compare to a standardised test for physical development?</w:t>
      </w:r>
      <w:r w:rsidRPr="000352BE">
        <w:rPr>
          <w:rFonts w:ascii="Calibri" w:hAnsi="Calibri" w:cs="Calibri"/>
          <w:color w:val="auto"/>
          <w:sz w:val="22"/>
          <w:szCs w:val="22"/>
        </w:rPr>
        <w:t xml:space="preserve"> The findings indicate that while EYFS teacher observations provide valuable insights into children’s broader </w:t>
      </w:r>
      <w:r w:rsidRPr="000352BE">
        <w:rPr>
          <w:rFonts w:ascii="Calibri" w:hAnsi="Calibri" w:cs="Calibri"/>
          <w:color w:val="auto"/>
          <w:sz w:val="22"/>
          <w:szCs w:val="22"/>
        </w:rPr>
        <w:lastRenderedPageBreak/>
        <w:t>developmental progress, they do not consistently align with outcomes from standardised assessments such as the MABC-2. EYFS data suggested that the majority of children were achieving age-related expectations in physical development, particularly gross motor skills which were true of national trends and reinforcing the perception that EY children are meeting expected milestones. However, the MABC-2 results revealed a strikingly different picture. Only 28.57% of children were classified as having no movement difficulties, while over 70% were at risk or exhibited significant challenges, with fine motor skills, particularly manual dexterity, being the most affected. These results indicate that EYFS observations, while useful, may fail to detect subtle motor difficulties that can have long-term implications for school readiness, academic achievement, self-care, and physical activity</w:t>
      </w:r>
      <w:r w:rsidRPr="00A6196D">
        <w:rPr>
          <w:rFonts w:ascii="Calibri" w:hAnsi="Calibri" w:cs="Calibri"/>
          <w:color w:val="auto"/>
          <w:sz w:val="22"/>
          <w:szCs w:val="22"/>
        </w:rPr>
        <w:t xml:space="preserve"> engagement. The disparity highlights the limitations of relying solely on observational assessment within the EYFS framework and emphasises the need for a complementary, standardised screening approach.</w:t>
      </w:r>
    </w:p>
    <w:p w14:paraId="58575895" w14:textId="77777777" w:rsidR="002A7944" w:rsidRPr="00A6196D" w:rsidRDefault="002A7944" w:rsidP="002A7944">
      <w:pPr>
        <w:spacing w:after="120" w:line="360" w:lineRule="auto"/>
        <w:jc w:val="both"/>
        <w:rPr>
          <w:rFonts w:ascii="Calibri" w:hAnsi="Calibri" w:cs="Calibri"/>
          <w:color w:val="auto"/>
          <w:sz w:val="22"/>
          <w:szCs w:val="22"/>
        </w:rPr>
      </w:pPr>
      <w:r w:rsidRPr="00A6196D">
        <w:rPr>
          <w:rFonts w:ascii="Calibri" w:hAnsi="Calibri" w:cs="Calibri"/>
          <w:color w:val="auto"/>
          <w:sz w:val="22"/>
          <w:szCs w:val="22"/>
        </w:rPr>
        <w:t xml:space="preserve">The findings </w:t>
      </w:r>
      <w:r>
        <w:rPr>
          <w:rFonts w:ascii="Calibri" w:hAnsi="Calibri" w:cs="Calibri"/>
          <w:color w:val="auto"/>
          <w:sz w:val="22"/>
          <w:szCs w:val="22"/>
        </w:rPr>
        <w:t>show t</w:t>
      </w:r>
      <w:r w:rsidRPr="00A6196D">
        <w:rPr>
          <w:rFonts w:ascii="Calibri" w:hAnsi="Calibri" w:cs="Calibri"/>
          <w:color w:val="auto"/>
          <w:sz w:val="22"/>
          <w:szCs w:val="22"/>
        </w:rPr>
        <w:t xml:space="preserve">he </w:t>
      </w:r>
      <w:r>
        <w:rPr>
          <w:rFonts w:ascii="Calibri" w:hAnsi="Calibri" w:cs="Calibri"/>
          <w:color w:val="auto"/>
          <w:sz w:val="22"/>
          <w:szCs w:val="22"/>
        </w:rPr>
        <w:t xml:space="preserve">potential of </w:t>
      </w:r>
      <w:r w:rsidRPr="00A6196D">
        <w:rPr>
          <w:rFonts w:ascii="Calibri" w:hAnsi="Calibri" w:cs="Calibri"/>
          <w:color w:val="auto"/>
          <w:sz w:val="22"/>
          <w:szCs w:val="22"/>
        </w:rPr>
        <w:t xml:space="preserve">integrating observational and standardised assessments to achieve a </w:t>
      </w:r>
      <w:r>
        <w:rPr>
          <w:rFonts w:ascii="Calibri" w:hAnsi="Calibri" w:cs="Calibri"/>
          <w:color w:val="auto"/>
          <w:sz w:val="22"/>
          <w:szCs w:val="22"/>
        </w:rPr>
        <w:t>better</w:t>
      </w:r>
      <w:r w:rsidRPr="00A6196D">
        <w:rPr>
          <w:rFonts w:ascii="Calibri" w:hAnsi="Calibri" w:cs="Calibri"/>
          <w:color w:val="auto"/>
          <w:sz w:val="22"/>
          <w:szCs w:val="22"/>
        </w:rPr>
        <w:t xml:space="preserve"> understanding of children’s physical development. A mixed approach </w:t>
      </w:r>
      <w:r w:rsidRPr="0035005D">
        <w:rPr>
          <w:rFonts w:ascii="Calibri" w:hAnsi="Calibri" w:cs="Calibri"/>
          <w:color w:val="auto"/>
          <w:sz w:val="22"/>
          <w:szCs w:val="22"/>
        </w:rPr>
        <w:t>would allow</w:t>
      </w:r>
      <w:r w:rsidRPr="00A6196D">
        <w:rPr>
          <w:rFonts w:ascii="Calibri" w:hAnsi="Calibri" w:cs="Calibri"/>
          <w:color w:val="auto"/>
          <w:sz w:val="22"/>
          <w:szCs w:val="22"/>
        </w:rPr>
        <w:t xml:space="preserve"> early identification of children at risk, supporting timely interventions </w:t>
      </w:r>
      <w:r>
        <w:rPr>
          <w:rFonts w:ascii="Calibri" w:hAnsi="Calibri" w:cs="Calibri"/>
          <w:color w:val="auto"/>
          <w:sz w:val="22"/>
          <w:szCs w:val="22"/>
        </w:rPr>
        <w:t>and</w:t>
      </w:r>
      <w:r w:rsidRPr="00A6196D">
        <w:rPr>
          <w:rFonts w:ascii="Calibri" w:hAnsi="Calibri" w:cs="Calibri"/>
          <w:color w:val="auto"/>
          <w:sz w:val="22"/>
          <w:szCs w:val="22"/>
        </w:rPr>
        <w:t xml:space="preserve"> address</w:t>
      </w:r>
      <w:r>
        <w:rPr>
          <w:rFonts w:ascii="Calibri" w:hAnsi="Calibri" w:cs="Calibri"/>
          <w:color w:val="auto"/>
          <w:sz w:val="22"/>
          <w:szCs w:val="22"/>
        </w:rPr>
        <w:t xml:space="preserve"> and FMS or GMS</w:t>
      </w:r>
      <w:r w:rsidRPr="00A6196D">
        <w:rPr>
          <w:rFonts w:ascii="Calibri" w:hAnsi="Calibri" w:cs="Calibri"/>
          <w:color w:val="auto"/>
          <w:sz w:val="22"/>
          <w:szCs w:val="22"/>
        </w:rPr>
        <w:t xml:space="preserve"> delays before they impact learning. </w:t>
      </w:r>
      <w:r>
        <w:rPr>
          <w:rFonts w:ascii="Calibri" w:hAnsi="Calibri" w:cs="Calibri"/>
          <w:color w:val="auto"/>
          <w:sz w:val="22"/>
          <w:szCs w:val="22"/>
        </w:rPr>
        <w:t xml:space="preserve">This would require the introduction </w:t>
      </w:r>
      <w:r w:rsidRPr="00A6196D">
        <w:rPr>
          <w:rFonts w:ascii="Calibri" w:hAnsi="Calibri" w:cs="Calibri"/>
          <w:color w:val="auto"/>
          <w:sz w:val="22"/>
          <w:szCs w:val="22"/>
        </w:rPr>
        <w:t xml:space="preserve">of </w:t>
      </w:r>
      <w:r>
        <w:rPr>
          <w:rFonts w:ascii="Calibri" w:hAnsi="Calibri" w:cs="Calibri"/>
          <w:color w:val="auto"/>
          <w:sz w:val="22"/>
          <w:szCs w:val="22"/>
        </w:rPr>
        <w:t xml:space="preserve">more </w:t>
      </w:r>
      <w:r w:rsidRPr="00A6196D">
        <w:rPr>
          <w:rFonts w:ascii="Calibri" w:hAnsi="Calibri" w:cs="Calibri"/>
          <w:color w:val="auto"/>
          <w:sz w:val="22"/>
          <w:szCs w:val="22"/>
        </w:rPr>
        <w:t xml:space="preserve">professional development for </w:t>
      </w:r>
      <w:r>
        <w:rPr>
          <w:rFonts w:ascii="Calibri" w:hAnsi="Calibri" w:cs="Calibri"/>
          <w:color w:val="auto"/>
          <w:sz w:val="22"/>
          <w:szCs w:val="22"/>
        </w:rPr>
        <w:t>EYFS teachers</w:t>
      </w:r>
      <w:r w:rsidRPr="00A6196D">
        <w:rPr>
          <w:rFonts w:ascii="Calibri" w:hAnsi="Calibri" w:cs="Calibri"/>
          <w:color w:val="auto"/>
          <w:sz w:val="22"/>
          <w:szCs w:val="22"/>
        </w:rPr>
        <w:t xml:space="preserve">, ensuring </w:t>
      </w:r>
      <w:r>
        <w:rPr>
          <w:rFonts w:ascii="Calibri" w:hAnsi="Calibri" w:cs="Calibri"/>
          <w:color w:val="auto"/>
          <w:sz w:val="22"/>
          <w:szCs w:val="22"/>
        </w:rPr>
        <w:t>they</w:t>
      </w:r>
      <w:r w:rsidRPr="00A6196D">
        <w:rPr>
          <w:rFonts w:ascii="Calibri" w:hAnsi="Calibri" w:cs="Calibri"/>
          <w:color w:val="auto"/>
          <w:sz w:val="22"/>
          <w:szCs w:val="22"/>
        </w:rPr>
        <w:t xml:space="preserve"> have the skills and confidence to assess motor competence accuratel</w:t>
      </w:r>
      <w:r>
        <w:rPr>
          <w:rFonts w:ascii="Calibri" w:hAnsi="Calibri" w:cs="Calibri"/>
          <w:color w:val="auto"/>
          <w:sz w:val="22"/>
          <w:szCs w:val="22"/>
        </w:rPr>
        <w:t>y</w:t>
      </w:r>
      <w:r w:rsidRPr="00A6196D">
        <w:rPr>
          <w:rFonts w:ascii="Calibri" w:hAnsi="Calibri" w:cs="Calibri"/>
          <w:color w:val="auto"/>
          <w:sz w:val="22"/>
          <w:szCs w:val="22"/>
        </w:rPr>
        <w:t>.</w:t>
      </w:r>
    </w:p>
    <w:p w14:paraId="29EE2778" w14:textId="77777777" w:rsidR="002A7944" w:rsidRDefault="002A7944" w:rsidP="002A7944">
      <w:pPr>
        <w:spacing w:after="120" w:line="360" w:lineRule="auto"/>
        <w:jc w:val="both"/>
        <w:rPr>
          <w:rFonts w:ascii="Calibri" w:hAnsi="Calibri" w:cs="Calibri"/>
          <w:color w:val="auto"/>
          <w:sz w:val="22"/>
          <w:szCs w:val="22"/>
        </w:rPr>
      </w:pPr>
      <w:r w:rsidRPr="00A6196D">
        <w:rPr>
          <w:rFonts w:ascii="Calibri" w:hAnsi="Calibri" w:cs="Calibri"/>
          <w:color w:val="auto"/>
          <w:sz w:val="22"/>
          <w:szCs w:val="22"/>
        </w:rPr>
        <w:t xml:space="preserve">In conclusion, </w:t>
      </w:r>
      <w:r>
        <w:rPr>
          <w:rFonts w:ascii="Calibri" w:hAnsi="Calibri" w:cs="Calibri"/>
          <w:color w:val="auto"/>
          <w:sz w:val="22"/>
          <w:szCs w:val="22"/>
        </w:rPr>
        <w:t xml:space="preserve">the </w:t>
      </w:r>
      <w:r w:rsidRPr="00A6196D">
        <w:rPr>
          <w:rFonts w:ascii="Calibri" w:hAnsi="Calibri" w:cs="Calibri"/>
          <w:color w:val="auto"/>
          <w:sz w:val="22"/>
          <w:szCs w:val="22"/>
        </w:rPr>
        <w:t>EYFS data provide</w:t>
      </w:r>
      <w:r>
        <w:rPr>
          <w:rFonts w:ascii="Calibri" w:hAnsi="Calibri" w:cs="Calibri"/>
          <w:color w:val="auto"/>
          <w:sz w:val="22"/>
          <w:szCs w:val="22"/>
        </w:rPr>
        <w:t>d</w:t>
      </w:r>
      <w:r w:rsidRPr="00A6196D">
        <w:rPr>
          <w:rFonts w:ascii="Calibri" w:hAnsi="Calibri" w:cs="Calibri"/>
          <w:color w:val="auto"/>
          <w:sz w:val="22"/>
          <w:szCs w:val="22"/>
        </w:rPr>
        <w:t xml:space="preserve"> a valuable but incomplete measure of physical development. Standardised tools like the MABC-2 offer</w:t>
      </w:r>
      <w:r>
        <w:rPr>
          <w:rFonts w:ascii="Calibri" w:hAnsi="Calibri" w:cs="Calibri"/>
          <w:color w:val="auto"/>
          <w:sz w:val="22"/>
          <w:szCs w:val="22"/>
        </w:rPr>
        <w:t xml:space="preserve"> more</w:t>
      </w:r>
      <w:r w:rsidRPr="00A6196D">
        <w:rPr>
          <w:rFonts w:ascii="Calibri" w:hAnsi="Calibri" w:cs="Calibri"/>
          <w:color w:val="auto"/>
          <w:sz w:val="22"/>
          <w:szCs w:val="22"/>
        </w:rPr>
        <w:t xml:space="preserve"> precis</w:t>
      </w:r>
      <w:r>
        <w:rPr>
          <w:rFonts w:ascii="Calibri" w:hAnsi="Calibri" w:cs="Calibri"/>
          <w:color w:val="auto"/>
          <w:sz w:val="22"/>
          <w:szCs w:val="22"/>
        </w:rPr>
        <w:t>e results,</w:t>
      </w:r>
      <w:r w:rsidRPr="00A6196D">
        <w:rPr>
          <w:rFonts w:ascii="Calibri" w:hAnsi="Calibri" w:cs="Calibri"/>
          <w:color w:val="auto"/>
          <w:sz w:val="22"/>
          <w:szCs w:val="22"/>
        </w:rPr>
        <w:t xml:space="preserve"> that identif</w:t>
      </w:r>
      <w:r>
        <w:rPr>
          <w:rFonts w:ascii="Calibri" w:hAnsi="Calibri" w:cs="Calibri"/>
          <w:color w:val="auto"/>
          <w:sz w:val="22"/>
          <w:szCs w:val="22"/>
        </w:rPr>
        <w:t>y</w:t>
      </w:r>
      <w:r w:rsidRPr="00A6196D">
        <w:rPr>
          <w:rFonts w:ascii="Calibri" w:hAnsi="Calibri" w:cs="Calibri"/>
          <w:color w:val="auto"/>
          <w:sz w:val="22"/>
          <w:szCs w:val="22"/>
        </w:rPr>
        <w:t xml:space="preserve"> children who may otherwise be overlooked</w:t>
      </w:r>
      <w:r>
        <w:rPr>
          <w:rFonts w:ascii="Calibri" w:hAnsi="Calibri" w:cs="Calibri"/>
          <w:color w:val="auto"/>
          <w:sz w:val="22"/>
          <w:szCs w:val="22"/>
        </w:rPr>
        <w:t xml:space="preserve">. By looking at using both </w:t>
      </w:r>
      <w:r w:rsidRPr="00A6196D">
        <w:rPr>
          <w:rFonts w:ascii="Calibri" w:hAnsi="Calibri" w:cs="Calibri"/>
          <w:color w:val="auto"/>
          <w:sz w:val="22"/>
          <w:szCs w:val="22"/>
        </w:rPr>
        <w:t xml:space="preserve">approaches </w:t>
      </w:r>
      <w:r>
        <w:rPr>
          <w:rFonts w:ascii="Calibri" w:hAnsi="Calibri" w:cs="Calibri"/>
          <w:color w:val="auto"/>
          <w:sz w:val="22"/>
          <w:szCs w:val="22"/>
        </w:rPr>
        <w:t xml:space="preserve">could </w:t>
      </w:r>
      <w:r w:rsidRPr="00A6196D">
        <w:rPr>
          <w:rFonts w:ascii="Calibri" w:hAnsi="Calibri" w:cs="Calibri"/>
          <w:color w:val="auto"/>
          <w:sz w:val="22"/>
          <w:szCs w:val="22"/>
        </w:rPr>
        <w:t>provide the most accurate representation of children’s motor skills, informing interventions that promote school readiness, confidence, and long-term physical, academic, and social wellbeing. Future practice should consider embedding brief, easy-to-administer standardised assessments alongside EYFS observations, supported by CPD for practitioners, to ensure all children reach their full potential</w:t>
      </w:r>
      <w:r>
        <w:rPr>
          <w:rFonts w:ascii="Calibri" w:hAnsi="Calibri" w:cs="Calibri"/>
          <w:color w:val="auto"/>
          <w:sz w:val="22"/>
          <w:szCs w:val="22"/>
        </w:rPr>
        <w:t>.</w:t>
      </w:r>
    </w:p>
    <w:p w14:paraId="58FB7B35" w14:textId="77777777" w:rsidR="002A7944" w:rsidRDefault="002A7944" w:rsidP="002A7944">
      <w:pPr>
        <w:spacing w:after="120" w:line="360" w:lineRule="auto"/>
        <w:jc w:val="both"/>
        <w:rPr>
          <w:rFonts w:ascii="Calibri" w:hAnsi="Calibri" w:cs="Calibri"/>
          <w:color w:val="auto"/>
          <w:sz w:val="22"/>
          <w:szCs w:val="22"/>
        </w:rPr>
      </w:pPr>
    </w:p>
    <w:p w14:paraId="545338C5" w14:textId="77777777" w:rsidR="002A7944" w:rsidRDefault="002A7944" w:rsidP="002A7944">
      <w:pPr>
        <w:spacing w:after="120" w:line="360" w:lineRule="auto"/>
        <w:jc w:val="both"/>
        <w:rPr>
          <w:rFonts w:ascii="Calibri" w:hAnsi="Calibri" w:cs="Calibri"/>
          <w:color w:val="auto"/>
          <w:sz w:val="22"/>
          <w:szCs w:val="22"/>
        </w:rPr>
      </w:pPr>
    </w:p>
    <w:p w14:paraId="312D23BF" w14:textId="77777777" w:rsidR="002A7944" w:rsidRDefault="002A7944" w:rsidP="002A7944">
      <w:pPr>
        <w:spacing w:after="120" w:line="360" w:lineRule="auto"/>
        <w:jc w:val="both"/>
        <w:rPr>
          <w:rFonts w:ascii="Calibri" w:hAnsi="Calibri" w:cs="Calibri"/>
          <w:color w:val="auto"/>
          <w:sz w:val="22"/>
          <w:szCs w:val="22"/>
        </w:rPr>
      </w:pPr>
    </w:p>
    <w:p w14:paraId="2DBFEE9B" w14:textId="77777777" w:rsidR="002A7944" w:rsidRDefault="002A7944" w:rsidP="002A7944">
      <w:pPr>
        <w:spacing w:after="120" w:line="360" w:lineRule="auto"/>
        <w:jc w:val="both"/>
        <w:rPr>
          <w:rFonts w:ascii="Calibri" w:hAnsi="Calibri" w:cs="Calibri"/>
          <w:color w:val="auto"/>
          <w:sz w:val="22"/>
          <w:szCs w:val="22"/>
        </w:rPr>
      </w:pPr>
    </w:p>
    <w:p w14:paraId="7FF88338" w14:textId="77777777" w:rsidR="002A7944" w:rsidRDefault="002A7944" w:rsidP="002A7944">
      <w:pPr>
        <w:spacing w:after="120" w:line="360" w:lineRule="auto"/>
        <w:jc w:val="both"/>
        <w:rPr>
          <w:rFonts w:ascii="Calibri" w:hAnsi="Calibri" w:cs="Calibri"/>
          <w:color w:val="auto"/>
          <w:sz w:val="22"/>
          <w:szCs w:val="22"/>
        </w:rPr>
      </w:pPr>
    </w:p>
    <w:p w14:paraId="4CD48FC8" w14:textId="77777777" w:rsidR="002A7944" w:rsidRDefault="002A7944" w:rsidP="002A7944">
      <w:pPr>
        <w:spacing w:after="120" w:line="360" w:lineRule="auto"/>
        <w:jc w:val="both"/>
        <w:rPr>
          <w:rFonts w:ascii="Calibri" w:hAnsi="Calibri" w:cs="Calibri"/>
          <w:color w:val="auto"/>
          <w:sz w:val="22"/>
          <w:szCs w:val="22"/>
        </w:rPr>
      </w:pPr>
    </w:p>
    <w:p w14:paraId="45E9EF77" w14:textId="77777777" w:rsidR="002A7944" w:rsidRDefault="002A7944" w:rsidP="002A7944">
      <w:pPr>
        <w:spacing w:after="120" w:line="360" w:lineRule="auto"/>
        <w:jc w:val="both"/>
        <w:rPr>
          <w:rFonts w:ascii="Calibri" w:hAnsi="Calibri" w:cs="Calibri"/>
          <w:color w:val="auto"/>
          <w:sz w:val="22"/>
          <w:szCs w:val="22"/>
        </w:rPr>
      </w:pPr>
    </w:p>
    <w:p w14:paraId="6D7A07C7" w14:textId="77777777" w:rsidR="002A7944" w:rsidRDefault="002A7944" w:rsidP="002A7944">
      <w:pPr>
        <w:spacing w:after="120" w:line="360" w:lineRule="auto"/>
        <w:jc w:val="both"/>
        <w:rPr>
          <w:rFonts w:ascii="Calibri" w:hAnsi="Calibri" w:cs="Calibri"/>
          <w:color w:val="auto"/>
          <w:sz w:val="22"/>
          <w:szCs w:val="22"/>
        </w:rPr>
      </w:pPr>
    </w:p>
    <w:p w14:paraId="1978A706" w14:textId="77777777" w:rsidR="002A7944" w:rsidRDefault="002A7944" w:rsidP="002A7944">
      <w:pPr>
        <w:spacing w:after="120" w:line="360" w:lineRule="auto"/>
        <w:jc w:val="both"/>
        <w:rPr>
          <w:rFonts w:ascii="Calibri" w:hAnsi="Calibri" w:cs="Calibri"/>
          <w:color w:val="auto"/>
          <w:sz w:val="22"/>
          <w:szCs w:val="22"/>
        </w:rPr>
      </w:pPr>
    </w:p>
    <w:p w14:paraId="23538A5B" w14:textId="77777777" w:rsidR="002A7944" w:rsidRDefault="002A7944" w:rsidP="002A7944">
      <w:pPr>
        <w:spacing w:after="120" w:line="360" w:lineRule="auto"/>
        <w:jc w:val="both"/>
        <w:rPr>
          <w:rFonts w:ascii="Calibri" w:hAnsi="Calibri" w:cs="Calibri"/>
          <w:color w:val="auto"/>
          <w:sz w:val="22"/>
          <w:szCs w:val="22"/>
        </w:rPr>
      </w:pPr>
    </w:p>
    <w:p w14:paraId="3EA79225" w14:textId="77777777" w:rsidR="002A7944" w:rsidRDefault="002A7944" w:rsidP="002A7944">
      <w:pPr>
        <w:spacing w:after="120" w:line="360" w:lineRule="auto"/>
        <w:jc w:val="both"/>
        <w:rPr>
          <w:rFonts w:ascii="Calibri" w:hAnsi="Calibri" w:cs="Calibri"/>
          <w:color w:val="auto"/>
          <w:sz w:val="22"/>
          <w:szCs w:val="22"/>
        </w:rPr>
      </w:pPr>
    </w:p>
    <w:p w14:paraId="0A1E570B" w14:textId="77777777" w:rsidR="002A7944" w:rsidRDefault="002A7944" w:rsidP="002A7944">
      <w:pPr>
        <w:spacing w:after="120" w:line="360" w:lineRule="auto"/>
        <w:jc w:val="both"/>
        <w:rPr>
          <w:rFonts w:ascii="Calibri" w:hAnsi="Calibri" w:cs="Calibri"/>
          <w:color w:val="auto"/>
          <w:sz w:val="22"/>
          <w:szCs w:val="22"/>
        </w:rPr>
      </w:pPr>
    </w:p>
    <w:p w14:paraId="6D996521" w14:textId="77777777" w:rsidR="002A7944" w:rsidRPr="000C2F37" w:rsidRDefault="002A7944" w:rsidP="002A7944">
      <w:pPr>
        <w:spacing w:after="0" w:line="360" w:lineRule="auto"/>
        <w:rPr>
          <w:rFonts w:ascii="Calibri" w:hAnsi="Calibri" w:cs="Calibri"/>
          <w:caps/>
          <w:color w:val="auto"/>
          <w:sz w:val="44"/>
          <w:szCs w:val="44"/>
        </w:rPr>
      </w:pPr>
      <w:r w:rsidRPr="000C2F37">
        <w:rPr>
          <w:rFonts w:ascii="Calibri" w:hAnsi="Calibri" w:cs="Calibri"/>
          <w:caps/>
          <w:color w:val="auto"/>
          <w:sz w:val="44"/>
          <w:szCs w:val="44"/>
        </w:rPr>
        <w:lastRenderedPageBreak/>
        <w:t>Bibliography</w:t>
      </w:r>
    </w:p>
    <w:p w14:paraId="30C9A72A" w14:textId="77777777" w:rsidR="002A7944" w:rsidRPr="006D6EAB" w:rsidRDefault="002A7944" w:rsidP="002A7944">
      <w:pPr>
        <w:spacing w:line="360" w:lineRule="auto"/>
        <w:jc w:val="both"/>
        <w:rPr>
          <w:rFonts w:ascii="Calibri" w:hAnsi="Calibri" w:cs="Calibri"/>
          <w:color w:val="auto"/>
          <w:sz w:val="22"/>
          <w:szCs w:val="22"/>
          <w:shd w:val="clear" w:color="auto" w:fill="FFFFFF"/>
        </w:rPr>
      </w:pPr>
      <w:r w:rsidRPr="006D6EAB">
        <w:rPr>
          <w:rFonts w:ascii="Calibri" w:hAnsi="Calibri" w:cs="Calibri"/>
          <w:color w:val="auto"/>
          <w:sz w:val="22"/>
          <w:szCs w:val="22"/>
          <w:shd w:val="clear" w:color="auto" w:fill="FFFFFF"/>
        </w:rPr>
        <w:t>Afpe.org.uk. (2025). </w:t>
      </w:r>
      <w:r w:rsidRPr="006D6EAB">
        <w:rPr>
          <w:rFonts w:ascii="Calibri" w:hAnsi="Calibri" w:cs="Calibri"/>
          <w:i/>
          <w:iCs/>
          <w:color w:val="auto"/>
          <w:sz w:val="22"/>
          <w:szCs w:val="22"/>
          <w:shd w:val="clear" w:color="auto" w:fill="FFFFFF"/>
        </w:rPr>
        <w:t>Early Years Screening Programme - Association for Physical Education</w:t>
      </w:r>
      <w:r w:rsidRPr="006D6EAB">
        <w:rPr>
          <w:rFonts w:ascii="Calibri" w:hAnsi="Calibri" w:cs="Calibri"/>
          <w:color w:val="auto"/>
          <w:sz w:val="22"/>
          <w:szCs w:val="22"/>
          <w:shd w:val="clear" w:color="auto" w:fill="FFFFFF"/>
        </w:rPr>
        <w:t>. [online] Available at: https://www.afpe.org.uk/page/EarlyYearsScreeningProgramme [Accessed 14 Sep. 2025].</w:t>
      </w:r>
    </w:p>
    <w:p w14:paraId="431EB99E" w14:textId="77777777" w:rsidR="002A7944" w:rsidRPr="00D16208" w:rsidRDefault="002A7944" w:rsidP="002A7944">
      <w:pPr>
        <w:spacing w:line="360" w:lineRule="auto"/>
        <w:jc w:val="both"/>
        <w:rPr>
          <w:rFonts w:ascii="Calibri" w:hAnsi="Calibri" w:cs="Calibri"/>
          <w:color w:val="auto"/>
          <w:sz w:val="22"/>
          <w:szCs w:val="22"/>
        </w:rPr>
      </w:pPr>
      <w:r w:rsidRPr="00D16208">
        <w:rPr>
          <w:rFonts w:ascii="Calibri" w:hAnsi="Calibri" w:cs="Calibri"/>
          <w:color w:val="auto"/>
          <w:sz w:val="22"/>
          <w:szCs w:val="22"/>
        </w:rPr>
        <w:t xml:space="preserve">Aliaga, M. and Gunderson, B. (2002) </w:t>
      </w:r>
      <w:r w:rsidRPr="00D16208">
        <w:rPr>
          <w:rFonts w:ascii="Calibri" w:hAnsi="Calibri" w:cs="Calibri"/>
          <w:i/>
          <w:iCs/>
          <w:color w:val="auto"/>
          <w:sz w:val="22"/>
          <w:szCs w:val="22"/>
        </w:rPr>
        <w:t>Interactive Statistics</w:t>
      </w:r>
      <w:r w:rsidRPr="00D16208">
        <w:rPr>
          <w:rFonts w:ascii="Calibri" w:hAnsi="Calibri" w:cs="Calibri"/>
          <w:color w:val="auto"/>
          <w:sz w:val="22"/>
          <w:szCs w:val="22"/>
        </w:rPr>
        <w:t>. New Jersey: Prentice Hall.</w:t>
      </w:r>
    </w:p>
    <w:p w14:paraId="0CC3C78E" w14:textId="77777777" w:rsidR="002A7944" w:rsidRPr="00CF0E13" w:rsidRDefault="002A7944" w:rsidP="002A7944">
      <w:pPr>
        <w:spacing w:line="360" w:lineRule="auto"/>
        <w:jc w:val="both"/>
        <w:rPr>
          <w:rFonts w:ascii="Calibri" w:hAnsi="Calibri" w:cs="Calibri"/>
          <w:color w:val="auto"/>
          <w:sz w:val="22"/>
          <w:szCs w:val="22"/>
          <w:shd w:val="clear" w:color="auto" w:fill="FFFFFF"/>
        </w:rPr>
      </w:pPr>
      <w:r w:rsidRPr="00CF0E13">
        <w:rPr>
          <w:rFonts w:ascii="Calibri" w:hAnsi="Calibri" w:cs="Calibri"/>
          <w:color w:val="auto"/>
          <w:sz w:val="22"/>
          <w:szCs w:val="22"/>
          <w:shd w:val="clear" w:color="auto" w:fill="FFFFFF"/>
        </w:rPr>
        <w:t>Armour, K.M. &amp; Duncombe, R., 2004. Teachers' continuing professional development in primary physical education: Lessons from present and past to inform the future. </w:t>
      </w:r>
      <w:r w:rsidRPr="00CF0E13">
        <w:rPr>
          <w:rStyle w:val="Emphasis"/>
          <w:rFonts w:ascii="Calibri" w:hAnsi="Calibri" w:cs="Calibri"/>
          <w:color w:val="auto"/>
          <w:sz w:val="22"/>
          <w:szCs w:val="22"/>
          <w:shd w:val="clear" w:color="auto" w:fill="FFFFFF"/>
        </w:rPr>
        <w:t>Physical Education &amp; Sport Pedagogy</w:t>
      </w:r>
      <w:r w:rsidRPr="00CF0E13">
        <w:rPr>
          <w:rFonts w:ascii="Calibri" w:hAnsi="Calibri" w:cs="Calibri"/>
          <w:color w:val="auto"/>
          <w:sz w:val="22"/>
          <w:szCs w:val="22"/>
          <w:shd w:val="clear" w:color="auto" w:fill="FFFFFF"/>
        </w:rPr>
        <w:t>, 9(1), pp.21–34</w:t>
      </w:r>
    </w:p>
    <w:p w14:paraId="4DCB4E4E" w14:textId="77777777" w:rsidR="002A7944" w:rsidRPr="00D16208" w:rsidRDefault="002A7944" w:rsidP="002A7944">
      <w:pPr>
        <w:spacing w:line="360" w:lineRule="auto"/>
        <w:jc w:val="both"/>
        <w:rPr>
          <w:rFonts w:ascii="Calibri" w:hAnsi="Calibri" w:cs="Calibri"/>
          <w:color w:val="auto"/>
          <w:sz w:val="22"/>
          <w:szCs w:val="22"/>
        </w:rPr>
      </w:pPr>
      <w:r w:rsidRPr="00CF0E13">
        <w:rPr>
          <w:rFonts w:ascii="Calibri" w:hAnsi="Calibri" w:cs="Calibri"/>
          <w:color w:val="auto"/>
          <w:sz w:val="22"/>
          <w:szCs w:val="22"/>
        </w:rPr>
        <w:t>Barnett, A.L. and Hill, E.L. eds., 2019. Understanding motor behaviour in developmental coordination disorder.</w:t>
      </w:r>
    </w:p>
    <w:p w14:paraId="0B87D743" w14:textId="77777777" w:rsidR="002A7944" w:rsidRPr="00A97298" w:rsidRDefault="002A7944" w:rsidP="002A7944">
      <w:pPr>
        <w:spacing w:line="360" w:lineRule="auto"/>
        <w:jc w:val="both"/>
        <w:rPr>
          <w:rFonts w:ascii="Calibri" w:hAnsi="Calibri" w:cs="Calibri"/>
          <w:color w:val="auto"/>
          <w:sz w:val="22"/>
          <w:szCs w:val="22"/>
        </w:rPr>
      </w:pPr>
      <w:r w:rsidRPr="00D16208">
        <w:rPr>
          <w:rFonts w:ascii="Calibri" w:hAnsi="Calibri" w:cs="Calibri"/>
          <w:color w:val="auto"/>
          <w:sz w:val="22"/>
          <w:szCs w:val="22"/>
        </w:rPr>
        <w:t>Barnett</w:t>
      </w:r>
      <w:r w:rsidRPr="00A97298">
        <w:rPr>
          <w:rFonts w:ascii="Calibri" w:hAnsi="Calibri" w:cs="Calibri"/>
          <w:color w:val="auto"/>
          <w:sz w:val="22"/>
          <w:szCs w:val="22"/>
        </w:rPr>
        <w:t>, A.L., Hill, E.L., Kirby, A. and Sugden, D.A. (2016) ‘Assessment of movement competence in children and adolescents with developmental coordination disorder: A review’, European Journal of Physical and Rehabilitation Medicine, 52(5), pp. 1–12.</w:t>
      </w:r>
    </w:p>
    <w:p w14:paraId="7559DF68" w14:textId="77777777" w:rsidR="002A7944" w:rsidRPr="00A97298" w:rsidRDefault="002A7944" w:rsidP="002A7944">
      <w:pPr>
        <w:spacing w:line="360" w:lineRule="auto"/>
        <w:jc w:val="both"/>
        <w:rPr>
          <w:rFonts w:ascii="Calibri" w:hAnsi="Calibri" w:cs="Calibri"/>
          <w:color w:val="auto"/>
          <w:sz w:val="22"/>
          <w:szCs w:val="22"/>
        </w:rPr>
      </w:pPr>
      <w:r w:rsidRPr="00A97298">
        <w:rPr>
          <w:rFonts w:ascii="Calibri" w:hAnsi="Calibri" w:cs="Calibri"/>
          <w:color w:val="auto"/>
          <w:sz w:val="22"/>
          <w:szCs w:val="22"/>
        </w:rPr>
        <w:t>Barnett, L.M., Van Beurden, E., Morgan, P.J., Brooks, L.O. and Beard, J.R. (2009) ‘Childhood motor skill proficiency as a predictor of adolescent physical activity’, Journal of Physical Activity and Health, 6(3), pp. 269–276.</w:t>
      </w:r>
    </w:p>
    <w:p w14:paraId="13DC9038" w14:textId="77777777" w:rsidR="002A7944" w:rsidRPr="00A97298" w:rsidRDefault="002A7944" w:rsidP="002A7944">
      <w:pPr>
        <w:spacing w:line="360" w:lineRule="auto"/>
        <w:jc w:val="both"/>
        <w:rPr>
          <w:rFonts w:ascii="Calibri" w:hAnsi="Calibri" w:cs="Calibri"/>
          <w:color w:val="auto"/>
          <w:sz w:val="22"/>
          <w:szCs w:val="22"/>
        </w:rPr>
      </w:pPr>
      <w:r w:rsidRPr="00A97298">
        <w:rPr>
          <w:rFonts w:ascii="Calibri" w:hAnsi="Calibri" w:cs="Calibri"/>
          <w:color w:val="auto"/>
          <w:sz w:val="22"/>
          <w:szCs w:val="22"/>
        </w:rPr>
        <w:t>Barnett, L.M., Van Beurden, E., Morgan, P.J., Brooks, L.O. and Beard, J.R. (2010) ‘Gender differences in motor skill proficiency from childhood to adolescence’, Research Quarterly for Exercise and Sport, 81(2), pp. 162–170.</w:t>
      </w:r>
    </w:p>
    <w:p w14:paraId="0F957C81" w14:textId="77777777" w:rsidR="002A7944" w:rsidRPr="00A97298" w:rsidRDefault="002A7944" w:rsidP="002A7944">
      <w:pPr>
        <w:spacing w:line="360" w:lineRule="auto"/>
        <w:jc w:val="both"/>
        <w:rPr>
          <w:rFonts w:ascii="Calibri" w:hAnsi="Calibri" w:cs="Calibri"/>
          <w:color w:val="auto"/>
          <w:sz w:val="22"/>
          <w:szCs w:val="22"/>
        </w:rPr>
      </w:pPr>
      <w:r w:rsidRPr="00A97298">
        <w:rPr>
          <w:rFonts w:ascii="Calibri" w:hAnsi="Calibri" w:cs="Calibri"/>
          <w:color w:val="auto"/>
          <w:sz w:val="22"/>
          <w:szCs w:val="22"/>
        </w:rPr>
        <w:t>Bart, O., Hajami, D. and Bar‐Haim, Y., 2007. Predicting school adjustment from motor abilities in kindergarten. Infant and Child Development: An International Journal of Research and Practice, 16(6), pp.597-615.</w:t>
      </w:r>
    </w:p>
    <w:p w14:paraId="74D61144" w14:textId="77777777" w:rsidR="002A7944" w:rsidRPr="00CF0E13" w:rsidRDefault="002A7944" w:rsidP="002A7944">
      <w:pPr>
        <w:spacing w:line="360" w:lineRule="auto"/>
        <w:jc w:val="both"/>
        <w:rPr>
          <w:rFonts w:ascii="Calibri" w:hAnsi="Calibri" w:cs="Calibri"/>
          <w:color w:val="auto"/>
          <w:sz w:val="22"/>
          <w:szCs w:val="22"/>
        </w:rPr>
      </w:pPr>
      <w:r w:rsidRPr="00A97298">
        <w:rPr>
          <w:rFonts w:ascii="Calibri" w:hAnsi="Calibri" w:cs="Calibri"/>
          <w:color w:val="auto"/>
          <w:sz w:val="22"/>
          <w:szCs w:val="22"/>
        </w:rPr>
        <w:t xml:space="preserve">Basterfield, L., </w:t>
      </w:r>
      <w:proofErr w:type="spellStart"/>
      <w:r w:rsidRPr="00A97298">
        <w:rPr>
          <w:rFonts w:ascii="Calibri" w:hAnsi="Calibri" w:cs="Calibri"/>
          <w:color w:val="auto"/>
          <w:sz w:val="22"/>
          <w:szCs w:val="22"/>
        </w:rPr>
        <w:t>Machaira</w:t>
      </w:r>
      <w:proofErr w:type="spellEnd"/>
      <w:r w:rsidRPr="00A97298">
        <w:rPr>
          <w:rFonts w:ascii="Calibri" w:hAnsi="Calibri" w:cs="Calibri"/>
          <w:color w:val="auto"/>
          <w:sz w:val="22"/>
          <w:szCs w:val="22"/>
        </w:rPr>
        <w:t>, T., Jones, D., Rapley, T., Araujo-Soares, V., Cameron, N. and Azevedo, L.B., 2023. Early years physical activity and motor skills intervention—A</w:t>
      </w:r>
      <w:r w:rsidRPr="00CF0E13">
        <w:rPr>
          <w:rFonts w:ascii="Calibri" w:hAnsi="Calibri" w:cs="Calibri"/>
          <w:color w:val="auto"/>
          <w:sz w:val="22"/>
          <w:szCs w:val="22"/>
        </w:rPr>
        <w:t xml:space="preserve"> feasibility study to evaluate an existing training programme for early years educators. </w:t>
      </w:r>
      <w:r w:rsidRPr="00CF0E13">
        <w:rPr>
          <w:rFonts w:ascii="Calibri" w:hAnsi="Calibri" w:cs="Calibri"/>
          <w:i/>
          <w:iCs/>
          <w:color w:val="auto"/>
          <w:sz w:val="22"/>
          <w:szCs w:val="22"/>
        </w:rPr>
        <w:t>Children</w:t>
      </w:r>
      <w:r w:rsidRPr="00CF0E13">
        <w:rPr>
          <w:rFonts w:ascii="Calibri" w:hAnsi="Calibri" w:cs="Calibri"/>
          <w:color w:val="auto"/>
          <w:sz w:val="22"/>
          <w:szCs w:val="22"/>
        </w:rPr>
        <w:t>, </w:t>
      </w:r>
      <w:r w:rsidRPr="00CF0E13">
        <w:rPr>
          <w:rFonts w:ascii="Calibri" w:hAnsi="Calibri" w:cs="Calibri"/>
          <w:i/>
          <w:iCs/>
          <w:color w:val="auto"/>
          <w:sz w:val="22"/>
          <w:szCs w:val="22"/>
        </w:rPr>
        <w:t>10</w:t>
      </w:r>
      <w:r w:rsidRPr="00CF0E13">
        <w:rPr>
          <w:rFonts w:ascii="Calibri" w:hAnsi="Calibri" w:cs="Calibri"/>
          <w:color w:val="auto"/>
          <w:sz w:val="22"/>
          <w:szCs w:val="22"/>
        </w:rPr>
        <w:t>(1), p.145.</w:t>
      </w:r>
    </w:p>
    <w:p w14:paraId="5FDAF413" w14:textId="77777777" w:rsidR="00A97298" w:rsidRPr="00A97298" w:rsidRDefault="00A97298" w:rsidP="002A7944">
      <w:pPr>
        <w:spacing w:line="360" w:lineRule="auto"/>
        <w:jc w:val="both"/>
        <w:rPr>
          <w:rFonts w:ascii="Calibri" w:hAnsi="Calibri" w:cs="Calibri"/>
          <w:color w:val="auto"/>
          <w:sz w:val="22"/>
          <w:szCs w:val="22"/>
        </w:rPr>
      </w:pPr>
      <w:r w:rsidRPr="00A97298">
        <w:rPr>
          <w:rFonts w:ascii="Calibri" w:hAnsi="Calibri" w:cs="Calibri"/>
          <w:color w:val="auto"/>
          <w:sz w:val="22"/>
          <w:szCs w:val="22"/>
        </w:rPr>
        <w:t>Berk, L., 2015. Child development. Pearson Higher Education AU.</w:t>
      </w:r>
    </w:p>
    <w:p w14:paraId="5590CABD" w14:textId="58FC3DC8" w:rsidR="002A7944" w:rsidRDefault="002A7944" w:rsidP="002A7944">
      <w:pPr>
        <w:spacing w:line="360" w:lineRule="auto"/>
        <w:jc w:val="both"/>
        <w:rPr>
          <w:rFonts w:ascii="Calibri" w:hAnsi="Calibri" w:cs="Calibri"/>
          <w:color w:val="auto"/>
          <w:sz w:val="22"/>
          <w:szCs w:val="22"/>
        </w:rPr>
      </w:pPr>
      <w:r w:rsidRPr="00D16208">
        <w:rPr>
          <w:rFonts w:ascii="Calibri" w:hAnsi="Calibri" w:cs="Calibri"/>
          <w:color w:val="auto"/>
          <w:sz w:val="22"/>
          <w:szCs w:val="22"/>
        </w:rPr>
        <w:t xml:space="preserve">Blank, R., Smits-Engelsman, B., Polatajko, H. and Wilson, P. (2019) ‘European Academy for Childhood Disability (EACD): Recommendations on the definition, diagnosis, and intervention of developmental coordination disorder (long version)’, </w:t>
      </w:r>
      <w:r w:rsidRPr="00D16208">
        <w:rPr>
          <w:rFonts w:ascii="Calibri" w:hAnsi="Calibri" w:cs="Calibri"/>
          <w:i/>
          <w:iCs/>
          <w:color w:val="auto"/>
          <w:sz w:val="22"/>
          <w:szCs w:val="22"/>
        </w:rPr>
        <w:t>Developmental Medicine &amp; Child Neurology</w:t>
      </w:r>
      <w:r w:rsidRPr="00D16208">
        <w:rPr>
          <w:rFonts w:ascii="Calibri" w:hAnsi="Calibri" w:cs="Calibri"/>
          <w:color w:val="auto"/>
          <w:sz w:val="22"/>
          <w:szCs w:val="22"/>
        </w:rPr>
        <w:t>, 61(3), pp. 242–285.</w:t>
      </w:r>
    </w:p>
    <w:p w14:paraId="42B7E30B" w14:textId="0FF979F2" w:rsidR="00A97298" w:rsidRPr="00D16208" w:rsidRDefault="00A97298" w:rsidP="002A7944">
      <w:pPr>
        <w:spacing w:line="360" w:lineRule="auto"/>
        <w:jc w:val="both"/>
        <w:rPr>
          <w:rFonts w:ascii="Calibri" w:hAnsi="Calibri" w:cs="Calibri"/>
          <w:color w:val="auto"/>
          <w:sz w:val="22"/>
          <w:szCs w:val="22"/>
        </w:rPr>
      </w:pPr>
      <w:r w:rsidRPr="00A97298">
        <w:rPr>
          <w:rFonts w:ascii="Calibri" w:hAnsi="Calibri" w:cs="Calibri"/>
          <w:color w:val="auto"/>
          <w:sz w:val="22"/>
          <w:szCs w:val="22"/>
        </w:rPr>
        <w:t xml:space="preserve">Brian, A., Pennell, A., Taunton, S., Starrett, A., Howard-Shaughnessy, C., Goodway, J.D., Wadsworth, D., Rudisill, M. and Stodden, D., 2019. Motor competence levels and developmental delay in early childhood: A </w:t>
      </w:r>
      <w:proofErr w:type="spellStart"/>
      <w:r w:rsidRPr="00A97298">
        <w:rPr>
          <w:rFonts w:ascii="Calibri" w:hAnsi="Calibri" w:cs="Calibri"/>
          <w:color w:val="auto"/>
          <w:sz w:val="22"/>
          <w:szCs w:val="22"/>
        </w:rPr>
        <w:t>multicenter</w:t>
      </w:r>
      <w:proofErr w:type="spellEnd"/>
      <w:r w:rsidRPr="00A97298">
        <w:rPr>
          <w:rFonts w:ascii="Calibri" w:hAnsi="Calibri" w:cs="Calibri"/>
          <w:color w:val="auto"/>
          <w:sz w:val="22"/>
          <w:szCs w:val="22"/>
        </w:rPr>
        <w:t xml:space="preserve"> cross-sectional study conducted in the USA. </w:t>
      </w:r>
      <w:r w:rsidRPr="00A97298">
        <w:rPr>
          <w:rFonts w:ascii="Calibri" w:hAnsi="Calibri" w:cs="Calibri"/>
          <w:i/>
          <w:iCs/>
          <w:color w:val="auto"/>
          <w:sz w:val="22"/>
          <w:szCs w:val="22"/>
        </w:rPr>
        <w:t>Sports Medicine</w:t>
      </w:r>
      <w:r w:rsidRPr="00A97298">
        <w:rPr>
          <w:rFonts w:ascii="Calibri" w:hAnsi="Calibri" w:cs="Calibri"/>
          <w:color w:val="auto"/>
          <w:sz w:val="22"/>
          <w:szCs w:val="22"/>
        </w:rPr>
        <w:t>, </w:t>
      </w:r>
      <w:r w:rsidRPr="00A97298">
        <w:rPr>
          <w:rFonts w:ascii="Calibri" w:hAnsi="Calibri" w:cs="Calibri"/>
          <w:i/>
          <w:iCs/>
          <w:color w:val="auto"/>
          <w:sz w:val="22"/>
          <w:szCs w:val="22"/>
        </w:rPr>
        <w:t>49</w:t>
      </w:r>
      <w:r w:rsidRPr="00A97298">
        <w:rPr>
          <w:rFonts w:ascii="Calibri" w:hAnsi="Calibri" w:cs="Calibri"/>
          <w:color w:val="auto"/>
          <w:sz w:val="22"/>
          <w:szCs w:val="22"/>
        </w:rPr>
        <w:t>(10), pp.1609-1618.</w:t>
      </w:r>
    </w:p>
    <w:p w14:paraId="2EBEA0DC" w14:textId="77777777" w:rsidR="002A7944" w:rsidRPr="00D16208" w:rsidRDefault="002A7944" w:rsidP="002A7944">
      <w:pPr>
        <w:spacing w:line="360" w:lineRule="auto"/>
        <w:jc w:val="both"/>
        <w:rPr>
          <w:rFonts w:ascii="Calibri" w:hAnsi="Calibri" w:cs="Calibri"/>
          <w:color w:val="auto"/>
          <w:sz w:val="22"/>
          <w:szCs w:val="22"/>
        </w:rPr>
      </w:pPr>
      <w:r w:rsidRPr="00D16208">
        <w:rPr>
          <w:rFonts w:ascii="Calibri" w:hAnsi="Calibri" w:cs="Calibri"/>
          <w:color w:val="auto"/>
          <w:sz w:val="22"/>
          <w:szCs w:val="22"/>
        </w:rPr>
        <w:t xml:space="preserve">Brown, T. and Lalor, A. (2009) ‘The Movement Assessment Battery for Children – Second Edition (MABC-2): A review and critique’, </w:t>
      </w:r>
      <w:r w:rsidRPr="00D16208">
        <w:rPr>
          <w:rFonts w:ascii="Calibri" w:hAnsi="Calibri" w:cs="Calibri"/>
          <w:i/>
          <w:iCs/>
          <w:color w:val="auto"/>
          <w:sz w:val="22"/>
          <w:szCs w:val="22"/>
        </w:rPr>
        <w:t xml:space="preserve">Physical &amp; Occupational Therapy in </w:t>
      </w:r>
      <w:proofErr w:type="spellStart"/>
      <w:r w:rsidRPr="00D16208">
        <w:rPr>
          <w:rFonts w:ascii="Calibri" w:hAnsi="Calibri" w:cs="Calibri"/>
          <w:i/>
          <w:iCs/>
          <w:color w:val="auto"/>
          <w:sz w:val="22"/>
          <w:szCs w:val="22"/>
        </w:rPr>
        <w:t>Pediatrics</w:t>
      </w:r>
      <w:proofErr w:type="spellEnd"/>
      <w:r w:rsidRPr="00D16208">
        <w:rPr>
          <w:rFonts w:ascii="Calibri" w:hAnsi="Calibri" w:cs="Calibri"/>
          <w:color w:val="auto"/>
          <w:sz w:val="22"/>
          <w:szCs w:val="22"/>
        </w:rPr>
        <w:t>, 29(1), pp. 86–102.</w:t>
      </w:r>
    </w:p>
    <w:p w14:paraId="622DD67C" w14:textId="77777777" w:rsidR="002A7944" w:rsidRPr="00D16208" w:rsidRDefault="002A7944" w:rsidP="002A7944">
      <w:pPr>
        <w:spacing w:line="360" w:lineRule="auto"/>
        <w:jc w:val="both"/>
        <w:rPr>
          <w:rFonts w:ascii="Calibri" w:hAnsi="Calibri" w:cs="Calibri"/>
          <w:color w:val="auto"/>
          <w:sz w:val="22"/>
          <w:szCs w:val="22"/>
        </w:rPr>
      </w:pPr>
      <w:r w:rsidRPr="00D16208">
        <w:rPr>
          <w:rFonts w:ascii="Calibri" w:hAnsi="Calibri" w:cs="Calibri"/>
          <w:color w:val="auto"/>
          <w:sz w:val="22"/>
          <w:szCs w:val="22"/>
        </w:rPr>
        <w:t xml:space="preserve">Burton, A.W. and Miller, D.E. (1998) </w:t>
      </w:r>
      <w:r w:rsidRPr="00D16208">
        <w:rPr>
          <w:rFonts w:ascii="Calibri" w:hAnsi="Calibri" w:cs="Calibri"/>
          <w:i/>
          <w:iCs/>
          <w:color w:val="auto"/>
          <w:sz w:val="22"/>
          <w:szCs w:val="22"/>
        </w:rPr>
        <w:t>Movement Skill Assessment</w:t>
      </w:r>
      <w:r w:rsidRPr="00D16208">
        <w:rPr>
          <w:rFonts w:ascii="Calibri" w:hAnsi="Calibri" w:cs="Calibri"/>
          <w:color w:val="auto"/>
          <w:sz w:val="22"/>
          <w:szCs w:val="22"/>
        </w:rPr>
        <w:t>. Champaign, IL: Human Kinetics.</w:t>
      </w:r>
    </w:p>
    <w:p w14:paraId="138A4697" w14:textId="77777777" w:rsidR="002A7944" w:rsidRPr="00D16208" w:rsidRDefault="002A7944" w:rsidP="002A7944">
      <w:pPr>
        <w:spacing w:line="360" w:lineRule="auto"/>
        <w:jc w:val="both"/>
        <w:rPr>
          <w:rFonts w:ascii="Calibri" w:hAnsi="Calibri" w:cs="Calibri"/>
          <w:color w:val="auto"/>
          <w:sz w:val="22"/>
          <w:szCs w:val="22"/>
        </w:rPr>
      </w:pPr>
      <w:r w:rsidRPr="00D16208">
        <w:rPr>
          <w:rFonts w:ascii="Calibri" w:hAnsi="Calibri" w:cs="Calibri"/>
          <w:color w:val="auto"/>
          <w:sz w:val="22"/>
          <w:szCs w:val="22"/>
        </w:rPr>
        <w:t xml:space="preserve">Cameron, C.E., Brock, L.L., Murrah, W.M., Bell, L.H., Worzalla, S.L., Grissmer, D. and Morrison, F.J. (2012) ‘Fine motor skills and executive function both contribute to kindergarten achievement’, </w:t>
      </w:r>
      <w:r w:rsidRPr="00D16208">
        <w:rPr>
          <w:rFonts w:ascii="Calibri" w:hAnsi="Calibri" w:cs="Calibri"/>
          <w:i/>
          <w:iCs/>
          <w:color w:val="auto"/>
          <w:sz w:val="22"/>
          <w:szCs w:val="22"/>
        </w:rPr>
        <w:t>Child Development</w:t>
      </w:r>
      <w:r w:rsidRPr="00D16208">
        <w:rPr>
          <w:rFonts w:ascii="Calibri" w:hAnsi="Calibri" w:cs="Calibri"/>
          <w:color w:val="auto"/>
          <w:sz w:val="22"/>
          <w:szCs w:val="22"/>
        </w:rPr>
        <w:t>, 83(4), pp. 1229–1244.</w:t>
      </w:r>
    </w:p>
    <w:p w14:paraId="3AC2C5C7" w14:textId="77777777" w:rsidR="002A7944" w:rsidRPr="00D16208" w:rsidRDefault="002A7944" w:rsidP="002A7944">
      <w:pPr>
        <w:spacing w:line="360" w:lineRule="auto"/>
        <w:jc w:val="both"/>
        <w:rPr>
          <w:rFonts w:ascii="Calibri" w:hAnsi="Calibri" w:cs="Calibri"/>
          <w:color w:val="auto"/>
          <w:sz w:val="22"/>
          <w:szCs w:val="22"/>
        </w:rPr>
      </w:pPr>
      <w:r w:rsidRPr="00D16208">
        <w:rPr>
          <w:rFonts w:ascii="Calibri" w:hAnsi="Calibri" w:cs="Calibri"/>
          <w:color w:val="auto"/>
          <w:sz w:val="22"/>
          <w:szCs w:val="22"/>
        </w:rPr>
        <w:lastRenderedPageBreak/>
        <w:t xml:space="preserve">Cameron, C.E., Cottone, E.A., Murrah, W.M. and Grissmer, D.W. (2016) ‘How are motor skills linked to children’s school performance and academic achievement?’, </w:t>
      </w:r>
      <w:r w:rsidRPr="00D16208">
        <w:rPr>
          <w:rFonts w:ascii="Calibri" w:hAnsi="Calibri" w:cs="Calibri"/>
          <w:i/>
          <w:iCs/>
          <w:color w:val="auto"/>
          <w:sz w:val="22"/>
          <w:szCs w:val="22"/>
        </w:rPr>
        <w:t>Child Development Perspectives</w:t>
      </w:r>
      <w:r w:rsidRPr="00D16208">
        <w:rPr>
          <w:rFonts w:ascii="Calibri" w:hAnsi="Calibri" w:cs="Calibri"/>
          <w:color w:val="auto"/>
          <w:sz w:val="22"/>
          <w:szCs w:val="22"/>
        </w:rPr>
        <w:t>, 10(2), pp. 93–98.</w:t>
      </w:r>
    </w:p>
    <w:p w14:paraId="5D2A429A" w14:textId="77777777" w:rsidR="002A7944" w:rsidRPr="00CF0E13" w:rsidRDefault="002A7944" w:rsidP="002A7944">
      <w:pPr>
        <w:spacing w:line="360" w:lineRule="auto"/>
        <w:jc w:val="both"/>
        <w:rPr>
          <w:rFonts w:ascii="Calibri" w:hAnsi="Calibri" w:cs="Calibri"/>
          <w:color w:val="auto"/>
          <w:sz w:val="22"/>
          <w:szCs w:val="22"/>
        </w:rPr>
      </w:pPr>
      <w:r w:rsidRPr="00CF0E13">
        <w:rPr>
          <w:rFonts w:ascii="Calibri" w:hAnsi="Calibri" w:cs="Calibri"/>
          <w:color w:val="auto"/>
          <w:sz w:val="22"/>
          <w:szCs w:val="22"/>
        </w:rPr>
        <w:t>Capel, S., 2007. Moving beyond physical education subject knowledge to develop knowledgeable teachers of the subject. </w:t>
      </w:r>
      <w:r w:rsidRPr="00CF0E13">
        <w:rPr>
          <w:rFonts w:ascii="Calibri" w:hAnsi="Calibri" w:cs="Calibri"/>
          <w:i/>
          <w:iCs/>
          <w:color w:val="auto"/>
          <w:sz w:val="22"/>
          <w:szCs w:val="22"/>
        </w:rPr>
        <w:t>The Curriculum Journal</w:t>
      </w:r>
      <w:r w:rsidRPr="00CF0E13">
        <w:rPr>
          <w:rFonts w:ascii="Calibri" w:hAnsi="Calibri" w:cs="Calibri"/>
          <w:color w:val="auto"/>
          <w:sz w:val="22"/>
          <w:szCs w:val="22"/>
        </w:rPr>
        <w:t>, </w:t>
      </w:r>
      <w:r w:rsidRPr="00CF0E13">
        <w:rPr>
          <w:rFonts w:ascii="Calibri" w:hAnsi="Calibri" w:cs="Calibri"/>
          <w:i/>
          <w:iCs/>
          <w:color w:val="auto"/>
          <w:sz w:val="22"/>
          <w:szCs w:val="22"/>
        </w:rPr>
        <w:t>18</w:t>
      </w:r>
      <w:r w:rsidRPr="00CF0E13">
        <w:rPr>
          <w:rFonts w:ascii="Calibri" w:hAnsi="Calibri" w:cs="Calibri"/>
          <w:color w:val="auto"/>
          <w:sz w:val="22"/>
          <w:szCs w:val="22"/>
        </w:rPr>
        <w:t>(4), pp.493-507.</w:t>
      </w:r>
    </w:p>
    <w:p w14:paraId="3949E995" w14:textId="77777777" w:rsidR="002A7944" w:rsidRPr="00D16208" w:rsidRDefault="002A7944" w:rsidP="002A7944">
      <w:pPr>
        <w:spacing w:line="360" w:lineRule="auto"/>
        <w:jc w:val="both"/>
        <w:rPr>
          <w:rFonts w:ascii="Calibri" w:hAnsi="Calibri" w:cs="Calibri"/>
          <w:color w:val="auto"/>
          <w:sz w:val="22"/>
          <w:szCs w:val="22"/>
        </w:rPr>
      </w:pPr>
      <w:r w:rsidRPr="00D16208">
        <w:rPr>
          <w:rFonts w:ascii="Calibri" w:hAnsi="Calibri" w:cs="Calibri"/>
          <w:color w:val="auto"/>
          <w:sz w:val="22"/>
          <w:szCs w:val="22"/>
        </w:rPr>
        <w:t xml:space="preserve">Clark, J.E. and Metcalfe, J.S. (2002) ‘The mountain of motor development: A metaphor’, in J.E. Clark and J.H. Humphrey (eds.) </w:t>
      </w:r>
      <w:r w:rsidRPr="00D16208">
        <w:rPr>
          <w:rFonts w:ascii="Calibri" w:hAnsi="Calibri" w:cs="Calibri"/>
          <w:i/>
          <w:iCs/>
          <w:color w:val="auto"/>
          <w:sz w:val="22"/>
          <w:szCs w:val="22"/>
        </w:rPr>
        <w:t>Motor Development: Research and Reviews</w:t>
      </w:r>
      <w:r w:rsidRPr="00D16208">
        <w:rPr>
          <w:rFonts w:ascii="Calibri" w:hAnsi="Calibri" w:cs="Calibri"/>
          <w:color w:val="auto"/>
          <w:sz w:val="22"/>
          <w:szCs w:val="22"/>
        </w:rPr>
        <w:t>. Reston, VA: NASPE, pp. 163–190.</w:t>
      </w:r>
    </w:p>
    <w:p w14:paraId="6392D896" w14:textId="77777777" w:rsidR="002A7944" w:rsidRPr="00CF0E13" w:rsidRDefault="002A7944" w:rsidP="002A7944">
      <w:pPr>
        <w:spacing w:line="360" w:lineRule="auto"/>
        <w:jc w:val="both"/>
        <w:rPr>
          <w:rFonts w:ascii="Calibri" w:hAnsi="Calibri" w:cs="Calibri"/>
          <w:color w:val="auto"/>
          <w:sz w:val="22"/>
          <w:szCs w:val="22"/>
        </w:rPr>
      </w:pPr>
      <w:r w:rsidRPr="00CF0E13">
        <w:rPr>
          <w:rFonts w:ascii="Calibri" w:hAnsi="Calibri" w:cs="Calibri"/>
          <w:color w:val="auto"/>
          <w:sz w:val="22"/>
          <w:szCs w:val="22"/>
        </w:rPr>
        <w:t>Comte, A., 1975. </w:t>
      </w:r>
      <w:r w:rsidRPr="00CF0E13">
        <w:rPr>
          <w:rFonts w:ascii="Calibri" w:hAnsi="Calibri" w:cs="Calibri"/>
          <w:i/>
          <w:iCs/>
          <w:color w:val="auto"/>
          <w:sz w:val="22"/>
          <w:szCs w:val="22"/>
        </w:rPr>
        <w:t>Auguste Comte and positivism: The essential writings</w:t>
      </w:r>
      <w:r w:rsidRPr="00CF0E13">
        <w:rPr>
          <w:rFonts w:ascii="Calibri" w:hAnsi="Calibri" w:cs="Calibri"/>
          <w:color w:val="auto"/>
          <w:sz w:val="22"/>
          <w:szCs w:val="22"/>
        </w:rPr>
        <w:t>. Transaction Publishers.</w:t>
      </w:r>
    </w:p>
    <w:p w14:paraId="138BDC12" w14:textId="77777777" w:rsidR="002A7944" w:rsidRPr="00D16208" w:rsidRDefault="002A7944" w:rsidP="002A7944">
      <w:pPr>
        <w:spacing w:line="360" w:lineRule="auto"/>
        <w:jc w:val="both"/>
        <w:rPr>
          <w:rFonts w:ascii="Calibri" w:hAnsi="Calibri" w:cs="Calibri"/>
          <w:color w:val="auto"/>
          <w:sz w:val="22"/>
          <w:szCs w:val="22"/>
        </w:rPr>
      </w:pPr>
      <w:r w:rsidRPr="00D16208">
        <w:rPr>
          <w:rFonts w:ascii="Calibri" w:hAnsi="Calibri" w:cs="Calibri"/>
          <w:color w:val="auto"/>
          <w:sz w:val="22"/>
          <w:szCs w:val="22"/>
        </w:rPr>
        <w:t xml:space="preserve">Conkbayir, M. (2017) </w:t>
      </w:r>
      <w:r w:rsidRPr="00D16208">
        <w:rPr>
          <w:rFonts w:ascii="Calibri" w:hAnsi="Calibri" w:cs="Calibri"/>
          <w:i/>
          <w:iCs/>
          <w:color w:val="auto"/>
          <w:sz w:val="22"/>
          <w:szCs w:val="22"/>
        </w:rPr>
        <w:t>Early Childhood and Neuroscience: Theory, Research and Implications for Practice</w:t>
      </w:r>
      <w:r w:rsidRPr="00D16208">
        <w:rPr>
          <w:rFonts w:ascii="Calibri" w:hAnsi="Calibri" w:cs="Calibri"/>
          <w:color w:val="auto"/>
          <w:sz w:val="22"/>
          <w:szCs w:val="22"/>
        </w:rPr>
        <w:t>. London: Bloomsbury.</w:t>
      </w:r>
    </w:p>
    <w:p w14:paraId="77864F64" w14:textId="77777777" w:rsidR="002A7944" w:rsidRPr="00D16208" w:rsidRDefault="002A7944" w:rsidP="002A7944">
      <w:pPr>
        <w:spacing w:line="360" w:lineRule="auto"/>
        <w:jc w:val="both"/>
        <w:rPr>
          <w:rFonts w:ascii="Calibri" w:hAnsi="Calibri" w:cs="Calibri"/>
          <w:color w:val="auto"/>
          <w:sz w:val="22"/>
          <w:szCs w:val="22"/>
        </w:rPr>
      </w:pPr>
      <w:r w:rsidRPr="00D16208">
        <w:rPr>
          <w:rFonts w:ascii="Calibri" w:hAnsi="Calibri" w:cs="Calibri"/>
          <w:color w:val="auto"/>
          <w:sz w:val="22"/>
          <w:szCs w:val="22"/>
        </w:rPr>
        <w:t xml:space="preserve">Cottle, M. and Alexander, E. (2012) ‘Quality in early years settings: Government policy and practitioners’ perspectives’, </w:t>
      </w:r>
      <w:r w:rsidRPr="00D16208">
        <w:rPr>
          <w:rFonts w:ascii="Calibri" w:hAnsi="Calibri" w:cs="Calibri"/>
          <w:i/>
          <w:iCs/>
          <w:color w:val="auto"/>
          <w:sz w:val="22"/>
          <w:szCs w:val="22"/>
        </w:rPr>
        <w:t>British Educational Research Journal</w:t>
      </w:r>
      <w:r w:rsidRPr="00D16208">
        <w:rPr>
          <w:rFonts w:ascii="Calibri" w:hAnsi="Calibri" w:cs="Calibri"/>
          <w:color w:val="auto"/>
          <w:sz w:val="22"/>
          <w:szCs w:val="22"/>
        </w:rPr>
        <w:t>, 38(4), pp. 635–654.</w:t>
      </w:r>
    </w:p>
    <w:p w14:paraId="76A099A6" w14:textId="77777777" w:rsidR="002A7944" w:rsidRPr="00303C8F" w:rsidRDefault="002A7944" w:rsidP="002A7944">
      <w:pPr>
        <w:spacing w:line="360" w:lineRule="auto"/>
        <w:jc w:val="both"/>
        <w:rPr>
          <w:rFonts w:ascii="Calibri" w:hAnsi="Calibri" w:cs="Calibri"/>
          <w:color w:val="auto"/>
          <w:sz w:val="22"/>
          <w:szCs w:val="22"/>
        </w:rPr>
      </w:pPr>
      <w:r w:rsidRPr="00303C8F">
        <w:rPr>
          <w:rFonts w:ascii="Calibri" w:hAnsi="Calibri" w:cs="Calibri"/>
          <w:color w:val="auto"/>
          <w:sz w:val="22"/>
          <w:szCs w:val="22"/>
        </w:rPr>
        <w:t>Department for Education (2023). </w:t>
      </w:r>
      <w:r w:rsidRPr="00303C8F">
        <w:rPr>
          <w:rFonts w:ascii="Calibri" w:hAnsi="Calibri" w:cs="Calibri"/>
          <w:i/>
          <w:iCs/>
          <w:color w:val="auto"/>
          <w:sz w:val="22"/>
          <w:szCs w:val="22"/>
        </w:rPr>
        <w:t>Development Matters</w:t>
      </w:r>
      <w:r w:rsidRPr="00303C8F">
        <w:rPr>
          <w:rFonts w:ascii="Calibri" w:hAnsi="Calibri" w:cs="Calibri"/>
          <w:color w:val="auto"/>
          <w:sz w:val="22"/>
          <w:szCs w:val="22"/>
        </w:rPr>
        <w:t>. [online] GOV.UK. Available at: https://www.gov.uk/government/publications/development-matters--2.</w:t>
      </w:r>
    </w:p>
    <w:p w14:paraId="0A336BEB" w14:textId="77777777" w:rsidR="002A7944" w:rsidRPr="00D16208" w:rsidRDefault="002A7944" w:rsidP="002A7944">
      <w:pPr>
        <w:spacing w:line="360" w:lineRule="auto"/>
        <w:jc w:val="both"/>
        <w:rPr>
          <w:rFonts w:ascii="Calibri" w:hAnsi="Calibri" w:cs="Calibri"/>
          <w:color w:val="auto"/>
          <w:sz w:val="22"/>
          <w:szCs w:val="22"/>
        </w:rPr>
      </w:pPr>
      <w:r w:rsidRPr="00D16208">
        <w:rPr>
          <w:rFonts w:ascii="Calibri" w:hAnsi="Calibri" w:cs="Calibri"/>
          <w:color w:val="auto"/>
          <w:sz w:val="22"/>
          <w:szCs w:val="22"/>
        </w:rPr>
        <w:t xml:space="preserve">Department for Education (DfE) (2008) </w:t>
      </w:r>
      <w:r w:rsidRPr="00D16208">
        <w:rPr>
          <w:rFonts w:ascii="Calibri" w:hAnsi="Calibri" w:cs="Calibri"/>
          <w:i/>
          <w:iCs/>
          <w:color w:val="auto"/>
          <w:sz w:val="22"/>
          <w:szCs w:val="22"/>
        </w:rPr>
        <w:t>Statutory Framework for the Early Years Foundation Stage</w:t>
      </w:r>
      <w:r w:rsidRPr="00D16208">
        <w:rPr>
          <w:rFonts w:ascii="Calibri" w:hAnsi="Calibri" w:cs="Calibri"/>
          <w:color w:val="auto"/>
          <w:sz w:val="22"/>
          <w:szCs w:val="22"/>
        </w:rPr>
        <w:t>. London: DfE.</w:t>
      </w:r>
    </w:p>
    <w:p w14:paraId="71BFDE86" w14:textId="77777777" w:rsidR="002A7944" w:rsidRPr="00D16208" w:rsidRDefault="002A7944" w:rsidP="002A7944">
      <w:pPr>
        <w:spacing w:line="360" w:lineRule="auto"/>
        <w:jc w:val="both"/>
        <w:rPr>
          <w:rFonts w:ascii="Calibri" w:hAnsi="Calibri" w:cs="Calibri"/>
          <w:color w:val="auto"/>
          <w:sz w:val="22"/>
          <w:szCs w:val="22"/>
        </w:rPr>
      </w:pPr>
      <w:r w:rsidRPr="00D16208">
        <w:rPr>
          <w:rFonts w:ascii="Calibri" w:hAnsi="Calibri" w:cs="Calibri"/>
          <w:color w:val="auto"/>
          <w:sz w:val="22"/>
          <w:szCs w:val="22"/>
        </w:rPr>
        <w:t xml:space="preserve">Department for Education (DfE) (2021) </w:t>
      </w:r>
      <w:r w:rsidRPr="00D16208">
        <w:rPr>
          <w:rFonts w:ascii="Calibri" w:hAnsi="Calibri" w:cs="Calibri"/>
          <w:i/>
          <w:iCs/>
          <w:color w:val="auto"/>
          <w:sz w:val="22"/>
          <w:szCs w:val="22"/>
        </w:rPr>
        <w:t>Statutory Framework for the Early Years Foundation Stage</w:t>
      </w:r>
      <w:r w:rsidRPr="00D16208">
        <w:rPr>
          <w:rFonts w:ascii="Calibri" w:hAnsi="Calibri" w:cs="Calibri"/>
          <w:color w:val="auto"/>
          <w:sz w:val="22"/>
          <w:szCs w:val="22"/>
        </w:rPr>
        <w:t>. London: DfE.</w:t>
      </w:r>
    </w:p>
    <w:p w14:paraId="68C8B7CF" w14:textId="77777777" w:rsidR="002A7944" w:rsidRPr="00D16208" w:rsidRDefault="002A7944" w:rsidP="002A7944">
      <w:pPr>
        <w:spacing w:line="360" w:lineRule="auto"/>
        <w:jc w:val="both"/>
        <w:rPr>
          <w:rFonts w:ascii="Calibri" w:hAnsi="Calibri" w:cs="Calibri"/>
          <w:color w:val="auto"/>
          <w:sz w:val="22"/>
          <w:szCs w:val="22"/>
        </w:rPr>
      </w:pPr>
      <w:r w:rsidRPr="00D16208">
        <w:rPr>
          <w:rFonts w:ascii="Calibri" w:hAnsi="Calibri" w:cs="Calibri"/>
          <w:color w:val="auto"/>
          <w:sz w:val="22"/>
          <w:szCs w:val="22"/>
        </w:rPr>
        <w:t xml:space="preserve">Department for Education (DfE) (2023) </w:t>
      </w:r>
      <w:r w:rsidRPr="00D16208">
        <w:rPr>
          <w:rFonts w:ascii="Calibri" w:hAnsi="Calibri" w:cs="Calibri"/>
          <w:i/>
          <w:iCs/>
          <w:color w:val="auto"/>
          <w:sz w:val="22"/>
          <w:szCs w:val="22"/>
        </w:rPr>
        <w:t>Early Years Foundation Stage Profile Results: 2023 to 2024</w:t>
      </w:r>
      <w:r w:rsidRPr="00D16208">
        <w:rPr>
          <w:rFonts w:ascii="Calibri" w:hAnsi="Calibri" w:cs="Calibri"/>
          <w:color w:val="auto"/>
          <w:sz w:val="22"/>
          <w:szCs w:val="22"/>
        </w:rPr>
        <w:t>. London: DfE.</w:t>
      </w:r>
    </w:p>
    <w:p w14:paraId="77406739" w14:textId="77777777" w:rsidR="002A7944" w:rsidRPr="00CF0E13" w:rsidRDefault="002A7944" w:rsidP="002A7944">
      <w:pPr>
        <w:spacing w:line="360" w:lineRule="auto"/>
        <w:jc w:val="both"/>
        <w:rPr>
          <w:rFonts w:ascii="Calibri" w:hAnsi="Calibri" w:cs="Calibri"/>
          <w:color w:val="auto"/>
          <w:sz w:val="22"/>
          <w:szCs w:val="22"/>
        </w:rPr>
      </w:pPr>
      <w:r w:rsidRPr="00D16208">
        <w:rPr>
          <w:rFonts w:ascii="Calibri" w:hAnsi="Calibri" w:cs="Calibri"/>
          <w:color w:val="auto"/>
          <w:sz w:val="22"/>
          <w:szCs w:val="22"/>
        </w:rPr>
        <w:t xml:space="preserve">Department for Education (DfE) (2024) </w:t>
      </w:r>
      <w:r w:rsidRPr="00D16208">
        <w:rPr>
          <w:rFonts w:ascii="Calibri" w:hAnsi="Calibri" w:cs="Calibri"/>
          <w:i/>
          <w:iCs/>
          <w:color w:val="auto"/>
          <w:sz w:val="22"/>
          <w:szCs w:val="22"/>
        </w:rPr>
        <w:t>Statutory Framework for the Early Years Foundation Stage</w:t>
      </w:r>
      <w:r w:rsidRPr="00D16208">
        <w:rPr>
          <w:rFonts w:ascii="Calibri" w:hAnsi="Calibri" w:cs="Calibri"/>
          <w:color w:val="auto"/>
          <w:sz w:val="22"/>
          <w:szCs w:val="22"/>
        </w:rPr>
        <w:t>. London: DfE.</w:t>
      </w:r>
    </w:p>
    <w:p w14:paraId="7CC4EC8A" w14:textId="77777777" w:rsidR="002A7944" w:rsidRPr="00CF0E13" w:rsidRDefault="002A7944" w:rsidP="002A7944">
      <w:pPr>
        <w:spacing w:line="360" w:lineRule="auto"/>
        <w:jc w:val="both"/>
        <w:rPr>
          <w:rFonts w:ascii="Calibri" w:hAnsi="Calibri" w:cs="Calibri"/>
          <w:color w:val="auto"/>
          <w:sz w:val="22"/>
          <w:szCs w:val="22"/>
        </w:rPr>
      </w:pPr>
      <w:r w:rsidRPr="00D16208">
        <w:rPr>
          <w:rFonts w:ascii="Calibri" w:hAnsi="Calibri" w:cs="Calibri"/>
          <w:color w:val="auto"/>
          <w:sz w:val="22"/>
          <w:szCs w:val="22"/>
        </w:rPr>
        <w:t xml:space="preserve">Duncombe, R. and Armour, K. (2003) ‘Collaborative professional learning: From theory to practice’, </w:t>
      </w:r>
      <w:r w:rsidRPr="00D16208">
        <w:rPr>
          <w:rFonts w:ascii="Calibri" w:hAnsi="Calibri" w:cs="Calibri"/>
          <w:i/>
          <w:iCs/>
          <w:color w:val="auto"/>
          <w:sz w:val="22"/>
          <w:szCs w:val="22"/>
        </w:rPr>
        <w:t>Journal of In-Service Education</w:t>
      </w:r>
      <w:r w:rsidRPr="00D16208">
        <w:rPr>
          <w:rFonts w:ascii="Calibri" w:hAnsi="Calibri" w:cs="Calibri"/>
          <w:color w:val="auto"/>
          <w:sz w:val="22"/>
          <w:szCs w:val="22"/>
        </w:rPr>
        <w:t>, 29(3), pp. 443–459.</w:t>
      </w:r>
    </w:p>
    <w:p w14:paraId="29B36DA2" w14:textId="77777777" w:rsidR="002A7944" w:rsidRPr="00CF0E13" w:rsidRDefault="002A7944" w:rsidP="002A7944">
      <w:pPr>
        <w:spacing w:line="360" w:lineRule="auto"/>
        <w:jc w:val="both"/>
        <w:rPr>
          <w:rFonts w:ascii="Calibri" w:hAnsi="Calibri" w:cs="Calibri"/>
          <w:color w:val="auto"/>
          <w:sz w:val="22"/>
          <w:szCs w:val="22"/>
        </w:rPr>
      </w:pPr>
      <w:r w:rsidRPr="00CF0E13">
        <w:rPr>
          <w:rFonts w:ascii="Calibri" w:hAnsi="Calibri" w:cs="Calibri"/>
          <w:color w:val="auto"/>
          <w:sz w:val="22"/>
          <w:szCs w:val="22"/>
        </w:rPr>
        <w:t>Duncombe, R. ed., 2019. </w:t>
      </w:r>
      <w:r w:rsidRPr="00CF0E13">
        <w:rPr>
          <w:rFonts w:ascii="Calibri" w:hAnsi="Calibri" w:cs="Calibri"/>
          <w:i/>
          <w:iCs/>
          <w:color w:val="auto"/>
          <w:sz w:val="22"/>
          <w:szCs w:val="22"/>
        </w:rPr>
        <w:t>The Physical Development Needs of Young Children</w:t>
      </w:r>
      <w:r w:rsidRPr="00CF0E13">
        <w:rPr>
          <w:rFonts w:ascii="Calibri" w:hAnsi="Calibri" w:cs="Calibri"/>
          <w:color w:val="auto"/>
          <w:sz w:val="22"/>
          <w:szCs w:val="22"/>
        </w:rPr>
        <w:t>. London: Routledge.</w:t>
      </w:r>
    </w:p>
    <w:p w14:paraId="6381B14C" w14:textId="77777777" w:rsidR="002A7944" w:rsidRPr="00D16208" w:rsidRDefault="002A7944" w:rsidP="002A7944">
      <w:pPr>
        <w:spacing w:line="360" w:lineRule="auto"/>
        <w:jc w:val="both"/>
        <w:rPr>
          <w:rFonts w:ascii="Calibri" w:hAnsi="Calibri" w:cs="Calibri"/>
          <w:color w:val="auto"/>
          <w:sz w:val="22"/>
          <w:szCs w:val="22"/>
        </w:rPr>
      </w:pPr>
      <w:r w:rsidRPr="00D16208">
        <w:rPr>
          <w:rFonts w:ascii="Calibri" w:hAnsi="Calibri" w:cs="Calibri"/>
          <w:color w:val="auto"/>
          <w:sz w:val="22"/>
          <w:szCs w:val="22"/>
        </w:rPr>
        <w:t xml:space="preserve">Early Education (2012) </w:t>
      </w:r>
      <w:r w:rsidRPr="00D16208">
        <w:rPr>
          <w:rFonts w:ascii="Calibri" w:hAnsi="Calibri" w:cs="Calibri"/>
          <w:i/>
          <w:iCs/>
          <w:color w:val="auto"/>
          <w:sz w:val="22"/>
          <w:szCs w:val="22"/>
        </w:rPr>
        <w:t>Development Matters in the Early Years Foundation Stage (EYFS)</w:t>
      </w:r>
      <w:r w:rsidRPr="00D16208">
        <w:rPr>
          <w:rFonts w:ascii="Calibri" w:hAnsi="Calibri" w:cs="Calibri"/>
          <w:color w:val="auto"/>
          <w:sz w:val="22"/>
          <w:szCs w:val="22"/>
        </w:rPr>
        <w:t>. London: Early Education.</w:t>
      </w:r>
    </w:p>
    <w:p w14:paraId="017B9B76" w14:textId="77777777" w:rsidR="002A7944" w:rsidRPr="00D16208" w:rsidRDefault="002A7944" w:rsidP="002A7944">
      <w:pPr>
        <w:spacing w:line="360" w:lineRule="auto"/>
        <w:jc w:val="both"/>
        <w:rPr>
          <w:rFonts w:ascii="Calibri" w:hAnsi="Calibri" w:cs="Calibri"/>
          <w:color w:val="auto"/>
          <w:sz w:val="22"/>
          <w:szCs w:val="22"/>
        </w:rPr>
      </w:pPr>
      <w:r w:rsidRPr="00D16208">
        <w:rPr>
          <w:rFonts w:ascii="Calibri" w:hAnsi="Calibri" w:cs="Calibri"/>
          <w:color w:val="auto"/>
          <w:sz w:val="22"/>
          <w:szCs w:val="22"/>
        </w:rPr>
        <w:t xml:space="preserve">Eddy, L.H., Bingham, D.D., Crossley, K.L., Shahid, N., Ellingham-Khan, M., Otteslev, A., Hill, L.J.B. and Mon-Williams, M. (2020) ‘The validity and reliability of observational assessment tools available to measure fundamental movement skills in school-age children: A systematic review’, </w:t>
      </w:r>
      <w:proofErr w:type="spellStart"/>
      <w:r w:rsidRPr="00D16208">
        <w:rPr>
          <w:rFonts w:ascii="Calibri" w:hAnsi="Calibri" w:cs="Calibri"/>
          <w:i/>
          <w:iCs/>
          <w:color w:val="auto"/>
          <w:sz w:val="22"/>
          <w:szCs w:val="22"/>
        </w:rPr>
        <w:t>PLoS</w:t>
      </w:r>
      <w:proofErr w:type="spellEnd"/>
      <w:r w:rsidRPr="00D16208">
        <w:rPr>
          <w:rFonts w:ascii="Calibri" w:hAnsi="Calibri" w:cs="Calibri"/>
          <w:i/>
          <w:iCs/>
          <w:color w:val="auto"/>
          <w:sz w:val="22"/>
          <w:szCs w:val="22"/>
        </w:rPr>
        <w:t xml:space="preserve"> ONE</w:t>
      </w:r>
      <w:r w:rsidRPr="00D16208">
        <w:rPr>
          <w:rFonts w:ascii="Calibri" w:hAnsi="Calibri" w:cs="Calibri"/>
          <w:color w:val="auto"/>
          <w:sz w:val="22"/>
          <w:szCs w:val="22"/>
        </w:rPr>
        <w:t>, 15(8), e0237919.</w:t>
      </w:r>
    </w:p>
    <w:p w14:paraId="7E07B217" w14:textId="77777777" w:rsidR="002A7944" w:rsidRPr="00D16208" w:rsidRDefault="002A7944" w:rsidP="002A7944">
      <w:pPr>
        <w:spacing w:line="360" w:lineRule="auto"/>
        <w:jc w:val="both"/>
        <w:rPr>
          <w:rFonts w:ascii="Calibri" w:hAnsi="Calibri" w:cs="Calibri"/>
          <w:color w:val="auto"/>
          <w:sz w:val="22"/>
          <w:szCs w:val="22"/>
        </w:rPr>
      </w:pPr>
      <w:r w:rsidRPr="00D16208">
        <w:rPr>
          <w:rFonts w:ascii="Calibri" w:hAnsi="Calibri" w:cs="Calibri"/>
          <w:color w:val="auto"/>
          <w:sz w:val="22"/>
          <w:szCs w:val="22"/>
        </w:rPr>
        <w:t xml:space="preserve">Else-Quest, N.M., Hyde, J.S., Goldsmith, H.H. and Van Hulle, C.A. (2006) ‘Gender differences in temperament: A meta-analysis’, </w:t>
      </w:r>
      <w:r w:rsidRPr="00D16208">
        <w:rPr>
          <w:rFonts w:ascii="Calibri" w:hAnsi="Calibri" w:cs="Calibri"/>
          <w:i/>
          <w:iCs/>
          <w:color w:val="auto"/>
          <w:sz w:val="22"/>
          <w:szCs w:val="22"/>
        </w:rPr>
        <w:t>Psychological Bulletin</w:t>
      </w:r>
      <w:r w:rsidRPr="00D16208">
        <w:rPr>
          <w:rFonts w:ascii="Calibri" w:hAnsi="Calibri" w:cs="Calibri"/>
          <w:color w:val="auto"/>
          <w:sz w:val="22"/>
          <w:szCs w:val="22"/>
        </w:rPr>
        <w:t>, 132(1), pp. 33–72.</w:t>
      </w:r>
    </w:p>
    <w:p w14:paraId="08480D5A" w14:textId="77777777" w:rsidR="002A7944" w:rsidRPr="00D16208" w:rsidRDefault="002A7944" w:rsidP="002A7944">
      <w:pPr>
        <w:spacing w:line="360" w:lineRule="auto"/>
        <w:jc w:val="both"/>
        <w:rPr>
          <w:rFonts w:ascii="Calibri" w:hAnsi="Calibri" w:cs="Calibri"/>
          <w:color w:val="auto"/>
          <w:sz w:val="22"/>
          <w:szCs w:val="22"/>
        </w:rPr>
      </w:pPr>
      <w:r w:rsidRPr="00D16208">
        <w:rPr>
          <w:rFonts w:ascii="Calibri" w:hAnsi="Calibri" w:cs="Calibri"/>
          <w:color w:val="auto"/>
          <w:sz w:val="22"/>
          <w:szCs w:val="22"/>
        </w:rPr>
        <w:t xml:space="preserve">Goodway, J.D. and Branta, C.F. (2003) ‘Influence of a motor skill intervention program on fundamental motor skill development of disadvantaged preschool children’, </w:t>
      </w:r>
      <w:r w:rsidRPr="00D16208">
        <w:rPr>
          <w:rFonts w:ascii="Calibri" w:hAnsi="Calibri" w:cs="Calibri"/>
          <w:i/>
          <w:iCs/>
          <w:color w:val="auto"/>
          <w:sz w:val="22"/>
          <w:szCs w:val="22"/>
        </w:rPr>
        <w:t>Research Quarterly for Exercise and Sport</w:t>
      </w:r>
      <w:r w:rsidRPr="00D16208">
        <w:rPr>
          <w:rFonts w:ascii="Calibri" w:hAnsi="Calibri" w:cs="Calibri"/>
          <w:color w:val="auto"/>
          <w:sz w:val="22"/>
          <w:szCs w:val="22"/>
        </w:rPr>
        <w:t>, 74(1), pp. 36–46.</w:t>
      </w:r>
    </w:p>
    <w:p w14:paraId="4F34F16A" w14:textId="77777777" w:rsidR="002A7944" w:rsidRPr="00CF0E13" w:rsidRDefault="002A7944" w:rsidP="002A7944">
      <w:pPr>
        <w:spacing w:line="360" w:lineRule="auto"/>
        <w:jc w:val="both"/>
        <w:rPr>
          <w:rFonts w:ascii="Calibri" w:hAnsi="Calibri" w:cs="Calibri"/>
          <w:color w:val="auto"/>
          <w:sz w:val="22"/>
          <w:szCs w:val="22"/>
        </w:rPr>
      </w:pPr>
      <w:r w:rsidRPr="00D16208">
        <w:rPr>
          <w:rFonts w:ascii="Calibri" w:hAnsi="Calibri" w:cs="Calibri"/>
          <w:color w:val="auto"/>
          <w:sz w:val="22"/>
          <w:szCs w:val="22"/>
        </w:rPr>
        <w:t xml:space="preserve">Goodway, J.D., Ozmun, J.C. and Gallahue, D.L. (2012) </w:t>
      </w:r>
      <w:r w:rsidRPr="00D16208">
        <w:rPr>
          <w:rFonts w:ascii="Calibri" w:hAnsi="Calibri" w:cs="Calibri"/>
          <w:i/>
          <w:iCs/>
          <w:color w:val="auto"/>
          <w:sz w:val="22"/>
          <w:szCs w:val="22"/>
        </w:rPr>
        <w:t>Understanding Motor Development: Infants, Children, Adolescents, Adults</w:t>
      </w:r>
      <w:r w:rsidRPr="00D16208">
        <w:rPr>
          <w:rFonts w:ascii="Calibri" w:hAnsi="Calibri" w:cs="Calibri"/>
          <w:color w:val="auto"/>
          <w:sz w:val="22"/>
          <w:szCs w:val="22"/>
        </w:rPr>
        <w:t xml:space="preserve">. 7th </w:t>
      </w:r>
      <w:proofErr w:type="spellStart"/>
      <w:r w:rsidRPr="00D16208">
        <w:rPr>
          <w:rFonts w:ascii="Calibri" w:hAnsi="Calibri" w:cs="Calibri"/>
          <w:color w:val="auto"/>
          <w:sz w:val="22"/>
          <w:szCs w:val="22"/>
        </w:rPr>
        <w:t>edn</w:t>
      </w:r>
      <w:proofErr w:type="spellEnd"/>
      <w:r w:rsidRPr="00D16208">
        <w:rPr>
          <w:rFonts w:ascii="Calibri" w:hAnsi="Calibri" w:cs="Calibri"/>
          <w:color w:val="auto"/>
          <w:sz w:val="22"/>
          <w:szCs w:val="22"/>
        </w:rPr>
        <w:t>. Boston: McGraw-Hill.</w:t>
      </w:r>
    </w:p>
    <w:p w14:paraId="3D1E406E" w14:textId="77777777" w:rsidR="002A7944" w:rsidRPr="00D16208" w:rsidRDefault="002A7944" w:rsidP="002A7944">
      <w:pPr>
        <w:spacing w:line="360" w:lineRule="auto"/>
        <w:jc w:val="both"/>
        <w:rPr>
          <w:rFonts w:ascii="Calibri" w:hAnsi="Calibri" w:cs="Calibri"/>
          <w:color w:val="auto"/>
          <w:sz w:val="22"/>
          <w:szCs w:val="22"/>
        </w:rPr>
      </w:pPr>
      <w:r w:rsidRPr="00CF0E13">
        <w:rPr>
          <w:rFonts w:ascii="Calibri" w:hAnsi="Calibri" w:cs="Calibri"/>
          <w:color w:val="auto"/>
          <w:sz w:val="22"/>
          <w:szCs w:val="22"/>
        </w:rPr>
        <w:lastRenderedPageBreak/>
        <w:t>Grissmer, D., Grimm, K.J., Aiyer, S.M., Murrah, W.M. and Steele, J.S., 2010. Fine motor skills and early comprehension of the world: two new school readiness indicators. </w:t>
      </w:r>
      <w:r w:rsidRPr="00CF0E13">
        <w:rPr>
          <w:rFonts w:ascii="Calibri" w:hAnsi="Calibri" w:cs="Calibri"/>
          <w:i/>
          <w:iCs/>
          <w:color w:val="auto"/>
          <w:sz w:val="22"/>
          <w:szCs w:val="22"/>
        </w:rPr>
        <w:t>Developmental psychology</w:t>
      </w:r>
      <w:r w:rsidRPr="00CF0E13">
        <w:rPr>
          <w:rFonts w:ascii="Calibri" w:hAnsi="Calibri" w:cs="Calibri"/>
          <w:color w:val="auto"/>
          <w:sz w:val="22"/>
          <w:szCs w:val="22"/>
        </w:rPr>
        <w:t>, </w:t>
      </w:r>
      <w:r w:rsidRPr="00CF0E13">
        <w:rPr>
          <w:rFonts w:ascii="Calibri" w:hAnsi="Calibri" w:cs="Calibri"/>
          <w:i/>
          <w:iCs/>
          <w:color w:val="auto"/>
          <w:sz w:val="22"/>
          <w:szCs w:val="22"/>
        </w:rPr>
        <w:t>46</w:t>
      </w:r>
      <w:r w:rsidRPr="00CF0E13">
        <w:rPr>
          <w:rFonts w:ascii="Calibri" w:hAnsi="Calibri" w:cs="Calibri"/>
          <w:color w:val="auto"/>
          <w:sz w:val="22"/>
          <w:szCs w:val="22"/>
        </w:rPr>
        <w:t>(5), p.1008.</w:t>
      </w:r>
    </w:p>
    <w:p w14:paraId="4C9A9C65" w14:textId="77777777" w:rsidR="002A7944" w:rsidRPr="00CF0E13" w:rsidRDefault="002A7944" w:rsidP="002A7944">
      <w:pPr>
        <w:spacing w:line="360" w:lineRule="auto"/>
        <w:jc w:val="both"/>
        <w:rPr>
          <w:rFonts w:ascii="Calibri" w:hAnsi="Calibri" w:cs="Calibri"/>
          <w:color w:val="auto"/>
          <w:sz w:val="22"/>
          <w:szCs w:val="22"/>
        </w:rPr>
      </w:pPr>
      <w:r w:rsidRPr="00CF0E13">
        <w:rPr>
          <w:rFonts w:ascii="Calibri" w:hAnsi="Calibri" w:cs="Calibri"/>
          <w:color w:val="auto"/>
          <w:sz w:val="22"/>
          <w:szCs w:val="22"/>
        </w:rPr>
        <w:t xml:space="preserve">Haav, A., Oja, L. and </w:t>
      </w:r>
      <w:proofErr w:type="spellStart"/>
      <w:r w:rsidRPr="00CF0E13">
        <w:rPr>
          <w:rFonts w:ascii="Calibri" w:hAnsi="Calibri" w:cs="Calibri"/>
          <w:color w:val="auto"/>
          <w:sz w:val="22"/>
          <w:szCs w:val="22"/>
        </w:rPr>
        <w:t>Piksööt</w:t>
      </w:r>
      <w:proofErr w:type="spellEnd"/>
      <w:r w:rsidRPr="00CF0E13">
        <w:rPr>
          <w:rFonts w:ascii="Calibri" w:hAnsi="Calibri" w:cs="Calibri"/>
          <w:color w:val="auto"/>
          <w:sz w:val="22"/>
          <w:szCs w:val="22"/>
        </w:rPr>
        <w:t>, J., 2024. The Influence of Kindergarten Environment on the Development of Preschool Children’s Physical Fitness. </w:t>
      </w:r>
      <w:r w:rsidRPr="00CF0E13">
        <w:rPr>
          <w:rFonts w:ascii="Calibri" w:hAnsi="Calibri" w:cs="Calibri"/>
          <w:i/>
          <w:iCs/>
          <w:color w:val="auto"/>
          <w:sz w:val="22"/>
          <w:szCs w:val="22"/>
        </w:rPr>
        <w:t>International Journal of Environmental Research and Public Health</w:t>
      </w:r>
      <w:r w:rsidRPr="00CF0E13">
        <w:rPr>
          <w:rFonts w:ascii="Calibri" w:hAnsi="Calibri" w:cs="Calibri"/>
          <w:color w:val="auto"/>
          <w:sz w:val="22"/>
          <w:szCs w:val="22"/>
        </w:rPr>
        <w:t>, </w:t>
      </w:r>
      <w:r w:rsidRPr="00CF0E13">
        <w:rPr>
          <w:rFonts w:ascii="Calibri" w:hAnsi="Calibri" w:cs="Calibri"/>
          <w:i/>
          <w:iCs/>
          <w:color w:val="auto"/>
          <w:sz w:val="22"/>
          <w:szCs w:val="22"/>
        </w:rPr>
        <w:t>21</w:t>
      </w:r>
      <w:r w:rsidRPr="00CF0E13">
        <w:rPr>
          <w:rFonts w:ascii="Calibri" w:hAnsi="Calibri" w:cs="Calibri"/>
          <w:color w:val="auto"/>
          <w:sz w:val="22"/>
          <w:szCs w:val="22"/>
        </w:rPr>
        <w:t>(6), p.761.</w:t>
      </w:r>
    </w:p>
    <w:p w14:paraId="626E9FC3" w14:textId="77777777" w:rsidR="002A7944" w:rsidRPr="00D16208" w:rsidRDefault="002A7944" w:rsidP="002A7944">
      <w:pPr>
        <w:spacing w:line="360" w:lineRule="auto"/>
        <w:jc w:val="both"/>
        <w:rPr>
          <w:rFonts w:ascii="Calibri" w:hAnsi="Calibri" w:cs="Calibri"/>
          <w:color w:val="auto"/>
          <w:sz w:val="22"/>
          <w:szCs w:val="22"/>
        </w:rPr>
      </w:pPr>
      <w:r w:rsidRPr="00D16208">
        <w:rPr>
          <w:rFonts w:ascii="Calibri" w:hAnsi="Calibri" w:cs="Calibri"/>
          <w:color w:val="auto"/>
          <w:sz w:val="22"/>
          <w:szCs w:val="22"/>
        </w:rPr>
        <w:t xml:space="preserve">Haywood, K. and Getchell, N. (2018) </w:t>
      </w:r>
      <w:r w:rsidRPr="00D16208">
        <w:rPr>
          <w:rFonts w:ascii="Calibri" w:hAnsi="Calibri" w:cs="Calibri"/>
          <w:i/>
          <w:iCs/>
          <w:color w:val="auto"/>
          <w:sz w:val="22"/>
          <w:szCs w:val="22"/>
        </w:rPr>
        <w:t>Life Span Motor Development</w:t>
      </w:r>
      <w:r w:rsidRPr="00D16208">
        <w:rPr>
          <w:rFonts w:ascii="Calibri" w:hAnsi="Calibri" w:cs="Calibri"/>
          <w:color w:val="auto"/>
          <w:sz w:val="22"/>
          <w:szCs w:val="22"/>
        </w:rPr>
        <w:t xml:space="preserve">. 7th </w:t>
      </w:r>
      <w:proofErr w:type="spellStart"/>
      <w:r w:rsidRPr="00D16208">
        <w:rPr>
          <w:rFonts w:ascii="Calibri" w:hAnsi="Calibri" w:cs="Calibri"/>
          <w:color w:val="auto"/>
          <w:sz w:val="22"/>
          <w:szCs w:val="22"/>
        </w:rPr>
        <w:t>edn</w:t>
      </w:r>
      <w:proofErr w:type="spellEnd"/>
      <w:r w:rsidRPr="00D16208">
        <w:rPr>
          <w:rFonts w:ascii="Calibri" w:hAnsi="Calibri" w:cs="Calibri"/>
          <w:color w:val="auto"/>
          <w:sz w:val="22"/>
          <w:szCs w:val="22"/>
        </w:rPr>
        <w:t>. Champaign, IL: Human Kinetics.</w:t>
      </w:r>
    </w:p>
    <w:p w14:paraId="48F3EA36" w14:textId="77777777" w:rsidR="002A7944" w:rsidRPr="00D16208" w:rsidRDefault="002A7944" w:rsidP="002A7944">
      <w:pPr>
        <w:spacing w:line="360" w:lineRule="auto"/>
        <w:jc w:val="both"/>
        <w:rPr>
          <w:rFonts w:ascii="Calibri" w:hAnsi="Calibri" w:cs="Calibri"/>
          <w:color w:val="auto"/>
          <w:sz w:val="22"/>
          <w:szCs w:val="22"/>
        </w:rPr>
      </w:pPr>
      <w:r w:rsidRPr="00D16208">
        <w:rPr>
          <w:rFonts w:ascii="Calibri" w:hAnsi="Calibri" w:cs="Calibri"/>
          <w:color w:val="auto"/>
          <w:sz w:val="22"/>
          <w:szCs w:val="22"/>
        </w:rPr>
        <w:t xml:space="preserve">Henderson, S.E., Sugden, D.A. and Barnett, A.L. (2007) </w:t>
      </w:r>
      <w:r w:rsidRPr="00D16208">
        <w:rPr>
          <w:rFonts w:ascii="Calibri" w:hAnsi="Calibri" w:cs="Calibri"/>
          <w:i/>
          <w:iCs/>
          <w:color w:val="auto"/>
          <w:sz w:val="22"/>
          <w:szCs w:val="22"/>
        </w:rPr>
        <w:t>Movement Assessment Battery for Children – Second Edition (MABC-2)</w:t>
      </w:r>
      <w:r w:rsidRPr="00D16208">
        <w:rPr>
          <w:rFonts w:ascii="Calibri" w:hAnsi="Calibri" w:cs="Calibri"/>
          <w:color w:val="auto"/>
          <w:sz w:val="22"/>
          <w:szCs w:val="22"/>
        </w:rPr>
        <w:t>. London: Pearson Assessment.</w:t>
      </w:r>
    </w:p>
    <w:p w14:paraId="506CE272" w14:textId="77777777" w:rsidR="002A7944" w:rsidRPr="00CF0E13" w:rsidRDefault="002A7944" w:rsidP="002A7944">
      <w:pPr>
        <w:spacing w:line="360" w:lineRule="auto"/>
        <w:jc w:val="both"/>
        <w:rPr>
          <w:rFonts w:ascii="Calibri" w:hAnsi="Calibri" w:cs="Calibri"/>
          <w:color w:val="auto"/>
          <w:sz w:val="22"/>
          <w:szCs w:val="22"/>
        </w:rPr>
      </w:pPr>
      <w:r w:rsidRPr="00D16208">
        <w:rPr>
          <w:rFonts w:ascii="Calibri" w:hAnsi="Calibri" w:cs="Calibri"/>
          <w:color w:val="auto"/>
          <w:sz w:val="22"/>
          <w:szCs w:val="22"/>
        </w:rPr>
        <w:t xml:space="preserve">Ignico, A.A. (1994) ‘Developmentally appropriate physical education for children’, </w:t>
      </w:r>
      <w:r w:rsidRPr="00D16208">
        <w:rPr>
          <w:rFonts w:ascii="Calibri" w:hAnsi="Calibri" w:cs="Calibri"/>
          <w:i/>
          <w:iCs/>
          <w:color w:val="auto"/>
          <w:sz w:val="22"/>
          <w:szCs w:val="22"/>
        </w:rPr>
        <w:t>Journal of Physical Education, Recreation &amp; Dance</w:t>
      </w:r>
      <w:r w:rsidRPr="00D16208">
        <w:rPr>
          <w:rFonts w:ascii="Calibri" w:hAnsi="Calibri" w:cs="Calibri"/>
          <w:color w:val="auto"/>
          <w:sz w:val="22"/>
          <w:szCs w:val="22"/>
        </w:rPr>
        <w:t>, 65(6), pp. 28–31.</w:t>
      </w:r>
    </w:p>
    <w:p w14:paraId="7C381E88" w14:textId="77777777" w:rsidR="002A7944" w:rsidRPr="00D16208" w:rsidRDefault="002A7944" w:rsidP="002A7944">
      <w:pPr>
        <w:spacing w:line="360" w:lineRule="auto"/>
        <w:jc w:val="both"/>
        <w:rPr>
          <w:rFonts w:ascii="Calibri" w:hAnsi="Calibri" w:cs="Calibri"/>
          <w:color w:val="auto"/>
          <w:sz w:val="22"/>
          <w:szCs w:val="22"/>
        </w:rPr>
      </w:pPr>
      <w:r w:rsidRPr="00CF0E13">
        <w:rPr>
          <w:rFonts w:ascii="Calibri" w:hAnsi="Calibri" w:cs="Calibri"/>
          <w:color w:val="auto"/>
          <w:sz w:val="22"/>
          <w:szCs w:val="22"/>
        </w:rPr>
        <w:t xml:space="preserve">Jones, D., </w:t>
      </w:r>
      <w:proofErr w:type="spellStart"/>
      <w:r w:rsidRPr="00CF0E13">
        <w:rPr>
          <w:rFonts w:ascii="Calibri" w:hAnsi="Calibri" w:cs="Calibri"/>
          <w:color w:val="auto"/>
          <w:sz w:val="22"/>
          <w:szCs w:val="22"/>
        </w:rPr>
        <w:t>Innerd</w:t>
      </w:r>
      <w:proofErr w:type="spellEnd"/>
      <w:r w:rsidRPr="00CF0E13">
        <w:rPr>
          <w:rFonts w:ascii="Calibri" w:hAnsi="Calibri" w:cs="Calibri"/>
          <w:color w:val="auto"/>
          <w:sz w:val="22"/>
          <w:szCs w:val="22"/>
        </w:rPr>
        <w:t>, A., Giles, E.L. and Azevedo, L.B., 2021. The association between physical activity, motor skills and school readiness in 4–5-year-old children in the northeast of England. </w:t>
      </w:r>
      <w:r w:rsidRPr="00CF0E13">
        <w:rPr>
          <w:rFonts w:ascii="Calibri" w:hAnsi="Calibri" w:cs="Calibri"/>
          <w:i/>
          <w:iCs/>
          <w:color w:val="auto"/>
          <w:sz w:val="22"/>
          <w:szCs w:val="22"/>
        </w:rPr>
        <w:t>International journal of environmental research and public health</w:t>
      </w:r>
      <w:r w:rsidRPr="00CF0E13">
        <w:rPr>
          <w:rFonts w:ascii="Calibri" w:hAnsi="Calibri" w:cs="Calibri"/>
          <w:color w:val="auto"/>
          <w:sz w:val="22"/>
          <w:szCs w:val="22"/>
        </w:rPr>
        <w:t>, </w:t>
      </w:r>
      <w:r w:rsidRPr="00CF0E13">
        <w:rPr>
          <w:rFonts w:ascii="Calibri" w:hAnsi="Calibri" w:cs="Calibri"/>
          <w:i/>
          <w:iCs/>
          <w:color w:val="auto"/>
          <w:sz w:val="22"/>
          <w:szCs w:val="22"/>
        </w:rPr>
        <w:t>18</w:t>
      </w:r>
      <w:r w:rsidRPr="00CF0E13">
        <w:rPr>
          <w:rFonts w:ascii="Calibri" w:hAnsi="Calibri" w:cs="Calibri"/>
          <w:color w:val="auto"/>
          <w:sz w:val="22"/>
          <w:szCs w:val="22"/>
        </w:rPr>
        <w:t>(22), p.11931.</w:t>
      </w:r>
    </w:p>
    <w:p w14:paraId="0FF82F8F" w14:textId="77777777" w:rsidR="002A7944" w:rsidRPr="00D16208" w:rsidRDefault="002A7944" w:rsidP="002A7944">
      <w:pPr>
        <w:spacing w:line="360" w:lineRule="auto"/>
        <w:jc w:val="both"/>
        <w:rPr>
          <w:rFonts w:ascii="Calibri" w:hAnsi="Calibri" w:cs="Calibri"/>
          <w:color w:val="auto"/>
          <w:sz w:val="22"/>
          <w:szCs w:val="22"/>
        </w:rPr>
      </w:pPr>
      <w:r w:rsidRPr="00D16208">
        <w:rPr>
          <w:rFonts w:ascii="Calibri" w:hAnsi="Calibri" w:cs="Calibri"/>
          <w:color w:val="auto"/>
          <w:sz w:val="22"/>
          <w:szCs w:val="22"/>
        </w:rPr>
        <w:t xml:space="preserve">Kirk, D. (2005) ‘Physical education, youth sport and lifelong participation: The importance of early learning experiences’, </w:t>
      </w:r>
      <w:r w:rsidRPr="00D16208">
        <w:rPr>
          <w:rFonts w:ascii="Calibri" w:hAnsi="Calibri" w:cs="Calibri"/>
          <w:i/>
          <w:iCs/>
          <w:color w:val="auto"/>
          <w:sz w:val="22"/>
          <w:szCs w:val="22"/>
        </w:rPr>
        <w:t>European Physical Education Review</w:t>
      </w:r>
      <w:r w:rsidRPr="00D16208">
        <w:rPr>
          <w:rFonts w:ascii="Calibri" w:hAnsi="Calibri" w:cs="Calibri"/>
          <w:color w:val="auto"/>
          <w:sz w:val="22"/>
          <w:szCs w:val="22"/>
        </w:rPr>
        <w:t>, 11(3), pp. 239–255.</w:t>
      </w:r>
    </w:p>
    <w:p w14:paraId="3F454702" w14:textId="77777777" w:rsidR="002A7944" w:rsidRPr="00D16208" w:rsidRDefault="002A7944" w:rsidP="002A7944">
      <w:pPr>
        <w:spacing w:line="360" w:lineRule="auto"/>
        <w:jc w:val="both"/>
        <w:rPr>
          <w:rFonts w:ascii="Calibri" w:hAnsi="Calibri" w:cs="Calibri"/>
          <w:color w:val="auto"/>
          <w:sz w:val="22"/>
          <w:szCs w:val="22"/>
        </w:rPr>
      </w:pPr>
      <w:r w:rsidRPr="00D16208">
        <w:rPr>
          <w:rFonts w:ascii="Calibri" w:hAnsi="Calibri" w:cs="Calibri"/>
          <w:color w:val="auto"/>
          <w:sz w:val="22"/>
          <w:szCs w:val="22"/>
        </w:rPr>
        <w:t>Kitchin, R. (2007) ‘Conducting research in human geography: Theory, methodology and practice’. Harlow: Pearson.</w:t>
      </w:r>
    </w:p>
    <w:p w14:paraId="5FC1EB32" w14:textId="77777777" w:rsidR="002A7944" w:rsidRPr="00D16208" w:rsidRDefault="002A7944" w:rsidP="002A7944">
      <w:pPr>
        <w:spacing w:line="360" w:lineRule="auto"/>
        <w:jc w:val="both"/>
        <w:rPr>
          <w:rFonts w:ascii="Calibri" w:hAnsi="Calibri" w:cs="Calibri"/>
          <w:color w:val="auto"/>
          <w:sz w:val="22"/>
          <w:szCs w:val="22"/>
        </w:rPr>
      </w:pPr>
      <w:r w:rsidRPr="00D16208">
        <w:rPr>
          <w:rFonts w:ascii="Calibri" w:hAnsi="Calibri" w:cs="Calibri"/>
          <w:color w:val="auto"/>
          <w:sz w:val="22"/>
          <w:szCs w:val="22"/>
        </w:rPr>
        <w:t xml:space="preserve">Leedy, P.D. and Omrod, J.E. (2001) </w:t>
      </w:r>
      <w:r w:rsidRPr="00D16208">
        <w:rPr>
          <w:rFonts w:ascii="Calibri" w:hAnsi="Calibri" w:cs="Calibri"/>
          <w:i/>
          <w:iCs/>
          <w:color w:val="auto"/>
          <w:sz w:val="22"/>
          <w:szCs w:val="22"/>
        </w:rPr>
        <w:t>Practical Research: Planning and Design</w:t>
      </w:r>
      <w:r w:rsidRPr="00D16208">
        <w:rPr>
          <w:rFonts w:ascii="Calibri" w:hAnsi="Calibri" w:cs="Calibri"/>
          <w:color w:val="auto"/>
          <w:sz w:val="22"/>
          <w:szCs w:val="22"/>
        </w:rPr>
        <w:t xml:space="preserve">. 7th </w:t>
      </w:r>
      <w:proofErr w:type="spellStart"/>
      <w:r w:rsidRPr="00D16208">
        <w:rPr>
          <w:rFonts w:ascii="Calibri" w:hAnsi="Calibri" w:cs="Calibri"/>
          <w:color w:val="auto"/>
          <w:sz w:val="22"/>
          <w:szCs w:val="22"/>
        </w:rPr>
        <w:t>edn</w:t>
      </w:r>
      <w:proofErr w:type="spellEnd"/>
      <w:r w:rsidRPr="00D16208">
        <w:rPr>
          <w:rFonts w:ascii="Calibri" w:hAnsi="Calibri" w:cs="Calibri"/>
          <w:color w:val="auto"/>
          <w:sz w:val="22"/>
          <w:szCs w:val="22"/>
        </w:rPr>
        <w:t>. Upper Saddle River, NJ: Merrill Prentice Hall.</w:t>
      </w:r>
    </w:p>
    <w:p w14:paraId="2D68C457" w14:textId="77777777" w:rsidR="002A7944" w:rsidRPr="00D16208" w:rsidRDefault="002A7944" w:rsidP="002A7944">
      <w:pPr>
        <w:spacing w:line="360" w:lineRule="auto"/>
        <w:jc w:val="both"/>
        <w:rPr>
          <w:rFonts w:ascii="Calibri" w:hAnsi="Calibri" w:cs="Calibri"/>
          <w:color w:val="auto"/>
          <w:sz w:val="22"/>
          <w:szCs w:val="22"/>
        </w:rPr>
      </w:pPr>
      <w:r w:rsidRPr="00D16208">
        <w:rPr>
          <w:rFonts w:ascii="Calibri" w:hAnsi="Calibri" w:cs="Calibri"/>
          <w:color w:val="auto"/>
          <w:sz w:val="22"/>
          <w:szCs w:val="22"/>
        </w:rPr>
        <w:t xml:space="preserve">Lima, R.A., Ceschini, F.L., de Moraes Ferrari, G.L., Santos, D.A., de Oliveira, A.R. and de Araujo, T.L. (2020) ‘Motor competence and academic performance in primary school children’, </w:t>
      </w:r>
      <w:r w:rsidRPr="00D16208">
        <w:rPr>
          <w:rFonts w:ascii="Calibri" w:hAnsi="Calibri" w:cs="Calibri"/>
          <w:i/>
          <w:iCs/>
          <w:color w:val="auto"/>
          <w:sz w:val="22"/>
          <w:szCs w:val="22"/>
        </w:rPr>
        <w:t>Educational Psychology</w:t>
      </w:r>
      <w:r w:rsidRPr="00D16208">
        <w:rPr>
          <w:rFonts w:ascii="Calibri" w:hAnsi="Calibri" w:cs="Calibri"/>
          <w:color w:val="auto"/>
          <w:sz w:val="22"/>
          <w:szCs w:val="22"/>
        </w:rPr>
        <w:t>, 40(4), pp. 407–420.</w:t>
      </w:r>
    </w:p>
    <w:p w14:paraId="27411C04" w14:textId="77777777" w:rsidR="002A7944" w:rsidRPr="00D16208" w:rsidRDefault="002A7944" w:rsidP="002A7944">
      <w:pPr>
        <w:spacing w:line="360" w:lineRule="auto"/>
        <w:jc w:val="both"/>
        <w:rPr>
          <w:rFonts w:ascii="Calibri" w:hAnsi="Calibri" w:cs="Calibri"/>
          <w:color w:val="auto"/>
          <w:sz w:val="22"/>
          <w:szCs w:val="22"/>
        </w:rPr>
      </w:pPr>
      <w:r w:rsidRPr="00D16208">
        <w:rPr>
          <w:rFonts w:ascii="Calibri" w:hAnsi="Calibri" w:cs="Calibri"/>
          <w:color w:val="auto"/>
          <w:sz w:val="22"/>
          <w:szCs w:val="22"/>
        </w:rPr>
        <w:t xml:space="preserve">Lingam, R., Hunt, L., Golding, J., </w:t>
      </w:r>
      <w:proofErr w:type="spellStart"/>
      <w:r w:rsidRPr="00D16208">
        <w:rPr>
          <w:rFonts w:ascii="Calibri" w:hAnsi="Calibri" w:cs="Calibri"/>
          <w:color w:val="auto"/>
          <w:sz w:val="22"/>
          <w:szCs w:val="22"/>
        </w:rPr>
        <w:t>Jongmans</w:t>
      </w:r>
      <w:proofErr w:type="spellEnd"/>
      <w:r w:rsidRPr="00D16208">
        <w:rPr>
          <w:rFonts w:ascii="Calibri" w:hAnsi="Calibri" w:cs="Calibri"/>
          <w:color w:val="auto"/>
          <w:sz w:val="22"/>
          <w:szCs w:val="22"/>
        </w:rPr>
        <w:t xml:space="preserve">, M., Emond, A. and </w:t>
      </w:r>
      <w:proofErr w:type="spellStart"/>
      <w:r w:rsidRPr="00D16208">
        <w:rPr>
          <w:rFonts w:ascii="Calibri" w:hAnsi="Calibri" w:cs="Calibri"/>
          <w:color w:val="auto"/>
          <w:sz w:val="22"/>
          <w:szCs w:val="22"/>
        </w:rPr>
        <w:t>Einspieler</w:t>
      </w:r>
      <w:proofErr w:type="spellEnd"/>
      <w:r w:rsidRPr="00D16208">
        <w:rPr>
          <w:rFonts w:ascii="Calibri" w:hAnsi="Calibri" w:cs="Calibri"/>
          <w:color w:val="auto"/>
          <w:sz w:val="22"/>
          <w:szCs w:val="22"/>
        </w:rPr>
        <w:t xml:space="preserve">, C. (2009) ‘Prevalence of developmental coordination disorder using DSM-IV at 7 years of age: A UK population-based study’, </w:t>
      </w:r>
      <w:proofErr w:type="spellStart"/>
      <w:r w:rsidRPr="00D16208">
        <w:rPr>
          <w:rFonts w:ascii="Calibri" w:hAnsi="Calibri" w:cs="Calibri"/>
          <w:i/>
          <w:iCs/>
          <w:color w:val="auto"/>
          <w:sz w:val="22"/>
          <w:szCs w:val="22"/>
        </w:rPr>
        <w:t>Pediatrics</w:t>
      </w:r>
      <w:proofErr w:type="spellEnd"/>
      <w:r w:rsidRPr="00D16208">
        <w:rPr>
          <w:rFonts w:ascii="Calibri" w:hAnsi="Calibri" w:cs="Calibri"/>
          <w:color w:val="auto"/>
          <w:sz w:val="22"/>
          <w:szCs w:val="22"/>
        </w:rPr>
        <w:t>, 123(4), pp. e693–e700.</w:t>
      </w:r>
    </w:p>
    <w:p w14:paraId="07DC9A33" w14:textId="77777777" w:rsidR="002A7944" w:rsidRPr="00D16208" w:rsidRDefault="002A7944" w:rsidP="002A7944">
      <w:pPr>
        <w:spacing w:line="360" w:lineRule="auto"/>
        <w:jc w:val="both"/>
        <w:rPr>
          <w:rFonts w:ascii="Calibri" w:hAnsi="Calibri" w:cs="Calibri"/>
          <w:color w:val="auto"/>
          <w:sz w:val="22"/>
          <w:szCs w:val="22"/>
        </w:rPr>
      </w:pPr>
      <w:r w:rsidRPr="00D16208">
        <w:rPr>
          <w:rFonts w:ascii="Calibri" w:hAnsi="Calibri" w:cs="Calibri"/>
          <w:color w:val="auto"/>
          <w:sz w:val="22"/>
          <w:szCs w:val="22"/>
        </w:rPr>
        <w:t xml:space="preserve">Livesey, D., Coleman, R., Piek, J. and Hay, D. (2017) ‘The relationship between motor performance and executive functioning in children’, </w:t>
      </w:r>
      <w:r w:rsidRPr="00D16208">
        <w:rPr>
          <w:rFonts w:ascii="Calibri" w:hAnsi="Calibri" w:cs="Calibri"/>
          <w:i/>
          <w:iCs/>
          <w:color w:val="auto"/>
          <w:sz w:val="22"/>
          <w:szCs w:val="22"/>
        </w:rPr>
        <w:t>Child Neuropsychology</w:t>
      </w:r>
      <w:r w:rsidRPr="00D16208">
        <w:rPr>
          <w:rFonts w:ascii="Calibri" w:hAnsi="Calibri" w:cs="Calibri"/>
          <w:color w:val="auto"/>
          <w:sz w:val="22"/>
          <w:szCs w:val="22"/>
        </w:rPr>
        <w:t>, 23(8), pp. 870–888.</w:t>
      </w:r>
    </w:p>
    <w:p w14:paraId="35145AB7" w14:textId="77777777" w:rsidR="002A7944" w:rsidRPr="00D16208" w:rsidRDefault="002A7944" w:rsidP="002A7944">
      <w:pPr>
        <w:spacing w:line="360" w:lineRule="auto"/>
        <w:jc w:val="both"/>
        <w:rPr>
          <w:rFonts w:ascii="Calibri" w:hAnsi="Calibri" w:cs="Calibri"/>
          <w:color w:val="auto"/>
          <w:sz w:val="22"/>
          <w:szCs w:val="22"/>
        </w:rPr>
      </w:pPr>
      <w:r w:rsidRPr="00D16208">
        <w:rPr>
          <w:rFonts w:ascii="Calibri" w:hAnsi="Calibri" w:cs="Calibri"/>
          <w:color w:val="auto"/>
          <w:sz w:val="22"/>
          <w:szCs w:val="22"/>
        </w:rPr>
        <w:t xml:space="preserve">Logan, S.W., Robinson, L.E., Wilson, A.E. and Lucas, W.A. (2012) ‘Getting the fundamentals of movement: A meta-analysis of the effectiveness of motor skill interventions in children’, </w:t>
      </w:r>
      <w:r w:rsidRPr="00D16208">
        <w:rPr>
          <w:rFonts w:ascii="Calibri" w:hAnsi="Calibri" w:cs="Calibri"/>
          <w:i/>
          <w:iCs/>
          <w:color w:val="auto"/>
          <w:sz w:val="22"/>
          <w:szCs w:val="22"/>
        </w:rPr>
        <w:t>Child: Care, Health and Development</w:t>
      </w:r>
      <w:r w:rsidRPr="00D16208">
        <w:rPr>
          <w:rFonts w:ascii="Calibri" w:hAnsi="Calibri" w:cs="Calibri"/>
          <w:color w:val="auto"/>
          <w:sz w:val="22"/>
          <w:szCs w:val="22"/>
        </w:rPr>
        <w:t>, 38(3), pp. 305–315.</w:t>
      </w:r>
    </w:p>
    <w:p w14:paraId="68E8DD31" w14:textId="77777777" w:rsidR="002A7944" w:rsidRPr="00CF0E13" w:rsidRDefault="002A7944" w:rsidP="002A7944">
      <w:pPr>
        <w:spacing w:line="360" w:lineRule="auto"/>
        <w:jc w:val="both"/>
        <w:rPr>
          <w:rFonts w:ascii="Calibri" w:hAnsi="Calibri" w:cs="Calibri"/>
          <w:color w:val="auto"/>
          <w:sz w:val="22"/>
          <w:szCs w:val="22"/>
        </w:rPr>
      </w:pPr>
      <w:r w:rsidRPr="00CF0E13">
        <w:rPr>
          <w:rFonts w:ascii="Calibri" w:hAnsi="Calibri" w:cs="Calibri"/>
          <w:color w:val="auto"/>
          <w:sz w:val="22"/>
          <w:szCs w:val="22"/>
        </w:rPr>
        <w:t xml:space="preserve">Mooney, K.E., Welch, C., Palliser, G., Cheung, R.W., Nielsen, D., Eddy, L.H. and Blower, S.L., 2025. An assessment of the teacher completed ‘Early Years Foundation Stage </w:t>
      </w:r>
      <w:proofErr w:type="spellStart"/>
      <w:r w:rsidRPr="00CF0E13">
        <w:rPr>
          <w:rFonts w:ascii="Calibri" w:hAnsi="Calibri" w:cs="Calibri"/>
          <w:color w:val="auto"/>
          <w:sz w:val="22"/>
          <w:szCs w:val="22"/>
        </w:rPr>
        <w:t>Profile’as</w:t>
      </w:r>
      <w:proofErr w:type="spellEnd"/>
      <w:r w:rsidRPr="00CF0E13">
        <w:rPr>
          <w:rFonts w:ascii="Calibri" w:hAnsi="Calibri" w:cs="Calibri"/>
          <w:color w:val="auto"/>
          <w:sz w:val="22"/>
          <w:szCs w:val="22"/>
        </w:rPr>
        <w:t xml:space="preserve"> a routine measure of child developmental health. </w:t>
      </w:r>
      <w:proofErr w:type="spellStart"/>
      <w:r w:rsidRPr="00CF0E13">
        <w:rPr>
          <w:rFonts w:ascii="Calibri" w:hAnsi="Calibri" w:cs="Calibri"/>
          <w:i/>
          <w:iCs/>
          <w:color w:val="auto"/>
          <w:sz w:val="22"/>
          <w:szCs w:val="22"/>
        </w:rPr>
        <w:t>PloS</w:t>
      </w:r>
      <w:proofErr w:type="spellEnd"/>
      <w:r w:rsidRPr="00CF0E13">
        <w:rPr>
          <w:rFonts w:ascii="Calibri" w:hAnsi="Calibri" w:cs="Calibri"/>
          <w:i/>
          <w:iCs/>
          <w:color w:val="auto"/>
          <w:sz w:val="22"/>
          <w:szCs w:val="22"/>
        </w:rPr>
        <w:t xml:space="preserve"> one</w:t>
      </w:r>
      <w:r w:rsidRPr="00CF0E13">
        <w:rPr>
          <w:rFonts w:ascii="Calibri" w:hAnsi="Calibri" w:cs="Calibri"/>
          <w:color w:val="auto"/>
          <w:sz w:val="22"/>
          <w:szCs w:val="22"/>
        </w:rPr>
        <w:t>, </w:t>
      </w:r>
      <w:r w:rsidRPr="00CF0E13">
        <w:rPr>
          <w:rFonts w:ascii="Calibri" w:hAnsi="Calibri" w:cs="Calibri"/>
          <w:i/>
          <w:iCs/>
          <w:color w:val="auto"/>
          <w:sz w:val="22"/>
          <w:szCs w:val="22"/>
        </w:rPr>
        <w:t>20</w:t>
      </w:r>
      <w:r w:rsidRPr="00CF0E13">
        <w:rPr>
          <w:rFonts w:ascii="Calibri" w:hAnsi="Calibri" w:cs="Calibri"/>
          <w:color w:val="auto"/>
          <w:sz w:val="22"/>
          <w:szCs w:val="22"/>
        </w:rPr>
        <w:t>(3), p.e0302771.</w:t>
      </w:r>
    </w:p>
    <w:p w14:paraId="487AA247" w14:textId="77777777" w:rsidR="002A7944" w:rsidRPr="00CF0E13" w:rsidRDefault="002A7944" w:rsidP="002A7944">
      <w:pPr>
        <w:spacing w:line="360" w:lineRule="auto"/>
        <w:jc w:val="both"/>
        <w:rPr>
          <w:rFonts w:ascii="Calibri" w:hAnsi="Calibri" w:cs="Calibri"/>
          <w:color w:val="auto"/>
          <w:sz w:val="22"/>
          <w:szCs w:val="22"/>
        </w:rPr>
      </w:pPr>
      <w:r w:rsidRPr="00CF0E13">
        <w:rPr>
          <w:rFonts w:ascii="Calibri" w:hAnsi="Calibri" w:cs="Calibri"/>
          <w:color w:val="auto"/>
          <w:sz w:val="22"/>
          <w:szCs w:val="22"/>
        </w:rPr>
        <w:t>Morgan, P. and Bourke, S., 2008. Non-specialist teachers' confidence to teach PE: the nature and influence of personal school experiences in PE. </w:t>
      </w:r>
      <w:r w:rsidRPr="00CF0E13">
        <w:rPr>
          <w:rFonts w:ascii="Calibri" w:hAnsi="Calibri" w:cs="Calibri"/>
          <w:i/>
          <w:iCs/>
          <w:color w:val="auto"/>
          <w:sz w:val="22"/>
          <w:szCs w:val="22"/>
        </w:rPr>
        <w:t>Physical education and sport pedagogy</w:t>
      </w:r>
      <w:r w:rsidRPr="00CF0E13">
        <w:rPr>
          <w:rFonts w:ascii="Calibri" w:hAnsi="Calibri" w:cs="Calibri"/>
          <w:color w:val="auto"/>
          <w:sz w:val="22"/>
          <w:szCs w:val="22"/>
        </w:rPr>
        <w:t>, </w:t>
      </w:r>
      <w:r w:rsidRPr="00CF0E13">
        <w:rPr>
          <w:rFonts w:ascii="Calibri" w:hAnsi="Calibri" w:cs="Calibri"/>
          <w:i/>
          <w:iCs/>
          <w:color w:val="auto"/>
          <w:sz w:val="22"/>
          <w:szCs w:val="22"/>
        </w:rPr>
        <w:t>13</w:t>
      </w:r>
      <w:r w:rsidRPr="00CF0E13">
        <w:rPr>
          <w:rFonts w:ascii="Calibri" w:hAnsi="Calibri" w:cs="Calibri"/>
          <w:color w:val="auto"/>
          <w:sz w:val="22"/>
          <w:szCs w:val="22"/>
        </w:rPr>
        <w:t>(1), pp.1-29.</w:t>
      </w:r>
    </w:p>
    <w:p w14:paraId="23B052D7" w14:textId="77777777" w:rsidR="002A7944" w:rsidRPr="00D16208" w:rsidRDefault="002A7944" w:rsidP="002A7944">
      <w:pPr>
        <w:spacing w:line="360" w:lineRule="auto"/>
        <w:jc w:val="both"/>
        <w:rPr>
          <w:rFonts w:ascii="Calibri" w:hAnsi="Calibri" w:cs="Calibri"/>
          <w:color w:val="auto"/>
          <w:sz w:val="22"/>
          <w:szCs w:val="22"/>
        </w:rPr>
      </w:pPr>
      <w:r w:rsidRPr="00CF0E13">
        <w:rPr>
          <w:rFonts w:ascii="Calibri" w:hAnsi="Calibri" w:cs="Calibri"/>
          <w:color w:val="auto"/>
          <w:sz w:val="22"/>
          <w:szCs w:val="22"/>
        </w:rPr>
        <w:lastRenderedPageBreak/>
        <w:t>NFER (2025). </w:t>
      </w:r>
      <w:r w:rsidRPr="00CF0E13">
        <w:rPr>
          <w:rFonts w:ascii="Calibri" w:hAnsi="Calibri" w:cs="Calibri"/>
          <w:i/>
          <w:iCs/>
          <w:color w:val="auto"/>
          <w:sz w:val="22"/>
          <w:szCs w:val="22"/>
        </w:rPr>
        <w:t>Teacher Labour Market in England Annual Report 2025</w:t>
      </w:r>
      <w:r w:rsidRPr="00CF0E13">
        <w:rPr>
          <w:rFonts w:ascii="Calibri" w:hAnsi="Calibri" w:cs="Calibri"/>
          <w:color w:val="auto"/>
          <w:sz w:val="22"/>
          <w:szCs w:val="22"/>
        </w:rPr>
        <w:t>. [online] NFER. Available at: https://www.nfer.ac.uk/publications/teacher-labour-market-in-england-annual-report-2025/.</w:t>
      </w:r>
    </w:p>
    <w:p w14:paraId="3E66BBCD" w14:textId="77777777" w:rsidR="002A7944" w:rsidRPr="00D16208" w:rsidRDefault="002A7944" w:rsidP="002A7944">
      <w:pPr>
        <w:spacing w:line="360" w:lineRule="auto"/>
        <w:jc w:val="both"/>
        <w:rPr>
          <w:rFonts w:ascii="Calibri" w:hAnsi="Calibri" w:cs="Calibri"/>
          <w:color w:val="auto"/>
          <w:sz w:val="22"/>
          <w:szCs w:val="22"/>
        </w:rPr>
      </w:pPr>
      <w:r w:rsidRPr="00D16208">
        <w:rPr>
          <w:rFonts w:ascii="Calibri" w:hAnsi="Calibri" w:cs="Calibri"/>
          <w:color w:val="auto"/>
          <w:sz w:val="22"/>
          <w:szCs w:val="22"/>
        </w:rPr>
        <w:t xml:space="preserve">Piek, J.P., Baynam, G.S. and Barrett, N.C. (2006) ‘The relationship between fine and gross motor ability, self-perceptions and self-worth in children and adolescents’, </w:t>
      </w:r>
      <w:r w:rsidRPr="00D16208">
        <w:rPr>
          <w:rFonts w:ascii="Calibri" w:hAnsi="Calibri" w:cs="Calibri"/>
          <w:i/>
          <w:iCs/>
          <w:color w:val="auto"/>
          <w:sz w:val="22"/>
          <w:szCs w:val="22"/>
        </w:rPr>
        <w:t>Human Movement Science</w:t>
      </w:r>
      <w:r w:rsidRPr="00D16208">
        <w:rPr>
          <w:rFonts w:ascii="Calibri" w:hAnsi="Calibri" w:cs="Calibri"/>
          <w:color w:val="auto"/>
          <w:sz w:val="22"/>
          <w:szCs w:val="22"/>
        </w:rPr>
        <w:t>, 25(1), pp. 65–75.</w:t>
      </w:r>
    </w:p>
    <w:p w14:paraId="063F7C12" w14:textId="77777777" w:rsidR="002A7944" w:rsidRPr="00D16208" w:rsidRDefault="002A7944" w:rsidP="002A7944">
      <w:pPr>
        <w:spacing w:line="360" w:lineRule="auto"/>
        <w:jc w:val="both"/>
        <w:rPr>
          <w:rFonts w:ascii="Calibri" w:hAnsi="Calibri" w:cs="Calibri"/>
          <w:color w:val="auto"/>
          <w:sz w:val="22"/>
          <w:szCs w:val="22"/>
        </w:rPr>
      </w:pPr>
      <w:r w:rsidRPr="00D16208">
        <w:rPr>
          <w:rFonts w:ascii="Calibri" w:hAnsi="Calibri" w:cs="Calibri"/>
          <w:color w:val="auto"/>
          <w:sz w:val="22"/>
          <w:szCs w:val="22"/>
        </w:rPr>
        <w:t xml:space="preserve">Piek, J.P., Dawson, L., Smith, L.M. and Gasson, N. (2008) ‘The role of early fine and gross motor development on later motor and cognitive ability’, </w:t>
      </w:r>
      <w:r w:rsidRPr="00D16208">
        <w:rPr>
          <w:rFonts w:ascii="Calibri" w:hAnsi="Calibri" w:cs="Calibri"/>
          <w:i/>
          <w:iCs/>
          <w:color w:val="auto"/>
          <w:sz w:val="22"/>
          <w:szCs w:val="22"/>
        </w:rPr>
        <w:t>Human Movement Science</w:t>
      </w:r>
      <w:r w:rsidRPr="00D16208">
        <w:rPr>
          <w:rFonts w:ascii="Calibri" w:hAnsi="Calibri" w:cs="Calibri"/>
          <w:color w:val="auto"/>
          <w:sz w:val="22"/>
          <w:szCs w:val="22"/>
        </w:rPr>
        <w:t>, 27(5), pp. 668–681.</w:t>
      </w:r>
    </w:p>
    <w:p w14:paraId="4C8774C9" w14:textId="77777777" w:rsidR="002A7944" w:rsidRPr="00D16208" w:rsidRDefault="002A7944" w:rsidP="002A7944">
      <w:pPr>
        <w:spacing w:line="360" w:lineRule="auto"/>
        <w:jc w:val="both"/>
        <w:rPr>
          <w:rFonts w:ascii="Calibri" w:hAnsi="Calibri" w:cs="Calibri"/>
          <w:color w:val="auto"/>
          <w:sz w:val="22"/>
          <w:szCs w:val="22"/>
        </w:rPr>
      </w:pPr>
      <w:r w:rsidRPr="00D16208">
        <w:rPr>
          <w:rFonts w:ascii="Calibri" w:hAnsi="Calibri" w:cs="Calibri"/>
          <w:color w:val="auto"/>
          <w:sz w:val="22"/>
          <w:szCs w:val="22"/>
        </w:rPr>
        <w:t xml:space="preserve">Piek, J.P., Hands, B. and Licari, M.K. (2010) ‘Assessment of motor functioning in the preschool period’, </w:t>
      </w:r>
      <w:r w:rsidRPr="00D16208">
        <w:rPr>
          <w:rFonts w:ascii="Calibri" w:hAnsi="Calibri" w:cs="Calibri"/>
          <w:i/>
          <w:iCs/>
          <w:color w:val="auto"/>
          <w:sz w:val="22"/>
          <w:szCs w:val="22"/>
        </w:rPr>
        <w:t>Neuropsychology Review</w:t>
      </w:r>
      <w:r w:rsidRPr="00D16208">
        <w:rPr>
          <w:rFonts w:ascii="Calibri" w:hAnsi="Calibri" w:cs="Calibri"/>
          <w:color w:val="auto"/>
          <w:sz w:val="22"/>
          <w:szCs w:val="22"/>
        </w:rPr>
        <w:t>, 20(4), pp. 409–429.</w:t>
      </w:r>
    </w:p>
    <w:p w14:paraId="03983058" w14:textId="77777777" w:rsidR="002A7944" w:rsidRPr="00D16208" w:rsidRDefault="002A7944" w:rsidP="002A7944">
      <w:pPr>
        <w:spacing w:line="360" w:lineRule="auto"/>
        <w:jc w:val="both"/>
        <w:rPr>
          <w:rFonts w:ascii="Calibri" w:hAnsi="Calibri" w:cs="Calibri"/>
          <w:color w:val="auto"/>
          <w:sz w:val="22"/>
          <w:szCs w:val="22"/>
        </w:rPr>
      </w:pPr>
      <w:r w:rsidRPr="00D16208">
        <w:rPr>
          <w:rFonts w:ascii="Calibri" w:hAnsi="Calibri" w:cs="Calibri"/>
          <w:color w:val="auto"/>
          <w:sz w:val="22"/>
          <w:szCs w:val="22"/>
        </w:rPr>
        <w:t xml:space="preserve">Pot, N. and van Hilvoorde, I. (2014) ‘Generalizing the utility of the concept of fundamental motor skills in physical education’, </w:t>
      </w:r>
      <w:r w:rsidRPr="00D16208">
        <w:rPr>
          <w:rFonts w:ascii="Calibri" w:hAnsi="Calibri" w:cs="Calibri"/>
          <w:i/>
          <w:iCs/>
          <w:color w:val="auto"/>
          <w:sz w:val="22"/>
          <w:szCs w:val="22"/>
        </w:rPr>
        <w:t>Physical Education and Sport Pedagogy</w:t>
      </w:r>
      <w:r w:rsidRPr="00D16208">
        <w:rPr>
          <w:rFonts w:ascii="Calibri" w:hAnsi="Calibri" w:cs="Calibri"/>
          <w:color w:val="auto"/>
          <w:sz w:val="22"/>
          <w:szCs w:val="22"/>
        </w:rPr>
        <w:t>, 19(6), pp. 546–560.</w:t>
      </w:r>
    </w:p>
    <w:p w14:paraId="008353F9" w14:textId="77777777" w:rsidR="002A7944" w:rsidRPr="00D16208" w:rsidRDefault="002A7944" w:rsidP="002A7944">
      <w:pPr>
        <w:spacing w:line="360" w:lineRule="auto"/>
        <w:jc w:val="both"/>
        <w:rPr>
          <w:rFonts w:ascii="Calibri" w:hAnsi="Calibri" w:cs="Calibri"/>
          <w:color w:val="auto"/>
          <w:sz w:val="22"/>
          <w:szCs w:val="22"/>
        </w:rPr>
      </w:pPr>
      <w:r w:rsidRPr="00CF0E13">
        <w:rPr>
          <w:rFonts w:ascii="Calibri" w:hAnsi="Calibri" w:cs="Calibri"/>
          <w:color w:val="auto"/>
          <w:sz w:val="22"/>
          <w:szCs w:val="22"/>
        </w:rPr>
        <w:t>Preedy, P., Duncombe, R. and Gorely, T., 2022. Physical development in the early years: The impact of a daily movement programme on young children’s physical development. </w:t>
      </w:r>
      <w:r w:rsidRPr="00CF0E13">
        <w:rPr>
          <w:rFonts w:ascii="Calibri" w:hAnsi="Calibri" w:cs="Calibri"/>
          <w:i/>
          <w:iCs/>
          <w:color w:val="auto"/>
          <w:sz w:val="22"/>
          <w:szCs w:val="22"/>
        </w:rPr>
        <w:t>Education 3-13</w:t>
      </w:r>
      <w:r w:rsidRPr="00CF0E13">
        <w:rPr>
          <w:rFonts w:ascii="Calibri" w:hAnsi="Calibri" w:cs="Calibri"/>
          <w:color w:val="auto"/>
          <w:sz w:val="22"/>
          <w:szCs w:val="22"/>
        </w:rPr>
        <w:t>, </w:t>
      </w:r>
      <w:r w:rsidRPr="00CF0E13">
        <w:rPr>
          <w:rFonts w:ascii="Calibri" w:hAnsi="Calibri" w:cs="Calibri"/>
          <w:i/>
          <w:iCs/>
          <w:color w:val="auto"/>
          <w:sz w:val="22"/>
          <w:szCs w:val="22"/>
        </w:rPr>
        <w:t>50</w:t>
      </w:r>
      <w:r w:rsidRPr="00CF0E13">
        <w:rPr>
          <w:rFonts w:ascii="Calibri" w:hAnsi="Calibri" w:cs="Calibri"/>
          <w:color w:val="auto"/>
          <w:sz w:val="22"/>
          <w:szCs w:val="22"/>
        </w:rPr>
        <w:t>(3), pp.289-303.</w:t>
      </w:r>
    </w:p>
    <w:p w14:paraId="49392D2E" w14:textId="77777777" w:rsidR="002A7944" w:rsidRPr="00CF0E13" w:rsidRDefault="002A7944" w:rsidP="002A7944">
      <w:pPr>
        <w:spacing w:line="360" w:lineRule="auto"/>
        <w:jc w:val="both"/>
        <w:rPr>
          <w:rFonts w:ascii="Calibri" w:hAnsi="Calibri" w:cs="Calibri"/>
          <w:color w:val="auto"/>
          <w:sz w:val="22"/>
          <w:szCs w:val="22"/>
        </w:rPr>
      </w:pPr>
      <w:r w:rsidRPr="00CF0E13">
        <w:rPr>
          <w:rFonts w:ascii="Calibri" w:hAnsi="Calibri" w:cs="Calibri"/>
          <w:color w:val="auto"/>
          <w:sz w:val="22"/>
          <w:szCs w:val="22"/>
        </w:rPr>
        <w:t>Preedy, P., Duncombe, R. and Gorely, T., 2022. Physical development in the early years: The impact of a daily movement programme on young children’s physical development. </w:t>
      </w:r>
      <w:r w:rsidRPr="00CF0E13">
        <w:rPr>
          <w:rFonts w:ascii="Calibri" w:hAnsi="Calibri" w:cs="Calibri"/>
          <w:i/>
          <w:iCs/>
          <w:color w:val="auto"/>
          <w:sz w:val="22"/>
          <w:szCs w:val="22"/>
        </w:rPr>
        <w:t>Education 3-13</w:t>
      </w:r>
      <w:r w:rsidRPr="00CF0E13">
        <w:rPr>
          <w:rFonts w:ascii="Calibri" w:hAnsi="Calibri" w:cs="Calibri"/>
          <w:color w:val="auto"/>
          <w:sz w:val="22"/>
          <w:szCs w:val="22"/>
        </w:rPr>
        <w:t>, </w:t>
      </w:r>
      <w:r w:rsidRPr="00CF0E13">
        <w:rPr>
          <w:rFonts w:ascii="Calibri" w:hAnsi="Calibri" w:cs="Calibri"/>
          <w:i/>
          <w:iCs/>
          <w:color w:val="auto"/>
          <w:sz w:val="22"/>
          <w:szCs w:val="22"/>
        </w:rPr>
        <w:t>50</w:t>
      </w:r>
      <w:r w:rsidRPr="00CF0E13">
        <w:rPr>
          <w:rFonts w:ascii="Calibri" w:hAnsi="Calibri" w:cs="Calibri"/>
          <w:color w:val="auto"/>
          <w:sz w:val="22"/>
          <w:szCs w:val="22"/>
        </w:rPr>
        <w:t>(3), pp.289-303.</w:t>
      </w:r>
    </w:p>
    <w:p w14:paraId="3187209E" w14:textId="77777777" w:rsidR="002A7944" w:rsidRPr="00CF0E13" w:rsidRDefault="002A7944" w:rsidP="002A7944">
      <w:pPr>
        <w:spacing w:line="360" w:lineRule="auto"/>
        <w:jc w:val="both"/>
        <w:rPr>
          <w:rFonts w:ascii="Calibri" w:hAnsi="Calibri" w:cs="Calibri"/>
          <w:color w:val="auto"/>
          <w:sz w:val="22"/>
          <w:szCs w:val="22"/>
        </w:rPr>
      </w:pPr>
      <w:r w:rsidRPr="00CF0E13">
        <w:rPr>
          <w:rFonts w:ascii="Calibri" w:hAnsi="Calibri" w:cs="Calibri"/>
          <w:color w:val="auto"/>
          <w:sz w:val="22"/>
          <w:szCs w:val="22"/>
        </w:rPr>
        <w:t>Preedy, P., Sanderson, K. and Ball, C. eds., 2018. </w:t>
      </w:r>
      <w:r w:rsidRPr="00CF0E13">
        <w:rPr>
          <w:rFonts w:ascii="Calibri" w:hAnsi="Calibri" w:cs="Calibri"/>
          <w:i/>
          <w:iCs/>
          <w:color w:val="auto"/>
          <w:sz w:val="22"/>
          <w:szCs w:val="22"/>
        </w:rPr>
        <w:t>Early childhood education redefined: Reflections and recommendations on the impact of Start Right</w:t>
      </w:r>
      <w:r w:rsidRPr="00CF0E13">
        <w:rPr>
          <w:rFonts w:ascii="Calibri" w:hAnsi="Calibri" w:cs="Calibri"/>
          <w:color w:val="auto"/>
          <w:sz w:val="22"/>
          <w:szCs w:val="22"/>
        </w:rPr>
        <w:t>. Routledge.</w:t>
      </w:r>
    </w:p>
    <w:p w14:paraId="27FB29B6" w14:textId="77777777" w:rsidR="002A7944" w:rsidRPr="00CF0E13" w:rsidRDefault="002A7944" w:rsidP="002A7944">
      <w:pPr>
        <w:spacing w:line="360" w:lineRule="auto"/>
        <w:jc w:val="both"/>
        <w:rPr>
          <w:rFonts w:ascii="Calibri" w:hAnsi="Calibri" w:cs="Calibri"/>
          <w:color w:val="auto"/>
          <w:sz w:val="22"/>
          <w:szCs w:val="22"/>
        </w:rPr>
      </w:pPr>
      <w:r w:rsidRPr="00CF0E13">
        <w:rPr>
          <w:rFonts w:ascii="Calibri" w:hAnsi="Calibri" w:cs="Calibri"/>
          <w:color w:val="auto"/>
          <w:sz w:val="22"/>
          <w:szCs w:val="22"/>
        </w:rPr>
        <w:t>Robinson, L.E., Stodden, D.F., Barnett, L.M., Lopes, V.P., Logan, S.W., Rodrigues, L.P. and D’Hondt, E., 2015. Motor competence and its effect on positive developmental trajectories of health. </w:t>
      </w:r>
      <w:r w:rsidRPr="00CF0E13">
        <w:rPr>
          <w:rFonts w:ascii="Calibri" w:hAnsi="Calibri" w:cs="Calibri"/>
          <w:i/>
          <w:iCs/>
          <w:color w:val="auto"/>
          <w:sz w:val="22"/>
          <w:szCs w:val="22"/>
        </w:rPr>
        <w:t>Sports medicine</w:t>
      </w:r>
      <w:r w:rsidRPr="00CF0E13">
        <w:rPr>
          <w:rFonts w:ascii="Calibri" w:hAnsi="Calibri" w:cs="Calibri"/>
          <w:color w:val="auto"/>
          <w:sz w:val="22"/>
          <w:szCs w:val="22"/>
        </w:rPr>
        <w:t>, </w:t>
      </w:r>
      <w:r w:rsidRPr="00CF0E13">
        <w:rPr>
          <w:rFonts w:ascii="Calibri" w:hAnsi="Calibri" w:cs="Calibri"/>
          <w:i/>
          <w:iCs/>
          <w:color w:val="auto"/>
          <w:sz w:val="22"/>
          <w:szCs w:val="22"/>
        </w:rPr>
        <w:t>45</w:t>
      </w:r>
      <w:r w:rsidRPr="00CF0E13">
        <w:rPr>
          <w:rFonts w:ascii="Calibri" w:hAnsi="Calibri" w:cs="Calibri"/>
          <w:color w:val="auto"/>
          <w:sz w:val="22"/>
          <w:szCs w:val="22"/>
        </w:rPr>
        <w:t>(9), pp.1273-1284.</w:t>
      </w:r>
    </w:p>
    <w:p w14:paraId="697BFC90" w14:textId="77777777" w:rsidR="002A7944" w:rsidRPr="00CF0E13" w:rsidRDefault="002A7944" w:rsidP="002A7944">
      <w:pPr>
        <w:spacing w:line="360" w:lineRule="auto"/>
        <w:jc w:val="both"/>
        <w:rPr>
          <w:rFonts w:ascii="Calibri" w:hAnsi="Calibri" w:cs="Calibri"/>
          <w:color w:val="auto"/>
          <w:sz w:val="22"/>
          <w:szCs w:val="22"/>
        </w:rPr>
      </w:pPr>
      <w:r w:rsidRPr="00CF0E13">
        <w:rPr>
          <w:rFonts w:ascii="Calibri" w:hAnsi="Calibri" w:cs="Calibri"/>
          <w:color w:val="auto"/>
          <w:sz w:val="22"/>
          <w:szCs w:val="22"/>
        </w:rPr>
        <w:t>Rogers, A.A., Shawcroft, J., Stockdale, L.A., Coyne, S.M. and Fraser, A.M., 2024. Trajectories of parents' gendered play attitudes during early childhood and implications for children's gender development. </w:t>
      </w:r>
      <w:r w:rsidRPr="00CF0E13">
        <w:rPr>
          <w:rFonts w:ascii="Calibri" w:hAnsi="Calibri" w:cs="Calibri"/>
          <w:i/>
          <w:iCs/>
          <w:color w:val="auto"/>
          <w:sz w:val="22"/>
          <w:szCs w:val="22"/>
        </w:rPr>
        <w:t>Child Development</w:t>
      </w:r>
      <w:r w:rsidRPr="00CF0E13">
        <w:rPr>
          <w:rFonts w:ascii="Calibri" w:hAnsi="Calibri" w:cs="Calibri"/>
          <w:color w:val="auto"/>
          <w:sz w:val="22"/>
          <w:szCs w:val="22"/>
        </w:rPr>
        <w:t>, </w:t>
      </w:r>
      <w:r w:rsidRPr="00CF0E13">
        <w:rPr>
          <w:rFonts w:ascii="Calibri" w:hAnsi="Calibri" w:cs="Calibri"/>
          <w:i/>
          <w:iCs/>
          <w:color w:val="auto"/>
          <w:sz w:val="22"/>
          <w:szCs w:val="22"/>
        </w:rPr>
        <w:t>95</w:t>
      </w:r>
      <w:r w:rsidRPr="00CF0E13">
        <w:rPr>
          <w:rFonts w:ascii="Calibri" w:hAnsi="Calibri" w:cs="Calibri"/>
          <w:color w:val="auto"/>
          <w:sz w:val="22"/>
          <w:szCs w:val="22"/>
        </w:rPr>
        <w:t>(2), pp.428-446.</w:t>
      </w:r>
    </w:p>
    <w:p w14:paraId="54950B29" w14:textId="77777777" w:rsidR="002A7944" w:rsidRPr="00D16208" w:rsidRDefault="002A7944" w:rsidP="002A7944">
      <w:pPr>
        <w:spacing w:line="360" w:lineRule="auto"/>
        <w:jc w:val="both"/>
        <w:rPr>
          <w:rFonts w:ascii="Calibri" w:hAnsi="Calibri" w:cs="Calibri"/>
          <w:color w:val="auto"/>
          <w:sz w:val="22"/>
          <w:szCs w:val="22"/>
        </w:rPr>
      </w:pPr>
      <w:r w:rsidRPr="00CF0E13">
        <w:rPr>
          <w:rFonts w:ascii="Calibri" w:hAnsi="Calibri" w:cs="Calibri"/>
          <w:color w:val="auto"/>
          <w:sz w:val="22"/>
          <w:szCs w:val="22"/>
        </w:rPr>
        <w:t>Sheridan, S.M., Edwards, C.P., Marvin, C.A. and Knoche, L.L., 2009. Professional development in early childhood programs: Process issues and research needs. </w:t>
      </w:r>
      <w:r w:rsidRPr="00CF0E13">
        <w:rPr>
          <w:rFonts w:ascii="Calibri" w:hAnsi="Calibri" w:cs="Calibri"/>
          <w:i/>
          <w:iCs/>
          <w:color w:val="auto"/>
          <w:sz w:val="22"/>
          <w:szCs w:val="22"/>
        </w:rPr>
        <w:t>Early education and development</w:t>
      </w:r>
      <w:r w:rsidRPr="00CF0E13">
        <w:rPr>
          <w:rFonts w:ascii="Calibri" w:hAnsi="Calibri" w:cs="Calibri"/>
          <w:color w:val="auto"/>
          <w:sz w:val="22"/>
          <w:szCs w:val="22"/>
        </w:rPr>
        <w:t>, </w:t>
      </w:r>
      <w:r w:rsidRPr="00CF0E13">
        <w:rPr>
          <w:rFonts w:ascii="Calibri" w:hAnsi="Calibri" w:cs="Calibri"/>
          <w:i/>
          <w:iCs/>
          <w:color w:val="auto"/>
          <w:sz w:val="22"/>
          <w:szCs w:val="22"/>
        </w:rPr>
        <w:t>20</w:t>
      </w:r>
      <w:r w:rsidRPr="00CF0E13">
        <w:rPr>
          <w:rFonts w:ascii="Calibri" w:hAnsi="Calibri" w:cs="Calibri"/>
          <w:color w:val="auto"/>
          <w:sz w:val="22"/>
          <w:szCs w:val="22"/>
        </w:rPr>
        <w:t>(3), pp.377-401.</w:t>
      </w:r>
    </w:p>
    <w:p w14:paraId="74D9FE7B" w14:textId="77777777" w:rsidR="002A7944" w:rsidRPr="00CF0E13" w:rsidRDefault="002A7944" w:rsidP="002A7944">
      <w:pPr>
        <w:spacing w:line="360" w:lineRule="auto"/>
        <w:jc w:val="both"/>
        <w:rPr>
          <w:rFonts w:ascii="Calibri" w:hAnsi="Calibri" w:cs="Calibri"/>
          <w:color w:val="auto"/>
          <w:sz w:val="22"/>
          <w:szCs w:val="22"/>
        </w:rPr>
      </w:pPr>
      <w:r w:rsidRPr="00CF0E13">
        <w:rPr>
          <w:rFonts w:ascii="Calibri" w:hAnsi="Calibri" w:cs="Calibri"/>
          <w:color w:val="auto"/>
          <w:sz w:val="22"/>
          <w:szCs w:val="22"/>
        </w:rPr>
        <w:t xml:space="preserve">Smits-Engelsman, B., Coetzee, D., </w:t>
      </w:r>
      <w:proofErr w:type="spellStart"/>
      <w:r w:rsidRPr="00CF0E13">
        <w:rPr>
          <w:rFonts w:ascii="Calibri" w:hAnsi="Calibri" w:cs="Calibri"/>
          <w:color w:val="auto"/>
          <w:sz w:val="22"/>
          <w:szCs w:val="22"/>
        </w:rPr>
        <w:t>Valtr</w:t>
      </w:r>
      <w:proofErr w:type="spellEnd"/>
      <w:r w:rsidRPr="00CF0E13">
        <w:rPr>
          <w:rFonts w:ascii="Calibri" w:hAnsi="Calibri" w:cs="Calibri"/>
          <w:color w:val="auto"/>
          <w:sz w:val="22"/>
          <w:szCs w:val="22"/>
        </w:rPr>
        <w:t xml:space="preserve">, L. and </w:t>
      </w:r>
      <w:proofErr w:type="spellStart"/>
      <w:r w:rsidRPr="00CF0E13">
        <w:rPr>
          <w:rFonts w:ascii="Calibri" w:hAnsi="Calibri" w:cs="Calibri"/>
          <w:color w:val="auto"/>
          <w:sz w:val="22"/>
          <w:szCs w:val="22"/>
        </w:rPr>
        <w:t>Verbecque</w:t>
      </w:r>
      <w:proofErr w:type="spellEnd"/>
      <w:r w:rsidRPr="00CF0E13">
        <w:rPr>
          <w:rFonts w:ascii="Calibri" w:hAnsi="Calibri" w:cs="Calibri"/>
          <w:color w:val="auto"/>
          <w:sz w:val="22"/>
          <w:szCs w:val="22"/>
        </w:rPr>
        <w:t>, E., 2023. Do Girls Have an Advantage Compared to Boys When Their Motor Skills Are Tested Using the Movement Assessment Battery for Children</w:t>
      </w:r>
      <w:proofErr w:type="gramStart"/>
      <w:r w:rsidRPr="00CF0E13">
        <w:rPr>
          <w:rFonts w:ascii="Calibri" w:hAnsi="Calibri" w:cs="Calibri"/>
          <w:color w:val="auto"/>
          <w:sz w:val="22"/>
          <w:szCs w:val="22"/>
        </w:rPr>
        <w:t>, ?</w:t>
      </w:r>
      <w:proofErr w:type="gramEnd"/>
      <w:r w:rsidRPr="00CF0E13">
        <w:rPr>
          <w:rFonts w:ascii="Calibri" w:hAnsi="Calibri" w:cs="Calibri"/>
          <w:color w:val="auto"/>
          <w:sz w:val="22"/>
          <w:szCs w:val="22"/>
        </w:rPr>
        <w:t>. </w:t>
      </w:r>
      <w:r w:rsidRPr="00CF0E13">
        <w:rPr>
          <w:rFonts w:ascii="Calibri" w:hAnsi="Calibri" w:cs="Calibri"/>
          <w:i/>
          <w:iCs/>
          <w:color w:val="auto"/>
          <w:sz w:val="22"/>
          <w:szCs w:val="22"/>
        </w:rPr>
        <w:t>Children</w:t>
      </w:r>
      <w:r w:rsidRPr="00CF0E13">
        <w:rPr>
          <w:rFonts w:ascii="Calibri" w:hAnsi="Calibri" w:cs="Calibri"/>
          <w:color w:val="auto"/>
          <w:sz w:val="22"/>
          <w:szCs w:val="22"/>
        </w:rPr>
        <w:t>, </w:t>
      </w:r>
      <w:r w:rsidRPr="00CF0E13">
        <w:rPr>
          <w:rFonts w:ascii="Calibri" w:hAnsi="Calibri" w:cs="Calibri"/>
          <w:i/>
          <w:iCs/>
          <w:color w:val="auto"/>
          <w:sz w:val="22"/>
          <w:szCs w:val="22"/>
        </w:rPr>
        <w:t>10</w:t>
      </w:r>
      <w:r w:rsidRPr="00CF0E13">
        <w:rPr>
          <w:rFonts w:ascii="Calibri" w:hAnsi="Calibri" w:cs="Calibri"/>
          <w:color w:val="auto"/>
          <w:sz w:val="22"/>
          <w:szCs w:val="22"/>
        </w:rPr>
        <w:t>(7), p.1159.</w:t>
      </w:r>
    </w:p>
    <w:p w14:paraId="6A04A5AC" w14:textId="77777777" w:rsidR="002A7944" w:rsidRPr="00811EB0" w:rsidRDefault="002A7944" w:rsidP="002A7944">
      <w:pPr>
        <w:spacing w:line="360" w:lineRule="auto"/>
        <w:jc w:val="both"/>
        <w:rPr>
          <w:rFonts w:ascii="Calibri" w:hAnsi="Calibri" w:cs="Calibri"/>
          <w:color w:val="auto"/>
          <w:sz w:val="22"/>
          <w:szCs w:val="22"/>
        </w:rPr>
      </w:pPr>
      <w:r w:rsidRPr="00811EB0">
        <w:rPr>
          <w:rFonts w:ascii="Calibri" w:hAnsi="Calibri" w:cs="Calibri"/>
          <w:color w:val="auto"/>
          <w:sz w:val="22"/>
          <w:szCs w:val="22"/>
        </w:rPr>
        <w:t>Sport England (2023). </w:t>
      </w:r>
      <w:r w:rsidRPr="00811EB0">
        <w:rPr>
          <w:rFonts w:ascii="Calibri" w:hAnsi="Calibri" w:cs="Calibri"/>
          <w:i/>
          <w:iCs/>
          <w:color w:val="auto"/>
          <w:sz w:val="22"/>
          <w:szCs w:val="22"/>
        </w:rPr>
        <w:t>Physical Literacy Consensus Statement for England published | Sport England</w:t>
      </w:r>
      <w:r w:rsidRPr="00811EB0">
        <w:rPr>
          <w:rFonts w:ascii="Calibri" w:hAnsi="Calibri" w:cs="Calibri"/>
          <w:color w:val="auto"/>
          <w:sz w:val="22"/>
          <w:szCs w:val="22"/>
        </w:rPr>
        <w:t>. [online] www.sportengland.org. Available at: https://www.sportengland.org/news-and-inspiration/physical-literacy-consensus-statement-england-published.</w:t>
      </w:r>
    </w:p>
    <w:p w14:paraId="4F54B464" w14:textId="77777777" w:rsidR="002A7944" w:rsidRPr="00D16208" w:rsidRDefault="002A7944" w:rsidP="002A7944">
      <w:pPr>
        <w:spacing w:line="360" w:lineRule="auto"/>
        <w:jc w:val="both"/>
        <w:rPr>
          <w:rFonts w:ascii="Calibri" w:hAnsi="Calibri" w:cs="Calibri"/>
          <w:color w:val="auto"/>
          <w:sz w:val="22"/>
          <w:szCs w:val="22"/>
        </w:rPr>
      </w:pPr>
      <w:r w:rsidRPr="00D16208">
        <w:rPr>
          <w:rFonts w:ascii="Calibri" w:hAnsi="Calibri" w:cs="Calibri"/>
          <w:color w:val="auto"/>
          <w:sz w:val="22"/>
          <w:szCs w:val="22"/>
        </w:rPr>
        <w:t xml:space="preserve">Stodden, D.F., Goodway, J.D., Langendorfer, S.J., Roberton, M.A., Rudisill, M.E., Garcia, C. and Garcia, L.E. (2008) ‘A developmental perspective on the role of motor skill competence in physical activity: An emergent relationship’, </w:t>
      </w:r>
      <w:r w:rsidRPr="00D16208">
        <w:rPr>
          <w:rFonts w:ascii="Calibri" w:hAnsi="Calibri" w:cs="Calibri"/>
          <w:i/>
          <w:iCs/>
          <w:color w:val="auto"/>
          <w:sz w:val="22"/>
          <w:szCs w:val="22"/>
        </w:rPr>
        <w:t>Quest</w:t>
      </w:r>
      <w:r w:rsidRPr="00D16208">
        <w:rPr>
          <w:rFonts w:ascii="Calibri" w:hAnsi="Calibri" w:cs="Calibri"/>
          <w:color w:val="auto"/>
          <w:sz w:val="22"/>
          <w:szCs w:val="22"/>
        </w:rPr>
        <w:t>, 60(2), pp. 290–306.</w:t>
      </w:r>
    </w:p>
    <w:p w14:paraId="7F99324C" w14:textId="77777777" w:rsidR="002A7944" w:rsidRPr="00CF0E13" w:rsidRDefault="002A7944" w:rsidP="002A7944">
      <w:pPr>
        <w:spacing w:line="360" w:lineRule="auto"/>
        <w:jc w:val="both"/>
        <w:rPr>
          <w:rFonts w:ascii="Calibri" w:hAnsi="Calibri" w:cs="Calibri"/>
          <w:color w:val="auto"/>
          <w:sz w:val="22"/>
          <w:szCs w:val="22"/>
        </w:rPr>
      </w:pPr>
      <w:r w:rsidRPr="00CF0E13">
        <w:rPr>
          <w:rFonts w:ascii="Calibri" w:hAnsi="Calibri" w:cs="Calibri"/>
          <w:color w:val="auto"/>
          <w:sz w:val="22"/>
          <w:szCs w:val="22"/>
        </w:rPr>
        <w:lastRenderedPageBreak/>
        <w:t xml:space="preserve">Strooband, K.F., Howard, S.J., Okely, A.D., Neilsen-Hewett, C. and de </w:t>
      </w:r>
      <w:proofErr w:type="spellStart"/>
      <w:r w:rsidRPr="00CF0E13">
        <w:rPr>
          <w:rFonts w:ascii="Calibri" w:hAnsi="Calibri" w:cs="Calibri"/>
          <w:color w:val="auto"/>
          <w:sz w:val="22"/>
          <w:szCs w:val="22"/>
        </w:rPr>
        <w:t>Rosnay</w:t>
      </w:r>
      <w:proofErr w:type="spellEnd"/>
      <w:r w:rsidRPr="00CF0E13">
        <w:rPr>
          <w:rFonts w:ascii="Calibri" w:hAnsi="Calibri" w:cs="Calibri"/>
          <w:color w:val="auto"/>
          <w:sz w:val="22"/>
          <w:szCs w:val="22"/>
        </w:rPr>
        <w:t>, M., 2023. Validity and reliability of a fine motor assessment for preschool children. </w:t>
      </w:r>
      <w:r w:rsidRPr="00CF0E13">
        <w:rPr>
          <w:rFonts w:ascii="Calibri" w:hAnsi="Calibri" w:cs="Calibri"/>
          <w:i/>
          <w:iCs/>
          <w:color w:val="auto"/>
          <w:sz w:val="22"/>
          <w:szCs w:val="22"/>
        </w:rPr>
        <w:t>Early Childhood Education Journal</w:t>
      </w:r>
      <w:r w:rsidRPr="00CF0E13">
        <w:rPr>
          <w:rFonts w:ascii="Calibri" w:hAnsi="Calibri" w:cs="Calibri"/>
          <w:color w:val="auto"/>
          <w:sz w:val="22"/>
          <w:szCs w:val="22"/>
        </w:rPr>
        <w:t>, </w:t>
      </w:r>
      <w:r w:rsidRPr="00CF0E13">
        <w:rPr>
          <w:rFonts w:ascii="Calibri" w:hAnsi="Calibri" w:cs="Calibri"/>
          <w:i/>
          <w:iCs/>
          <w:color w:val="auto"/>
          <w:sz w:val="22"/>
          <w:szCs w:val="22"/>
        </w:rPr>
        <w:t>51</w:t>
      </w:r>
      <w:r w:rsidRPr="00CF0E13">
        <w:rPr>
          <w:rFonts w:ascii="Calibri" w:hAnsi="Calibri" w:cs="Calibri"/>
          <w:color w:val="auto"/>
          <w:sz w:val="22"/>
          <w:szCs w:val="22"/>
        </w:rPr>
        <w:t>(5), pp.801-810.</w:t>
      </w:r>
    </w:p>
    <w:p w14:paraId="332B82E0" w14:textId="77777777" w:rsidR="002A7944" w:rsidRPr="00CF0E13" w:rsidRDefault="002A7944" w:rsidP="002A7944">
      <w:pPr>
        <w:spacing w:line="360" w:lineRule="auto"/>
        <w:jc w:val="both"/>
        <w:rPr>
          <w:rFonts w:ascii="Calibri" w:hAnsi="Calibri" w:cs="Calibri"/>
          <w:color w:val="auto"/>
          <w:sz w:val="22"/>
          <w:szCs w:val="22"/>
        </w:rPr>
      </w:pPr>
      <w:r w:rsidRPr="00CF0E13">
        <w:rPr>
          <w:rFonts w:ascii="Calibri" w:hAnsi="Calibri" w:cs="Calibri"/>
          <w:color w:val="auto"/>
          <w:sz w:val="22"/>
          <w:szCs w:val="22"/>
        </w:rPr>
        <w:t xml:space="preserve">Sugden, D., 2007. Current approaches to intervention in children with developmental coordination disorder. </w:t>
      </w:r>
      <w:r w:rsidRPr="00CF0E13">
        <w:rPr>
          <w:rFonts w:ascii="Calibri" w:hAnsi="Calibri" w:cs="Calibri"/>
          <w:i/>
          <w:iCs/>
          <w:color w:val="auto"/>
          <w:sz w:val="22"/>
          <w:szCs w:val="22"/>
        </w:rPr>
        <w:t>Developmental Medicine &amp; Child Neurology</w:t>
      </w:r>
      <w:r w:rsidRPr="00CF0E13">
        <w:rPr>
          <w:rFonts w:ascii="Calibri" w:hAnsi="Calibri" w:cs="Calibri"/>
          <w:color w:val="auto"/>
          <w:sz w:val="22"/>
          <w:szCs w:val="22"/>
        </w:rPr>
        <w:t>, 49(6), pp.467–471.</w:t>
      </w:r>
    </w:p>
    <w:p w14:paraId="27488931" w14:textId="77777777" w:rsidR="002A7944" w:rsidRPr="00CF0E13" w:rsidRDefault="002A7944" w:rsidP="002A7944">
      <w:pPr>
        <w:spacing w:line="360" w:lineRule="auto"/>
        <w:jc w:val="both"/>
        <w:rPr>
          <w:rFonts w:ascii="Calibri" w:hAnsi="Calibri" w:cs="Calibri"/>
          <w:color w:val="auto"/>
          <w:sz w:val="22"/>
          <w:szCs w:val="22"/>
        </w:rPr>
      </w:pPr>
      <w:r w:rsidRPr="00CF0E13">
        <w:rPr>
          <w:rFonts w:ascii="Calibri" w:hAnsi="Calibri" w:cs="Calibri"/>
          <w:color w:val="auto"/>
          <w:sz w:val="22"/>
          <w:szCs w:val="22"/>
        </w:rPr>
        <w:t>Sugden, D., 2007. Current approaches to intervention in children with developmental coordination disorder. </w:t>
      </w:r>
      <w:r w:rsidRPr="00CF0E13">
        <w:rPr>
          <w:rFonts w:ascii="Calibri" w:hAnsi="Calibri" w:cs="Calibri"/>
          <w:i/>
          <w:iCs/>
          <w:color w:val="auto"/>
          <w:sz w:val="22"/>
          <w:szCs w:val="22"/>
        </w:rPr>
        <w:t>Developmental Medicine &amp; Child Neurology</w:t>
      </w:r>
      <w:r w:rsidRPr="00CF0E13">
        <w:rPr>
          <w:rFonts w:ascii="Calibri" w:hAnsi="Calibri" w:cs="Calibri"/>
          <w:color w:val="auto"/>
          <w:sz w:val="22"/>
          <w:szCs w:val="22"/>
        </w:rPr>
        <w:t>, </w:t>
      </w:r>
      <w:r w:rsidRPr="00CF0E13">
        <w:rPr>
          <w:rFonts w:ascii="Calibri" w:hAnsi="Calibri" w:cs="Calibri"/>
          <w:i/>
          <w:iCs/>
          <w:color w:val="auto"/>
          <w:sz w:val="22"/>
          <w:szCs w:val="22"/>
        </w:rPr>
        <w:t>49</w:t>
      </w:r>
      <w:r w:rsidRPr="00CF0E13">
        <w:rPr>
          <w:rFonts w:ascii="Calibri" w:hAnsi="Calibri" w:cs="Calibri"/>
          <w:color w:val="auto"/>
          <w:sz w:val="22"/>
          <w:szCs w:val="22"/>
        </w:rPr>
        <w:t>(6), pp.467-471.</w:t>
      </w:r>
    </w:p>
    <w:p w14:paraId="24C3F106" w14:textId="77777777" w:rsidR="002A7944" w:rsidRPr="00D16208" w:rsidRDefault="002A7944" w:rsidP="002A7944">
      <w:pPr>
        <w:spacing w:line="360" w:lineRule="auto"/>
        <w:jc w:val="both"/>
        <w:rPr>
          <w:rFonts w:ascii="Calibri" w:hAnsi="Calibri" w:cs="Calibri"/>
          <w:color w:val="auto"/>
          <w:sz w:val="22"/>
          <w:szCs w:val="22"/>
        </w:rPr>
      </w:pPr>
      <w:r w:rsidRPr="00D16208">
        <w:rPr>
          <w:rFonts w:ascii="Calibri" w:hAnsi="Calibri" w:cs="Calibri"/>
          <w:color w:val="auto"/>
          <w:sz w:val="22"/>
          <w:szCs w:val="22"/>
        </w:rPr>
        <w:t xml:space="preserve">Sugden, D.A. and Chambers, M. (2003) ‘Intervention in children with developmental coordination disorder: The role of parents and teachers’, </w:t>
      </w:r>
      <w:r w:rsidRPr="00D16208">
        <w:rPr>
          <w:rFonts w:ascii="Calibri" w:hAnsi="Calibri" w:cs="Calibri"/>
          <w:i/>
          <w:iCs/>
          <w:color w:val="auto"/>
          <w:sz w:val="22"/>
          <w:szCs w:val="22"/>
        </w:rPr>
        <w:t>British Journal of Special Education</w:t>
      </w:r>
      <w:r w:rsidRPr="00D16208">
        <w:rPr>
          <w:rFonts w:ascii="Calibri" w:hAnsi="Calibri" w:cs="Calibri"/>
          <w:color w:val="auto"/>
          <w:sz w:val="22"/>
          <w:szCs w:val="22"/>
        </w:rPr>
        <w:t>, 30(4), pp. 196–200.</w:t>
      </w:r>
    </w:p>
    <w:p w14:paraId="0C022CF4" w14:textId="77777777" w:rsidR="002A7944" w:rsidRPr="00D16208" w:rsidRDefault="002A7944" w:rsidP="002A7944">
      <w:pPr>
        <w:spacing w:line="360" w:lineRule="auto"/>
        <w:jc w:val="both"/>
        <w:rPr>
          <w:rFonts w:ascii="Calibri" w:hAnsi="Calibri" w:cs="Calibri"/>
          <w:color w:val="auto"/>
          <w:sz w:val="22"/>
          <w:szCs w:val="22"/>
        </w:rPr>
      </w:pPr>
      <w:r w:rsidRPr="00D16208">
        <w:rPr>
          <w:rFonts w:ascii="Calibri" w:hAnsi="Calibri" w:cs="Calibri"/>
          <w:color w:val="auto"/>
          <w:sz w:val="22"/>
          <w:szCs w:val="22"/>
        </w:rPr>
        <w:t xml:space="preserve">Sugden, D.A. and Chambers, M. (2005) </w:t>
      </w:r>
      <w:r w:rsidRPr="00D16208">
        <w:rPr>
          <w:rFonts w:ascii="Calibri" w:hAnsi="Calibri" w:cs="Calibri"/>
          <w:i/>
          <w:iCs/>
          <w:color w:val="auto"/>
          <w:sz w:val="22"/>
          <w:szCs w:val="22"/>
        </w:rPr>
        <w:t>Children with Developmental Coordination Disorder</w:t>
      </w:r>
      <w:r w:rsidRPr="00D16208">
        <w:rPr>
          <w:rFonts w:ascii="Calibri" w:hAnsi="Calibri" w:cs="Calibri"/>
          <w:color w:val="auto"/>
          <w:sz w:val="22"/>
          <w:szCs w:val="22"/>
        </w:rPr>
        <w:t xml:space="preserve">. London: </w:t>
      </w:r>
      <w:proofErr w:type="spellStart"/>
      <w:r w:rsidRPr="00D16208">
        <w:rPr>
          <w:rFonts w:ascii="Calibri" w:hAnsi="Calibri" w:cs="Calibri"/>
          <w:color w:val="auto"/>
          <w:sz w:val="22"/>
          <w:szCs w:val="22"/>
        </w:rPr>
        <w:t>Whurr</w:t>
      </w:r>
      <w:proofErr w:type="spellEnd"/>
      <w:r w:rsidRPr="00D16208">
        <w:rPr>
          <w:rFonts w:ascii="Calibri" w:hAnsi="Calibri" w:cs="Calibri"/>
          <w:color w:val="auto"/>
          <w:sz w:val="22"/>
          <w:szCs w:val="22"/>
        </w:rPr>
        <w:t xml:space="preserve"> Publishers.</w:t>
      </w:r>
    </w:p>
    <w:p w14:paraId="4A8341D7" w14:textId="77777777" w:rsidR="002A7944" w:rsidRPr="00D16208" w:rsidRDefault="002A7944" w:rsidP="002A7944">
      <w:pPr>
        <w:spacing w:line="360" w:lineRule="auto"/>
        <w:jc w:val="both"/>
        <w:rPr>
          <w:rFonts w:ascii="Calibri" w:hAnsi="Calibri" w:cs="Calibri"/>
          <w:color w:val="auto"/>
          <w:sz w:val="22"/>
          <w:szCs w:val="22"/>
        </w:rPr>
      </w:pPr>
      <w:r w:rsidRPr="00D16208">
        <w:rPr>
          <w:rFonts w:ascii="Calibri" w:hAnsi="Calibri" w:cs="Calibri"/>
          <w:color w:val="auto"/>
          <w:sz w:val="22"/>
          <w:szCs w:val="22"/>
        </w:rPr>
        <w:t xml:space="preserve">Sylva, K., Melhuish, E., Sammons, P., Siraj-Blatchford, I. and Taggart, B. (2003) </w:t>
      </w:r>
      <w:r w:rsidRPr="00D16208">
        <w:rPr>
          <w:rFonts w:ascii="Calibri" w:hAnsi="Calibri" w:cs="Calibri"/>
          <w:i/>
          <w:iCs/>
          <w:color w:val="auto"/>
          <w:sz w:val="22"/>
          <w:szCs w:val="22"/>
        </w:rPr>
        <w:t>The Effective Provision of Pre-School Education (EPPE) Project: Findings from the early primary years</w:t>
      </w:r>
      <w:r w:rsidRPr="00D16208">
        <w:rPr>
          <w:rFonts w:ascii="Calibri" w:hAnsi="Calibri" w:cs="Calibri"/>
          <w:color w:val="auto"/>
          <w:sz w:val="22"/>
          <w:szCs w:val="22"/>
        </w:rPr>
        <w:t>. Nottingham: DfES.</w:t>
      </w:r>
    </w:p>
    <w:p w14:paraId="2881AD99" w14:textId="77777777" w:rsidR="002A7944" w:rsidRPr="00D16208" w:rsidRDefault="002A7944" w:rsidP="002A7944">
      <w:pPr>
        <w:spacing w:line="360" w:lineRule="auto"/>
        <w:jc w:val="both"/>
        <w:rPr>
          <w:rFonts w:ascii="Calibri" w:hAnsi="Calibri" w:cs="Calibri"/>
          <w:color w:val="auto"/>
          <w:sz w:val="22"/>
          <w:szCs w:val="22"/>
        </w:rPr>
      </w:pPr>
      <w:r w:rsidRPr="00D16208">
        <w:rPr>
          <w:rFonts w:ascii="Calibri" w:hAnsi="Calibri" w:cs="Calibri"/>
          <w:color w:val="auto"/>
          <w:sz w:val="22"/>
          <w:szCs w:val="22"/>
        </w:rPr>
        <w:t xml:space="preserve">Sylva, K., Siraj-Blatchford, I. and Taggart, B. (2004) </w:t>
      </w:r>
      <w:r w:rsidRPr="00D16208">
        <w:rPr>
          <w:rFonts w:ascii="Calibri" w:hAnsi="Calibri" w:cs="Calibri"/>
          <w:i/>
          <w:iCs/>
          <w:color w:val="auto"/>
          <w:sz w:val="22"/>
          <w:szCs w:val="22"/>
        </w:rPr>
        <w:t>Assessing quality in the early years: Early Childhood Environment Rating Scale – Extension (ECERS-E)</w:t>
      </w:r>
      <w:r w:rsidRPr="00D16208">
        <w:rPr>
          <w:rFonts w:ascii="Calibri" w:hAnsi="Calibri" w:cs="Calibri"/>
          <w:color w:val="auto"/>
          <w:sz w:val="22"/>
          <w:szCs w:val="22"/>
        </w:rPr>
        <w:t>. London: Institute of Education.</w:t>
      </w:r>
    </w:p>
    <w:p w14:paraId="11ED8DEB" w14:textId="77777777" w:rsidR="002A7944" w:rsidRPr="00D16208" w:rsidRDefault="002A7944" w:rsidP="002A7944">
      <w:pPr>
        <w:spacing w:line="360" w:lineRule="auto"/>
        <w:jc w:val="both"/>
        <w:rPr>
          <w:rFonts w:ascii="Calibri" w:hAnsi="Calibri" w:cs="Calibri"/>
          <w:color w:val="auto"/>
          <w:sz w:val="22"/>
          <w:szCs w:val="22"/>
        </w:rPr>
      </w:pPr>
      <w:r w:rsidRPr="00D16208">
        <w:rPr>
          <w:rFonts w:ascii="Calibri" w:hAnsi="Calibri" w:cs="Calibri"/>
          <w:color w:val="auto"/>
          <w:sz w:val="22"/>
          <w:szCs w:val="22"/>
        </w:rPr>
        <w:t xml:space="preserve">Wilson, B.N., Crawford, S.G., Green, D., Roberts, G., Aylott, A. and Kaplan, B.J. (2009) ‘Psychometric properties of the revised Developmental Coordination Disorder Questionnaire’, </w:t>
      </w:r>
      <w:r w:rsidRPr="00D16208">
        <w:rPr>
          <w:rFonts w:ascii="Calibri" w:hAnsi="Calibri" w:cs="Calibri"/>
          <w:i/>
          <w:iCs/>
          <w:color w:val="auto"/>
          <w:sz w:val="22"/>
          <w:szCs w:val="22"/>
        </w:rPr>
        <w:t xml:space="preserve">Physical &amp; Occupational Therapy in </w:t>
      </w:r>
      <w:proofErr w:type="spellStart"/>
      <w:r w:rsidRPr="00D16208">
        <w:rPr>
          <w:rFonts w:ascii="Calibri" w:hAnsi="Calibri" w:cs="Calibri"/>
          <w:i/>
          <w:iCs/>
          <w:color w:val="auto"/>
          <w:sz w:val="22"/>
          <w:szCs w:val="22"/>
        </w:rPr>
        <w:t>Pediatrics</w:t>
      </w:r>
      <w:proofErr w:type="spellEnd"/>
      <w:r w:rsidRPr="00D16208">
        <w:rPr>
          <w:rFonts w:ascii="Calibri" w:hAnsi="Calibri" w:cs="Calibri"/>
          <w:color w:val="auto"/>
          <w:sz w:val="22"/>
          <w:szCs w:val="22"/>
        </w:rPr>
        <w:t>, 29(2), pp. 182–202.</w:t>
      </w:r>
    </w:p>
    <w:p w14:paraId="616A20D9" w14:textId="77777777" w:rsidR="002A7944" w:rsidRPr="00D16208" w:rsidRDefault="002A7944" w:rsidP="002A7944">
      <w:pPr>
        <w:spacing w:line="360" w:lineRule="auto"/>
        <w:jc w:val="both"/>
        <w:rPr>
          <w:rFonts w:ascii="Calibri" w:hAnsi="Calibri" w:cs="Calibri"/>
          <w:color w:val="auto"/>
          <w:sz w:val="22"/>
          <w:szCs w:val="22"/>
        </w:rPr>
      </w:pPr>
      <w:r w:rsidRPr="00D16208">
        <w:rPr>
          <w:rFonts w:ascii="Calibri" w:hAnsi="Calibri" w:cs="Calibri"/>
          <w:color w:val="auto"/>
          <w:sz w:val="22"/>
          <w:szCs w:val="22"/>
        </w:rPr>
        <w:t xml:space="preserve">Wilson, P.H., Ruddock, S., Smits-Engelsman, B., Polatajko, H. and Blank, R. (2013) ‘Understanding performance deficits in developmental coordination disorder: A meta-analysis of recent research’, </w:t>
      </w:r>
      <w:r w:rsidRPr="00D16208">
        <w:rPr>
          <w:rFonts w:ascii="Calibri" w:hAnsi="Calibri" w:cs="Calibri"/>
          <w:i/>
          <w:iCs/>
          <w:color w:val="auto"/>
          <w:sz w:val="22"/>
          <w:szCs w:val="22"/>
        </w:rPr>
        <w:t>Developmental Medicine &amp; Child Neurology</w:t>
      </w:r>
      <w:r w:rsidRPr="00D16208">
        <w:rPr>
          <w:rFonts w:ascii="Calibri" w:hAnsi="Calibri" w:cs="Calibri"/>
          <w:color w:val="auto"/>
          <w:sz w:val="22"/>
          <w:szCs w:val="22"/>
        </w:rPr>
        <w:t>, 55(3), pp. 217–228.</w:t>
      </w:r>
    </w:p>
    <w:p w14:paraId="3F7B12AD" w14:textId="77777777" w:rsidR="002A7944" w:rsidRPr="000352BE" w:rsidRDefault="002A7944" w:rsidP="002A7944">
      <w:pPr>
        <w:spacing w:line="360" w:lineRule="auto"/>
        <w:jc w:val="both"/>
        <w:rPr>
          <w:rFonts w:ascii="Calibri" w:hAnsi="Calibri" w:cs="Calibri"/>
          <w:color w:val="auto"/>
          <w:sz w:val="22"/>
          <w:szCs w:val="22"/>
        </w:rPr>
      </w:pPr>
      <w:r w:rsidRPr="00D16208">
        <w:rPr>
          <w:rFonts w:ascii="Calibri" w:hAnsi="Calibri" w:cs="Calibri"/>
          <w:color w:val="auto"/>
          <w:sz w:val="22"/>
          <w:szCs w:val="22"/>
        </w:rPr>
        <w:t xml:space="preserve">Zheng, Y., Lau, P.W.C., Chen, S. and Sun, H. (2022) ‘Gender differences in fundamental motor skills proficiency: A systematic review and meta-analysis’, </w:t>
      </w:r>
      <w:r w:rsidRPr="00D16208">
        <w:rPr>
          <w:rFonts w:ascii="Calibri" w:hAnsi="Calibri" w:cs="Calibri"/>
          <w:i/>
          <w:iCs/>
          <w:color w:val="auto"/>
          <w:sz w:val="22"/>
          <w:szCs w:val="22"/>
        </w:rPr>
        <w:t>Journal of Science and Medicine in Sport</w:t>
      </w:r>
      <w:r w:rsidRPr="00D16208">
        <w:rPr>
          <w:rFonts w:ascii="Calibri" w:hAnsi="Calibri" w:cs="Calibri"/>
          <w:color w:val="auto"/>
          <w:sz w:val="22"/>
          <w:szCs w:val="22"/>
        </w:rPr>
        <w:t>, 25(8), pp. 679–687</w:t>
      </w:r>
      <w:r>
        <w:rPr>
          <w:rFonts w:ascii="Calibri" w:hAnsi="Calibri" w:cs="Calibri"/>
          <w:color w:val="auto"/>
          <w:sz w:val="22"/>
          <w:szCs w:val="22"/>
        </w:rPr>
        <w:t>.</w:t>
      </w:r>
    </w:p>
    <w:p w14:paraId="53368501" w14:textId="77777777" w:rsidR="002A7944" w:rsidRPr="00D03678" w:rsidRDefault="002A7944" w:rsidP="002A7944">
      <w:pPr>
        <w:spacing w:after="120" w:line="360" w:lineRule="auto"/>
        <w:jc w:val="both"/>
        <w:rPr>
          <w:rFonts w:ascii="Calibri" w:hAnsi="Calibri" w:cs="Calibri"/>
          <w:color w:val="auto"/>
          <w:sz w:val="22"/>
          <w:szCs w:val="22"/>
        </w:rPr>
      </w:pPr>
    </w:p>
    <w:p w14:paraId="6E65ADD6" w14:textId="77777777" w:rsidR="002A7944" w:rsidRDefault="002A7944"/>
    <w:p w14:paraId="0873F7BC" w14:textId="77777777" w:rsidR="002A7944" w:rsidRDefault="002A7944"/>
    <w:p w14:paraId="11188B8A" w14:textId="77777777" w:rsidR="002A7944" w:rsidRDefault="002A7944"/>
    <w:p w14:paraId="2BA845AC" w14:textId="77777777" w:rsidR="002A7944" w:rsidRDefault="002A7944"/>
    <w:p w14:paraId="2DD73285" w14:textId="77777777" w:rsidR="002A7944" w:rsidRDefault="002A7944"/>
    <w:p w14:paraId="7D7AD1FF" w14:textId="77777777" w:rsidR="002A7944" w:rsidRDefault="002A7944"/>
    <w:p w14:paraId="361C9126" w14:textId="77777777" w:rsidR="002A7944" w:rsidRDefault="002A7944"/>
    <w:p w14:paraId="724FB702" w14:textId="77777777" w:rsidR="002A7944" w:rsidRDefault="002A7944"/>
    <w:p w14:paraId="0C944C06" w14:textId="77777777" w:rsidR="002A7944" w:rsidRDefault="002A7944"/>
    <w:p w14:paraId="078E5AB8" w14:textId="77777777" w:rsidR="002A7944" w:rsidRDefault="002A7944"/>
    <w:p w14:paraId="21DC21E0" w14:textId="77777777" w:rsidR="002A7944" w:rsidRDefault="002A7944"/>
    <w:p w14:paraId="147A8086" w14:textId="77777777" w:rsidR="002A7944" w:rsidRDefault="002A7944"/>
    <w:p w14:paraId="57F83C99" w14:textId="77777777" w:rsidR="002A7944" w:rsidRDefault="002A7944"/>
    <w:p w14:paraId="32AE0ED5" w14:textId="77777777" w:rsidR="002A7944" w:rsidRDefault="002A7944">
      <w:pPr>
        <w:sectPr w:rsidR="002A7944" w:rsidSect="00B957C3">
          <w:pgSz w:w="11906" w:h="16838"/>
          <w:pgMar w:top="567" w:right="567" w:bottom="567" w:left="567" w:header="709" w:footer="709" w:gutter="0"/>
          <w:cols w:space="708"/>
          <w:docGrid w:linePitch="360"/>
        </w:sectPr>
      </w:pPr>
    </w:p>
    <w:p w14:paraId="11F2373F" w14:textId="40F513AC" w:rsidR="00517E18" w:rsidRPr="00517E18" w:rsidRDefault="002A7944" w:rsidP="00517E18">
      <w:pPr>
        <w:rPr>
          <w:rFonts w:ascii="Calibri" w:hAnsi="Calibri" w:cs="Calibri"/>
          <w:color w:val="auto"/>
          <w:sz w:val="44"/>
          <w:szCs w:val="44"/>
        </w:rPr>
      </w:pPr>
      <w:r w:rsidRPr="002A7944">
        <w:rPr>
          <w:rFonts w:ascii="Calibri" w:hAnsi="Calibri" w:cs="Calibri"/>
          <w:color w:val="auto"/>
          <w:sz w:val="44"/>
          <w:szCs w:val="44"/>
        </w:rPr>
        <w:lastRenderedPageBreak/>
        <w:t>APPENDIX</w:t>
      </w:r>
      <w:r w:rsidR="00517E18">
        <w:rPr>
          <w:rFonts w:ascii="Calibri" w:hAnsi="Calibri" w:cs="Calibri"/>
          <w:color w:val="auto"/>
          <w:sz w:val="44"/>
          <w:szCs w:val="44"/>
        </w:rPr>
        <w:t xml:space="preserve"> 1</w:t>
      </w:r>
    </w:p>
    <w:p w14:paraId="143E1E77" w14:textId="77777777" w:rsidR="00517E18" w:rsidRPr="002A0066" w:rsidRDefault="00517E18" w:rsidP="00517E18">
      <w:pPr>
        <w:jc w:val="center"/>
        <w:rPr>
          <w:rFonts w:ascii="Calibri Light" w:hAnsi="Calibri Light" w:cs="Calibri Light"/>
          <w:b/>
          <w:bCs/>
          <w:color w:val="auto"/>
          <w:sz w:val="28"/>
          <w:szCs w:val="28"/>
        </w:rPr>
      </w:pPr>
      <w:r w:rsidRPr="002A0066">
        <w:rPr>
          <w:rFonts w:ascii="Calibri Light" w:hAnsi="Calibri Light" w:cs="Calibri Light"/>
          <w:b/>
          <w:bCs/>
          <w:color w:val="auto"/>
          <w:sz w:val="28"/>
          <w:szCs w:val="28"/>
        </w:rPr>
        <w:t>PARENTAL CONSENT FORM</w:t>
      </w:r>
    </w:p>
    <w:p w14:paraId="2E238603" w14:textId="77777777" w:rsidR="00517E18" w:rsidRDefault="00517E18" w:rsidP="00517E18">
      <w:pPr>
        <w:rPr>
          <w:rFonts w:ascii="Calibri Light" w:hAnsi="Calibri Light" w:cs="Calibri Light"/>
          <w:color w:val="auto"/>
          <w:sz w:val="20"/>
          <w:szCs w:val="20"/>
        </w:rPr>
      </w:pPr>
      <w:r>
        <w:rPr>
          <w:rFonts w:ascii="Calibri Light" w:hAnsi="Calibri Light" w:cs="Calibri Light"/>
          <w:color w:val="auto"/>
          <w:sz w:val="20"/>
          <w:szCs w:val="20"/>
        </w:rPr>
        <w:t>Dear Parents / Guardian,</w:t>
      </w:r>
    </w:p>
    <w:p w14:paraId="23D8DF35" w14:textId="77777777" w:rsidR="00517E18" w:rsidRPr="009F5ACE" w:rsidRDefault="00517E18" w:rsidP="00517E18">
      <w:pPr>
        <w:jc w:val="both"/>
        <w:rPr>
          <w:rFonts w:ascii="Calibri Light" w:hAnsi="Calibri Light" w:cs="Calibri Light"/>
          <w:color w:val="auto"/>
          <w:sz w:val="20"/>
          <w:szCs w:val="20"/>
        </w:rPr>
      </w:pPr>
      <w:r w:rsidRPr="009F5ACE">
        <w:rPr>
          <w:rFonts w:ascii="Calibri Light" w:hAnsi="Calibri Light" w:cs="Calibri Light"/>
          <w:color w:val="auto"/>
          <w:sz w:val="20"/>
          <w:szCs w:val="20"/>
        </w:rPr>
        <w:t xml:space="preserve">We invite your child to take part in a research study being conducted by </w:t>
      </w:r>
      <w:r>
        <w:rPr>
          <w:rFonts w:ascii="Calibri Light" w:hAnsi="Calibri Light" w:cs="Calibri Light"/>
          <w:color w:val="auto"/>
          <w:sz w:val="20"/>
          <w:szCs w:val="20"/>
        </w:rPr>
        <w:t xml:space="preserve">Tom Feighan </w:t>
      </w:r>
      <w:r w:rsidRPr="009F5ACE">
        <w:rPr>
          <w:rFonts w:ascii="Calibri Light" w:hAnsi="Calibri Light" w:cs="Calibri Light"/>
          <w:color w:val="auto"/>
          <w:sz w:val="20"/>
          <w:szCs w:val="20"/>
        </w:rPr>
        <w:t>who</w:t>
      </w:r>
      <w:r>
        <w:rPr>
          <w:rFonts w:ascii="Calibri Light" w:hAnsi="Calibri Light" w:cs="Calibri Light"/>
          <w:color w:val="auto"/>
          <w:sz w:val="20"/>
          <w:szCs w:val="20"/>
        </w:rPr>
        <w:t xml:space="preserve"> is a</w:t>
      </w:r>
      <w:r w:rsidRPr="009F5ACE">
        <w:rPr>
          <w:rFonts w:ascii="Calibri Light" w:hAnsi="Calibri Light" w:cs="Calibri Light"/>
          <w:color w:val="auto"/>
          <w:sz w:val="20"/>
          <w:szCs w:val="20"/>
        </w:rPr>
        <w:t xml:space="preserve"> </w:t>
      </w:r>
      <w:proofErr w:type="gramStart"/>
      <w:r>
        <w:rPr>
          <w:rFonts w:ascii="Calibri Light" w:hAnsi="Calibri Light" w:cs="Calibri Light"/>
          <w:color w:val="auto"/>
          <w:sz w:val="20"/>
          <w:szCs w:val="20"/>
        </w:rPr>
        <w:t>Master’s</w:t>
      </w:r>
      <w:proofErr w:type="gramEnd"/>
      <w:r>
        <w:rPr>
          <w:rFonts w:ascii="Calibri Light" w:hAnsi="Calibri Light" w:cs="Calibri Light"/>
          <w:color w:val="auto"/>
          <w:sz w:val="20"/>
          <w:szCs w:val="20"/>
        </w:rPr>
        <w:t xml:space="preserve"> student at University of Wales Trinity St David researching Physical Education, Sport, and Physical Literacy</w:t>
      </w:r>
      <w:r w:rsidRPr="009F5ACE">
        <w:rPr>
          <w:rFonts w:ascii="Calibri Light" w:hAnsi="Calibri Light" w:cs="Calibri Light"/>
          <w:color w:val="auto"/>
          <w:sz w:val="20"/>
          <w:szCs w:val="20"/>
        </w:rPr>
        <w:t xml:space="preserve"> as part of his </w:t>
      </w:r>
      <w:r>
        <w:rPr>
          <w:rFonts w:ascii="Calibri Light" w:hAnsi="Calibri Light" w:cs="Calibri Light"/>
          <w:color w:val="auto"/>
          <w:sz w:val="20"/>
          <w:szCs w:val="20"/>
        </w:rPr>
        <w:t xml:space="preserve">dissertation - </w:t>
      </w:r>
      <w:r w:rsidRPr="009F5ACE">
        <w:rPr>
          <w:rFonts w:ascii="Calibri Light" w:hAnsi="Calibri Light" w:cs="Calibri Light"/>
          <w:i/>
          <w:iCs/>
          <w:color w:val="auto"/>
          <w:sz w:val="20"/>
          <w:szCs w:val="20"/>
        </w:rPr>
        <w:t>‘How does the EYFS data compare to a standardised test for Physical Development’</w:t>
      </w:r>
      <w:r>
        <w:rPr>
          <w:rFonts w:ascii="Calibri Light" w:hAnsi="Calibri Light" w:cs="Calibri Light"/>
          <w:color w:val="auto"/>
          <w:sz w:val="20"/>
          <w:szCs w:val="20"/>
        </w:rPr>
        <w:t>.</w:t>
      </w:r>
      <w:r w:rsidRPr="009F5ACE">
        <w:rPr>
          <w:rFonts w:ascii="Calibri Light" w:hAnsi="Calibri Light" w:cs="Calibri Light"/>
          <w:color w:val="auto"/>
          <w:sz w:val="20"/>
          <w:szCs w:val="20"/>
        </w:rPr>
        <w:t xml:space="preserve"> The study, as well as your </w:t>
      </w:r>
      <w:r>
        <w:rPr>
          <w:rFonts w:ascii="Calibri Light" w:hAnsi="Calibri Light" w:cs="Calibri Light"/>
          <w:color w:val="auto"/>
          <w:sz w:val="20"/>
          <w:szCs w:val="20"/>
        </w:rPr>
        <w:t>child’s rights</w:t>
      </w:r>
      <w:r w:rsidRPr="009F5ACE">
        <w:rPr>
          <w:rFonts w:ascii="Calibri Light" w:hAnsi="Calibri Light" w:cs="Calibri Light"/>
          <w:color w:val="auto"/>
          <w:sz w:val="20"/>
          <w:szCs w:val="20"/>
        </w:rPr>
        <w:t xml:space="preserve"> as a participant, are described below.</w:t>
      </w:r>
    </w:p>
    <w:p w14:paraId="51F7BDFC" w14:textId="77777777" w:rsidR="00517E18" w:rsidRDefault="00517E18" w:rsidP="00517E18">
      <w:pPr>
        <w:jc w:val="both"/>
        <w:rPr>
          <w:rFonts w:ascii="Calibri Light" w:hAnsi="Calibri Light" w:cs="Calibri Light"/>
          <w:color w:val="auto"/>
          <w:sz w:val="20"/>
          <w:szCs w:val="20"/>
        </w:rPr>
      </w:pPr>
      <w:r w:rsidRPr="0026475E">
        <w:rPr>
          <w:rFonts w:ascii="Calibri Light" w:hAnsi="Calibri Light" w:cs="Calibri Light"/>
          <w:b/>
          <w:bCs/>
          <w:color w:val="auto"/>
          <w:sz w:val="20"/>
          <w:szCs w:val="20"/>
        </w:rPr>
        <w:t>Description:</w:t>
      </w:r>
      <w:r w:rsidRPr="009F5ACE">
        <w:rPr>
          <w:rFonts w:ascii="Calibri Light" w:hAnsi="Calibri Light" w:cs="Calibri Light"/>
          <w:color w:val="auto"/>
          <w:sz w:val="20"/>
          <w:szCs w:val="20"/>
        </w:rPr>
        <w:t xml:space="preserve"> This study will </w:t>
      </w:r>
      <w:r>
        <w:rPr>
          <w:rFonts w:ascii="Calibri Light" w:hAnsi="Calibri Light" w:cs="Calibri Light"/>
          <w:color w:val="auto"/>
          <w:sz w:val="20"/>
          <w:szCs w:val="20"/>
        </w:rPr>
        <w:t>be using the Movement Assessment Battery for Children (M-ABC) testing protocol, where your child will take part in a series of activities linked to Physical Development. Simple activities like balancing on 1 leg, throwing a bean bag and looking at fine motor skills such as pencil control.</w:t>
      </w:r>
    </w:p>
    <w:p w14:paraId="28403C33" w14:textId="77777777" w:rsidR="00517E18" w:rsidRDefault="00517E18" w:rsidP="00517E18">
      <w:pPr>
        <w:jc w:val="both"/>
        <w:rPr>
          <w:rFonts w:ascii="Calibri Light" w:hAnsi="Calibri Light" w:cs="Calibri Light"/>
          <w:color w:val="auto"/>
          <w:sz w:val="20"/>
          <w:szCs w:val="20"/>
        </w:rPr>
      </w:pPr>
      <w:r>
        <w:rPr>
          <w:rFonts w:ascii="Calibri Light" w:hAnsi="Calibri Light" w:cs="Calibri Light"/>
          <w:color w:val="auto"/>
          <w:sz w:val="20"/>
          <w:szCs w:val="20"/>
        </w:rPr>
        <w:t>The research proposal is looking at comparing results for children in Early Years and those of the standardised test for a Year 1 student using the M-ABC protocol.</w:t>
      </w:r>
    </w:p>
    <w:p w14:paraId="4352273A" w14:textId="77777777" w:rsidR="00517E18" w:rsidRPr="009F5ACE" w:rsidRDefault="00517E18" w:rsidP="00517E18">
      <w:pPr>
        <w:jc w:val="both"/>
        <w:rPr>
          <w:rFonts w:ascii="Calibri Light" w:hAnsi="Calibri Light" w:cs="Calibri Light"/>
          <w:color w:val="auto"/>
          <w:sz w:val="20"/>
          <w:szCs w:val="20"/>
        </w:rPr>
      </w:pPr>
      <w:r>
        <w:rPr>
          <w:rFonts w:ascii="Calibri Light" w:hAnsi="Calibri Light" w:cs="Calibri Light"/>
          <w:color w:val="auto"/>
          <w:sz w:val="20"/>
          <w:szCs w:val="20"/>
        </w:rPr>
        <w:t xml:space="preserve">The study will take place on your child’s PE day within school and will be conducted in a no pressure environment where the children are comfortable and familiar. </w:t>
      </w:r>
      <w:r w:rsidRPr="009F5ACE">
        <w:rPr>
          <w:rFonts w:ascii="Calibri Light" w:hAnsi="Calibri Light" w:cs="Calibri Light"/>
          <w:color w:val="auto"/>
          <w:sz w:val="20"/>
          <w:szCs w:val="20"/>
        </w:rPr>
        <w:t>Your child’s identity will not be revealed to anyone but the principal investigator</w:t>
      </w:r>
      <w:r>
        <w:rPr>
          <w:rFonts w:ascii="Calibri Light" w:hAnsi="Calibri Light" w:cs="Calibri Light"/>
          <w:color w:val="auto"/>
          <w:sz w:val="20"/>
          <w:szCs w:val="20"/>
        </w:rPr>
        <w:t>.</w:t>
      </w:r>
    </w:p>
    <w:p w14:paraId="41B7A679" w14:textId="77777777" w:rsidR="00517E18" w:rsidRPr="009F5ACE" w:rsidRDefault="00517E18" w:rsidP="00517E18">
      <w:pPr>
        <w:jc w:val="both"/>
        <w:rPr>
          <w:rFonts w:ascii="Calibri Light" w:hAnsi="Calibri Light" w:cs="Calibri Light"/>
          <w:color w:val="auto"/>
          <w:sz w:val="20"/>
          <w:szCs w:val="20"/>
        </w:rPr>
      </w:pPr>
      <w:r w:rsidRPr="0026475E">
        <w:rPr>
          <w:rFonts w:ascii="Calibri Light" w:hAnsi="Calibri Light" w:cs="Calibri Light"/>
          <w:b/>
          <w:bCs/>
          <w:color w:val="auto"/>
          <w:sz w:val="20"/>
          <w:szCs w:val="20"/>
        </w:rPr>
        <w:t>Confidentiality:</w:t>
      </w:r>
      <w:r w:rsidRPr="009F5ACE">
        <w:rPr>
          <w:rFonts w:ascii="Calibri Light" w:hAnsi="Calibri Light" w:cs="Calibri Light"/>
          <w:color w:val="auto"/>
          <w:sz w:val="20"/>
          <w:szCs w:val="20"/>
        </w:rPr>
        <w:t xml:space="preserve"> Children’s </w:t>
      </w:r>
      <w:r>
        <w:rPr>
          <w:rFonts w:ascii="Calibri Light" w:hAnsi="Calibri Light" w:cs="Calibri Light"/>
          <w:color w:val="auto"/>
          <w:sz w:val="20"/>
          <w:szCs w:val="20"/>
        </w:rPr>
        <w:t>results will be anonymised</w:t>
      </w:r>
      <w:r w:rsidRPr="009F5ACE">
        <w:rPr>
          <w:rFonts w:ascii="Calibri Light" w:hAnsi="Calibri Light" w:cs="Calibri Light"/>
          <w:color w:val="auto"/>
          <w:sz w:val="20"/>
          <w:szCs w:val="20"/>
        </w:rPr>
        <w:t xml:space="preserve"> </w:t>
      </w:r>
      <w:r>
        <w:rPr>
          <w:rFonts w:ascii="Calibri Light" w:hAnsi="Calibri Light" w:cs="Calibri Light"/>
          <w:color w:val="auto"/>
          <w:sz w:val="20"/>
          <w:szCs w:val="20"/>
        </w:rPr>
        <w:t xml:space="preserve">and </w:t>
      </w:r>
      <w:r w:rsidRPr="009F5ACE">
        <w:rPr>
          <w:rFonts w:ascii="Calibri Light" w:hAnsi="Calibri Light" w:cs="Calibri Light"/>
          <w:color w:val="auto"/>
          <w:sz w:val="20"/>
          <w:szCs w:val="20"/>
        </w:rPr>
        <w:t xml:space="preserve">will not be associated with their name. Rather, each child will be given an identification number on the </w:t>
      </w:r>
      <w:r>
        <w:rPr>
          <w:rFonts w:ascii="Calibri Light" w:hAnsi="Calibri Light" w:cs="Calibri Light"/>
          <w:color w:val="auto"/>
          <w:sz w:val="20"/>
          <w:szCs w:val="20"/>
        </w:rPr>
        <w:t>results sheet</w:t>
      </w:r>
      <w:r w:rsidRPr="009F5ACE">
        <w:rPr>
          <w:rFonts w:ascii="Calibri Light" w:hAnsi="Calibri Light" w:cs="Calibri Light"/>
          <w:color w:val="auto"/>
          <w:sz w:val="20"/>
          <w:szCs w:val="20"/>
        </w:rPr>
        <w:t xml:space="preserve">.   </w:t>
      </w:r>
    </w:p>
    <w:p w14:paraId="3D7A57F5" w14:textId="77777777" w:rsidR="00517E18" w:rsidRPr="009F5ACE" w:rsidRDefault="00517E18" w:rsidP="00517E18">
      <w:pPr>
        <w:jc w:val="both"/>
        <w:rPr>
          <w:rFonts w:ascii="Calibri Light" w:hAnsi="Calibri Light" w:cs="Calibri Light"/>
          <w:color w:val="auto"/>
          <w:sz w:val="20"/>
          <w:szCs w:val="20"/>
        </w:rPr>
      </w:pPr>
      <w:r w:rsidRPr="0026475E">
        <w:rPr>
          <w:rFonts w:ascii="Calibri Light" w:hAnsi="Calibri Light" w:cs="Calibri Light"/>
          <w:b/>
          <w:bCs/>
          <w:color w:val="auto"/>
          <w:sz w:val="20"/>
          <w:szCs w:val="20"/>
        </w:rPr>
        <w:t>Risks &amp; Benefits:</w:t>
      </w:r>
      <w:r w:rsidRPr="009F5ACE">
        <w:rPr>
          <w:rFonts w:ascii="Calibri Light" w:hAnsi="Calibri Light" w:cs="Calibri Light"/>
          <w:color w:val="auto"/>
          <w:sz w:val="20"/>
          <w:szCs w:val="20"/>
        </w:rPr>
        <w:t xml:space="preserve"> There are no risks to your child’s safety</w:t>
      </w:r>
      <w:r>
        <w:rPr>
          <w:rFonts w:ascii="Calibri Light" w:hAnsi="Calibri Light" w:cs="Calibri Light"/>
          <w:color w:val="auto"/>
          <w:sz w:val="20"/>
          <w:szCs w:val="20"/>
        </w:rPr>
        <w:t xml:space="preserve"> and will be conducted by Tom Feighan, who is a Qualified Primary Teacher familiar. The research </w:t>
      </w:r>
      <w:r w:rsidRPr="009F5ACE">
        <w:rPr>
          <w:rFonts w:ascii="Calibri Light" w:hAnsi="Calibri Light" w:cs="Calibri Light"/>
          <w:color w:val="auto"/>
          <w:sz w:val="20"/>
          <w:szCs w:val="20"/>
        </w:rPr>
        <w:t xml:space="preserve">has been </w:t>
      </w:r>
      <w:r>
        <w:rPr>
          <w:rFonts w:ascii="Calibri Light" w:hAnsi="Calibri Light" w:cs="Calibri Light"/>
          <w:color w:val="auto"/>
          <w:sz w:val="20"/>
          <w:szCs w:val="20"/>
        </w:rPr>
        <w:t xml:space="preserve">reviewed </w:t>
      </w:r>
      <w:r w:rsidRPr="009F5ACE">
        <w:rPr>
          <w:rFonts w:ascii="Calibri Light" w:hAnsi="Calibri Light" w:cs="Calibri Light"/>
          <w:color w:val="auto"/>
          <w:sz w:val="20"/>
          <w:szCs w:val="20"/>
        </w:rPr>
        <w:t xml:space="preserve">by the Ethics Review Board </w:t>
      </w:r>
      <w:r>
        <w:rPr>
          <w:rFonts w:ascii="Calibri Light" w:hAnsi="Calibri Light" w:cs="Calibri Light"/>
          <w:color w:val="auto"/>
          <w:sz w:val="20"/>
          <w:szCs w:val="20"/>
        </w:rPr>
        <w:t xml:space="preserve">at the University of Wales Trinity St David </w:t>
      </w:r>
      <w:r w:rsidRPr="009F5ACE">
        <w:rPr>
          <w:rFonts w:ascii="Calibri Light" w:hAnsi="Calibri Light" w:cs="Calibri Light"/>
          <w:color w:val="auto"/>
          <w:sz w:val="20"/>
          <w:szCs w:val="20"/>
        </w:rPr>
        <w:t xml:space="preserve">and approved for use in this research. </w:t>
      </w:r>
    </w:p>
    <w:p w14:paraId="198D3057" w14:textId="77777777" w:rsidR="00517E18" w:rsidRPr="009F5ACE" w:rsidRDefault="00517E18" w:rsidP="00517E18">
      <w:pPr>
        <w:jc w:val="both"/>
        <w:rPr>
          <w:rFonts w:ascii="Calibri Light" w:hAnsi="Calibri Light" w:cs="Calibri Light"/>
          <w:color w:val="auto"/>
          <w:sz w:val="20"/>
          <w:szCs w:val="20"/>
        </w:rPr>
      </w:pPr>
      <w:r w:rsidRPr="0026475E">
        <w:rPr>
          <w:rFonts w:ascii="Calibri Light" w:hAnsi="Calibri Light" w:cs="Calibri Light"/>
          <w:b/>
          <w:bCs/>
          <w:color w:val="auto"/>
          <w:sz w:val="20"/>
          <w:szCs w:val="20"/>
        </w:rPr>
        <w:t>Freedom to Withdraw or Refuse Participation:</w:t>
      </w:r>
      <w:r w:rsidRPr="009F5ACE">
        <w:rPr>
          <w:rFonts w:ascii="Calibri Light" w:hAnsi="Calibri Light" w:cs="Calibri Light"/>
          <w:color w:val="auto"/>
          <w:sz w:val="20"/>
          <w:szCs w:val="20"/>
        </w:rPr>
        <w:t xml:space="preserve"> </w:t>
      </w:r>
      <w:r>
        <w:rPr>
          <w:rFonts w:ascii="Calibri Light" w:hAnsi="Calibri Light" w:cs="Calibri Light"/>
          <w:color w:val="auto"/>
          <w:sz w:val="20"/>
          <w:szCs w:val="20"/>
        </w:rPr>
        <w:t>C</w:t>
      </w:r>
      <w:r w:rsidRPr="009F5ACE">
        <w:rPr>
          <w:rFonts w:ascii="Calibri Light" w:hAnsi="Calibri Light" w:cs="Calibri Light"/>
          <w:color w:val="auto"/>
          <w:sz w:val="20"/>
          <w:szCs w:val="20"/>
        </w:rPr>
        <w:t>hild</w:t>
      </w:r>
      <w:r>
        <w:rPr>
          <w:rFonts w:ascii="Calibri Light" w:hAnsi="Calibri Light" w:cs="Calibri Light"/>
          <w:color w:val="auto"/>
          <w:sz w:val="20"/>
          <w:szCs w:val="20"/>
        </w:rPr>
        <w:t>ren</w:t>
      </w:r>
      <w:r w:rsidRPr="009F5ACE">
        <w:rPr>
          <w:rFonts w:ascii="Calibri Light" w:hAnsi="Calibri Light" w:cs="Calibri Light"/>
          <w:color w:val="auto"/>
          <w:sz w:val="20"/>
          <w:szCs w:val="20"/>
        </w:rPr>
        <w:t xml:space="preserve"> ha</w:t>
      </w:r>
      <w:r>
        <w:rPr>
          <w:rFonts w:ascii="Calibri Light" w:hAnsi="Calibri Light" w:cs="Calibri Light"/>
          <w:color w:val="auto"/>
          <w:sz w:val="20"/>
          <w:szCs w:val="20"/>
        </w:rPr>
        <w:t>ve</w:t>
      </w:r>
      <w:r w:rsidRPr="009F5ACE">
        <w:rPr>
          <w:rFonts w:ascii="Calibri Light" w:hAnsi="Calibri Light" w:cs="Calibri Light"/>
          <w:color w:val="auto"/>
          <w:sz w:val="20"/>
          <w:szCs w:val="20"/>
        </w:rPr>
        <w:t xml:space="preserve"> the right to stop at any time without prejudice from the investigator.</w:t>
      </w:r>
    </w:p>
    <w:p w14:paraId="58844761" w14:textId="77777777" w:rsidR="00517E18" w:rsidRPr="009F5ACE" w:rsidRDefault="00517E18" w:rsidP="00517E18">
      <w:pPr>
        <w:jc w:val="both"/>
        <w:rPr>
          <w:rFonts w:ascii="Calibri Light" w:hAnsi="Calibri Light" w:cs="Calibri Light"/>
          <w:color w:val="auto"/>
          <w:sz w:val="20"/>
          <w:szCs w:val="20"/>
        </w:rPr>
      </w:pPr>
      <w:r w:rsidRPr="0026475E">
        <w:rPr>
          <w:rFonts w:ascii="Calibri Light" w:hAnsi="Calibri Light" w:cs="Calibri Light"/>
          <w:b/>
          <w:bCs/>
          <w:color w:val="auto"/>
          <w:sz w:val="20"/>
          <w:szCs w:val="20"/>
        </w:rPr>
        <w:t>Questions:</w:t>
      </w:r>
      <w:r>
        <w:rPr>
          <w:rFonts w:ascii="Calibri Light" w:hAnsi="Calibri Light" w:cs="Calibri Light"/>
          <w:color w:val="auto"/>
          <w:sz w:val="20"/>
          <w:szCs w:val="20"/>
        </w:rPr>
        <w:t xml:space="preserve"> </w:t>
      </w:r>
      <w:r w:rsidRPr="009F5ACE">
        <w:rPr>
          <w:rFonts w:ascii="Calibri Light" w:hAnsi="Calibri Light" w:cs="Calibri Light"/>
          <w:color w:val="auto"/>
          <w:sz w:val="20"/>
          <w:szCs w:val="20"/>
        </w:rPr>
        <w:t>Please feel free to ask the investigator any questions before signing the consent form or at any time during or after the study</w:t>
      </w:r>
      <w:r>
        <w:rPr>
          <w:rFonts w:ascii="Calibri Light" w:hAnsi="Calibri Light" w:cs="Calibri Light"/>
          <w:color w:val="auto"/>
          <w:sz w:val="20"/>
          <w:szCs w:val="20"/>
        </w:rPr>
        <w:t xml:space="preserve"> on </w:t>
      </w:r>
      <w:hyperlink r:id="rId18" w:history="1">
        <w:r w:rsidRPr="005F11B6">
          <w:rPr>
            <w:rStyle w:val="Hyperlink"/>
            <w:rFonts w:ascii="Calibri Light" w:hAnsi="Calibri Light" w:cs="Calibri Light"/>
            <w:sz w:val="20"/>
            <w:szCs w:val="20"/>
          </w:rPr>
          <w:t>2111499@student.uwtsd.ac.uk</w:t>
        </w:r>
      </w:hyperlink>
      <w:r>
        <w:rPr>
          <w:rFonts w:ascii="Calibri Light" w:hAnsi="Calibri Light" w:cs="Calibri Light"/>
          <w:color w:val="auto"/>
          <w:sz w:val="20"/>
          <w:szCs w:val="20"/>
        </w:rPr>
        <w:t xml:space="preserve">. </w:t>
      </w:r>
      <w:r w:rsidRPr="009F5ACE">
        <w:rPr>
          <w:rFonts w:ascii="Calibri Light" w:hAnsi="Calibri Light" w:cs="Calibri Light"/>
          <w:color w:val="auto"/>
          <w:sz w:val="20"/>
          <w:szCs w:val="20"/>
        </w:rPr>
        <w:t xml:space="preserve">  </w:t>
      </w:r>
    </w:p>
    <w:p w14:paraId="65B342E8" w14:textId="77777777" w:rsidR="00517E18" w:rsidRPr="00286CD6" w:rsidRDefault="00517E18" w:rsidP="00517E18">
      <w:pPr>
        <w:rPr>
          <w:rFonts w:ascii="Calibri Light" w:hAnsi="Calibri Light" w:cs="Calibri Light"/>
          <w:b/>
          <w:bCs/>
          <w:color w:val="auto"/>
          <w:sz w:val="20"/>
          <w:szCs w:val="20"/>
        </w:rPr>
      </w:pPr>
      <w:r w:rsidRPr="00286CD6">
        <w:rPr>
          <w:rFonts w:ascii="Calibri Light" w:hAnsi="Calibri Light" w:cs="Calibri Light"/>
          <w:b/>
          <w:bCs/>
          <w:color w:val="auto"/>
          <w:sz w:val="20"/>
          <w:szCs w:val="20"/>
        </w:rPr>
        <w:t>Informed Consent Statement</w:t>
      </w:r>
    </w:p>
    <w:p w14:paraId="291AA2FD" w14:textId="77777777" w:rsidR="00517E18" w:rsidRPr="009F5ACE" w:rsidRDefault="00517E18" w:rsidP="00517E18">
      <w:pPr>
        <w:rPr>
          <w:rFonts w:ascii="Calibri Light" w:hAnsi="Calibri Light" w:cs="Calibri Light"/>
          <w:color w:val="auto"/>
          <w:sz w:val="20"/>
          <w:szCs w:val="20"/>
        </w:rPr>
      </w:pPr>
      <w:r w:rsidRPr="009F5ACE">
        <w:rPr>
          <w:rFonts w:ascii="Calibri Light" w:hAnsi="Calibri Light" w:cs="Calibri Light"/>
          <w:color w:val="auto"/>
          <w:sz w:val="20"/>
          <w:szCs w:val="20"/>
        </w:rPr>
        <w:t>I give permission for my child, ______</w:t>
      </w:r>
      <w:r>
        <w:rPr>
          <w:rFonts w:ascii="Calibri Light" w:hAnsi="Calibri Light" w:cs="Calibri Light"/>
          <w:color w:val="auto"/>
          <w:sz w:val="20"/>
          <w:szCs w:val="20"/>
        </w:rPr>
        <w:t>_________________</w:t>
      </w:r>
      <w:r w:rsidRPr="009F5ACE">
        <w:rPr>
          <w:rFonts w:ascii="Calibri Light" w:hAnsi="Calibri Light" w:cs="Calibri Light"/>
          <w:color w:val="auto"/>
          <w:sz w:val="20"/>
          <w:szCs w:val="20"/>
        </w:rPr>
        <w:t>_______</w:t>
      </w:r>
      <w:r>
        <w:rPr>
          <w:rFonts w:ascii="Calibri Light" w:hAnsi="Calibri Light" w:cs="Calibri Light"/>
          <w:color w:val="auto"/>
          <w:sz w:val="20"/>
          <w:szCs w:val="20"/>
        </w:rPr>
        <w:t>_______</w:t>
      </w:r>
      <w:r w:rsidRPr="009F5ACE">
        <w:rPr>
          <w:rFonts w:ascii="Calibri Light" w:hAnsi="Calibri Light" w:cs="Calibri Light"/>
          <w:color w:val="auto"/>
          <w:sz w:val="20"/>
          <w:szCs w:val="20"/>
        </w:rPr>
        <w:t xml:space="preserve">__ to participate in the research project entitled, </w:t>
      </w:r>
      <w:r>
        <w:rPr>
          <w:rFonts w:ascii="Calibri Light" w:hAnsi="Calibri Light" w:cs="Calibri Light"/>
          <w:color w:val="auto"/>
          <w:sz w:val="20"/>
          <w:szCs w:val="20"/>
        </w:rPr>
        <w:t>“</w:t>
      </w:r>
      <w:r w:rsidRPr="009F5ACE">
        <w:rPr>
          <w:rFonts w:ascii="Calibri Light" w:hAnsi="Calibri Light" w:cs="Calibri Light"/>
          <w:i/>
          <w:iCs/>
          <w:color w:val="auto"/>
          <w:sz w:val="20"/>
          <w:szCs w:val="20"/>
        </w:rPr>
        <w:t>How does the EYFS data compare to a standardised test for Physical Development</w:t>
      </w:r>
      <w:r>
        <w:rPr>
          <w:rFonts w:ascii="Calibri Light" w:hAnsi="Calibri Light" w:cs="Calibri Light"/>
          <w:i/>
          <w:iCs/>
          <w:color w:val="auto"/>
          <w:sz w:val="20"/>
          <w:szCs w:val="20"/>
        </w:rPr>
        <w:t xml:space="preserve">”. </w:t>
      </w:r>
      <w:r w:rsidRPr="009F5ACE">
        <w:rPr>
          <w:rFonts w:ascii="Calibri Light" w:hAnsi="Calibri Light" w:cs="Calibri Light"/>
          <w:color w:val="auto"/>
          <w:sz w:val="20"/>
          <w:szCs w:val="20"/>
        </w:rPr>
        <w:t xml:space="preserve">The study has been explained to me and my questions answered to my satisfaction. I understand that my child’s right to withdraw from participating or refuse to participate will be respected and that his/her responses and identity will be kept confidential.  I give this consent voluntarily.  </w:t>
      </w:r>
    </w:p>
    <w:tbl>
      <w:tblPr>
        <w:tblStyle w:val="TableGrid"/>
        <w:tblW w:w="1076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63"/>
        <w:gridCol w:w="8505"/>
      </w:tblGrid>
      <w:tr w:rsidR="00517E18" w:rsidRPr="00286CD6" w14:paraId="1E50D9C2" w14:textId="77777777" w:rsidTr="00404105">
        <w:trPr>
          <w:trHeight w:val="454"/>
        </w:trPr>
        <w:tc>
          <w:tcPr>
            <w:tcW w:w="2263" w:type="dxa"/>
            <w:vAlign w:val="center"/>
          </w:tcPr>
          <w:p w14:paraId="7DEB7C2E" w14:textId="77777777" w:rsidR="00517E18" w:rsidRPr="00286CD6" w:rsidRDefault="00517E18" w:rsidP="00404105">
            <w:pPr>
              <w:spacing w:after="0" w:line="240" w:lineRule="auto"/>
              <w:rPr>
                <w:rFonts w:ascii="Calibri Light" w:hAnsi="Calibri Light" w:cs="Calibri Light"/>
                <w:color w:val="auto"/>
                <w:sz w:val="20"/>
                <w:szCs w:val="20"/>
              </w:rPr>
            </w:pPr>
            <w:r w:rsidRPr="00286CD6">
              <w:rPr>
                <w:rFonts w:ascii="Calibri Light" w:hAnsi="Calibri Light" w:cs="Calibri Light"/>
                <w:color w:val="auto"/>
                <w:sz w:val="20"/>
                <w:szCs w:val="20"/>
              </w:rPr>
              <w:t xml:space="preserve">Parent/Guardian Name: </w:t>
            </w:r>
          </w:p>
        </w:tc>
        <w:tc>
          <w:tcPr>
            <w:tcW w:w="8505" w:type="dxa"/>
            <w:vAlign w:val="center"/>
          </w:tcPr>
          <w:p w14:paraId="4E07DA5C" w14:textId="77777777" w:rsidR="00517E18" w:rsidRPr="00286CD6" w:rsidRDefault="00517E18" w:rsidP="00404105">
            <w:pPr>
              <w:spacing w:after="0" w:line="240" w:lineRule="auto"/>
              <w:rPr>
                <w:rFonts w:ascii="Calibri Light" w:hAnsi="Calibri Light" w:cs="Calibri Light"/>
                <w:color w:val="auto"/>
                <w:sz w:val="20"/>
                <w:szCs w:val="20"/>
              </w:rPr>
            </w:pPr>
            <w:r>
              <w:rPr>
                <w:rFonts w:ascii="Calibri Light" w:hAnsi="Calibri Light" w:cs="Calibri Light"/>
                <w:color w:val="auto"/>
                <w:sz w:val="20"/>
                <w:szCs w:val="20"/>
              </w:rPr>
              <w:t>__________________________________________________________________________________</w:t>
            </w:r>
          </w:p>
        </w:tc>
      </w:tr>
      <w:tr w:rsidR="00517E18" w:rsidRPr="00286CD6" w14:paraId="44798A13" w14:textId="77777777" w:rsidTr="00404105">
        <w:trPr>
          <w:trHeight w:val="454"/>
        </w:trPr>
        <w:tc>
          <w:tcPr>
            <w:tcW w:w="2263" w:type="dxa"/>
            <w:vAlign w:val="center"/>
          </w:tcPr>
          <w:p w14:paraId="1EBEB541" w14:textId="77777777" w:rsidR="00517E18" w:rsidRPr="00286CD6" w:rsidRDefault="00517E18" w:rsidP="00404105">
            <w:pPr>
              <w:spacing w:after="0" w:line="240" w:lineRule="auto"/>
              <w:rPr>
                <w:rFonts w:ascii="Calibri Light" w:hAnsi="Calibri Light" w:cs="Calibri Light"/>
                <w:color w:val="auto"/>
                <w:sz w:val="20"/>
                <w:szCs w:val="20"/>
              </w:rPr>
            </w:pPr>
            <w:r w:rsidRPr="00286CD6">
              <w:rPr>
                <w:rFonts w:ascii="Calibri Light" w:hAnsi="Calibri Light" w:cs="Calibri Light"/>
                <w:color w:val="auto"/>
                <w:sz w:val="20"/>
                <w:szCs w:val="20"/>
              </w:rPr>
              <w:t xml:space="preserve">Signature:      </w:t>
            </w:r>
          </w:p>
        </w:tc>
        <w:tc>
          <w:tcPr>
            <w:tcW w:w="8505" w:type="dxa"/>
            <w:vAlign w:val="center"/>
          </w:tcPr>
          <w:p w14:paraId="153C46EC" w14:textId="77777777" w:rsidR="00517E18" w:rsidRPr="00286CD6" w:rsidRDefault="00517E18" w:rsidP="00404105">
            <w:pPr>
              <w:spacing w:after="0" w:line="240" w:lineRule="auto"/>
              <w:rPr>
                <w:rFonts w:ascii="Calibri Light" w:hAnsi="Calibri Light" w:cs="Calibri Light"/>
                <w:color w:val="auto"/>
                <w:sz w:val="20"/>
                <w:szCs w:val="20"/>
              </w:rPr>
            </w:pPr>
            <w:r>
              <w:rPr>
                <w:rFonts w:ascii="Calibri Light" w:hAnsi="Calibri Light" w:cs="Calibri Light"/>
                <w:color w:val="auto"/>
                <w:sz w:val="20"/>
                <w:szCs w:val="20"/>
              </w:rPr>
              <w:t>__________________________________________________________________________________</w:t>
            </w:r>
          </w:p>
        </w:tc>
      </w:tr>
      <w:tr w:rsidR="00517E18" w:rsidRPr="00286CD6" w14:paraId="57AA550E" w14:textId="77777777" w:rsidTr="00404105">
        <w:trPr>
          <w:trHeight w:val="170"/>
        </w:trPr>
        <w:tc>
          <w:tcPr>
            <w:tcW w:w="2263" w:type="dxa"/>
            <w:vAlign w:val="center"/>
          </w:tcPr>
          <w:p w14:paraId="05B2D98A" w14:textId="77777777" w:rsidR="00517E18" w:rsidRPr="00286CD6" w:rsidRDefault="00517E18" w:rsidP="00404105">
            <w:pPr>
              <w:spacing w:after="0" w:line="240" w:lineRule="auto"/>
              <w:rPr>
                <w:rFonts w:ascii="Calibri Light" w:hAnsi="Calibri Light" w:cs="Calibri Light"/>
                <w:color w:val="auto"/>
                <w:sz w:val="20"/>
                <w:szCs w:val="20"/>
              </w:rPr>
            </w:pPr>
          </w:p>
        </w:tc>
        <w:tc>
          <w:tcPr>
            <w:tcW w:w="8505" w:type="dxa"/>
            <w:vAlign w:val="center"/>
          </w:tcPr>
          <w:p w14:paraId="3950466B" w14:textId="77777777" w:rsidR="00517E18" w:rsidRDefault="00517E18" w:rsidP="00404105">
            <w:pPr>
              <w:spacing w:after="0" w:line="240" w:lineRule="auto"/>
              <w:rPr>
                <w:rFonts w:ascii="Calibri Light" w:hAnsi="Calibri Light" w:cs="Calibri Light"/>
                <w:color w:val="auto"/>
                <w:sz w:val="20"/>
                <w:szCs w:val="20"/>
              </w:rPr>
            </w:pPr>
          </w:p>
        </w:tc>
      </w:tr>
      <w:tr w:rsidR="00517E18" w:rsidRPr="00286CD6" w14:paraId="68DB2AEA" w14:textId="77777777" w:rsidTr="00404105">
        <w:trPr>
          <w:trHeight w:val="454"/>
        </w:trPr>
        <w:tc>
          <w:tcPr>
            <w:tcW w:w="2263" w:type="dxa"/>
            <w:vAlign w:val="center"/>
          </w:tcPr>
          <w:p w14:paraId="3C8DE04A" w14:textId="77777777" w:rsidR="00517E18" w:rsidRPr="00286CD6" w:rsidRDefault="00517E18" w:rsidP="00404105">
            <w:pPr>
              <w:spacing w:after="0" w:line="240" w:lineRule="auto"/>
              <w:rPr>
                <w:rFonts w:ascii="Calibri Light" w:hAnsi="Calibri Light" w:cs="Calibri Light"/>
                <w:color w:val="auto"/>
                <w:sz w:val="20"/>
                <w:szCs w:val="20"/>
              </w:rPr>
            </w:pPr>
            <w:r w:rsidRPr="009F5ACE">
              <w:rPr>
                <w:rFonts w:ascii="Calibri Light" w:hAnsi="Calibri Light" w:cs="Calibri Light"/>
                <w:color w:val="auto"/>
                <w:sz w:val="20"/>
                <w:szCs w:val="20"/>
              </w:rPr>
              <w:t xml:space="preserve">Investigator Signature:  </w:t>
            </w:r>
          </w:p>
        </w:tc>
        <w:tc>
          <w:tcPr>
            <w:tcW w:w="8505" w:type="dxa"/>
            <w:vAlign w:val="center"/>
          </w:tcPr>
          <w:p w14:paraId="29E2476F" w14:textId="77777777" w:rsidR="00517E18" w:rsidRDefault="00517E18" w:rsidP="00404105">
            <w:pPr>
              <w:spacing w:after="0" w:line="240" w:lineRule="auto"/>
              <w:rPr>
                <w:rFonts w:ascii="Calibri Light" w:hAnsi="Calibri Light" w:cs="Calibri Light"/>
                <w:color w:val="auto"/>
                <w:sz w:val="20"/>
                <w:szCs w:val="20"/>
              </w:rPr>
            </w:pPr>
            <w:r>
              <w:rPr>
                <w:rFonts w:ascii="Calibri Light" w:hAnsi="Calibri Light" w:cs="Calibri Light"/>
                <w:color w:val="auto"/>
                <w:sz w:val="20"/>
                <w:szCs w:val="20"/>
              </w:rPr>
              <w:t>__________________________________________________________________________________</w:t>
            </w:r>
          </w:p>
        </w:tc>
      </w:tr>
      <w:tr w:rsidR="00517E18" w:rsidRPr="00286CD6" w14:paraId="764A52F9" w14:textId="77777777" w:rsidTr="00404105">
        <w:trPr>
          <w:trHeight w:val="454"/>
        </w:trPr>
        <w:tc>
          <w:tcPr>
            <w:tcW w:w="2263" w:type="dxa"/>
            <w:vAlign w:val="center"/>
          </w:tcPr>
          <w:p w14:paraId="3B0A38B0" w14:textId="77777777" w:rsidR="00517E18" w:rsidRPr="00286CD6" w:rsidRDefault="00517E18" w:rsidP="00404105">
            <w:pPr>
              <w:spacing w:after="0" w:line="240" w:lineRule="auto"/>
              <w:rPr>
                <w:rFonts w:ascii="Calibri Light" w:hAnsi="Calibri Light" w:cs="Calibri Light"/>
                <w:color w:val="auto"/>
                <w:sz w:val="20"/>
                <w:szCs w:val="20"/>
              </w:rPr>
            </w:pPr>
            <w:r w:rsidRPr="009F5ACE">
              <w:rPr>
                <w:rFonts w:ascii="Calibri Light" w:hAnsi="Calibri Light" w:cs="Calibri Light"/>
                <w:color w:val="auto"/>
                <w:sz w:val="20"/>
                <w:szCs w:val="20"/>
              </w:rPr>
              <w:t>Date</w:t>
            </w:r>
          </w:p>
        </w:tc>
        <w:tc>
          <w:tcPr>
            <w:tcW w:w="8505" w:type="dxa"/>
            <w:vAlign w:val="center"/>
          </w:tcPr>
          <w:p w14:paraId="122D7E13" w14:textId="77777777" w:rsidR="00517E18" w:rsidRDefault="00517E18" w:rsidP="00404105">
            <w:pPr>
              <w:spacing w:after="0" w:line="240" w:lineRule="auto"/>
              <w:rPr>
                <w:rFonts w:ascii="Calibri Light" w:hAnsi="Calibri Light" w:cs="Calibri Light"/>
                <w:color w:val="auto"/>
                <w:sz w:val="20"/>
                <w:szCs w:val="20"/>
              </w:rPr>
            </w:pPr>
            <w:r>
              <w:rPr>
                <w:rFonts w:ascii="Calibri Light" w:hAnsi="Calibri Light" w:cs="Calibri Light"/>
                <w:color w:val="auto"/>
                <w:sz w:val="20"/>
                <w:szCs w:val="20"/>
              </w:rPr>
              <w:t>__________________________________________________________________________________</w:t>
            </w:r>
          </w:p>
        </w:tc>
      </w:tr>
    </w:tbl>
    <w:p w14:paraId="1C5E23E1" w14:textId="77777777" w:rsidR="00517E18" w:rsidRDefault="00517E18" w:rsidP="00517E18">
      <w:pPr>
        <w:rPr>
          <w:rFonts w:ascii="Calibri Light" w:hAnsi="Calibri Light" w:cs="Calibri Light"/>
          <w:color w:val="auto"/>
          <w:sz w:val="20"/>
          <w:szCs w:val="20"/>
        </w:rPr>
      </w:pPr>
    </w:p>
    <w:p w14:paraId="6293274F" w14:textId="77777777" w:rsidR="00517E18" w:rsidRDefault="00517E18" w:rsidP="00517E18">
      <w:pPr>
        <w:rPr>
          <w:rFonts w:ascii="Calibri Light" w:hAnsi="Calibri Light" w:cs="Calibri Light"/>
          <w:color w:val="auto"/>
          <w:sz w:val="20"/>
          <w:szCs w:val="20"/>
        </w:rPr>
      </w:pPr>
      <w:r>
        <w:rPr>
          <w:rFonts w:ascii="Calibri Light" w:hAnsi="Calibri Light" w:cs="Calibri Light"/>
          <w:color w:val="auto"/>
          <w:sz w:val="20"/>
          <w:szCs w:val="20"/>
        </w:rPr>
        <w:t>Thank You</w:t>
      </w:r>
    </w:p>
    <w:p w14:paraId="4257E0DC" w14:textId="77777777" w:rsidR="00517E18" w:rsidRDefault="00517E18" w:rsidP="00517E18">
      <w:pPr>
        <w:rPr>
          <w:rFonts w:ascii="Calibri Light" w:hAnsi="Calibri Light" w:cs="Calibri Light"/>
          <w:color w:val="auto"/>
          <w:sz w:val="20"/>
          <w:szCs w:val="20"/>
        </w:rPr>
      </w:pPr>
    </w:p>
    <w:p w14:paraId="405A259F" w14:textId="77777777" w:rsidR="00517E18" w:rsidRPr="009F5ACE" w:rsidRDefault="00517E18" w:rsidP="00517E18">
      <w:pPr>
        <w:rPr>
          <w:rFonts w:ascii="Calibri Light" w:hAnsi="Calibri Light" w:cs="Calibri Light"/>
          <w:color w:val="auto"/>
          <w:sz w:val="20"/>
          <w:szCs w:val="20"/>
        </w:rPr>
      </w:pPr>
      <w:r>
        <w:rPr>
          <w:rFonts w:ascii="Calibri Light" w:hAnsi="Calibri Light" w:cs="Calibri Light"/>
          <w:color w:val="auto"/>
          <w:sz w:val="20"/>
          <w:szCs w:val="20"/>
        </w:rPr>
        <w:t>Tom Feighan</w:t>
      </w:r>
    </w:p>
    <w:p w14:paraId="7297BD0B" w14:textId="77777777" w:rsidR="00517E18" w:rsidRPr="002A7944" w:rsidRDefault="00517E18">
      <w:pPr>
        <w:rPr>
          <w:rFonts w:ascii="Calibri" w:hAnsi="Calibri" w:cs="Calibri"/>
          <w:color w:val="auto"/>
          <w:sz w:val="44"/>
          <w:szCs w:val="44"/>
        </w:rPr>
      </w:pPr>
    </w:p>
    <w:sectPr w:rsidR="00517E18" w:rsidRPr="002A7944" w:rsidSect="00B957C3">
      <w:footerReference w:type="default" r:id="rId19"/>
      <w:pgSz w:w="11906" w:h="16838"/>
      <w:pgMar w:top="567" w:right="567" w:bottom="567" w:left="56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A7AB06" w14:textId="77777777" w:rsidR="00457ECE" w:rsidRDefault="00457ECE" w:rsidP="002A7944">
      <w:pPr>
        <w:spacing w:after="0" w:line="240" w:lineRule="auto"/>
      </w:pPr>
      <w:r>
        <w:separator/>
      </w:r>
    </w:p>
  </w:endnote>
  <w:endnote w:type="continuationSeparator" w:id="0">
    <w:p w14:paraId="173FB6B1" w14:textId="77777777" w:rsidR="00457ECE" w:rsidRDefault="00457ECE" w:rsidP="002A79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1341281"/>
      <w:docPartObj>
        <w:docPartGallery w:val="Page Numbers (Bottom of Page)"/>
        <w:docPartUnique/>
      </w:docPartObj>
    </w:sdtPr>
    <w:sdtEndPr>
      <w:rPr>
        <w:rFonts w:ascii="Calibri" w:hAnsi="Calibri" w:cs="Calibri"/>
        <w:noProof/>
        <w:color w:val="808080" w:themeColor="background1" w:themeShade="80"/>
        <w:sz w:val="22"/>
        <w:szCs w:val="22"/>
      </w:rPr>
    </w:sdtEndPr>
    <w:sdtContent>
      <w:p w14:paraId="42AC1F96" w14:textId="77777777" w:rsidR="002A7944" w:rsidRPr="002A7944" w:rsidRDefault="002A7944" w:rsidP="002A7944">
        <w:pPr>
          <w:pStyle w:val="Footer"/>
          <w:jc w:val="center"/>
          <w:rPr>
            <w:rFonts w:ascii="Calibri" w:hAnsi="Calibri" w:cs="Calibri"/>
            <w:color w:val="808080" w:themeColor="background1" w:themeShade="80"/>
            <w:sz w:val="22"/>
            <w:szCs w:val="22"/>
          </w:rPr>
        </w:pPr>
        <w:r w:rsidRPr="002A7944">
          <w:rPr>
            <w:rFonts w:ascii="Calibri" w:hAnsi="Calibri" w:cs="Calibri"/>
            <w:color w:val="808080" w:themeColor="background1" w:themeShade="80"/>
            <w:sz w:val="22"/>
            <w:szCs w:val="22"/>
          </w:rPr>
          <w:fldChar w:fldCharType="begin"/>
        </w:r>
        <w:r w:rsidRPr="002A7944">
          <w:rPr>
            <w:rFonts w:ascii="Calibri" w:hAnsi="Calibri" w:cs="Calibri"/>
            <w:color w:val="808080" w:themeColor="background1" w:themeShade="80"/>
            <w:sz w:val="22"/>
            <w:szCs w:val="22"/>
          </w:rPr>
          <w:instrText xml:space="preserve"> PAGE   \* MERGEFORMAT </w:instrText>
        </w:r>
        <w:r w:rsidRPr="002A7944">
          <w:rPr>
            <w:rFonts w:ascii="Calibri" w:hAnsi="Calibri" w:cs="Calibri"/>
            <w:color w:val="808080" w:themeColor="background1" w:themeShade="80"/>
            <w:sz w:val="22"/>
            <w:szCs w:val="22"/>
          </w:rPr>
          <w:fldChar w:fldCharType="separate"/>
        </w:r>
        <w:r w:rsidRPr="002A7944">
          <w:rPr>
            <w:rFonts w:ascii="Calibri" w:hAnsi="Calibri" w:cs="Calibri"/>
            <w:noProof/>
            <w:color w:val="808080" w:themeColor="background1" w:themeShade="80"/>
            <w:sz w:val="22"/>
            <w:szCs w:val="22"/>
          </w:rPr>
          <w:t>2</w:t>
        </w:r>
        <w:r w:rsidRPr="002A7944">
          <w:rPr>
            <w:rFonts w:ascii="Calibri" w:hAnsi="Calibri" w:cs="Calibri"/>
            <w:noProof/>
            <w:color w:val="808080" w:themeColor="background1" w:themeShade="80"/>
            <w:sz w:val="22"/>
            <w:szCs w:val="22"/>
          </w:rPr>
          <w:fldChar w:fldCharType="end"/>
        </w:r>
      </w:p>
    </w:sdtContent>
  </w:sdt>
  <w:p w14:paraId="6044A1AB" w14:textId="77777777" w:rsidR="002A7944" w:rsidRDefault="002A794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A339BE" w14:textId="4C8B777D" w:rsidR="002A7944" w:rsidRPr="002A7944" w:rsidRDefault="002A7944" w:rsidP="002A7944">
    <w:pPr>
      <w:pStyle w:val="Footer"/>
      <w:jc w:val="center"/>
      <w:rPr>
        <w:rFonts w:ascii="Calibri" w:hAnsi="Calibri" w:cs="Calibri"/>
        <w:color w:val="808080" w:themeColor="background1" w:themeShade="80"/>
        <w:sz w:val="22"/>
        <w:szCs w:val="22"/>
      </w:rPr>
    </w:pPr>
  </w:p>
  <w:p w14:paraId="70EB0C81" w14:textId="77777777" w:rsidR="002A7944" w:rsidRDefault="002A79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8AE4A5" w14:textId="77777777" w:rsidR="00457ECE" w:rsidRDefault="00457ECE" w:rsidP="002A7944">
      <w:pPr>
        <w:spacing w:after="0" w:line="240" w:lineRule="auto"/>
      </w:pPr>
      <w:r>
        <w:separator/>
      </w:r>
    </w:p>
  </w:footnote>
  <w:footnote w:type="continuationSeparator" w:id="0">
    <w:p w14:paraId="75F098C3" w14:textId="77777777" w:rsidR="00457ECE" w:rsidRDefault="00457ECE" w:rsidP="002A79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6B33D1"/>
    <w:multiLevelType w:val="multilevel"/>
    <w:tmpl w:val="6EBCC2F4"/>
    <w:lvl w:ilvl="0">
      <w:start w:val="1"/>
      <w:numFmt w:val="decimal"/>
      <w:lvlText w:val="%1."/>
      <w:lvlJc w:val="left"/>
      <w:pPr>
        <w:ind w:left="720" w:hanging="360"/>
      </w:pPr>
    </w:lvl>
    <w:lvl w:ilvl="1">
      <w:start w:val="6"/>
      <w:numFmt w:val="decimal"/>
      <w:isLgl/>
      <w:lvlText w:val="%1.%2"/>
      <w:lvlJc w:val="left"/>
      <w:pPr>
        <w:ind w:left="765" w:hanging="405"/>
      </w:pPr>
    </w:lvl>
    <w:lvl w:ilvl="2">
      <w:start w:val="1"/>
      <w:numFmt w:val="decimal"/>
      <w:isLgl/>
      <w:lvlText w:val="%1.%2.%3"/>
      <w:lvlJc w:val="left"/>
      <w:pPr>
        <w:ind w:left="1080" w:hanging="720"/>
      </w:pPr>
    </w:lvl>
    <w:lvl w:ilvl="3">
      <w:start w:val="1"/>
      <w:numFmt w:val="decimal"/>
      <w:isLgl/>
      <w:lvlText w:val="%1.%2.%3.%4"/>
      <w:lvlJc w:val="left"/>
      <w:pPr>
        <w:ind w:left="1440" w:hanging="1080"/>
      </w:pPr>
    </w:lvl>
    <w:lvl w:ilvl="4">
      <w:start w:val="1"/>
      <w:numFmt w:val="decimal"/>
      <w:isLgl/>
      <w:lvlText w:val="%1.%2.%3.%4.%5"/>
      <w:lvlJc w:val="left"/>
      <w:pPr>
        <w:ind w:left="1440" w:hanging="1080"/>
      </w:pPr>
    </w:lvl>
    <w:lvl w:ilvl="5">
      <w:start w:val="1"/>
      <w:numFmt w:val="decimal"/>
      <w:isLgl/>
      <w:lvlText w:val="%1.%2.%3.%4.%5.%6"/>
      <w:lvlJc w:val="left"/>
      <w:pPr>
        <w:ind w:left="1800" w:hanging="1440"/>
      </w:pPr>
    </w:lvl>
    <w:lvl w:ilvl="6">
      <w:start w:val="1"/>
      <w:numFmt w:val="decimal"/>
      <w:isLgl/>
      <w:lvlText w:val="%1.%2.%3.%4.%5.%6.%7"/>
      <w:lvlJc w:val="left"/>
      <w:pPr>
        <w:ind w:left="1800" w:hanging="1440"/>
      </w:pPr>
    </w:lvl>
    <w:lvl w:ilvl="7">
      <w:start w:val="1"/>
      <w:numFmt w:val="decimal"/>
      <w:isLgl/>
      <w:lvlText w:val="%1.%2.%3.%4.%5.%6.%7.%8"/>
      <w:lvlJc w:val="left"/>
      <w:pPr>
        <w:ind w:left="2160" w:hanging="1800"/>
      </w:pPr>
    </w:lvl>
    <w:lvl w:ilvl="8">
      <w:start w:val="1"/>
      <w:numFmt w:val="decimal"/>
      <w:isLgl/>
      <w:lvlText w:val="%1.%2.%3.%4.%5.%6.%7.%8.%9"/>
      <w:lvlJc w:val="left"/>
      <w:pPr>
        <w:ind w:left="2160" w:hanging="1800"/>
      </w:pPr>
    </w:lvl>
  </w:abstractNum>
  <w:abstractNum w:abstractNumId="1" w15:restartNumberingAfterBreak="0">
    <w:nsid w:val="0CF001FB"/>
    <w:multiLevelType w:val="multilevel"/>
    <w:tmpl w:val="53D2F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1F7C04"/>
    <w:multiLevelType w:val="multilevel"/>
    <w:tmpl w:val="0A4ED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4B2125"/>
    <w:multiLevelType w:val="multilevel"/>
    <w:tmpl w:val="688AD3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EEC7FD2"/>
    <w:multiLevelType w:val="multilevel"/>
    <w:tmpl w:val="F5E4E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65C43"/>
    <w:multiLevelType w:val="multilevel"/>
    <w:tmpl w:val="6ADAA4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DC81F88"/>
    <w:multiLevelType w:val="multilevel"/>
    <w:tmpl w:val="A6AA6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1013E99"/>
    <w:multiLevelType w:val="multilevel"/>
    <w:tmpl w:val="76D8E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F3662B"/>
    <w:multiLevelType w:val="multilevel"/>
    <w:tmpl w:val="72E2A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E017125"/>
    <w:multiLevelType w:val="multilevel"/>
    <w:tmpl w:val="D8A83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F3F0F45"/>
    <w:multiLevelType w:val="multilevel"/>
    <w:tmpl w:val="0CCEA4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F5430F5"/>
    <w:multiLevelType w:val="multilevel"/>
    <w:tmpl w:val="A1DE2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ABC2A14"/>
    <w:multiLevelType w:val="multilevel"/>
    <w:tmpl w:val="F586A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39211D8"/>
    <w:multiLevelType w:val="hybridMultilevel"/>
    <w:tmpl w:val="8904EB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9422283"/>
    <w:multiLevelType w:val="multilevel"/>
    <w:tmpl w:val="680E6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B6F21DE"/>
    <w:multiLevelType w:val="multilevel"/>
    <w:tmpl w:val="0D9421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01145353">
    <w:abstractNumId w:val="15"/>
  </w:num>
  <w:num w:numId="2" w16cid:durableId="367485465">
    <w:abstractNumId w:val="4"/>
  </w:num>
  <w:num w:numId="3" w16cid:durableId="494147224">
    <w:abstractNumId w:val="12"/>
  </w:num>
  <w:num w:numId="4" w16cid:durableId="2021929656">
    <w:abstractNumId w:val="8"/>
  </w:num>
  <w:num w:numId="5" w16cid:durableId="234170675">
    <w:abstractNumId w:val="6"/>
  </w:num>
  <w:num w:numId="6" w16cid:durableId="720061526">
    <w:abstractNumId w:val="9"/>
  </w:num>
  <w:num w:numId="7" w16cid:durableId="231546187">
    <w:abstractNumId w:val="3"/>
  </w:num>
  <w:num w:numId="8" w16cid:durableId="1868371932">
    <w:abstractNumId w:val="14"/>
  </w:num>
  <w:num w:numId="9" w16cid:durableId="1431465101">
    <w:abstractNumId w:val="11"/>
  </w:num>
  <w:num w:numId="10" w16cid:durableId="1403405196">
    <w:abstractNumId w:val="10"/>
  </w:num>
  <w:num w:numId="11" w16cid:durableId="200830076">
    <w:abstractNumId w:val="1"/>
  </w:num>
  <w:num w:numId="12" w16cid:durableId="1887713528">
    <w:abstractNumId w:val="2"/>
  </w:num>
  <w:num w:numId="13" w16cid:durableId="1567453949">
    <w:abstractNumId w:val="5"/>
  </w:num>
  <w:num w:numId="14" w16cid:durableId="1668174168">
    <w:abstractNumId w:val="7"/>
  </w:num>
  <w:num w:numId="15" w16cid:durableId="673269056">
    <w:abstractNumId w:val="13"/>
  </w:num>
  <w:num w:numId="16" w16cid:durableId="1961956110">
    <w:abstractNumId w:val="0"/>
    <w:lvlOverride w:ilvl="0">
      <w:startOverride w:val="1"/>
    </w:lvlOverride>
    <w:lvlOverride w:ilvl="1">
      <w:startOverride w:val="6"/>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drawingGridHorizontalSpacing w:val="7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7944"/>
    <w:rsid w:val="00024D9F"/>
    <w:rsid w:val="00025705"/>
    <w:rsid w:val="000544F2"/>
    <w:rsid w:val="0006139E"/>
    <w:rsid w:val="000C44C2"/>
    <w:rsid w:val="000C60C4"/>
    <w:rsid w:val="000C76B4"/>
    <w:rsid w:val="0013206E"/>
    <w:rsid w:val="00157F6C"/>
    <w:rsid w:val="00193127"/>
    <w:rsid w:val="001D7378"/>
    <w:rsid w:val="001E4680"/>
    <w:rsid w:val="002030F9"/>
    <w:rsid w:val="002A7944"/>
    <w:rsid w:val="002A7D62"/>
    <w:rsid w:val="002D215A"/>
    <w:rsid w:val="002F5B21"/>
    <w:rsid w:val="00320059"/>
    <w:rsid w:val="00323DD9"/>
    <w:rsid w:val="003947DF"/>
    <w:rsid w:val="003B1DE3"/>
    <w:rsid w:val="00426BB2"/>
    <w:rsid w:val="0043649B"/>
    <w:rsid w:val="00451119"/>
    <w:rsid w:val="00457ECE"/>
    <w:rsid w:val="004A63C0"/>
    <w:rsid w:val="00517E18"/>
    <w:rsid w:val="0053601A"/>
    <w:rsid w:val="00551940"/>
    <w:rsid w:val="005B19DC"/>
    <w:rsid w:val="005F1371"/>
    <w:rsid w:val="006317D7"/>
    <w:rsid w:val="006F5439"/>
    <w:rsid w:val="00723EFC"/>
    <w:rsid w:val="00754EB6"/>
    <w:rsid w:val="0080241E"/>
    <w:rsid w:val="00836C52"/>
    <w:rsid w:val="00880DCA"/>
    <w:rsid w:val="008874AF"/>
    <w:rsid w:val="00897E39"/>
    <w:rsid w:val="008F35C5"/>
    <w:rsid w:val="009A402A"/>
    <w:rsid w:val="00A371FA"/>
    <w:rsid w:val="00A53B27"/>
    <w:rsid w:val="00A65EA8"/>
    <w:rsid w:val="00A7754F"/>
    <w:rsid w:val="00A97298"/>
    <w:rsid w:val="00B01BE9"/>
    <w:rsid w:val="00B34487"/>
    <w:rsid w:val="00B57160"/>
    <w:rsid w:val="00B957C3"/>
    <w:rsid w:val="00BA7FC6"/>
    <w:rsid w:val="00C63504"/>
    <w:rsid w:val="00C71D52"/>
    <w:rsid w:val="00CB33F0"/>
    <w:rsid w:val="00CD2813"/>
    <w:rsid w:val="00DA53C0"/>
    <w:rsid w:val="00E14360"/>
    <w:rsid w:val="00E62022"/>
    <w:rsid w:val="00E7018F"/>
    <w:rsid w:val="00E712E4"/>
    <w:rsid w:val="00EA05B9"/>
    <w:rsid w:val="00F10978"/>
    <w:rsid w:val="00F25070"/>
    <w:rsid w:val="00F604AB"/>
    <w:rsid w:val="00F8429D"/>
    <w:rsid w:val="00FA49FF"/>
    <w:rsid w:val="00FB3E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7ADAF2"/>
  <w15:chartTrackingRefBased/>
  <w15:docId w15:val="{761C8D5D-4249-4416-91B3-0BBED36911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ajorHAnsi" w:eastAsiaTheme="minorHAnsi" w:hAnsiTheme="majorHAnsi" w:cstheme="majorHAnsi"/>
        <w:color w:val="211551"/>
        <w:kern w:val="2"/>
        <w:sz w:val="14"/>
        <w:szCs w:val="1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7944"/>
    <w:pPr>
      <w:spacing w:after="160" w:line="259" w:lineRule="auto"/>
    </w:pPr>
  </w:style>
  <w:style w:type="paragraph" w:styleId="Heading1">
    <w:name w:val="heading 1"/>
    <w:basedOn w:val="Normal"/>
    <w:next w:val="Normal"/>
    <w:link w:val="Heading1Char"/>
    <w:uiPriority w:val="9"/>
    <w:qFormat/>
    <w:rsid w:val="002A7944"/>
    <w:pPr>
      <w:keepNext/>
      <w:keepLines/>
      <w:spacing w:before="360" w:after="80"/>
      <w:outlineLvl w:val="0"/>
    </w:pPr>
    <w:rPr>
      <w:rFonts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A7944"/>
    <w:pPr>
      <w:keepNext/>
      <w:keepLines/>
      <w:spacing w:before="160" w:after="80"/>
      <w:outlineLvl w:val="1"/>
    </w:pPr>
    <w:rPr>
      <w:rFonts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7944"/>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7944"/>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2A7944"/>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2A794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A794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A794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A794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7944"/>
    <w:rPr>
      <w:rFonts w:eastAsiaTheme="majorEastAsia"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A7944"/>
    <w:rPr>
      <w:rFonts w:eastAsiaTheme="majorEastAsia"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7944"/>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7944"/>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2A7944"/>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2A7944"/>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2A7944"/>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2A7944"/>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2A7944"/>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2A7944"/>
    <w:pPr>
      <w:spacing w:after="80" w:line="240" w:lineRule="auto"/>
      <w:contextualSpacing/>
    </w:pPr>
    <w:rPr>
      <w:rFonts w:eastAsiaTheme="majorEastAsia" w:cstheme="majorBidi"/>
      <w:color w:val="auto"/>
      <w:spacing w:val="-10"/>
      <w:kern w:val="28"/>
      <w:sz w:val="56"/>
      <w:szCs w:val="56"/>
    </w:rPr>
  </w:style>
  <w:style w:type="character" w:customStyle="1" w:styleId="TitleChar">
    <w:name w:val="Title Char"/>
    <w:basedOn w:val="DefaultParagraphFont"/>
    <w:link w:val="Title"/>
    <w:uiPriority w:val="10"/>
    <w:rsid w:val="002A7944"/>
    <w:rPr>
      <w:rFonts w:eastAsiaTheme="majorEastAsia" w:cstheme="majorBidi"/>
      <w:color w:val="auto"/>
      <w:spacing w:val="-10"/>
      <w:kern w:val="28"/>
      <w:sz w:val="56"/>
      <w:szCs w:val="56"/>
    </w:rPr>
  </w:style>
  <w:style w:type="paragraph" w:styleId="Subtitle">
    <w:name w:val="Subtitle"/>
    <w:basedOn w:val="Normal"/>
    <w:next w:val="Normal"/>
    <w:link w:val="SubtitleChar"/>
    <w:uiPriority w:val="11"/>
    <w:qFormat/>
    <w:rsid w:val="002A794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7944"/>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2A7944"/>
    <w:pPr>
      <w:spacing w:before="160"/>
      <w:jc w:val="center"/>
    </w:pPr>
    <w:rPr>
      <w:i/>
      <w:iCs/>
      <w:color w:val="404040" w:themeColor="text1" w:themeTint="BF"/>
    </w:rPr>
  </w:style>
  <w:style w:type="character" w:customStyle="1" w:styleId="QuoteChar">
    <w:name w:val="Quote Char"/>
    <w:basedOn w:val="DefaultParagraphFont"/>
    <w:link w:val="Quote"/>
    <w:uiPriority w:val="29"/>
    <w:rsid w:val="002A7944"/>
    <w:rPr>
      <w:i/>
      <w:iCs/>
      <w:color w:val="404040" w:themeColor="text1" w:themeTint="BF"/>
    </w:rPr>
  </w:style>
  <w:style w:type="paragraph" w:styleId="ListParagraph">
    <w:name w:val="List Paragraph"/>
    <w:basedOn w:val="Normal"/>
    <w:uiPriority w:val="34"/>
    <w:qFormat/>
    <w:rsid w:val="002A7944"/>
    <w:pPr>
      <w:ind w:left="720"/>
      <w:contextualSpacing/>
    </w:pPr>
  </w:style>
  <w:style w:type="character" w:styleId="IntenseEmphasis">
    <w:name w:val="Intense Emphasis"/>
    <w:basedOn w:val="DefaultParagraphFont"/>
    <w:uiPriority w:val="21"/>
    <w:qFormat/>
    <w:rsid w:val="002A7944"/>
    <w:rPr>
      <w:i/>
      <w:iCs/>
      <w:color w:val="0F4761" w:themeColor="accent1" w:themeShade="BF"/>
    </w:rPr>
  </w:style>
  <w:style w:type="paragraph" w:styleId="IntenseQuote">
    <w:name w:val="Intense Quote"/>
    <w:basedOn w:val="Normal"/>
    <w:next w:val="Normal"/>
    <w:link w:val="IntenseQuoteChar"/>
    <w:uiPriority w:val="30"/>
    <w:qFormat/>
    <w:rsid w:val="002A79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7944"/>
    <w:rPr>
      <w:i/>
      <w:iCs/>
      <w:color w:val="0F4761" w:themeColor="accent1" w:themeShade="BF"/>
    </w:rPr>
  </w:style>
  <w:style w:type="character" w:styleId="IntenseReference">
    <w:name w:val="Intense Reference"/>
    <w:basedOn w:val="DefaultParagraphFont"/>
    <w:uiPriority w:val="32"/>
    <w:qFormat/>
    <w:rsid w:val="002A7944"/>
    <w:rPr>
      <w:b/>
      <w:bCs/>
      <w:smallCaps/>
      <w:color w:val="0F4761" w:themeColor="accent1" w:themeShade="BF"/>
      <w:spacing w:val="5"/>
    </w:rPr>
  </w:style>
  <w:style w:type="table" w:styleId="TableGrid">
    <w:name w:val="Table Grid"/>
    <w:basedOn w:val="TableNormal"/>
    <w:uiPriority w:val="39"/>
    <w:rsid w:val="002A794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A7944"/>
    <w:rPr>
      <w:color w:val="467886" w:themeColor="hyperlink"/>
      <w:u w:val="single"/>
    </w:rPr>
  </w:style>
  <w:style w:type="character" w:styleId="CommentReference">
    <w:name w:val="annotation reference"/>
    <w:basedOn w:val="DefaultParagraphFont"/>
    <w:uiPriority w:val="99"/>
    <w:semiHidden/>
    <w:unhideWhenUsed/>
    <w:rsid w:val="002A7944"/>
    <w:rPr>
      <w:sz w:val="16"/>
      <w:szCs w:val="16"/>
    </w:rPr>
  </w:style>
  <w:style w:type="paragraph" w:styleId="CommentText">
    <w:name w:val="annotation text"/>
    <w:basedOn w:val="Normal"/>
    <w:link w:val="CommentTextChar"/>
    <w:uiPriority w:val="99"/>
    <w:semiHidden/>
    <w:unhideWhenUsed/>
    <w:rsid w:val="002A7944"/>
    <w:pPr>
      <w:spacing w:line="240" w:lineRule="auto"/>
    </w:pPr>
    <w:rPr>
      <w:sz w:val="20"/>
      <w:szCs w:val="20"/>
    </w:rPr>
  </w:style>
  <w:style w:type="character" w:customStyle="1" w:styleId="CommentTextChar">
    <w:name w:val="Comment Text Char"/>
    <w:basedOn w:val="DefaultParagraphFont"/>
    <w:link w:val="CommentText"/>
    <w:uiPriority w:val="99"/>
    <w:semiHidden/>
    <w:rsid w:val="002A7944"/>
    <w:rPr>
      <w:sz w:val="20"/>
      <w:szCs w:val="20"/>
    </w:rPr>
  </w:style>
  <w:style w:type="paragraph" w:styleId="CommentSubject">
    <w:name w:val="annotation subject"/>
    <w:basedOn w:val="CommentText"/>
    <w:next w:val="CommentText"/>
    <w:link w:val="CommentSubjectChar"/>
    <w:uiPriority w:val="99"/>
    <w:semiHidden/>
    <w:unhideWhenUsed/>
    <w:rsid w:val="002A7944"/>
    <w:rPr>
      <w:b/>
      <w:bCs/>
    </w:rPr>
  </w:style>
  <w:style w:type="character" w:customStyle="1" w:styleId="CommentSubjectChar">
    <w:name w:val="Comment Subject Char"/>
    <w:basedOn w:val="CommentTextChar"/>
    <w:link w:val="CommentSubject"/>
    <w:uiPriority w:val="99"/>
    <w:semiHidden/>
    <w:rsid w:val="002A7944"/>
    <w:rPr>
      <w:b/>
      <w:bCs/>
      <w:sz w:val="20"/>
      <w:szCs w:val="20"/>
    </w:rPr>
  </w:style>
  <w:style w:type="paragraph" w:styleId="Header">
    <w:name w:val="header"/>
    <w:basedOn w:val="Normal"/>
    <w:link w:val="HeaderChar"/>
    <w:uiPriority w:val="99"/>
    <w:unhideWhenUsed/>
    <w:rsid w:val="002A79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7944"/>
  </w:style>
  <w:style w:type="paragraph" w:styleId="Footer">
    <w:name w:val="footer"/>
    <w:basedOn w:val="Normal"/>
    <w:link w:val="FooterChar"/>
    <w:uiPriority w:val="99"/>
    <w:unhideWhenUsed/>
    <w:rsid w:val="002A79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7944"/>
  </w:style>
  <w:style w:type="character" w:styleId="Emphasis">
    <w:name w:val="Emphasis"/>
    <w:basedOn w:val="DefaultParagraphFont"/>
    <w:uiPriority w:val="20"/>
    <w:qFormat/>
    <w:rsid w:val="002A7944"/>
    <w:rPr>
      <w:i/>
      <w:iCs/>
    </w:rPr>
  </w:style>
  <w:style w:type="paragraph" w:customStyle="1" w:styleId="Default">
    <w:name w:val="Default"/>
    <w:rsid w:val="00836C52"/>
    <w:pPr>
      <w:autoSpaceDE w:val="0"/>
      <w:autoSpaceDN w:val="0"/>
      <w:adjustRightInd w:val="0"/>
    </w:pPr>
    <w:rPr>
      <w:rFonts w:ascii="Calibri" w:hAnsi="Calibri" w:cs="Calibri"/>
      <w:color w:val="000000"/>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chart" Target="charts/chart5.xml"/><Relationship Id="rId18" Type="http://schemas.openxmlformats.org/officeDocument/2006/relationships/hyperlink" Target="mailto:2111499@student.uwtsd.ac.uk"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chart" Target="charts/chart4.xml"/><Relationship Id="rId17" Type="http://schemas.openxmlformats.org/officeDocument/2006/relationships/chart" Target="charts/chart9.xml"/><Relationship Id="rId2" Type="http://schemas.openxmlformats.org/officeDocument/2006/relationships/styles" Target="styles.xml"/><Relationship Id="rId16" Type="http://schemas.openxmlformats.org/officeDocument/2006/relationships/chart" Target="charts/chart8.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3.xml"/><Relationship Id="rId5" Type="http://schemas.openxmlformats.org/officeDocument/2006/relationships/footnotes" Target="footnotes.xml"/><Relationship Id="rId15" Type="http://schemas.openxmlformats.org/officeDocument/2006/relationships/chart" Target="charts/chart7.xml"/><Relationship Id="rId10" Type="http://schemas.openxmlformats.org/officeDocument/2006/relationships/chart" Target="charts/chart2.xm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chart" Target="charts/chart6.xml"/></Relationships>
</file>

<file path=word/charts/_rels/chart1.xml.rels><?xml version="1.0" encoding="UTF-8" standalone="yes"?>
<Relationships xmlns="http://schemas.openxmlformats.org/package/2006/relationships"><Relationship Id="rId3" Type="http://schemas.openxmlformats.org/officeDocument/2006/relationships/oleObject" Target="file:///D:\M-ABC%20Testing%20Results%20(version%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M-ABC%20Testing%20Results%20(version%20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D:\M-ABC%20Testing%20Results%20(version%201).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D:\M-ABC%20Testing%20Results%20(version%201).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D:\M-ABC%20Testing%20Results%20(version%201).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D:\M-ABC%20Testing%20Results%20(version%201).xlsx" TargetMode="Externa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chartUserShapes" Target="../drawings/drawing1.xml"/></Relationships>
</file>

<file path=word/charts/_rels/chart7.xml.rels><?xml version="1.0" encoding="UTF-8" standalone="yes"?>
<Relationships xmlns="http://schemas.openxmlformats.org/package/2006/relationships"><Relationship Id="rId3" Type="http://schemas.openxmlformats.org/officeDocument/2006/relationships/oleObject" Target="file:///D:\M-ABC%20Testing%20Results%20(version%201).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all" spc="0" baseline="0">
                <a:solidFill>
                  <a:schemeClr val="tx1">
                    <a:lumMod val="65000"/>
                    <a:lumOff val="35000"/>
                  </a:schemeClr>
                </a:solidFill>
                <a:latin typeface="Calibri Light" panose="020F0302020204030204" pitchFamily="34" charset="0"/>
                <a:ea typeface="Calibri Light" panose="020F0302020204030204" pitchFamily="34" charset="0"/>
                <a:cs typeface="Calibri Light" panose="020F0302020204030204" pitchFamily="34" charset="0"/>
              </a:defRPr>
            </a:pPr>
            <a:r>
              <a:rPr lang="en-GB"/>
              <a:t>EYFS Data - Good Level of Development (GLD)</a:t>
            </a:r>
          </a:p>
        </c:rich>
      </c:tx>
      <c:overlay val="0"/>
      <c:spPr>
        <a:noFill/>
        <a:ln>
          <a:noFill/>
        </a:ln>
        <a:effectLst/>
      </c:spPr>
      <c:txPr>
        <a:bodyPr rot="0" spcFirstLastPara="1" vertOverflow="ellipsis" vert="horz" wrap="square" anchor="ctr" anchorCtr="1"/>
        <a:lstStyle/>
        <a:p>
          <a:pPr>
            <a:defRPr sz="1400" b="0" i="0" u="none" strike="noStrike" kern="1200" cap="all" spc="0" baseline="0">
              <a:solidFill>
                <a:schemeClr val="tx1">
                  <a:lumMod val="65000"/>
                  <a:lumOff val="35000"/>
                </a:schemeClr>
              </a:solidFill>
              <a:latin typeface="Calibri Light" panose="020F0302020204030204" pitchFamily="34" charset="0"/>
              <a:ea typeface="Calibri Light" panose="020F0302020204030204" pitchFamily="34" charset="0"/>
              <a:cs typeface="Calibri Light" panose="020F0302020204030204" pitchFamily="34" charset="0"/>
            </a:defRPr>
          </a:pPr>
          <a:endParaRPr lang="en-GB"/>
        </a:p>
      </c:txPr>
    </c:title>
    <c:autoTitleDeleted val="0"/>
    <c:plotArea>
      <c:layout/>
      <c:pieChart>
        <c:varyColors val="1"/>
        <c:ser>
          <c:idx val="0"/>
          <c:order val="0"/>
          <c:dPt>
            <c:idx val="0"/>
            <c:bubble3D val="0"/>
            <c:spPr>
              <a:solidFill>
                <a:srgbClr val="00B050"/>
              </a:solidFill>
              <a:ln w="19050">
                <a:solidFill>
                  <a:schemeClr val="lt1"/>
                </a:solidFill>
              </a:ln>
              <a:effectLst/>
            </c:spPr>
            <c:extLst>
              <c:ext xmlns:c16="http://schemas.microsoft.com/office/drawing/2014/chart" uri="{C3380CC4-5D6E-409C-BE32-E72D297353CC}">
                <c16:uniqueId val="{00000001-4DB9-46B3-AAC9-37D8BBD7B4EB}"/>
              </c:ext>
            </c:extLst>
          </c:dPt>
          <c:dPt>
            <c:idx val="1"/>
            <c:bubble3D val="0"/>
            <c:spPr>
              <a:solidFill>
                <a:srgbClr val="EE0000"/>
              </a:solidFill>
              <a:ln w="19050">
                <a:solidFill>
                  <a:schemeClr val="lt1"/>
                </a:solidFill>
              </a:ln>
              <a:effectLst/>
            </c:spPr>
            <c:extLst>
              <c:ext xmlns:c16="http://schemas.microsoft.com/office/drawing/2014/chart" uri="{C3380CC4-5D6E-409C-BE32-E72D297353CC}">
                <c16:uniqueId val="{00000003-4DB9-46B3-AAC9-37D8BBD7B4EB}"/>
              </c:ext>
            </c:extLst>
          </c:dPt>
          <c:cat>
            <c:strRef>
              <c:f>'TOTAL TEST SCORE'!$L$24:$L$25</c:f>
              <c:strCache>
                <c:ptCount val="2"/>
                <c:pt idx="0">
                  <c:v>GLD</c:v>
                </c:pt>
                <c:pt idx="1">
                  <c:v>NOT ACHIEVED GLD</c:v>
                </c:pt>
              </c:strCache>
            </c:strRef>
          </c:cat>
          <c:val>
            <c:numRef>
              <c:f>'TOTAL TEST SCORE'!$M$24:$M$25</c:f>
              <c:numCache>
                <c:formatCode>General</c:formatCode>
                <c:ptCount val="2"/>
                <c:pt idx="0">
                  <c:v>46</c:v>
                </c:pt>
                <c:pt idx="1">
                  <c:v>21</c:v>
                </c:pt>
              </c:numCache>
            </c:numRef>
          </c:val>
          <c:extLst>
            <c:ext xmlns:c16="http://schemas.microsoft.com/office/drawing/2014/chart" uri="{C3380CC4-5D6E-409C-BE32-E72D297353CC}">
              <c16:uniqueId val="{00000004-4DB9-46B3-AAC9-37D8BBD7B4EB}"/>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Calibri Light" panose="020F0302020204030204" pitchFamily="34" charset="0"/>
              <a:ea typeface="Calibri Light" panose="020F0302020204030204" pitchFamily="34" charset="0"/>
              <a:cs typeface="Calibri Light" panose="020F0302020204030204" pitchFamily="34" charset="0"/>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19050" cap="flat" cmpd="sng" algn="ctr">
      <a:solidFill>
        <a:schemeClr val="bg1">
          <a:lumMod val="85000"/>
        </a:schemeClr>
      </a:solidFill>
      <a:round/>
    </a:ln>
    <a:effectLst/>
  </c:spPr>
  <c:txPr>
    <a:bodyPr/>
    <a:lstStyle/>
    <a:p>
      <a:pPr>
        <a:defRPr cap="all" baseline="0">
          <a:latin typeface="Calibri Light" panose="020F0302020204030204" pitchFamily="34" charset="0"/>
          <a:ea typeface="Calibri Light" panose="020F0302020204030204" pitchFamily="34" charset="0"/>
          <a:cs typeface="Calibri Light" panose="020F0302020204030204" pitchFamily="34" charset="0"/>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050" b="0" i="0" u="none" strike="noStrike" kern="1200" spc="0" baseline="0">
                <a:solidFill>
                  <a:schemeClr val="tx1">
                    <a:lumMod val="65000"/>
                    <a:lumOff val="35000"/>
                  </a:schemeClr>
                </a:solidFill>
                <a:latin typeface="Calibri Light" panose="020F0302020204030204" pitchFamily="34" charset="0"/>
                <a:ea typeface="Calibri Light" panose="020F0302020204030204" pitchFamily="34" charset="0"/>
                <a:cs typeface="Calibri Light" panose="020F0302020204030204" pitchFamily="34" charset="0"/>
              </a:defRPr>
            </a:pPr>
            <a:r>
              <a:rPr lang="en-GB" sz="1050"/>
              <a:t>EYFS DATA: FEMALE</a:t>
            </a:r>
          </a:p>
        </c:rich>
      </c:tx>
      <c:overlay val="0"/>
      <c:spPr>
        <a:noFill/>
        <a:ln>
          <a:noFill/>
        </a:ln>
        <a:effectLst/>
      </c:spPr>
      <c:txPr>
        <a:bodyPr rot="0" spcFirstLastPara="1" vertOverflow="ellipsis" vert="horz" wrap="square" anchor="ctr" anchorCtr="1"/>
        <a:lstStyle/>
        <a:p>
          <a:pPr>
            <a:defRPr sz="1050" b="0" i="0" u="none" strike="noStrike" kern="1200" spc="0" baseline="0">
              <a:solidFill>
                <a:schemeClr val="tx1">
                  <a:lumMod val="65000"/>
                  <a:lumOff val="35000"/>
                </a:schemeClr>
              </a:solidFill>
              <a:latin typeface="Calibri Light" panose="020F0302020204030204" pitchFamily="34" charset="0"/>
              <a:ea typeface="Calibri Light" panose="020F0302020204030204" pitchFamily="34" charset="0"/>
              <a:cs typeface="Calibri Light" panose="020F0302020204030204" pitchFamily="34" charset="0"/>
            </a:defRPr>
          </a:pPr>
          <a:endParaRPr lang="en-US"/>
        </a:p>
      </c:txPr>
    </c:title>
    <c:autoTitleDeleted val="0"/>
    <c:plotArea>
      <c:layout/>
      <c:pieChart>
        <c:varyColors val="1"/>
        <c:ser>
          <c:idx val="0"/>
          <c:order val="0"/>
          <c:spPr>
            <a:solidFill>
              <a:schemeClr val="accent4">
                <a:lumMod val="40000"/>
                <a:lumOff val="60000"/>
              </a:schemeClr>
            </a:solidFill>
          </c:spPr>
          <c:dPt>
            <c:idx val="0"/>
            <c:bubble3D val="0"/>
            <c:spPr>
              <a:solidFill>
                <a:srgbClr val="EE0000"/>
              </a:solidFill>
              <a:ln w="19050">
                <a:solidFill>
                  <a:schemeClr val="lt1"/>
                </a:solidFill>
              </a:ln>
              <a:effectLst/>
            </c:spPr>
            <c:extLst>
              <c:ext xmlns:c16="http://schemas.microsoft.com/office/drawing/2014/chart" uri="{C3380CC4-5D6E-409C-BE32-E72D297353CC}">
                <c16:uniqueId val="{00000001-3685-4894-B5CB-A2B7AB74CB9E}"/>
              </c:ext>
            </c:extLst>
          </c:dPt>
          <c:dPt>
            <c:idx val="1"/>
            <c:bubble3D val="0"/>
            <c:spPr>
              <a:solidFill>
                <a:srgbClr val="00B050"/>
              </a:solidFill>
              <a:ln w="19050">
                <a:solidFill>
                  <a:schemeClr val="lt1"/>
                </a:solidFill>
              </a:ln>
              <a:effectLst/>
            </c:spPr>
            <c:extLst>
              <c:ext xmlns:c16="http://schemas.microsoft.com/office/drawing/2014/chart" uri="{C3380CC4-5D6E-409C-BE32-E72D297353CC}">
                <c16:uniqueId val="{00000003-3685-4894-B5CB-A2B7AB74CB9E}"/>
              </c:ext>
            </c:extLst>
          </c:dPt>
          <c:dPt>
            <c:idx val="2"/>
            <c:bubble3D val="0"/>
            <c:spPr>
              <a:solidFill>
                <a:schemeClr val="accent4">
                  <a:lumMod val="40000"/>
                  <a:lumOff val="60000"/>
                </a:schemeClr>
              </a:solidFill>
              <a:ln w="19050">
                <a:solidFill>
                  <a:schemeClr val="lt1"/>
                </a:solidFill>
              </a:ln>
              <a:effectLst/>
            </c:spPr>
            <c:extLst>
              <c:ext xmlns:c16="http://schemas.microsoft.com/office/drawing/2014/chart" uri="{C3380CC4-5D6E-409C-BE32-E72D297353CC}">
                <c16:uniqueId val="{00000005-3685-4894-B5CB-A2B7AB74CB9E}"/>
              </c:ext>
            </c:extLst>
          </c:dPt>
          <c:cat>
            <c:strRef>
              <c:f>'TOTAL TEST SCORE'!$K$12:$M$12</c:f>
              <c:strCache>
                <c:ptCount val="3"/>
                <c:pt idx="0">
                  <c:v>Not Achieved</c:v>
                </c:pt>
                <c:pt idx="1">
                  <c:v>GLD</c:v>
                </c:pt>
                <c:pt idx="2">
                  <c:v>no score</c:v>
                </c:pt>
              </c:strCache>
            </c:strRef>
          </c:cat>
          <c:val>
            <c:numRef>
              <c:f>'TOTAL TEST SCORE'!$K$14:$M$14</c:f>
              <c:numCache>
                <c:formatCode>0</c:formatCode>
                <c:ptCount val="3"/>
                <c:pt idx="0">
                  <c:v>9</c:v>
                </c:pt>
                <c:pt idx="1">
                  <c:v>25</c:v>
                </c:pt>
                <c:pt idx="2" formatCode="General">
                  <c:v>2</c:v>
                </c:pt>
              </c:numCache>
            </c:numRef>
          </c:val>
          <c:extLst>
            <c:ext xmlns:c16="http://schemas.microsoft.com/office/drawing/2014/chart" uri="{C3380CC4-5D6E-409C-BE32-E72D297353CC}">
              <c16:uniqueId val="{00000006-3685-4894-B5CB-A2B7AB74CB9E}"/>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Calibri Light" panose="020F0302020204030204" pitchFamily="34" charset="0"/>
              <a:ea typeface="Calibri Light" panose="020F0302020204030204" pitchFamily="34" charset="0"/>
              <a:cs typeface="Calibri Light" panose="020F0302020204030204" pitchFamily="34" charset="0"/>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19050" cap="flat" cmpd="sng" algn="ctr">
      <a:solidFill>
        <a:schemeClr val="tx1">
          <a:lumMod val="15000"/>
          <a:lumOff val="85000"/>
        </a:schemeClr>
      </a:solidFill>
      <a:round/>
    </a:ln>
    <a:effectLst/>
  </c:spPr>
  <c:txPr>
    <a:bodyPr/>
    <a:lstStyle/>
    <a:p>
      <a:pPr>
        <a:defRPr sz="800">
          <a:latin typeface="Calibri Light" panose="020F0302020204030204" pitchFamily="34" charset="0"/>
          <a:ea typeface="Calibri Light" panose="020F0302020204030204" pitchFamily="34" charset="0"/>
          <a:cs typeface="Calibri Light" panose="020F0302020204030204" pitchFamily="34" charset="0"/>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0" i="0" u="none" strike="noStrike" kern="1200" spc="0" baseline="0">
                <a:solidFill>
                  <a:schemeClr val="tx1">
                    <a:lumMod val="65000"/>
                    <a:lumOff val="35000"/>
                  </a:schemeClr>
                </a:solidFill>
                <a:latin typeface="Calibri Light" panose="020F0302020204030204" pitchFamily="34" charset="0"/>
                <a:ea typeface="Calibri Light" panose="020F0302020204030204" pitchFamily="34" charset="0"/>
                <a:cs typeface="Calibri Light" panose="020F0302020204030204" pitchFamily="34" charset="0"/>
              </a:defRPr>
            </a:pPr>
            <a:r>
              <a:rPr lang="en-GB" sz="1100"/>
              <a:t>EYFS DATA: MALE</a:t>
            </a:r>
          </a:p>
        </c:rich>
      </c:tx>
      <c:layout>
        <c:manualLayout>
          <c:xMode val="edge"/>
          <c:yMode val="edge"/>
          <c:x val="0.33305387398915159"/>
          <c:y val="4.1666624577636584E-2"/>
        </c:manualLayout>
      </c:layout>
      <c:overlay val="0"/>
      <c:spPr>
        <a:noFill/>
        <a:ln>
          <a:noFill/>
        </a:ln>
        <a:effectLst/>
      </c:spPr>
      <c:txPr>
        <a:bodyPr rot="0" spcFirstLastPara="1" vertOverflow="ellipsis" vert="horz" wrap="square" anchor="ctr" anchorCtr="1"/>
        <a:lstStyle/>
        <a:p>
          <a:pPr>
            <a:defRPr sz="1100" b="0" i="0" u="none" strike="noStrike" kern="1200" spc="0" baseline="0">
              <a:solidFill>
                <a:schemeClr val="tx1">
                  <a:lumMod val="65000"/>
                  <a:lumOff val="35000"/>
                </a:schemeClr>
              </a:solidFill>
              <a:latin typeface="Calibri Light" panose="020F0302020204030204" pitchFamily="34" charset="0"/>
              <a:ea typeface="Calibri Light" panose="020F0302020204030204" pitchFamily="34" charset="0"/>
              <a:cs typeface="Calibri Light" panose="020F0302020204030204" pitchFamily="34" charset="0"/>
            </a:defRPr>
          </a:pPr>
          <a:endParaRPr lang="en-US"/>
        </a:p>
      </c:txPr>
    </c:title>
    <c:autoTitleDeleted val="0"/>
    <c:plotArea>
      <c:layout/>
      <c:pieChart>
        <c:varyColors val="1"/>
        <c:ser>
          <c:idx val="0"/>
          <c:order val="0"/>
          <c:dPt>
            <c:idx val="0"/>
            <c:bubble3D val="0"/>
            <c:spPr>
              <a:solidFill>
                <a:srgbClr val="EE0000"/>
              </a:solidFill>
              <a:ln w="19050">
                <a:solidFill>
                  <a:schemeClr val="lt1"/>
                </a:solidFill>
              </a:ln>
              <a:effectLst/>
            </c:spPr>
            <c:extLst>
              <c:ext xmlns:c16="http://schemas.microsoft.com/office/drawing/2014/chart" uri="{C3380CC4-5D6E-409C-BE32-E72D297353CC}">
                <c16:uniqueId val="{00000001-00DE-4DAE-A705-BD19829AE7A5}"/>
              </c:ext>
            </c:extLst>
          </c:dPt>
          <c:dPt>
            <c:idx val="1"/>
            <c:bubble3D val="0"/>
            <c:spPr>
              <a:solidFill>
                <a:srgbClr val="00B050"/>
              </a:solidFill>
              <a:ln w="19050">
                <a:solidFill>
                  <a:schemeClr val="lt1"/>
                </a:solidFill>
              </a:ln>
              <a:effectLst/>
            </c:spPr>
            <c:extLst>
              <c:ext xmlns:c16="http://schemas.microsoft.com/office/drawing/2014/chart" uri="{C3380CC4-5D6E-409C-BE32-E72D297353CC}">
                <c16:uniqueId val="{00000003-00DE-4DAE-A705-BD19829AE7A5}"/>
              </c:ext>
            </c:extLst>
          </c:dPt>
          <c:dPt>
            <c:idx val="2"/>
            <c:bubble3D val="0"/>
            <c:spPr>
              <a:solidFill>
                <a:schemeClr val="tx2">
                  <a:lumMod val="25000"/>
                  <a:lumOff val="75000"/>
                </a:schemeClr>
              </a:solidFill>
              <a:ln w="19050">
                <a:solidFill>
                  <a:schemeClr val="lt1"/>
                </a:solidFill>
              </a:ln>
              <a:effectLst/>
            </c:spPr>
            <c:extLst>
              <c:ext xmlns:c16="http://schemas.microsoft.com/office/drawing/2014/chart" uri="{C3380CC4-5D6E-409C-BE32-E72D297353CC}">
                <c16:uniqueId val="{00000005-00DE-4DAE-A705-BD19829AE7A5}"/>
              </c:ext>
            </c:extLst>
          </c:dPt>
          <c:cat>
            <c:strRef>
              <c:f>'TOTAL TEST SCORE'!$K$12:$M$12</c:f>
              <c:strCache>
                <c:ptCount val="3"/>
                <c:pt idx="0">
                  <c:v>Not Achieved</c:v>
                </c:pt>
                <c:pt idx="1">
                  <c:v>GLD</c:v>
                </c:pt>
                <c:pt idx="2">
                  <c:v>no score</c:v>
                </c:pt>
              </c:strCache>
            </c:strRef>
          </c:cat>
          <c:val>
            <c:numRef>
              <c:f>'TOTAL TEST SCORE'!$K$13:$M$13</c:f>
              <c:numCache>
                <c:formatCode>0</c:formatCode>
                <c:ptCount val="3"/>
                <c:pt idx="0">
                  <c:v>12</c:v>
                </c:pt>
                <c:pt idx="1">
                  <c:v>21</c:v>
                </c:pt>
                <c:pt idx="2" formatCode="General">
                  <c:v>1</c:v>
                </c:pt>
              </c:numCache>
            </c:numRef>
          </c:val>
          <c:extLst>
            <c:ext xmlns:c16="http://schemas.microsoft.com/office/drawing/2014/chart" uri="{C3380CC4-5D6E-409C-BE32-E72D297353CC}">
              <c16:uniqueId val="{00000006-00DE-4DAE-A705-BD19829AE7A5}"/>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Calibri Light" panose="020F0302020204030204" pitchFamily="34" charset="0"/>
              <a:ea typeface="Calibri Light" panose="020F0302020204030204" pitchFamily="34" charset="0"/>
              <a:cs typeface="Calibri Light" panose="020F0302020204030204" pitchFamily="34" charset="0"/>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19050" cap="flat" cmpd="sng" algn="ctr">
      <a:solidFill>
        <a:schemeClr val="tx1">
          <a:lumMod val="15000"/>
          <a:lumOff val="85000"/>
        </a:schemeClr>
      </a:solidFill>
      <a:round/>
    </a:ln>
    <a:effectLst/>
  </c:spPr>
  <c:txPr>
    <a:bodyPr/>
    <a:lstStyle/>
    <a:p>
      <a:pPr>
        <a:defRPr>
          <a:latin typeface="Calibri Light" panose="020F0302020204030204" pitchFamily="34" charset="0"/>
          <a:ea typeface="Calibri Light" panose="020F0302020204030204" pitchFamily="34" charset="0"/>
          <a:cs typeface="Calibri Light" panose="020F0302020204030204" pitchFamily="34" charset="0"/>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Calibri Light" panose="020F0302020204030204" pitchFamily="34" charset="0"/>
              <a:ea typeface="Calibri Light" panose="020F0302020204030204" pitchFamily="34" charset="0"/>
              <a:cs typeface="Calibri Light" panose="020F0302020204030204" pitchFamily="34" charset="0"/>
            </a:defRPr>
          </a:pPr>
          <a:endParaRPr lang="en-US"/>
        </a:p>
      </c:txPr>
    </c:title>
    <c:autoTitleDeleted val="0"/>
    <c:plotArea>
      <c:layout/>
      <c:pieChart>
        <c:varyColors val="1"/>
        <c:ser>
          <c:idx val="0"/>
          <c:order val="0"/>
          <c:tx>
            <c:strRef>
              <c:f>'TOTAL TEST SCORE'!$M$61</c:f>
              <c:strCache>
                <c:ptCount val="1"/>
                <c:pt idx="0">
                  <c:v>GROSS MOTOR SKILLS </c:v>
                </c:pt>
              </c:strCache>
            </c:strRef>
          </c:tx>
          <c:spPr>
            <a:solidFill>
              <a:srgbClr val="00B050"/>
            </a:solidFill>
          </c:spPr>
          <c:dPt>
            <c:idx val="0"/>
            <c:bubble3D val="0"/>
            <c:spPr>
              <a:solidFill>
                <a:srgbClr val="EE0000"/>
              </a:solidFill>
              <a:ln w="19050">
                <a:solidFill>
                  <a:schemeClr val="lt1"/>
                </a:solidFill>
              </a:ln>
              <a:effectLst/>
            </c:spPr>
            <c:extLst>
              <c:ext xmlns:c16="http://schemas.microsoft.com/office/drawing/2014/chart" uri="{C3380CC4-5D6E-409C-BE32-E72D297353CC}">
                <c16:uniqueId val="{00000001-FD06-4416-8880-C3F8B696144C}"/>
              </c:ext>
            </c:extLst>
          </c:dPt>
          <c:dPt>
            <c:idx val="1"/>
            <c:bubble3D val="0"/>
            <c:spPr>
              <a:solidFill>
                <a:srgbClr val="00B050"/>
              </a:solidFill>
              <a:ln w="19050">
                <a:solidFill>
                  <a:schemeClr val="lt1"/>
                </a:solidFill>
              </a:ln>
              <a:effectLst/>
            </c:spPr>
            <c:extLst>
              <c:ext xmlns:c16="http://schemas.microsoft.com/office/drawing/2014/chart" uri="{C3380CC4-5D6E-409C-BE32-E72D297353CC}">
                <c16:uniqueId val="{00000003-FD06-4416-8880-C3F8B696144C}"/>
              </c:ext>
            </c:extLst>
          </c:dPt>
          <c:dLbls>
            <c:delete val="1"/>
          </c:dLbls>
          <c:cat>
            <c:strRef>
              <c:f>'TOTAL TEST SCORE'!$L$62:$L$63</c:f>
              <c:strCache>
                <c:ptCount val="2"/>
                <c:pt idx="0">
                  <c:v>EMERGING</c:v>
                </c:pt>
                <c:pt idx="1">
                  <c:v>EXPECTED </c:v>
                </c:pt>
              </c:strCache>
            </c:strRef>
          </c:cat>
          <c:val>
            <c:numRef>
              <c:f>'TOTAL TEST SCORE'!$M$62:$M$63</c:f>
              <c:numCache>
                <c:formatCode>General</c:formatCode>
                <c:ptCount val="2"/>
                <c:pt idx="0">
                  <c:v>10</c:v>
                </c:pt>
                <c:pt idx="1">
                  <c:v>57</c:v>
                </c:pt>
              </c:numCache>
            </c:numRef>
          </c:val>
          <c:extLst>
            <c:ext xmlns:c16="http://schemas.microsoft.com/office/drawing/2014/chart" uri="{C3380CC4-5D6E-409C-BE32-E72D297353CC}">
              <c16:uniqueId val="{00000004-FD06-4416-8880-C3F8B696144C}"/>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Calibri Light" panose="020F0302020204030204" pitchFamily="34" charset="0"/>
              <a:ea typeface="Calibri Light" panose="020F0302020204030204" pitchFamily="34" charset="0"/>
              <a:cs typeface="Calibri Light" panose="020F0302020204030204" pitchFamily="34" charset="0"/>
            </a:defRPr>
          </a:pPr>
          <a:endParaRPr lang="en-US"/>
        </a:p>
      </c:txPr>
    </c:title>
    <c:autoTitleDeleted val="0"/>
    <c:plotArea>
      <c:layout/>
      <c:pieChart>
        <c:varyColors val="1"/>
        <c:ser>
          <c:idx val="0"/>
          <c:order val="0"/>
          <c:tx>
            <c:strRef>
              <c:f>'TOTAL TEST SCORE'!$Q$61</c:f>
              <c:strCache>
                <c:ptCount val="1"/>
                <c:pt idx="0">
                  <c:v>FINE MOTOR SKILLS</c:v>
                </c:pt>
              </c:strCache>
            </c:strRef>
          </c:tx>
          <c:spPr>
            <a:solidFill>
              <a:srgbClr val="EE0000"/>
            </a:solidFill>
          </c:spPr>
          <c:dPt>
            <c:idx val="0"/>
            <c:bubble3D val="0"/>
            <c:spPr>
              <a:solidFill>
                <a:srgbClr val="EE0000"/>
              </a:solidFill>
              <a:ln w="19050">
                <a:solidFill>
                  <a:schemeClr val="lt1"/>
                </a:solidFill>
              </a:ln>
              <a:effectLst/>
            </c:spPr>
            <c:extLst>
              <c:ext xmlns:c16="http://schemas.microsoft.com/office/drawing/2014/chart" uri="{C3380CC4-5D6E-409C-BE32-E72D297353CC}">
                <c16:uniqueId val="{00000001-99EB-4186-8570-38694B7FD7D8}"/>
              </c:ext>
            </c:extLst>
          </c:dPt>
          <c:dPt>
            <c:idx val="1"/>
            <c:bubble3D val="0"/>
            <c:spPr>
              <a:solidFill>
                <a:srgbClr val="00B050"/>
              </a:solidFill>
              <a:ln w="19050">
                <a:solidFill>
                  <a:schemeClr val="lt1"/>
                </a:solidFill>
              </a:ln>
              <a:effectLst/>
            </c:spPr>
            <c:extLst>
              <c:ext xmlns:c16="http://schemas.microsoft.com/office/drawing/2014/chart" uri="{C3380CC4-5D6E-409C-BE32-E72D297353CC}">
                <c16:uniqueId val="{00000003-99EB-4186-8570-38694B7FD7D8}"/>
              </c:ext>
            </c:extLst>
          </c:dPt>
          <c:cat>
            <c:strRef>
              <c:f>'TOTAL TEST SCORE'!$P$62:$P$63</c:f>
              <c:strCache>
                <c:ptCount val="2"/>
                <c:pt idx="0">
                  <c:v>EMERGING</c:v>
                </c:pt>
                <c:pt idx="1">
                  <c:v>EXPECTED </c:v>
                </c:pt>
              </c:strCache>
            </c:strRef>
          </c:cat>
          <c:val>
            <c:numRef>
              <c:f>'TOTAL TEST SCORE'!$Q$62:$Q$63</c:f>
              <c:numCache>
                <c:formatCode>General</c:formatCode>
                <c:ptCount val="2"/>
                <c:pt idx="0">
                  <c:v>16</c:v>
                </c:pt>
                <c:pt idx="1">
                  <c:v>51</c:v>
                </c:pt>
              </c:numCache>
            </c:numRef>
          </c:val>
          <c:extLst>
            <c:ext xmlns:c16="http://schemas.microsoft.com/office/drawing/2014/chart" uri="{C3380CC4-5D6E-409C-BE32-E72D297353CC}">
              <c16:uniqueId val="{00000004-99EB-4186-8570-38694B7FD7D8}"/>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Calibri Light" panose="020F0302020204030204" pitchFamily="34" charset="0"/>
              <a:ea typeface="Calibri Light" panose="020F0302020204030204" pitchFamily="34" charset="0"/>
              <a:cs typeface="Calibri Light" panose="020F0302020204030204" pitchFamily="34" charset="0"/>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latin typeface="Calibri Light" panose="020F0302020204030204" pitchFamily="34" charset="0"/>
          <a:ea typeface="Calibri Light" panose="020F0302020204030204" pitchFamily="34" charset="0"/>
          <a:cs typeface="Calibri Light" panose="020F0302020204030204" pitchFamily="34" charset="0"/>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cap="all" spc="0" baseline="0">
                <a:solidFill>
                  <a:schemeClr val="tx1">
                    <a:lumMod val="65000"/>
                    <a:lumOff val="35000"/>
                  </a:schemeClr>
                </a:solidFill>
                <a:latin typeface="Calibri Light" panose="020F0302020204030204" pitchFamily="34" charset="0"/>
                <a:ea typeface="Calibri Light" panose="020F0302020204030204" pitchFamily="34" charset="0"/>
                <a:cs typeface="Calibri Light" panose="020F0302020204030204" pitchFamily="34" charset="0"/>
              </a:defRPr>
            </a:pPr>
            <a:r>
              <a:rPr lang="en-GB"/>
              <a:t>GROSS / FINE MOTOR SKILLS</a:t>
            </a:r>
          </a:p>
        </c:rich>
      </c:tx>
      <c:overlay val="0"/>
      <c:spPr>
        <a:noFill/>
        <a:ln>
          <a:noFill/>
        </a:ln>
        <a:effectLst/>
      </c:spPr>
      <c:txPr>
        <a:bodyPr rot="0" spcFirstLastPara="1" vertOverflow="ellipsis" vert="horz" wrap="square" anchor="ctr" anchorCtr="1"/>
        <a:lstStyle/>
        <a:p>
          <a:pPr>
            <a:defRPr sz="1200" b="0" i="0" u="none" strike="noStrike" kern="1200" cap="all" spc="0" baseline="0">
              <a:solidFill>
                <a:schemeClr val="tx1">
                  <a:lumMod val="65000"/>
                  <a:lumOff val="35000"/>
                </a:schemeClr>
              </a:solidFill>
              <a:latin typeface="Calibri Light" panose="020F0302020204030204" pitchFamily="34" charset="0"/>
              <a:ea typeface="Calibri Light" panose="020F0302020204030204" pitchFamily="34" charset="0"/>
              <a:cs typeface="Calibri Light" panose="020F0302020204030204" pitchFamily="34" charset="0"/>
            </a:defRPr>
          </a:pPr>
          <a:endParaRPr lang="en-GB"/>
        </a:p>
      </c:txPr>
    </c:title>
    <c:autoTitleDeleted val="0"/>
    <c:plotArea>
      <c:layout/>
      <c:barChart>
        <c:barDir val="col"/>
        <c:grouping val="clustered"/>
        <c:varyColors val="0"/>
        <c:ser>
          <c:idx val="0"/>
          <c:order val="0"/>
          <c:tx>
            <c:strRef>
              <c:f>'TOTAL TEST SCORE'!$N$6</c:f>
              <c:strCache>
                <c:ptCount val="1"/>
                <c:pt idx="0">
                  <c:v>MALE</c:v>
                </c:pt>
              </c:strCache>
            </c:strRef>
          </c:tx>
          <c:spPr>
            <a:solidFill>
              <a:schemeClr val="accent2"/>
            </a:solidFill>
            <a:ln>
              <a:noFill/>
            </a:ln>
            <a:effectLst/>
          </c:spPr>
          <c:invertIfNegative val="0"/>
          <c:cat>
            <c:strRef>
              <c:f>'TOTAL TEST SCORE'!$O$5:$R$5</c:f>
              <c:strCache>
                <c:ptCount val="4"/>
                <c:pt idx="0">
                  <c:v>emerging</c:v>
                </c:pt>
                <c:pt idx="1">
                  <c:v>expected</c:v>
                </c:pt>
                <c:pt idx="2">
                  <c:v>emerging</c:v>
                </c:pt>
                <c:pt idx="3">
                  <c:v>expected</c:v>
                </c:pt>
              </c:strCache>
            </c:strRef>
          </c:cat>
          <c:val>
            <c:numRef>
              <c:f>'TOTAL TEST SCORE'!$O$6:$R$6</c:f>
              <c:numCache>
                <c:formatCode>0.00%</c:formatCode>
                <c:ptCount val="4"/>
                <c:pt idx="0">
                  <c:v>0.18181818181818182</c:v>
                </c:pt>
                <c:pt idx="1">
                  <c:v>0.81818181818181823</c:v>
                </c:pt>
                <c:pt idx="2">
                  <c:v>0.27272727272727271</c:v>
                </c:pt>
                <c:pt idx="3">
                  <c:v>0.72727272727272729</c:v>
                </c:pt>
              </c:numCache>
            </c:numRef>
          </c:val>
          <c:extLst>
            <c:ext xmlns:c16="http://schemas.microsoft.com/office/drawing/2014/chart" uri="{C3380CC4-5D6E-409C-BE32-E72D297353CC}">
              <c16:uniqueId val="{00000000-A4B7-4CD4-9A87-B0931CDDC6EE}"/>
            </c:ext>
          </c:extLst>
        </c:ser>
        <c:ser>
          <c:idx val="1"/>
          <c:order val="1"/>
          <c:tx>
            <c:strRef>
              <c:f>'TOTAL TEST SCORE'!$N$7</c:f>
              <c:strCache>
                <c:ptCount val="1"/>
                <c:pt idx="0">
                  <c:v>female</c:v>
                </c:pt>
              </c:strCache>
            </c:strRef>
          </c:tx>
          <c:spPr>
            <a:solidFill>
              <a:schemeClr val="accent4"/>
            </a:solidFill>
            <a:ln>
              <a:noFill/>
            </a:ln>
            <a:effectLst/>
          </c:spPr>
          <c:invertIfNegative val="0"/>
          <c:cat>
            <c:strRef>
              <c:f>'TOTAL TEST SCORE'!$O$5:$R$5</c:f>
              <c:strCache>
                <c:ptCount val="4"/>
                <c:pt idx="0">
                  <c:v>emerging</c:v>
                </c:pt>
                <c:pt idx="1">
                  <c:v>expected</c:v>
                </c:pt>
                <c:pt idx="2">
                  <c:v>emerging</c:v>
                </c:pt>
                <c:pt idx="3">
                  <c:v>expected</c:v>
                </c:pt>
              </c:strCache>
            </c:strRef>
          </c:cat>
          <c:val>
            <c:numRef>
              <c:f>'TOTAL TEST SCORE'!$O$7:$R$7</c:f>
              <c:numCache>
                <c:formatCode>0.00%</c:formatCode>
                <c:ptCount val="4"/>
                <c:pt idx="0">
                  <c:v>0.11764705882352941</c:v>
                </c:pt>
                <c:pt idx="1">
                  <c:v>0.88235294117647056</c:v>
                </c:pt>
                <c:pt idx="2">
                  <c:v>0.20588235294117646</c:v>
                </c:pt>
                <c:pt idx="3">
                  <c:v>0.79411764705882348</c:v>
                </c:pt>
              </c:numCache>
            </c:numRef>
          </c:val>
          <c:extLst>
            <c:ext xmlns:c16="http://schemas.microsoft.com/office/drawing/2014/chart" uri="{C3380CC4-5D6E-409C-BE32-E72D297353CC}">
              <c16:uniqueId val="{00000001-A4B7-4CD4-9A87-B0931CDDC6EE}"/>
            </c:ext>
          </c:extLst>
        </c:ser>
        <c:dLbls>
          <c:showLegendKey val="0"/>
          <c:showVal val="0"/>
          <c:showCatName val="0"/>
          <c:showSerName val="0"/>
          <c:showPercent val="0"/>
          <c:showBubbleSize val="0"/>
        </c:dLbls>
        <c:gapWidth val="219"/>
        <c:overlap val="-27"/>
        <c:axId val="2055488416"/>
        <c:axId val="2055485056"/>
      </c:barChart>
      <c:catAx>
        <c:axId val="20554884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000" b="0" i="0" u="none" strike="noStrike" kern="1200" cap="all" baseline="0">
                <a:solidFill>
                  <a:schemeClr val="tx1">
                    <a:lumMod val="65000"/>
                    <a:lumOff val="35000"/>
                  </a:schemeClr>
                </a:solidFill>
                <a:latin typeface="Calibri Light" panose="020F0302020204030204" pitchFamily="34" charset="0"/>
                <a:ea typeface="Calibri Light" panose="020F0302020204030204" pitchFamily="34" charset="0"/>
                <a:cs typeface="Calibri Light" panose="020F0302020204030204" pitchFamily="34" charset="0"/>
              </a:defRPr>
            </a:pPr>
            <a:endParaRPr lang="en-US"/>
          </a:p>
        </c:txPr>
        <c:crossAx val="2055485056"/>
        <c:crosses val="autoZero"/>
        <c:auto val="1"/>
        <c:lblAlgn val="ctr"/>
        <c:lblOffset val="100"/>
        <c:noMultiLvlLbl val="0"/>
      </c:catAx>
      <c:valAx>
        <c:axId val="2055485056"/>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1000" b="0" i="0" u="none" strike="noStrike" kern="1200" cap="all" baseline="0">
                <a:solidFill>
                  <a:schemeClr val="tx1">
                    <a:lumMod val="65000"/>
                    <a:lumOff val="35000"/>
                  </a:schemeClr>
                </a:solidFill>
                <a:latin typeface="Calibri Light" panose="020F0302020204030204" pitchFamily="34" charset="0"/>
                <a:ea typeface="Calibri Light" panose="020F0302020204030204" pitchFamily="34" charset="0"/>
                <a:cs typeface="Calibri Light" panose="020F0302020204030204" pitchFamily="34" charset="0"/>
              </a:defRPr>
            </a:pPr>
            <a:endParaRPr lang="en-US"/>
          </a:p>
        </c:txPr>
        <c:crossAx val="2055488416"/>
        <c:crosses val="autoZero"/>
        <c:crossBetween val="between"/>
      </c:valAx>
      <c:spPr>
        <a:noFill/>
        <a:ln>
          <a:noFill/>
        </a:ln>
        <a:effectLst/>
      </c:spPr>
    </c:plotArea>
    <c:legend>
      <c:legendPos val="b"/>
      <c:layout>
        <c:manualLayout>
          <c:xMode val="edge"/>
          <c:yMode val="edge"/>
          <c:x val="7.0743110236220251E-3"/>
          <c:y val="0.8431707494896471"/>
          <c:w val="8.7413877952755903E-2"/>
          <c:h val="0.13368110236220473"/>
        </c:manualLayout>
      </c:layout>
      <c:overlay val="0"/>
      <c:spPr>
        <a:noFill/>
        <a:ln>
          <a:noFill/>
        </a:ln>
        <a:effectLst/>
      </c:spPr>
      <c:txPr>
        <a:bodyPr rot="0" spcFirstLastPara="1" vertOverflow="ellipsis" vert="horz" wrap="square" anchor="ctr" anchorCtr="1"/>
        <a:lstStyle/>
        <a:p>
          <a:pPr>
            <a:defRPr sz="1000" b="0" i="0" u="none" strike="noStrike" kern="1200" cap="all" baseline="0">
              <a:solidFill>
                <a:schemeClr val="tx1">
                  <a:lumMod val="65000"/>
                  <a:lumOff val="35000"/>
                </a:schemeClr>
              </a:solidFill>
              <a:latin typeface="Calibri Light" panose="020F0302020204030204" pitchFamily="34" charset="0"/>
              <a:ea typeface="Calibri Light" panose="020F0302020204030204" pitchFamily="34" charset="0"/>
              <a:cs typeface="Calibri Light" panose="020F0302020204030204" pitchFamily="34" charset="0"/>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sz="1000" cap="all" baseline="0">
          <a:latin typeface="Calibri Light" panose="020F0302020204030204" pitchFamily="34" charset="0"/>
          <a:ea typeface="Calibri Light" panose="020F0302020204030204" pitchFamily="34" charset="0"/>
          <a:cs typeface="Calibri Light" panose="020F0302020204030204" pitchFamily="34" charset="0"/>
        </a:defRPr>
      </a:pPr>
      <a:endParaRPr lang="en-US"/>
    </a:p>
  </c:txPr>
  <c:externalData r:id="rId3">
    <c:autoUpdate val="0"/>
  </c:externalData>
  <c:userShapes r:id="rId4"/>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all" spc="0" baseline="0">
                <a:solidFill>
                  <a:schemeClr val="tx1">
                    <a:lumMod val="65000"/>
                    <a:lumOff val="35000"/>
                  </a:schemeClr>
                </a:solidFill>
                <a:latin typeface="Calibri Light" panose="020F0302020204030204" pitchFamily="34" charset="0"/>
                <a:ea typeface="Calibri Light" panose="020F0302020204030204" pitchFamily="34" charset="0"/>
                <a:cs typeface="Calibri Light" panose="020F0302020204030204" pitchFamily="34" charset="0"/>
              </a:defRPr>
            </a:pPr>
            <a:r>
              <a:rPr lang="en-GB"/>
              <a:t>MABC Test Results</a:t>
            </a:r>
          </a:p>
        </c:rich>
      </c:tx>
      <c:overlay val="0"/>
      <c:spPr>
        <a:noFill/>
        <a:ln>
          <a:noFill/>
        </a:ln>
        <a:effectLst/>
      </c:spPr>
      <c:txPr>
        <a:bodyPr rot="0" spcFirstLastPara="1" vertOverflow="ellipsis" vert="horz" wrap="square" anchor="ctr" anchorCtr="1"/>
        <a:lstStyle/>
        <a:p>
          <a:pPr>
            <a:defRPr sz="1400" b="0" i="0" u="none" strike="noStrike" kern="1200" cap="all" spc="0" baseline="0">
              <a:solidFill>
                <a:schemeClr val="tx1">
                  <a:lumMod val="65000"/>
                  <a:lumOff val="35000"/>
                </a:schemeClr>
              </a:solidFill>
              <a:latin typeface="Calibri Light" panose="020F0302020204030204" pitchFamily="34" charset="0"/>
              <a:ea typeface="Calibri Light" panose="020F0302020204030204" pitchFamily="34" charset="0"/>
              <a:cs typeface="Calibri Light" panose="020F0302020204030204" pitchFamily="34" charset="0"/>
            </a:defRPr>
          </a:pPr>
          <a:endParaRPr lang="en-US"/>
        </a:p>
      </c:txPr>
    </c:title>
    <c:autoTitleDeleted val="0"/>
    <c:plotArea>
      <c:layout/>
      <c:pieChart>
        <c:varyColors val="1"/>
        <c:ser>
          <c:idx val="0"/>
          <c:order val="0"/>
          <c:dPt>
            <c:idx val="0"/>
            <c:bubble3D val="0"/>
            <c:spPr>
              <a:solidFill>
                <a:srgbClr val="00B050"/>
              </a:solidFill>
              <a:ln w="19050">
                <a:solidFill>
                  <a:schemeClr val="lt1"/>
                </a:solidFill>
              </a:ln>
              <a:effectLst/>
            </c:spPr>
            <c:extLst>
              <c:ext xmlns:c16="http://schemas.microsoft.com/office/drawing/2014/chart" uri="{C3380CC4-5D6E-409C-BE32-E72D297353CC}">
                <c16:uniqueId val="{00000001-E657-4969-83CD-0F43D9586877}"/>
              </c:ext>
            </c:extLst>
          </c:dPt>
          <c:dPt>
            <c:idx val="1"/>
            <c:bubble3D val="0"/>
            <c:spPr>
              <a:solidFill>
                <a:srgbClr val="FFC000"/>
              </a:solidFill>
              <a:ln w="19050">
                <a:solidFill>
                  <a:schemeClr val="lt1"/>
                </a:solidFill>
              </a:ln>
              <a:effectLst/>
            </c:spPr>
            <c:extLst>
              <c:ext xmlns:c16="http://schemas.microsoft.com/office/drawing/2014/chart" uri="{C3380CC4-5D6E-409C-BE32-E72D297353CC}">
                <c16:uniqueId val="{00000003-E657-4969-83CD-0F43D9586877}"/>
              </c:ext>
            </c:extLst>
          </c:dPt>
          <c:dPt>
            <c:idx val="2"/>
            <c:bubble3D val="0"/>
            <c:spPr>
              <a:solidFill>
                <a:srgbClr val="EE0000"/>
              </a:solidFill>
              <a:ln w="19050">
                <a:solidFill>
                  <a:schemeClr val="lt1"/>
                </a:solidFill>
              </a:ln>
              <a:effectLst/>
            </c:spPr>
            <c:extLst>
              <c:ext xmlns:c16="http://schemas.microsoft.com/office/drawing/2014/chart" uri="{C3380CC4-5D6E-409C-BE32-E72D297353CC}">
                <c16:uniqueId val="{00000005-E657-4969-83CD-0F43D9586877}"/>
              </c:ext>
            </c:extLst>
          </c:dPt>
          <c:cat>
            <c:strRef>
              <c:f>'TOTAL TEST SCORE'!$P$23:$P$25</c:f>
              <c:strCache>
                <c:ptCount val="3"/>
                <c:pt idx="0">
                  <c:v>No movement dificulty detected</c:v>
                </c:pt>
                <c:pt idx="1">
                  <c:v>At Risk of having a movement difficulty</c:v>
                </c:pt>
                <c:pt idx="2">
                  <c:v>denote a significant movement difficulty</c:v>
                </c:pt>
              </c:strCache>
            </c:strRef>
          </c:cat>
          <c:val>
            <c:numRef>
              <c:f>'TOTAL TEST SCORE'!$Q$23:$Q$25</c:f>
              <c:numCache>
                <c:formatCode>General</c:formatCode>
                <c:ptCount val="3"/>
                <c:pt idx="0">
                  <c:v>20</c:v>
                </c:pt>
                <c:pt idx="1">
                  <c:v>20</c:v>
                </c:pt>
                <c:pt idx="2">
                  <c:v>30</c:v>
                </c:pt>
              </c:numCache>
            </c:numRef>
          </c:val>
          <c:extLst>
            <c:ext xmlns:c16="http://schemas.microsoft.com/office/drawing/2014/chart" uri="{C3380CC4-5D6E-409C-BE32-E72D297353CC}">
              <c16:uniqueId val="{00000006-E657-4969-83CD-0F43D9586877}"/>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manualLayout>
          <c:xMode val="edge"/>
          <c:yMode val="edge"/>
          <c:x val="3.3316082839468381E-2"/>
          <c:y val="0.87061047987124351"/>
          <c:w val="0.94830917336746312"/>
          <c:h val="0.10066429644008849"/>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Calibri Light" panose="020F0302020204030204" pitchFamily="34" charset="0"/>
              <a:ea typeface="Calibri Light" panose="020F0302020204030204" pitchFamily="34" charset="0"/>
              <a:cs typeface="Calibri Light" panose="020F0302020204030204" pitchFamily="34" charset="0"/>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19050" cap="flat" cmpd="sng" algn="ctr">
      <a:solidFill>
        <a:schemeClr val="bg1">
          <a:lumMod val="85000"/>
        </a:schemeClr>
      </a:solidFill>
      <a:round/>
    </a:ln>
    <a:effectLst/>
  </c:spPr>
  <c:txPr>
    <a:bodyPr/>
    <a:lstStyle/>
    <a:p>
      <a:pPr>
        <a:defRPr cap="all" baseline="0">
          <a:latin typeface="Calibri Light" panose="020F0302020204030204" pitchFamily="34" charset="0"/>
          <a:ea typeface="Calibri Light" panose="020F0302020204030204" pitchFamily="34" charset="0"/>
          <a:cs typeface="Calibri Light" panose="020F0302020204030204" pitchFamily="34" charset="0"/>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Calibri Light" panose="020F0302020204030204" pitchFamily="34" charset="0"/>
                <a:ea typeface="Calibri Light" panose="020F0302020204030204" pitchFamily="34" charset="0"/>
                <a:cs typeface="Calibri Light" panose="020F0302020204030204" pitchFamily="34" charset="0"/>
              </a:defRPr>
            </a:pPr>
            <a:r>
              <a:rPr lang="en-GB"/>
              <a:t>SCHOOL B</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Calibri Light" panose="020F0302020204030204" pitchFamily="34" charset="0"/>
              <a:ea typeface="Calibri Light" panose="020F0302020204030204" pitchFamily="34" charset="0"/>
              <a:cs typeface="Calibri Light" panose="020F0302020204030204" pitchFamily="34" charset="0"/>
            </a:defRPr>
          </a:pPr>
          <a:endParaRPr lang="en-US"/>
        </a:p>
      </c:txPr>
    </c:title>
    <c:autoTitleDeleted val="0"/>
    <c:plotArea>
      <c:layout>
        <c:manualLayout>
          <c:layoutTarget val="inner"/>
          <c:xMode val="edge"/>
          <c:yMode val="edge"/>
          <c:x val="0.31028040986402122"/>
          <c:y val="0.2035116598079561"/>
          <c:w val="0.42087044204220236"/>
          <c:h val="0.61311990322197385"/>
        </c:manualLayout>
      </c:layout>
      <c:pieChart>
        <c:varyColors val="1"/>
        <c:ser>
          <c:idx val="0"/>
          <c:order val="0"/>
          <c:dPt>
            <c:idx val="0"/>
            <c:bubble3D val="0"/>
            <c:spPr>
              <a:solidFill>
                <a:srgbClr val="FF0000"/>
              </a:solidFill>
              <a:ln w="19050">
                <a:solidFill>
                  <a:schemeClr val="lt1"/>
                </a:solidFill>
              </a:ln>
              <a:effectLst/>
            </c:spPr>
            <c:extLst>
              <c:ext xmlns:c16="http://schemas.microsoft.com/office/drawing/2014/chart" uri="{C3380CC4-5D6E-409C-BE32-E72D297353CC}">
                <c16:uniqueId val="{00000001-25BD-41A4-A7E9-30592F9957E4}"/>
              </c:ext>
            </c:extLst>
          </c:dPt>
          <c:dPt>
            <c:idx val="1"/>
            <c:bubble3D val="0"/>
            <c:spPr>
              <a:solidFill>
                <a:srgbClr val="FFC000"/>
              </a:solidFill>
              <a:ln w="19050">
                <a:solidFill>
                  <a:schemeClr val="lt1"/>
                </a:solidFill>
              </a:ln>
              <a:effectLst/>
            </c:spPr>
            <c:extLst>
              <c:ext xmlns:c16="http://schemas.microsoft.com/office/drawing/2014/chart" uri="{C3380CC4-5D6E-409C-BE32-E72D297353CC}">
                <c16:uniqueId val="{00000003-25BD-41A4-A7E9-30592F9957E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5BD-41A4-A7E9-30592F9957E4}"/>
              </c:ext>
            </c:extLst>
          </c:dPt>
          <c:cat>
            <c:strRef>
              <c:f>Sheet1!$A$5:$C$5</c:f>
              <c:strCache>
                <c:ptCount val="3"/>
                <c:pt idx="0">
                  <c:v>RED &lt;5TH PERCENTILE</c:v>
                </c:pt>
                <c:pt idx="1">
                  <c:v>AMBER 6-15TH PERCENTILE</c:v>
                </c:pt>
                <c:pt idx="2">
                  <c:v>GREEN &gt;16TH PERCENTILE</c:v>
                </c:pt>
              </c:strCache>
            </c:strRef>
          </c:cat>
          <c:val>
            <c:numRef>
              <c:f>Sheet1!$A$6:$C$6</c:f>
              <c:numCache>
                <c:formatCode>General</c:formatCode>
                <c:ptCount val="3"/>
                <c:pt idx="0">
                  <c:v>13</c:v>
                </c:pt>
                <c:pt idx="1">
                  <c:v>11</c:v>
                </c:pt>
                <c:pt idx="2">
                  <c:v>12</c:v>
                </c:pt>
              </c:numCache>
            </c:numRef>
          </c:val>
          <c:extLst>
            <c:ext xmlns:c16="http://schemas.microsoft.com/office/drawing/2014/chart" uri="{C3380CC4-5D6E-409C-BE32-E72D297353CC}">
              <c16:uniqueId val="{00000006-25BD-41A4-A7E9-30592F9957E4}"/>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manualLayout>
          <c:xMode val="edge"/>
          <c:yMode val="edge"/>
          <c:x val="3.1062136254707301E-2"/>
          <c:y val="0.79012216065584395"/>
          <c:w val="0.94149891589638257"/>
          <c:h val="0.17695602864456758"/>
        </c:manualLayout>
      </c:layout>
      <c:overlay val="0"/>
      <c:spPr>
        <a:noFill/>
        <a:ln>
          <a:noFill/>
        </a:ln>
        <a:effectLst/>
      </c:spPr>
      <c:txPr>
        <a:bodyPr rot="0" spcFirstLastPara="1" vertOverflow="ellipsis" vert="horz" wrap="square" anchor="ctr" anchorCtr="1"/>
        <a:lstStyle/>
        <a:p>
          <a:pPr>
            <a:defRPr sz="700" b="0" i="0" u="none" strike="noStrike" kern="1200" baseline="0">
              <a:solidFill>
                <a:schemeClr val="tx1">
                  <a:lumMod val="65000"/>
                  <a:lumOff val="35000"/>
                </a:schemeClr>
              </a:solidFill>
              <a:latin typeface="Calibri Light" panose="020F0302020204030204" pitchFamily="34" charset="0"/>
              <a:ea typeface="Calibri Light" panose="020F0302020204030204" pitchFamily="34" charset="0"/>
              <a:cs typeface="Calibri Light" panose="020F0302020204030204" pitchFamily="34" charset="0"/>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latin typeface="Calibri Light" panose="020F0302020204030204" pitchFamily="34" charset="0"/>
          <a:ea typeface="Calibri Light" panose="020F0302020204030204" pitchFamily="34" charset="0"/>
          <a:cs typeface="Calibri Light" panose="020F0302020204030204" pitchFamily="34" charset="0"/>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Calibri Light" panose="020F0302020204030204" pitchFamily="34" charset="0"/>
                <a:ea typeface="Calibri Light" panose="020F0302020204030204" pitchFamily="34" charset="0"/>
                <a:cs typeface="Calibri Light" panose="020F0302020204030204" pitchFamily="34" charset="0"/>
              </a:defRPr>
            </a:pPr>
            <a:r>
              <a:rPr lang="en-GB"/>
              <a:t>SCHOOL A</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Calibri Light" panose="020F0302020204030204" pitchFamily="34" charset="0"/>
              <a:ea typeface="Calibri Light" panose="020F0302020204030204" pitchFamily="34" charset="0"/>
              <a:cs typeface="Calibri Light" panose="020F0302020204030204" pitchFamily="34" charset="0"/>
            </a:defRPr>
          </a:pPr>
          <a:endParaRPr lang="en-US"/>
        </a:p>
      </c:txPr>
    </c:title>
    <c:autoTitleDeleted val="0"/>
    <c:plotArea>
      <c:layout/>
      <c:pieChart>
        <c:varyColors val="1"/>
        <c:ser>
          <c:idx val="0"/>
          <c:order val="0"/>
          <c:dPt>
            <c:idx val="0"/>
            <c:bubble3D val="0"/>
            <c:spPr>
              <a:solidFill>
                <a:srgbClr val="FF0000"/>
              </a:solidFill>
              <a:ln w="19050">
                <a:solidFill>
                  <a:schemeClr val="lt1"/>
                </a:solidFill>
              </a:ln>
              <a:effectLst/>
            </c:spPr>
            <c:extLst>
              <c:ext xmlns:c16="http://schemas.microsoft.com/office/drawing/2014/chart" uri="{C3380CC4-5D6E-409C-BE32-E72D297353CC}">
                <c16:uniqueId val="{00000001-388D-43C3-A41E-821B57791A9F}"/>
              </c:ext>
            </c:extLst>
          </c:dPt>
          <c:dPt>
            <c:idx val="1"/>
            <c:bubble3D val="0"/>
            <c:spPr>
              <a:solidFill>
                <a:srgbClr val="FFC000"/>
              </a:solidFill>
              <a:ln w="19050">
                <a:solidFill>
                  <a:schemeClr val="lt1"/>
                </a:solidFill>
              </a:ln>
              <a:effectLst/>
            </c:spPr>
            <c:extLst>
              <c:ext xmlns:c16="http://schemas.microsoft.com/office/drawing/2014/chart" uri="{C3380CC4-5D6E-409C-BE32-E72D297353CC}">
                <c16:uniqueId val="{00000003-388D-43C3-A41E-821B57791A9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88D-43C3-A41E-821B57791A9F}"/>
              </c:ext>
            </c:extLst>
          </c:dPt>
          <c:cat>
            <c:strRef>
              <c:f>Sheet1!$A$1:$C$1</c:f>
              <c:strCache>
                <c:ptCount val="3"/>
                <c:pt idx="0">
                  <c:v>RED &lt;5TH PERCENTILE</c:v>
                </c:pt>
                <c:pt idx="1">
                  <c:v>AMBER 6-15TH PERCENTILE</c:v>
                </c:pt>
                <c:pt idx="2">
                  <c:v>GREEN &gt;16TH PERCENTILE</c:v>
                </c:pt>
              </c:strCache>
            </c:strRef>
          </c:cat>
          <c:val>
            <c:numRef>
              <c:f>Sheet1!$A$2:$C$2</c:f>
              <c:numCache>
                <c:formatCode>General</c:formatCode>
                <c:ptCount val="3"/>
                <c:pt idx="0">
                  <c:v>17</c:v>
                </c:pt>
                <c:pt idx="1">
                  <c:v>9</c:v>
                </c:pt>
                <c:pt idx="2">
                  <c:v>8</c:v>
                </c:pt>
              </c:numCache>
            </c:numRef>
          </c:val>
          <c:extLst>
            <c:ext xmlns:c16="http://schemas.microsoft.com/office/drawing/2014/chart" uri="{C3380CC4-5D6E-409C-BE32-E72D297353CC}">
              <c16:uniqueId val="{00000006-388D-43C3-A41E-821B57791A9F}"/>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manualLayout>
          <c:xMode val="edge"/>
          <c:yMode val="edge"/>
          <c:x val="2.5000570580851297E-2"/>
          <c:y val="0.81587384221600401"/>
          <c:w val="0.96159275742706074"/>
          <c:h val="0.1510683065443266"/>
        </c:manualLayout>
      </c:layout>
      <c:overlay val="0"/>
      <c:spPr>
        <a:noFill/>
        <a:ln>
          <a:noFill/>
        </a:ln>
        <a:effectLst/>
      </c:spPr>
      <c:txPr>
        <a:bodyPr rot="0" spcFirstLastPara="1" vertOverflow="ellipsis" vert="horz" wrap="square" anchor="ctr" anchorCtr="1"/>
        <a:lstStyle/>
        <a:p>
          <a:pPr>
            <a:defRPr sz="700" b="0" i="0" u="none" strike="noStrike" kern="1200" baseline="0">
              <a:solidFill>
                <a:schemeClr val="tx1">
                  <a:lumMod val="65000"/>
                  <a:lumOff val="35000"/>
                </a:schemeClr>
              </a:solidFill>
              <a:latin typeface="Calibri Light" panose="020F0302020204030204" pitchFamily="34" charset="0"/>
              <a:ea typeface="Calibri Light" panose="020F0302020204030204" pitchFamily="34" charset="0"/>
              <a:cs typeface="Calibri Light" panose="020F0302020204030204" pitchFamily="34" charset="0"/>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latin typeface="Calibri Light" panose="020F0302020204030204" pitchFamily="34" charset="0"/>
          <a:ea typeface="Calibri Light" panose="020F0302020204030204" pitchFamily="34" charset="0"/>
          <a:cs typeface="Calibri Light" panose="020F0302020204030204" pitchFamily="34"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0.1829</cdr:x>
      <cdr:y>0.88546</cdr:y>
    </cdr:from>
    <cdr:to>
      <cdr:x>0.4366</cdr:x>
      <cdr:y>0.96769</cdr:y>
    </cdr:to>
    <cdr:sp macro="" textlink="">
      <cdr:nvSpPr>
        <cdr:cNvPr id="2" name="Text Box 1"/>
        <cdr:cNvSpPr txBox="1"/>
      </cdr:nvSpPr>
      <cdr:spPr>
        <a:xfrm xmlns:a="http://schemas.openxmlformats.org/drawingml/2006/main">
          <a:off x="1248740" y="2429000"/>
          <a:ext cx="1732123" cy="225579"/>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pPr algn="ctr"/>
          <a:r>
            <a:rPr lang="en-GB" sz="1100" kern="1200"/>
            <a:t>GROSS</a:t>
          </a:r>
          <a:r>
            <a:rPr lang="en-GB" sz="1100" kern="1200" baseline="0"/>
            <a:t> MOTOR</a:t>
          </a:r>
          <a:endParaRPr lang="en-GB" sz="1100" kern="1200"/>
        </a:p>
      </cdr:txBody>
    </cdr:sp>
  </cdr:relSizeAnchor>
  <cdr:relSizeAnchor xmlns:cdr="http://schemas.openxmlformats.org/drawingml/2006/chartDrawing">
    <cdr:from>
      <cdr:x>0.66056</cdr:x>
      <cdr:y>0.89223</cdr:y>
    </cdr:from>
    <cdr:to>
      <cdr:x>0.91426</cdr:x>
      <cdr:y>0.97447</cdr:y>
    </cdr:to>
    <cdr:sp macro="" textlink="">
      <cdr:nvSpPr>
        <cdr:cNvPr id="3" name="Text Box 1"/>
        <cdr:cNvSpPr txBox="1"/>
      </cdr:nvSpPr>
      <cdr:spPr>
        <a:xfrm xmlns:a="http://schemas.openxmlformats.org/drawingml/2006/main">
          <a:off x="4510011" y="2447575"/>
          <a:ext cx="1732123" cy="225579"/>
        </a:xfrm>
        <a:prstGeom xmlns:a="http://schemas.openxmlformats.org/drawingml/2006/main" prst="rect">
          <a:avLst/>
        </a:prstGeom>
      </cdr:spPr>
      <cdr:txBody>
        <a:bodyPr xmlns:a="http://schemas.openxmlformats.org/drawingml/2006/main" wrap="squar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pPr algn="ctr"/>
          <a:r>
            <a:rPr lang="en-GB" sz="1100" kern="1200">
              <a:latin typeface="Calibri Light" panose="020F0302020204030204" pitchFamily="34" charset="0"/>
              <a:ea typeface="Calibri Light" panose="020F0302020204030204" pitchFamily="34" charset="0"/>
              <a:cs typeface="Calibri Light" panose="020F0302020204030204" pitchFamily="34" charset="0"/>
            </a:rPr>
            <a:t>FINE</a:t>
          </a:r>
          <a:r>
            <a:rPr lang="en-GB" sz="1100" kern="1200" baseline="0"/>
            <a:t> </a:t>
          </a:r>
          <a:r>
            <a:rPr lang="en-GB" sz="1100" kern="1200" baseline="0">
              <a:latin typeface="Calibri Light" panose="020F0302020204030204" pitchFamily="34" charset="0"/>
              <a:ea typeface="Calibri Light" panose="020F0302020204030204" pitchFamily="34" charset="0"/>
              <a:cs typeface="Calibri Light" panose="020F0302020204030204" pitchFamily="34" charset="0"/>
            </a:rPr>
            <a:t>MOTOR</a:t>
          </a:r>
          <a:endParaRPr lang="en-GB" sz="1100" kern="1200">
            <a:latin typeface="Calibri Light" panose="020F0302020204030204" pitchFamily="34" charset="0"/>
            <a:ea typeface="Calibri Light" panose="020F0302020204030204" pitchFamily="34" charset="0"/>
            <a:cs typeface="Calibri Light" panose="020F0302020204030204" pitchFamily="34" charset="0"/>
          </a:endParaRPr>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306</TotalTime>
  <Pages>45</Pages>
  <Words>18648</Words>
  <Characters>106294</Characters>
  <Application>Microsoft Office Word</Application>
  <DocSecurity>0</DocSecurity>
  <Lines>885</Lines>
  <Paragraphs>249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Feighan</dc:creator>
  <cp:keywords/>
  <dc:description/>
  <cp:lastModifiedBy>Tom Feighan</cp:lastModifiedBy>
  <cp:revision>45</cp:revision>
  <cp:lastPrinted>2025-09-14T11:01:00Z</cp:lastPrinted>
  <dcterms:created xsi:type="dcterms:W3CDTF">2025-09-14T10:49:00Z</dcterms:created>
  <dcterms:modified xsi:type="dcterms:W3CDTF">2025-09-21T18:12:00Z</dcterms:modified>
</cp:coreProperties>
</file>