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63353631" w:rsidR="00B152DF" w:rsidRDefault="005F738D">
      <w:r w:rsidRPr="00A406E5">
        <w:rPr>
          <w:rFonts w:ascii="Arial" w:hAnsi="Arial" w:cs="Arial"/>
          <w:noProof/>
        </w:rPr>
        <w:drawing>
          <wp:anchor distT="0" distB="0" distL="114300" distR="114300" simplePos="0" relativeHeight="251659264" behindDoc="0" locked="0" layoutInCell="1" allowOverlap="1" wp14:anchorId="6EAA219C" wp14:editId="5F13BC35">
            <wp:simplePos x="0" y="0"/>
            <wp:positionH relativeFrom="column">
              <wp:posOffset>1775460</wp:posOffset>
            </wp:positionH>
            <wp:positionV relativeFrom="paragraph">
              <wp:posOffset>0</wp:posOffset>
            </wp:positionV>
            <wp:extent cx="1809750" cy="82296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822960"/>
                    </a:xfrm>
                    <a:prstGeom prst="rect">
                      <a:avLst/>
                    </a:prstGeom>
                    <a:noFill/>
                    <a:ln>
                      <a:noFill/>
                    </a:ln>
                  </pic:spPr>
                </pic:pic>
              </a:graphicData>
            </a:graphic>
            <wp14:sizeRelV relativeFrom="margin">
              <wp14:pctHeight>0</wp14:pctHeight>
            </wp14:sizeRelV>
          </wp:anchor>
        </w:drawing>
      </w:r>
    </w:p>
    <w:p w14:paraId="4F99AB73" w14:textId="75DE10BE"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5C108E20" w14:textId="6897A161" w:rsidR="00D8227D" w:rsidRPr="00DD45F1" w:rsidRDefault="004E492C" w:rsidP="009809A2">
      <w:pPr>
        <w:spacing w:after="0"/>
        <w:jc w:val="both"/>
        <w:rPr>
          <w:rFonts w:ascii="Arial" w:hAnsi="Arial" w:cs="Arial"/>
          <w:color w:val="002060"/>
          <w:sz w:val="40"/>
          <w:szCs w:val="40"/>
          <w:lang w:val="en-US"/>
        </w:rPr>
      </w:pPr>
      <w:r w:rsidRPr="00DD45F1">
        <w:rPr>
          <w:rFonts w:ascii="Arial" w:hAnsi="Arial" w:cs="Arial"/>
          <w:color w:val="002060"/>
          <w:sz w:val="40"/>
          <w:szCs w:val="40"/>
          <w:lang w:val="en-US"/>
        </w:rPr>
        <w:t>University of Wales Trinity Saint David (UWTSD)</w:t>
      </w:r>
    </w:p>
    <w:p w14:paraId="114B4052" w14:textId="77777777" w:rsidR="00D171C1" w:rsidRDefault="00D171C1" w:rsidP="009809A2">
      <w:pPr>
        <w:spacing w:after="0"/>
        <w:jc w:val="both"/>
        <w:rPr>
          <w:rFonts w:ascii="Arial" w:hAnsi="Arial" w:cs="Arial"/>
          <w:sz w:val="36"/>
          <w:szCs w:val="36"/>
          <w:lang w:val="en-US"/>
        </w:rPr>
      </w:pPr>
    </w:p>
    <w:p w14:paraId="2543E3AA" w14:textId="49FF1C96" w:rsidR="0005771F" w:rsidRPr="008C7DFA" w:rsidRDefault="0005771F" w:rsidP="009809A2">
      <w:pPr>
        <w:spacing w:after="0"/>
        <w:jc w:val="both"/>
        <w:rPr>
          <w:rFonts w:ascii="Arial" w:hAnsi="Arial" w:cs="Arial"/>
          <w:sz w:val="32"/>
          <w:szCs w:val="32"/>
          <w:lang w:val="en-US"/>
        </w:rPr>
      </w:pPr>
      <w:r w:rsidRPr="008C7DFA">
        <w:rPr>
          <w:rFonts w:ascii="Arial" w:hAnsi="Arial" w:cs="Arial"/>
          <w:sz w:val="32"/>
          <w:szCs w:val="32"/>
          <w:lang w:val="en-US"/>
        </w:rPr>
        <w:t>Module Title:</w:t>
      </w:r>
      <w:r w:rsidR="0035328C" w:rsidRPr="008C7DFA">
        <w:rPr>
          <w:rFonts w:ascii="Arial" w:hAnsi="Arial" w:cs="Arial"/>
          <w:sz w:val="32"/>
          <w:szCs w:val="32"/>
          <w:lang w:val="en-US"/>
        </w:rPr>
        <w:t xml:space="preserve"> </w:t>
      </w:r>
      <w:r w:rsidR="00D171C1" w:rsidRPr="008C7DFA">
        <w:rPr>
          <w:rFonts w:ascii="Arial" w:hAnsi="Arial" w:cs="Arial"/>
          <w:sz w:val="32"/>
          <w:szCs w:val="32"/>
          <w:lang w:val="en-US"/>
        </w:rPr>
        <w:t>Principles of Health and Social Care Practice</w:t>
      </w:r>
    </w:p>
    <w:p w14:paraId="1CB1076C" w14:textId="77777777" w:rsidR="004C5D92" w:rsidRPr="008C7DFA" w:rsidRDefault="004C5D92" w:rsidP="009809A2">
      <w:pPr>
        <w:spacing w:after="0"/>
        <w:jc w:val="both"/>
        <w:rPr>
          <w:rFonts w:ascii="Arial" w:hAnsi="Arial" w:cs="Arial"/>
          <w:sz w:val="32"/>
          <w:szCs w:val="32"/>
          <w:lang w:val="en-US"/>
        </w:rPr>
      </w:pPr>
    </w:p>
    <w:p w14:paraId="09BB4C30" w14:textId="66521039" w:rsidR="00230935" w:rsidRPr="008C7DFA" w:rsidRDefault="0005771F" w:rsidP="00230935">
      <w:pPr>
        <w:spacing w:after="0" w:line="276" w:lineRule="auto"/>
        <w:jc w:val="both"/>
        <w:rPr>
          <w:rFonts w:ascii="Arial" w:hAnsi="Arial" w:cs="Arial"/>
          <w:sz w:val="32"/>
          <w:szCs w:val="32"/>
          <w:lang w:val="en-US"/>
        </w:rPr>
      </w:pPr>
      <w:r w:rsidRPr="008C7DFA">
        <w:rPr>
          <w:rFonts w:ascii="Arial" w:hAnsi="Arial" w:cs="Arial"/>
          <w:sz w:val="32"/>
          <w:szCs w:val="32"/>
          <w:lang w:val="en-US"/>
        </w:rPr>
        <w:t>Module Code:</w:t>
      </w:r>
      <w:r w:rsidR="0035328C" w:rsidRPr="008C7DFA">
        <w:rPr>
          <w:rFonts w:ascii="Arial" w:hAnsi="Arial" w:cs="Arial"/>
          <w:sz w:val="32"/>
          <w:szCs w:val="32"/>
          <w:lang w:val="en-US"/>
        </w:rPr>
        <w:t xml:space="preserve"> </w:t>
      </w:r>
      <w:r w:rsidR="00664008" w:rsidRPr="008C7DFA">
        <w:rPr>
          <w:rFonts w:ascii="Arial" w:hAnsi="Arial" w:cs="Arial"/>
          <w:sz w:val="32"/>
          <w:szCs w:val="32"/>
          <w:lang w:val="en-US"/>
        </w:rPr>
        <w:t>BMHP50</w:t>
      </w:r>
      <w:r w:rsidR="000A6849" w:rsidRPr="008C7DFA">
        <w:rPr>
          <w:rFonts w:ascii="Arial" w:hAnsi="Arial" w:cs="Arial"/>
          <w:sz w:val="32"/>
          <w:szCs w:val="32"/>
          <w:lang w:val="en-US"/>
        </w:rPr>
        <w:t>16</w:t>
      </w:r>
    </w:p>
    <w:p w14:paraId="06214F07" w14:textId="77777777" w:rsidR="00230935" w:rsidRPr="008C7DFA" w:rsidRDefault="00230935" w:rsidP="00230935">
      <w:pPr>
        <w:spacing w:after="0" w:line="276" w:lineRule="auto"/>
        <w:jc w:val="both"/>
        <w:rPr>
          <w:rFonts w:ascii="Arial" w:hAnsi="Arial" w:cs="Arial"/>
          <w:sz w:val="32"/>
          <w:szCs w:val="32"/>
          <w:lang w:val="en-US"/>
        </w:rPr>
      </w:pPr>
    </w:p>
    <w:p w14:paraId="613B7B52" w14:textId="1915A053" w:rsidR="0005771F" w:rsidRPr="008C7DFA" w:rsidRDefault="00230935" w:rsidP="00230935">
      <w:pPr>
        <w:spacing w:after="0" w:line="276" w:lineRule="auto"/>
        <w:jc w:val="both"/>
        <w:rPr>
          <w:rFonts w:ascii="Arial" w:hAnsi="Arial" w:cs="Arial"/>
          <w:sz w:val="32"/>
          <w:szCs w:val="32"/>
          <w:lang w:val="en-US"/>
        </w:rPr>
      </w:pPr>
      <w:r w:rsidRPr="008C7DFA">
        <w:rPr>
          <w:rFonts w:ascii="Arial" w:hAnsi="Arial" w:cs="Arial"/>
          <w:sz w:val="32"/>
          <w:szCs w:val="32"/>
          <w:lang w:val="en-US"/>
        </w:rPr>
        <w:t xml:space="preserve">Assessment: </w:t>
      </w:r>
      <w:r w:rsidR="0005771F" w:rsidRPr="008C7DFA">
        <w:rPr>
          <w:rFonts w:ascii="Arial" w:hAnsi="Arial" w:cs="Arial"/>
          <w:sz w:val="32"/>
          <w:szCs w:val="32"/>
          <w:lang w:val="en-US"/>
        </w:rPr>
        <w:t>C</w:t>
      </w:r>
      <w:r w:rsidR="0035328C" w:rsidRPr="008C7DFA">
        <w:rPr>
          <w:rFonts w:ascii="Arial" w:hAnsi="Arial" w:cs="Arial"/>
          <w:sz w:val="32"/>
          <w:szCs w:val="32"/>
          <w:lang w:val="en-US"/>
        </w:rPr>
        <w:t xml:space="preserve">omponent </w:t>
      </w:r>
      <w:r w:rsidR="008F5E6D">
        <w:rPr>
          <w:rFonts w:ascii="Arial" w:hAnsi="Arial" w:cs="Arial"/>
          <w:sz w:val="32"/>
          <w:szCs w:val="32"/>
          <w:lang w:val="en-US"/>
        </w:rPr>
        <w:t>1</w:t>
      </w:r>
      <w:r w:rsidR="00254217" w:rsidRPr="008C7DFA">
        <w:rPr>
          <w:rFonts w:ascii="Arial" w:hAnsi="Arial" w:cs="Arial"/>
          <w:sz w:val="32"/>
          <w:szCs w:val="32"/>
          <w:lang w:val="en-US"/>
        </w:rPr>
        <w:t xml:space="preserve"> </w:t>
      </w:r>
      <w:r w:rsidR="00777189" w:rsidRPr="008C7DFA">
        <w:rPr>
          <w:rFonts w:ascii="Arial" w:hAnsi="Arial" w:cs="Arial"/>
          <w:sz w:val="32"/>
          <w:szCs w:val="32"/>
          <w:lang w:val="en-US"/>
        </w:rPr>
        <w:t xml:space="preserve">- </w:t>
      </w:r>
      <w:r w:rsidR="00EA2C68" w:rsidRPr="008C7DFA">
        <w:rPr>
          <w:rFonts w:ascii="Arial" w:hAnsi="Arial" w:cs="Arial"/>
          <w:sz w:val="32"/>
          <w:szCs w:val="32"/>
          <w:lang w:val="en-US"/>
        </w:rPr>
        <w:t>Written Assignment</w:t>
      </w:r>
      <w:r w:rsidR="00A529B9">
        <w:rPr>
          <w:rFonts w:ascii="Arial" w:hAnsi="Arial" w:cs="Arial"/>
          <w:sz w:val="32"/>
          <w:szCs w:val="32"/>
          <w:lang w:val="en-US"/>
        </w:rPr>
        <w:t xml:space="preserve"> </w:t>
      </w:r>
      <w:r w:rsidR="00916084">
        <w:rPr>
          <w:rFonts w:ascii="Arial" w:hAnsi="Arial" w:cs="Arial"/>
          <w:sz w:val="32"/>
          <w:szCs w:val="32"/>
          <w:lang w:val="en-US"/>
        </w:rPr>
        <w:t>(</w:t>
      </w:r>
      <w:r w:rsidR="00816DBF">
        <w:rPr>
          <w:rFonts w:ascii="Arial" w:hAnsi="Arial" w:cs="Arial"/>
          <w:sz w:val="32"/>
          <w:szCs w:val="32"/>
          <w:lang w:val="en-US"/>
        </w:rPr>
        <w:t xml:space="preserve">Reflective </w:t>
      </w:r>
      <w:r w:rsidR="002E6BA3">
        <w:rPr>
          <w:rFonts w:ascii="Arial" w:hAnsi="Arial" w:cs="Arial"/>
          <w:sz w:val="32"/>
          <w:szCs w:val="32"/>
          <w:lang w:val="en-US"/>
        </w:rPr>
        <w:t>Report)</w:t>
      </w:r>
    </w:p>
    <w:p w14:paraId="41F6DB18" w14:textId="77777777" w:rsidR="0005771F" w:rsidRPr="008C7DFA" w:rsidRDefault="0005771F" w:rsidP="0005771F">
      <w:pPr>
        <w:spacing w:line="276" w:lineRule="auto"/>
        <w:jc w:val="both"/>
        <w:rPr>
          <w:rFonts w:ascii="Arial" w:hAnsi="Arial" w:cs="Arial"/>
          <w:sz w:val="32"/>
          <w:szCs w:val="32"/>
          <w:lang w:val="en-US"/>
        </w:rPr>
      </w:pPr>
    </w:p>
    <w:p w14:paraId="525487EE" w14:textId="05BFB8AE" w:rsidR="0005771F" w:rsidRPr="008C7DFA" w:rsidRDefault="0005771F" w:rsidP="0005771F">
      <w:pPr>
        <w:spacing w:line="276" w:lineRule="auto"/>
        <w:jc w:val="both"/>
        <w:rPr>
          <w:rFonts w:ascii="Arial" w:hAnsi="Arial" w:cs="Arial"/>
          <w:sz w:val="32"/>
          <w:szCs w:val="32"/>
          <w:lang w:val="en-US"/>
        </w:rPr>
      </w:pPr>
      <w:r w:rsidRPr="008C7DFA">
        <w:rPr>
          <w:rFonts w:ascii="Arial" w:hAnsi="Arial" w:cs="Arial"/>
          <w:sz w:val="32"/>
          <w:szCs w:val="32"/>
          <w:lang w:val="en-US"/>
        </w:rPr>
        <w:t xml:space="preserve">Student Name: </w:t>
      </w:r>
      <w:r w:rsidR="000B2D27" w:rsidRPr="008C7DFA">
        <w:rPr>
          <w:rFonts w:ascii="Arial" w:hAnsi="Arial" w:cs="Arial"/>
          <w:sz w:val="32"/>
          <w:szCs w:val="32"/>
          <w:lang w:val="en-US"/>
        </w:rPr>
        <w:t>Prince Jimoh Isidahomen</w:t>
      </w:r>
    </w:p>
    <w:p w14:paraId="10FAAC5C" w14:textId="77777777" w:rsidR="004C5D92" w:rsidRPr="008C7DFA" w:rsidRDefault="004C5D92" w:rsidP="0005771F">
      <w:pPr>
        <w:spacing w:line="276" w:lineRule="auto"/>
        <w:jc w:val="both"/>
        <w:rPr>
          <w:rFonts w:ascii="Arial" w:hAnsi="Arial" w:cs="Arial"/>
          <w:sz w:val="32"/>
          <w:szCs w:val="32"/>
          <w:lang w:val="en-US"/>
        </w:rPr>
      </w:pPr>
    </w:p>
    <w:p w14:paraId="0FEF87A9" w14:textId="35EBDB62" w:rsidR="0005771F" w:rsidRPr="008C7DFA" w:rsidRDefault="0005771F" w:rsidP="0005771F">
      <w:pPr>
        <w:spacing w:line="276" w:lineRule="auto"/>
        <w:jc w:val="both"/>
        <w:rPr>
          <w:rFonts w:ascii="Arial" w:hAnsi="Arial" w:cs="Arial"/>
          <w:sz w:val="32"/>
          <w:szCs w:val="32"/>
          <w:lang w:val="en-US"/>
        </w:rPr>
      </w:pPr>
      <w:r w:rsidRPr="008C7DFA">
        <w:rPr>
          <w:rFonts w:ascii="Arial" w:hAnsi="Arial" w:cs="Arial"/>
          <w:sz w:val="32"/>
          <w:szCs w:val="32"/>
          <w:lang w:val="en-US"/>
        </w:rPr>
        <w:t>Student Number:</w:t>
      </w:r>
      <w:r w:rsidR="0035328C" w:rsidRPr="008C7DFA">
        <w:rPr>
          <w:rFonts w:ascii="Arial" w:hAnsi="Arial" w:cs="Arial"/>
          <w:sz w:val="32"/>
          <w:szCs w:val="32"/>
          <w:lang w:val="en-US"/>
        </w:rPr>
        <w:t xml:space="preserve"> </w:t>
      </w:r>
      <w:r w:rsidR="005E35ED">
        <w:rPr>
          <w:rFonts w:ascii="Arial" w:hAnsi="Arial" w:cs="Arial"/>
          <w:sz w:val="32"/>
          <w:szCs w:val="32"/>
          <w:lang w:val="en-US"/>
        </w:rPr>
        <w:t>2509813</w:t>
      </w:r>
    </w:p>
    <w:p w14:paraId="73341BD5" w14:textId="77777777" w:rsidR="0005771F" w:rsidRPr="008C7DFA" w:rsidRDefault="0005771F" w:rsidP="0005771F">
      <w:pPr>
        <w:spacing w:line="276" w:lineRule="auto"/>
        <w:jc w:val="both"/>
        <w:rPr>
          <w:rFonts w:ascii="Arial" w:hAnsi="Arial" w:cs="Arial"/>
          <w:sz w:val="32"/>
          <w:szCs w:val="32"/>
          <w:lang w:val="en-US"/>
        </w:rPr>
      </w:pPr>
    </w:p>
    <w:p w14:paraId="311CB87C" w14:textId="3FF8B465" w:rsidR="0005771F" w:rsidRPr="008C7DFA" w:rsidRDefault="0005771F" w:rsidP="0005771F">
      <w:pPr>
        <w:spacing w:line="276" w:lineRule="auto"/>
        <w:jc w:val="both"/>
        <w:rPr>
          <w:rFonts w:ascii="Arial" w:hAnsi="Arial" w:cs="Arial"/>
          <w:color w:val="1D2125"/>
          <w:sz w:val="32"/>
          <w:szCs w:val="32"/>
          <w:shd w:val="clear" w:color="auto" w:fill="FFFFFF"/>
        </w:rPr>
      </w:pPr>
      <w:r w:rsidRPr="008C7DFA">
        <w:rPr>
          <w:rFonts w:ascii="Arial" w:hAnsi="Arial" w:cs="Arial"/>
          <w:sz w:val="32"/>
          <w:szCs w:val="32"/>
          <w:lang w:val="en-US"/>
        </w:rPr>
        <w:t>Lecturer’s Name:</w:t>
      </w:r>
      <w:r w:rsidR="004F652A" w:rsidRPr="008C7DFA">
        <w:rPr>
          <w:rFonts w:ascii="Arial" w:hAnsi="Arial" w:cs="Arial"/>
          <w:sz w:val="32"/>
          <w:szCs w:val="32"/>
          <w:lang w:val="en-US"/>
        </w:rPr>
        <w:t xml:space="preserve"> </w:t>
      </w:r>
      <w:r w:rsidR="005E35ED">
        <w:rPr>
          <w:rFonts w:ascii="Arial" w:hAnsi="Arial" w:cs="Arial"/>
          <w:sz w:val="32"/>
          <w:szCs w:val="32"/>
          <w:lang w:val="en-US"/>
        </w:rPr>
        <w:t xml:space="preserve">Dr. </w:t>
      </w:r>
      <w:r w:rsidR="00F41955" w:rsidRPr="00F41955">
        <w:rPr>
          <w:rFonts w:ascii="Arial" w:hAnsi="Arial" w:cs="Arial"/>
          <w:sz w:val="32"/>
          <w:szCs w:val="32"/>
          <w:lang w:val="en-US"/>
        </w:rPr>
        <w:t xml:space="preserve">Kennedy </w:t>
      </w:r>
      <w:proofErr w:type="spellStart"/>
      <w:r w:rsidR="00F41955" w:rsidRPr="00F41955">
        <w:rPr>
          <w:rFonts w:ascii="Arial" w:hAnsi="Arial" w:cs="Arial"/>
          <w:sz w:val="32"/>
          <w:szCs w:val="32"/>
          <w:lang w:val="en-US"/>
        </w:rPr>
        <w:t>Obohwemu</w:t>
      </w:r>
      <w:proofErr w:type="spellEnd"/>
      <w:r w:rsidR="005E35ED">
        <w:rPr>
          <w:rFonts w:ascii="Arial" w:hAnsi="Arial" w:cs="Arial"/>
          <w:sz w:val="32"/>
          <w:szCs w:val="32"/>
          <w:lang w:val="en-US"/>
        </w:rPr>
        <w:t xml:space="preserve"> </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84F1A78" w14:textId="77777777" w:rsidR="006B3064" w:rsidRDefault="006B3064"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Default="009E2E03" w:rsidP="009E2E03">
      <w:pPr>
        <w:spacing w:after="120" w:line="276" w:lineRule="auto"/>
        <w:jc w:val="both"/>
        <w:rPr>
          <w:rFonts w:ascii="Arial" w:hAnsi="Arial" w:cs="Arial"/>
          <w:b/>
          <w:bCs/>
          <w:sz w:val="32"/>
          <w:szCs w:val="32"/>
          <w:u w:val="single"/>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48BE87A3" w14:textId="1650B24B" w:rsidR="002C09D3" w:rsidRDefault="00F41955">
      <w:pPr>
        <w:pStyle w:val="TOC1"/>
        <w:tabs>
          <w:tab w:val="right" w:pos="9016"/>
        </w:tabs>
        <w:rPr>
          <w:rFonts w:eastAsiaTheme="minorEastAsia"/>
          <w:noProof/>
          <w:lang w:val="en-US" w:eastAsia="zh-CN"/>
        </w:rPr>
      </w:pPr>
      <w:r>
        <w:rPr>
          <w:rFonts w:ascii="Arial" w:hAnsi="Arial" w:cs="Arial"/>
          <w:b/>
          <w:bCs/>
          <w:sz w:val="32"/>
          <w:szCs w:val="32"/>
          <w:u w:val="single"/>
          <w:lang w:val="en-US"/>
        </w:rPr>
        <w:fldChar w:fldCharType="begin"/>
      </w:r>
      <w:r>
        <w:rPr>
          <w:rFonts w:ascii="Arial" w:hAnsi="Arial" w:cs="Arial"/>
          <w:b/>
          <w:bCs/>
          <w:sz w:val="32"/>
          <w:szCs w:val="32"/>
          <w:u w:val="single"/>
          <w:lang w:val="en-US"/>
        </w:rPr>
        <w:instrText xml:space="preserve"> TOC \o "1-1" \u </w:instrText>
      </w:r>
      <w:r>
        <w:rPr>
          <w:rFonts w:ascii="Arial" w:hAnsi="Arial" w:cs="Arial"/>
          <w:b/>
          <w:bCs/>
          <w:sz w:val="32"/>
          <w:szCs w:val="32"/>
          <w:u w:val="single"/>
          <w:lang w:val="en-US"/>
        </w:rPr>
        <w:fldChar w:fldCharType="separate"/>
      </w:r>
      <w:r w:rsidR="002C09D3" w:rsidRPr="00015624">
        <w:rPr>
          <w:noProof/>
          <w:lang w:val="en-US"/>
        </w:rPr>
        <w:t>Introduction</w:t>
      </w:r>
      <w:r w:rsidR="002C09D3">
        <w:rPr>
          <w:noProof/>
        </w:rPr>
        <w:tab/>
      </w:r>
      <w:r w:rsidR="002C09D3">
        <w:rPr>
          <w:noProof/>
        </w:rPr>
        <w:fldChar w:fldCharType="begin"/>
      </w:r>
      <w:r w:rsidR="002C09D3">
        <w:rPr>
          <w:noProof/>
        </w:rPr>
        <w:instrText xml:space="preserve"> PAGEREF _Toc243759661 \h </w:instrText>
      </w:r>
      <w:r w:rsidR="002C09D3">
        <w:rPr>
          <w:noProof/>
        </w:rPr>
      </w:r>
      <w:r w:rsidR="002C09D3">
        <w:rPr>
          <w:noProof/>
        </w:rPr>
        <w:fldChar w:fldCharType="separate"/>
      </w:r>
      <w:r w:rsidR="002C09D3">
        <w:rPr>
          <w:noProof/>
        </w:rPr>
        <w:t>3</w:t>
      </w:r>
      <w:r w:rsidR="002C09D3">
        <w:rPr>
          <w:noProof/>
        </w:rPr>
        <w:fldChar w:fldCharType="end"/>
      </w:r>
    </w:p>
    <w:p w14:paraId="506645EA" w14:textId="4D5B1641" w:rsidR="002C09D3" w:rsidRDefault="002C09D3">
      <w:pPr>
        <w:pStyle w:val="TOC1"/>
        <w:tabs>
          <w:tab w:val="right" w:pos="9016"/>
        </w:tabs>
        <w:rPr>
          <w:rFonts w:eastAsiaTheme="minorEastAsia"/>
          <w:noProof/>
          <w:lang w:val="en-US" w:eastAsia="zh-CN"/>
        </w:rPr>
      </w:pPr>
      <w:r w:rsidRPr="00015624">
        <w:rPr>
          <w:noProof/>
          <w:lang w:val="en-US"/>
        </w:rPr>
        <w:t>Task 1: Reflection on the Importance of Principles</w:t>
      </w:r>
      <w:r>
        <w:rPr>
          <w:noProof/>
        </w:rPr>
        <w:tab/>
      </w:r>
      <w:r>
        <w:rPr>
          <w:noProof/>
        </w:rPr>
        <w:fldChar w:fldCharType="begin"/>
      </w:r>
      <w:r>
        <w:rPr>
          <w:noProof/>
        </w:rPr>
        <w:instrText xml:space="preserve"> PAGEREF _Toc243759662 \h </w:instrText>
      </w:r>
      <w:r>
        <w:rPr>
          <w:noProof/>
        </w:rPr>
      </w:r>
      <w:r>
        <w:rPr>
          <w:noProof/>
        </w:rPr>
        <w:fldChar w:fldCharType="separate"/>
      </w:r>
      <w:r>
        <w:rPr>
          <w:noProof/>
        </w:rPr>
        <w:t>3</w:t>
      </w:r>
      <w:r>
        <w:rPr>
          <w:noProof/>
        </w:rPr>
        <w:fldChar w:fldCharType="end"/>
      </w:r>
    </w:p>
    <w:p w14:paraId="7E9509B4" w14:textId="1C48699F" w:rsidR="002C09D3" w:rsidRDefault="002C09D3">
      <w:pPr>
        <w:pStyle w:val="TOC1"/>
        <w:tabs>
          <w:tab w:val="right" w:pos="9016"/>
        </w:tabs>
        <w:rPr>
          <w:rFonts w:eastAsiaTheme="minorEastAsia"/>
          <w:noProof/>
          <w:lang w:val="en-US" w:eastAsia="zh-CN"/>
        </w:rPr>
      </w:pPr>
      <w:r w:rsidRPr="00015624">
        <w:rPr>
          <w:noProof/>
          <w:lang w:val="en-US"/>
        </w:rPr>
        <w:t>Task 2: Practical Example in Practice</w:t>
      </w:r>
      <w:r>
        <w:rPr>
          <w:noProof/>
        </w:rPr>
        <w:tab/>
      </w:r>
      <w:r>
        <w:rPr>
          <w:noProof/>
        </w:rPr>
        <w:fldChar w:fldCharType="begin"/>
      </w:r>
      <w:r>
        <w:rPr>
          <w:noProof/>
        </w:rPr>
        <w:instrText xml:space="preserve"> PAGEREF _Toc243759663 \h </w:instrText>
      </w:r>
      <w:r>
        <w:rPr>
          <w:noProof/>
        </w:rPr>
      </w:r>
      <w:r>
        <w:rPr>
          <w:noProof/>
        </w:rPr>
        <w:fldChar w:fldCharType="separate"/>
      </w:r>
      <w:r>
        <w:rPr>
          <w:noProof/>
        </w:rPr>
        <w:t>4</w:t>
      </w:r>
      <w:r>
        <w:rPr>
          <w:noProof/>
        </w:rPr>
        <w:fldChar w:fldCharType="end"/>
      </w:r>
    </w:p>
    <w:p w14:paraId="36A24D94" w14:textId="67599416" w:rsidR="002C09D3" w:rsidRDefault="002C09D3">
      <w:pPr>
        <w:pStyle w:val="TOC1"/>
        <w:tabs>
          <w:tab w:val="right" w:pos="9016"/>
        </w:tabs>
        <w:rPr>
          <w:rFonts w:eastAsiaTheme="minorEastAsia"/>
          <w:noProof/>
          <w:lang w:val="en-US" w:eastAsia="zh-CN"/>
        </w:rPr>
      </w:pPr>
      <w:r w:rsidRPr="00015624">
        <w:rPr>
          <w:noProof/>
          <w:lang w:val="en-US"/>
        </w:rPr>
        <w:t>Task 3: Self-Reflection as a Health and Social Care Professional</w:t>
      </w:r>
      <w:r>
        <w:rPr>
          <w:noProof/>
        </w:rPr>
        <w:tab/>
      </w:r>
      <w:r>
        <w:rPr>
          <w:noProof/>
        </w:rPr>
        <w:fldChar w:fldCharType="begin"/>
      </w:r>
      <w:r>
        <w:rPr>
          <w:noProof/>
        </w:rPr>
        <w:instrText xml:space="preserve"> PAGEREF _Toc243759664 \h </w:instrText>
      </w:r>
      <w:r>
        <w:rPr>
          <w:noProof/>
        </w:rPr>
      </w:r>
      <w:r>
        <w:rPr>
          <w:noProof/>
        </w:rPr>
        <w:fldChar w:fldCharType="separate"/>
      </w:r>
      <w:r>
        <w:rPr>
          <w:noProof/>
        </w:rPr>
        <w:t>6</w:t>
      </w:r>
      <w:r>
        <w:rPr>
          <w:noProof/>
        </w:rPr>
        <w:fldChar w:fldCharType="end"/>
      </w:r>
    </w:p>
    <w:p w14:paraId="0B87051B" w14:textId="0ABF4F6E" w:rsidR="002C09D3" w:rsidRDefault="002C09D3">
      <w:pPr>
        <w:pStyle w:val="TOC1"/>
        <w:tabs>
          <w:tab w:val="right" w:pos="9016"/>
        </w:tabs>
        <w:rPr>
          <w:rFonts w:eastAsiaTheme="minorEastAsia"/>
          <w:noProof/>
          <w:lang w:val="en-US" w:eastAsia="zh-CN"/>
        </w:rPr>
      </w:pPr>
      <w:r w:rsidRPr="00015624">
        <w:rPr>
          <w:noProof/>
          <w:lang w:val="en-US"/>
        </w:rPr>
        <w:t>References</w:t>
      </w:r>
      <w:r>
        <w:rPr>
          <w:noProof/>
        </w:rPr>
        <w:tab/>
      </w:r>
      <w:r>
        <w:rPr>
          <w:noProof/>
        </w:rPr>
        <w:fldChar w:fldCharType="begin"/>
      </w:r>
      <w:r>
        <w:rPr>
          <w:noProof/>
        </w:rPr>
        <w:instrText xml:space="preserve"> PAGEREF _Toc243759665 \h </w:instrText>
      </w:r>
      <w:r>
        <w:rPr>
          <w:noProof/>
        </w:rPr>
      </w:r>
      <w:r>
        <w:rPr>
          <w:noProof/>
        </w:rPr>
        <w:fldChar w:fldCharType="separate"/>
      </w:r>
      <w:r>
        <w:rPr>
          <w:noProof/>
        </w:rPr>
        <w:t>9</w:t>
      </w:r>
      <w:r>
        <w:rPr>
          <w:noProof/>
        </w:rPr>
        <w:fldChar w:fldCharType="end"/>
      </w:r>
    </w:p>
    <w:p w14:paraId="38954BB7" w14:textId="55DB8438" w:rsidR="00F41955" w:rsidRDefault="00F41955" w:rsidP="009E2E03">
      <w:pPr>
        <w:spacing w:after="120" w:line="276" w:lineRule="auto"/>
        <w:jc w:val="both"/>
        <w:rPr>
          <w:rFonts w:ascii="Arial" w:hAnsi="Arial" w:cs="Arial"/>
          <w:b/>
          <w:bCs/>
          <w:sz w:val="32"/>
          <w:szCs w:val="32"/>
          <w:u w:val="single"/>
          <w:lang w:val="en-US"/>
        </w:rPr>
      </w:pPr>
      <w:r>
        <w:rPr>
          <w:rFonts w:ascii="Arial" w:hAnsi="Arial" w:cs="Arial"/>
          <w:b/>
          <w:bCs/>
          <w:sz w:val="32"/>
          <w:szCs w:val="32"/>
          <w:u w:val="single"/>
          <w:lang w:val="en-US"/>
        </w:rPr>
        <w:fldChar w:fldCharType="end"/>
      </w:r>
    </w:p>
    <w:p w14:paraId="0D92EE04" w14:textId="77777777" w:rsidR="00F41955" w:rsidRDefault="00F41955" w:rsidP="009E2E03">
      <w:pPr>
        <w:spacing w:after="120" w:line="276" w:lineRule="auto"/>
        <w:jc w:val="both"/>
        <w:rPr>
          <w:rFonts w:ascii="Arial" w:hAnsi="Arial" w:cs="Arial"/>
          <w:b/>
          <w:bCs/>
          <w:sz w:val="32"/>
          <w:szCs w:val="32"/>
          <w:u w:val="single"/>
          <w:lang w:val="en-US"/>
        </w:rPr>
      </w:pPr>
    </w:p>
    <w:p w14:paraId="1DF823C5" w14:textId="77777777" w:rsidR="00F41955" w:rsidRPr="009E2E03" w:rsidRDefault="00F41955" w:rsidP="009E2E03">
      <w:pPr>
        <w:spacing w:after="120" w:line="276" w:lineRule="auto"/>
        <w:jc w:val="both"/>
        <w:rPr>
          <w:rFonts w:ascii="Arial" w:hAnsi="Arial" w:cs="Arial"/>
          <w:sz w:val="40"/>
          <w:szCs w:val="40"/>
          <w:lang w:val="en-US"/>
        </w:rPr>
      </w:pPr>
    </w:p>
    <w:p w14:paraId="12D095FE" w14:textId="6716DF34" w:rsidR="00F41955" w:rsidRDefault="00F41955">
      <w:pPr>
        <w:rPr>
          <w:rFonts w:ascii="Arial" w:hAnsi="Arial" w:cs="Arial"/>
        </w:rPr>
      </w:pPr>
      <w:r>
        <w:rPr>
          <w:rFonts w:ascii="Arial" w:hAnsi="Arial" w:cs="Arial"/>
        </w:rPr>
        <w:br w:type="page"/>
      </w:r>
    </w:p>
    <w:p w14:paraId="02F78A41" w14:textId="77777777" w:rsidR="00607C1D" w:rsidRPr="00607C1D" w:rsidRDefault="00607C1D" w:rsidP="005C7FD7">
      <w:pPr>
        <w:pStyle w:val="Heading1"/>
        <w:rPr>
          <w:lang w:val="en-US"/>
        </w:rPr>
      </w:pPr>
      <w:bookmarkStart w:id="0" w:name="_Toc243759661"/>
      <w:r w:rsidRPr="00607C1D">
        <w:rPr>
          <w:lang w:val="en-US"/>
        </w:rPr>
        <w:lastRenderedPageBreak/>
        <w:t>Introduction</w:t>
      </w:r>
      <w:bookmarkEnd w:id="0"/>
    </w:p>
    <w:p w14:paraId="6D7F8D9E" w14:textId="1BA7919C" w:rsidR="00607C1D" w:rsidRPr="00607C1D" w:rsidRDefault="00607C1D" w:rsidP="004A5F3C">
      <w:pPr>
        <w:spacing w:line="360" w:lineRule="auto"/>
        <w:jc w:val="both"/>
        <w:rPr>
          <w:rFonts w:ascii="Arial" w:hAnsi="Arial" w:cs="Arial"/>
          <w:sz w:val="22"/>
          <w:szCs w:val="22"/>
          <w:lang w:val="en-US"/>
        </w:rPr>
      </w:pPr>
      <w:r w:rsidRPr="00607C1D">
        <w:rPr>
          <w:rFonts w:ascii="Arial" w:hAnsi="Arial" w:cs="Arial"/>
          <w:sz w:val="22"/>
          <w:szCs w:val="22"/>
          <w:lang w:val="en-US"/>
        </w:rPr>
        <w:t xml:space="preserve">Good health and social care depends on care that reflects what matters to the individual, coordinated effort across professionals and services, and sound ethical judgement (Beauchamp and Childress, 2019; </w:t>
      </w:r>
      <w:proofErr w:type="spellStart"/>
      <w:r w:rsidR="00834E63" w:rsidRPr="00607C1D">
        <w:rPr>
          <w:rFonts w:ascii="Arial" w:hAnsi="Arial" w:cs="Arial"/>
          <w:sz w:val="22"/>
          <w:szCs w:val="22"/>
          <w:lang w:val="en-US"/>
        </w:rPr>
        <w:t>Doornebosch</w:t>
      </w:r>
      <w:proofErr w:type="spellEnd"/>
      <w:r w:rsidR="00834E63" w:rsidRPr="00607C1D">
        <w:rPr>
          <w:rFonts w:ascii="Arial" w:hAnsi="Arial" w:cs="Arial"/>
          <w:sz w:val="22"/>
          <w:szCs w:val="22"/>
          <w:lang w:val="en-US"/>
        </w:rPr>
        <w:t xml:space="preserve">, </w:t>
      </w:r>
      <w:proofErr w:type="spellStart"/>
      <w:r w:rsidR="00834E63" w:rsidRPr="00607C1D">
        <w:rPr>
          <w:rFonts w:ascii="Arial" w:hAnsi="Arial" w:cs="Arial"/>
          <w:sz w:val="22"/>
          <w:szCs w:val="22"/>
          <w:lang w:val="en-US"/>
        </w:rPr>
        <w:t>Smaling</w:t>
      </w:r>
      <w:proofErr w:type="spellEnd"/>
      <w:r w:rsidR="00834E63" w:rsidRPr="00607C1D">
        <w:rPr>
          <w:rFonts w:ascii="Arial" w:hAnsi="Arial" w:cs="Arial"/>
          <w:sz w:val="22"/>
          <w:szCs w:val="22"/>
          <w:lang w:val="en-US"/>
        </w:rPr>
        <w:t xml:space="preserve"> and Achterberg, 2022</w:t>
      </w:r>
      <w:r w:rsidR="00834E63">
        <w:rPr>
          <w:rFonts w:ascii="Arial" w:hAnsi="Arial" w:cs="Arial"/>
          <w:sz w:val="22"/>
          <w:szCs w:val="22"/>
          <w:lang w:val="en-US"/>
        </w:rPr>
        <w:t xml:space="preserve">; </w:t>
      </w:r>
      <w:r w:rsidRPr="00607C1D">
        <w:rPr>
          <w:rFonts w:ascii="Arial" w:hAnsi="Arial" w:cs="Arial"/>
          <w:sz w:val="22"/>
          <w:szCs w:val="22"/>
          <w:lang w:val="en-US"/>
        </w:rPr>
        <w:t>Care Quality Commission, 2025). These requirements correspond to person-</w:t>
      </w:r>
      <w:proofErr w:type="spellStart"/>
      <w:r w:rsidRPr="00607C1D">
        <w:rPr>
          <w:rFonts w:ascii="Arial" w:hAnsi="Arial" w:cs="Arial"/>
          <w:sz w:val="22"/>
          <w:szCs w:val="22"/>
          <w:lang w:val="en-US"/>
        </w:rPr>
        <w:t>centred</w:t>
      </w:r>
      <w:proofErr w:type="spellEnd"/>
      <w:r w:rsidRPr="00607C1D">
        <w:rPr>
          <w:rFonts w:ascii="Arial" w:hAnsi="Arial" w:cs="Arial"/>
          <w:sz w:val="22"/>
          <w:szCs w:val="22"/>
          <w:lang w:val="en-US"/>
        </w:rPr>
        <w:t xml:space="preserve"> care (PCC), partnership working and ethics, which UK legislation and guidance expect of practitioners (Care Act 2014; NICE, 2021). The principles are not always easy to apply together. Respecting a person’s choices can conflict with duties to protect them from harm, and cooperation between </w:t>
      </w:r>
      <w:proofErr w:type="spellStart"/>
      <w:r w:rsidRPr="00607C1D">
        <w:rPr>
          <w:rFonts w:ascii="Arial" w:hAnsi="Arial" w:cs="Arial"/>
          <w:sz w:val="22"/>
          <w:szCs w:val="22"/>
          <w:lang w:val="en-US"/>
        </w:rPr>
        <w:t>organisations</w:t>
      </w:r>
      <w:proofErr w:type="spellEnd"/>
      <w:r w:rsidRPr="00607C1D">
        <w:rPr>
          <w:rFonts w:ascii="Arial" w:hAnsi="Arial" w:cs="Arial"/>
          <w:sz w:val="22"/>
          <w:szCs w:val="22"/>
          <w:lang w:val="en-US"/>
        </w:rPr>
        <w:t xml:space="preserve"> can fail when responsibilities are unclear. Reviews also show that PCC is interpreted unevenly and constrained by routines and </w:t>
      </w:r>
      <w:proofErr w:type="spellStart"/>
      <w:r w:rsidRPr="00607C1D">
        <w:rPr>
          <w:rFonts w:ascii="Arial" w:hAnsi="Arial" w:cs="Arial"/>
          <w:sz w:val="22"/>
          <w:szCs w:val="22"/>
          <w:lang w:val="en-US"/>
        </w:rPr>
        <w:t>organisational</w:t>
      </w:r>
      <w:proofErr w:type="spellEnd"/>
      <w:r w:rsidRPr="00607C1D">
        <w:rPr>
          <w:rFonts w:ascii="Arial" w:hAnsi="Arial" w:cs="Arial"/>
          <w:sz w:val="22"/>
          <w:szCs w:val="22"/>
          <w:lang w:val="en-US"/>
        </w:rPr>
        <w:t xml:space="preserve"> culture (</w:t>
      </w:r>
      <w:r w:rsidR="00834E63" w:rsidRPr="00607C1D">
        <w:rPr>
          <w:rFonts w:ascii="Arial" w:hAnsi="Arial" w:cs="Arial"/>
          <w:sz w:val="22"/>
          <w:szCs w:val="22"/>
          <w:lang w:val="en-US"/>
        </w:rPr>
        <w:t>Moore et al., 2017</w:t>
      </w:r>
      <w:r w:rsidR="00834E63">
        <w:rPr>
          <w:rFonts w:ascii="Arial" w:hAnsi="Arial" w:cs="Arial"/>
          <w:sz w:val="22"/>
          <w:szCs w:val="22"/>
          <w:lang w:val="en-US"/>
        </w:rPr>
        <w:t xml:space="preserve">; </w:t>
      </w:r>
      <w:r w:rsidRPr="00607C1D">
        <w:rPr>
          <w:rFonts w:ascii="Arial" w:hAnsi="Arial" w:cs="Arial"/>
          <w:sz w:val="22"/>
          <w:szCs w:val="22"/>
          <w:lang w:val="en-US"/>
        </w:rPr>
        <w:t>Byrne, Baldwin and Harvey, 2020). Understanding how the principles operate in real situations is therefore essential to professional practice.</w:t>
      </w:r>
    </w:p>
    <w:p w14:paraId="5168D478" w14:textId="77777777" w:rsidR="00607C1D" w:rsidRPr="00607C1D" w:rsidRDefault="00607C1D" w:rsidP="004A5F3C">
      <w:pPr>
        <w:spacing w:line="360" w:lineRule="auto"/>
        <w:jc w:val="both"/>
        <w:rPr>
          <w:rFonts w:ascii="Arial" w:hAnsi="Arial" w:cs="Arial"/>
          <w:sz w:val="22"/>
          <w:szCs w:val="22"/>
          <w:lang w:val="en-US"/>
        </w:rPr>
      </w:pPr>
      <w:r w:rsidRPr="00607C1D">
        <w:rPr>
          <w:rFonts w:ascii="Arial" w:hAnsi="Arial" w:cs="Arial"/>
          <w:sz w:val="22"/>
          <w:szCs w:val="22"/>
          <w:lang w:val="en-US"/>
        </w:rPr>
        <w:t>This report aims to examine the importance and limits of the three principles, to apply them critically to Robyn’s NHS England personal health budget case, and to consider how they shape the writer’s professional development.</w:t>
      </w:r>
    </w:p>
    <w:p w14:paraId="3DABE9EB" w14:textId="18C038E1" w:rsidR="00607C1D" w:rsidRPr="00607C1D" w:rsidRDefault="00607C1D" w:rsidP="005C7FD7">
      <w:pPr>
        <w:pStyle w:val="Heading1"/>
        <w:rPr>
          <w:lang w:val="en-US"/>
        </w:rPr>
      </w:pPr>
      <w:bookmarkStart w:id="1" w:name="_Toc243759662"/>
      <w:r w:rsidRPr="00607C1D">
        <w:rPr>
          <w:lang w:val="en-US"/>
        </w:rPr>
        <w:t>Task 1: Reflection on the Importance of Principles</w:t>
      </w:r>
      <w:bookmarkEnd w:id="1"/>
    </w:p>
    <w:p w14:paraId="0739AC8C" w14:textId="08A84E4A" w:rsidR="00607C1D" w:rsidRPr="00607C1D" w:rsidRDefault="00607C1D" w:rsidP="004A5F3C">
      <w:pPr>
        <w:spacing w:line="360" w:lineRule="auto"/>
        <w:jc w:val="both"/>
        <w:rPr>
          <w:rFonts w:ascii="Arial" w:hAnsi="Arial" w:cs="Arial"/>
          <w:sz w:val="22"/>
          <w:szCs w:val="22"/>
          <w:lang w:val="en-US"/>
        </w:rPr>
      </w:pPr>
      <w:r w:rsidRPr="00607C1D">
        <w:rPr>
          <w:rFonts w:ascii="Arial" w:hAnsi="Arial" w:cs="Arial"/>
          <w:sz w:val="22"/>
          <w:szCs w:val="22"/>
          <w:lang w:val="en-US"/>
        </w:rPr>
        <w:t>PCC, partnership working and ethics are essential for good health and social care because they help ensure that care reflects people’s needs and preferences, involves them in decisions and supports informed choices about their care (</w:t>
      </w:r>
      <w:r w:rsidR="00834E63" w:rsidRPr="00607C1D">
        <w:rPr>
          <w:rFonts w:ascii="Arial" w:hAnsi="Arial" w:cs="Arial"/>
          <w:sz w:val="22"/>
          <w:szCs w:val="22"/>
          <w:lang w:val="en-US"/>
        </w:rPr>
        <w:t>NICE, 2021</w:t>
      </w:r>
      <w:r w:rsidR="00834E63">
        <w:rPr>
          <w:rFonts w:ascii="Arial" w:hAnsi="Arial" w:cs="Arial"/>
          <w:sz w:val="22"/>
          <w:szCs w:val="22"/>
          <w:lang w:val="en-US"/>
        </w:rPr>
        <w:t xml:space="preserve">; </w:t>
      </w:r>
      <w:r w:rsidRPr="00607C1D">
        <w:rPr>
          <w:rFonts w:ascii="Arial" w:hAnsi="Arial" w:cs="Arial"/>
          <w:sz w:val="22"/>
          <w:szCs w:val="22"/>
          <w:lang w:val="en-US"/>
        </w:rPr>
        <w:t xml:space="preserve">Care Quality Commission, 2025). Together they form an interdependent framework. PCC places the person’s needs, values and preferences at the </w:t>
      </w:r>
      <w:proofErr w:type="spellStart"/>
      <w:r w:rsidRPr="00607C1D">
        <w:rPr>
          <w:rFonts w:ascii="Arial" w:hAnsi="Arial" w:cs="Arial"/>
          <w:sz w:val="22"/>
          <w:szCs w:val="22"/>
          <w:lang w:val="en-US"/>
        </w:rPr>
        <w:t>centre</w:t>
      </w:r>
      <w:proofErr w:type="spellEnd"/>
      <w:r w:rsidRPr="00607C1D">
        <w:rPr>
          <w:rFonts w:ascii="Arial" w:hAnsi="Arial" w:cs="Arial"/>
          <w:sz w:val="22"/>
          <w:szCs w:val="22"/>
          <w:lang w:val="en-US"/>
        </w:rPr>
        <w:t xml:space="preserve"> of care (Care Quality Commission, 2025), partnership working coordinates professionals, </w:t>
      </w:r>
      <w:proofErr w:type="spellStart"/>
      <w:r w:rsidRPr="00607C1D">
        <w:rPr>
          <w:rFonts w:ascii="Arial" w:hAnsi="Arial" w:cs="Arial"/>
          <w:sz w:val="22"/>
          <w:szCs w:val="22"/>
          <w:lang w:val="en-US"/>
        </w:rPr>
        <w:t>organisations</w:t>
      </w:r>
      <w:proofErr w:type="spellEnd"/>
      <w:r w:rsidRPr="00607C1D">
        <w:rPr>
          <w:rFonts w:ascii="Arial" w:hAnsi="Arial" w:cs="Arial"/>
          <w:sz w:val="22"/>
          <w:szCs w:val="22"/>
          <w:lang w:val="en-US"/>
        </w:rPr>
        <w:t xml:space="preserve"> and families around those needs (</w:t>
      </w:r>
      <w:proofErr w:type="spellStart"/>
      <w:r w:rsidRPr="00607C1D">
        <w:rPr>
          <w:rFonts w:ascii="Arial" w:hAnsi="Arial" w:cs="Arial"/>
          <w:sz w:val="22"/>
          <w:szCs w:val="22"/>
          <w:lang w:val="en-US"/>
        </w:rPr>
        <w:t>Doornebosch</w:t>
      </w:r>
      <w:proofErr w:type="spellEnd"/>
      <w:r w:rsidRPr="00607C1D">
        <w:rPr>
          <w:rFonts w:ascii="Arial" w:hAnsi="Arial" w:cs="Arial"/>
          <w:sz w:val="22"/>
          <w:szCs w:val="22"/>
          <w:lang w:val="en-US"/>
        </w:rPr>
        <w:t xml:space="preserve">, </w:t>
      </w:r>
      <w:proofErr w:type="spellStart"/>
      <w:r w:rsidRPr="00607C1D">
        <w:rPr>
          <w:rFonts w:ascii="Arial" w:hAnsi="Arial" w:cs="Arial"/>
          <w:sz w:val="22"/>
          <w:szCs w:val="22"/>
          <w:lang w:val="en-US"/>
        </w:rPr>
        <w:t>Smaling</w:t>
      </w:r>
      <w:proofErr w:type="spellEnd"/>
      <w:r w:rsidRPr="00607C1D">
        <w:rPr>
          <w:rFonts w:ascii="Arial" w:hAnsi="Arial" w:cs="Arial"/>
          <w:sz w:val="22"/>
          <w:szCs w:val="22"/>
          <w:lang w:val="en-US"/>
        </w:rPr>
        <w:t xml:space="preserve"> and Achterberg, 2022), and ethics supplies the principles for resolving conflicts between competing interests (Beauchamp and Childress, 2019). The quality of care depends on how practitioners balance them.</w:t>
      </w:r>
    </w:p>
    <w:p w14:paraId="4A9D37F9" w14:textId="77777777" w:rsidR="00607C1D" w:rsidRPr="00607C1D" w:rsidRDefault="00607C1D" w:rsidP="004A5F3C">
      <w:pPr>
        <w:spacing w:line="360" w:lineRule="auto"/>
        <w:jc w:val="both"/>
        <w:rPr>
          <w:rFonts w:ascii="Arial" w:hAnsi="Arial" w:cs="Arial"/>
          <w:sz w:val="22"/>
          <w:szCs w:val="22"/>
          <w:lang w:val="en-US"/>
        </w:rPr>
      </w:pPr>
      <w:r w:rsidRPr="00607C1D">
        <w:rPr>
          <w:rFonts w:ascii="Arial" w:hAnsi="Arial" w:cs="Arial"/>
          <w:sz w:val="22"/>
          <w:szCs w:val="22"/>
          <w:lang w:val="en-US"/>
        </w:rPr>
        <w:t>In individual care, Rogers’ (1951) person-</w:t>
      </w:r>
      <w:proofErr w:type="spellStart"/>
      <w:r w:rsidRPr="00607C1D">
        <w:rPr>
          <w:rFonts w:ascii="Arial" w:hAnsi="Arial" w:cs="Arial"/>
          <w:sz w:val="22"/>
          <w:szCs w:val="22"/>
          <w:lang w:val="en-US"/>
        </w:rPr>
        <w:t>centred</w:t>
      </w:r>
      <w:proofErr w:type="spellEnd"/>
      <w:r w:rsidRPr="00607C1D">
        <w:rPr>
          <w:rFonts w:ascii="Arial" w:hAnsi="Arial" w:cs="Arial"/>
          <w:sz w:val="22"/>
          <w:szCs w:val="22"/>
          <w:lang w:val="en-US"/>
        </w:rPr>
        <w:t xml:space="preserve"> approach holds that people flourish when met with empathy, unconditional positive regard and congruence. </w:t>
      </w:r>
      <w:proofErr w:type="spellStart"/>
      <w:r w:rsidRPr="00607C1D">
        <w:rPr>
          <w:rFonts w:ascii="Arial" w:hAnsi="Arial" w:cs="Arial"/>
          <w:sz w:val="22"/>
          <w:szCs w:val="22"/>
          <w:lang w:val="en-US"/>
        </w:rPr>
        <w:t>Kitwood</w:t>
      </w:r>
      <w:proofErr w:type="spellEnd"/>
      <w:r w:rsidRPr="00607C1D">
        <w:rPr>
          <w:rFonts w:ascii="Arial" w:hAnsi="Arial" w:cs="Arial"/>
          <w:sz w:val="22"/>
          <w:szCs w:val="22"/>
          <w:lang w:val="en-US"/>
        </w:rPr>
        <w:t xml:space="preserve"> (1997) applied this to dementia care, arguing that personhood is sustained or undermined through relationships, and that routines which ignore or </w:t>
      </w:r>
      <w:proofErr w:type="spellStart"/>
      <w:r w:rsidRPr="00607C1D">
        <w:rPr>
          <w:rFonts w:ascii="Arial" w:hAnsi="Arial" w:cs="Arial"/>
          <w:sz w:val="22"/>
          <w:szCs w:val="22"/>
          <w:lang w:val="en-US"/>
        </w:rPr>
        <w:t>infantilise</w:t>
      </w:r>
      <w:proofErr w:type="spellEnd"/>
      <w:r w:rsidRPr="00607C1D">
        <w:rPr>
          <w:rFonts w:ascii="Arial" w:hAnsi="Arial" w:cs="Arial"/>
          <w:sz w:val="22"/>
          <w:szCs w:val="22"/>
          <w:lang w:val="en-US"/>
        </w:rPr>
        <w:t xml:space="preserve"> people erode identity, which he called malignant social psychology. In practice, this means starting from what matters to the person rather than from the diagnosis or the service routine. Byrne, Baldwin and Harvey (2020) found that PCC is widely valued but inconsistently defined, while Moore et al. (2017) found that implementation depends on leadership, supportive systems and adaptation of established routines. NICE (2021) guideline NG197 responds by promoting shared decision-making. Elwyn et al. (2017) </w:t>
      </w:r>
      <w:r w:rsidRPr="00607C1D">
        <w:rPr>
          <w:rFonts w:ascii="Arial" w:hAnsi="Arial" w:cs="Arial"/>
          <w:sz w:val="22"/>
          <w:szCs w:val="22"/>
          <w:lang w:val="en-US"/>
        </w:rPr>
        <w:lastRenderedPageBreak/>
        <w:t>argue that shared decision-making demands shifts in the power and control of consultations, so consulting people after a decision has been made falls short of it.</w:t>
      </w:r>
    </w:p>
    <w:p w14:paraId="0C791F61" w14:textId="77777777" w:rsidR="00607C1D" w:rsidRPr="00607C1D" w:rsidRDefault="00607C1D" w:rsidP="004A5F3C">
      <w:pPr>
        <w:spacing w:line="360" w:lineRule="auto"/>
        <w:jc w:val="both"/>
        <w:rPr>
          <w:rFonts w:ascii="Arial" w:hAnsi="Arial" w:cs="Arial"/>
          <w:sz w:val="22"/>
          <w:szCs w:val="22"/>
          <w:lang w:val="en-US"/>
        </w:rPr>
      </w:pPr>
      <w:r w:rsidRPr="00607C1D">
        <w:rPr>
          <w:rFonts w:ascii="Arial" w:hAnsi="Arial" w:cs="Arial"/>
          <w:sz w:val="22"/>
          <w:szCs w:val="22"/>
          <w:lang w:val="en-US"/>
        </w:rPr>
        <w:t xml:space="preserve">In collaboration, a person with diabetes, reduced mobility and social isolation may need a GP, nurse, pharmacist and social worker, alongside family. The Care Act 2014 places duties of cooperation and integration on local authorities and partners, and the Health and Care Act 2022 placed integrated care systems on a statutory footing, bringing NHS bodies, local authorities and voluntary </w:t>
      </w:r>
      <w:proofErr w:type="spellStart"/>
      <w:r w:rsidRPr="00607C1D">
        <w:rPr>
          <w:rFonts w:ascii="Arial" w:hAnsi="Arial" w:cs="Arial"/>
          <w:sz w:val="22"/>
          <w:szCs w:val="22"/>
          <w:lang w:val="en-US"/>
        </w:rPr>
        <w:t>organisations</w:t>
      </w:r>
      <w:proofErr w:type="spellEnd"/>
      <w:r w:rsidRPr="00607C1D">
        <w:rPr>
          <w:rFonts w:ascii="Arial" w:hAnsi="Arial" w:cs="Arial"/>
          <w:sz w:val="22"/>
          <w:szCs w:val="22"/>
          <w:lang w:val="en-US"/>
        </w:rPr>
        <w:t xml:space="preserve"> together. </w:t>
      </w:r>
      <w:proofErr w:type="spellStart"/>
      <w:r w:rsidRPr="00607C1D">
        <w:rPr>
          <w:rFonts w:ascii="Arial" w:hAnsi="Arial" w:cs="Arial"/>
          <w:sz w:val="22"/>
          <w:szCs w:val="22"/>
          <w:lang w:val="en-US"/>
        </w:rPr>
        <w:t>Doornebosch</w:t>
      </w:r>
      <w:proofErr w:type="spellEnd"/>
      <w:r w:rsidRPr="00607C1D">
        <w:rPr>
          <w:rFonts w:ascii="Arial" w:hAnsi="Arial" w:cs="Arial"/>
          <w:sz w:val="22"/>
          <w:szCs w:val="22"/>
          <w:lang w:val="en-US"/>
        </w:rPr>
        <w:t xml:space="preserve">, </w:t>
      </w:r>
      <w:proofErr w:type="spellStart"/>
      <w:r w:rsidRPr="00607C1D">
        <w:rPr>
          <w:rFonts w:ascii="Arial" w:hAnsi="Arial" w:cs="Arial"/>
          <w:sz w:val="22"/>
          <w:szCs w:val="22"/>
          <w:lang w:val="en-US"/>
        </w:rPr>
        <w:t>Smaling</w:t>
      </w:r>
      <w:proofErr w:type="spellEnd"/>
      <w:r w:rsidRPr="00607C1D">
        <w:rPr>
          <w:rFonts w:ascii="Arial" w:hAnsi="Arial" w:cs="Arial"/>
          <w:sz w:val="22"/>
          <w:szCs w:val="22"/>
          <w:lang w:val="en-US"/>
        </w:rPr>
        <w:t xml:space="preserve"> and Achterberg (2022) found that collaboration in long-term care depends on team, </w:t>
      </w:r>
      <w:proofErr w:type="spellStart"/>
      <w:r w:rsidRPr="00607C1D">
        <w:rPr>
          <w:rFonts w:ascii="Arial" w:hAnsi="Arial" w:cs="Arial"/>
          <w:sz w:val="22"/>
          <w:szCs w:val="22"/>
          <w:lang w:val="en-US"/>
        </w:rPr>
        <w:t>organisational</w:t>
      </w:r>
      <w:proofErr w:type="spellEnd"/>
      <w:r w:rsidRPr="00607C1D">
        <w:rPr>
          <w:rFonts w:ascii="Arial" w:hAnsi="Arial" w:cs="Arial"/>
          <w:sz w:val="22"/>
          <w:szCs w:val="22"/>
          <w:lang w:val="en-US"/>
        </w:rPr>
        <w:t xml:space="preserve"> and information-sharing conditions, and that improving one without the others limits progress. </w:t>
      </w:r>
      <w:proofErr w:type="spellStart"/>
      <w:r w:rsidRPr="00607C1D">
        <w:rPr>
          <w:rFonts w:ascii="Arial" w:hAnsi="Arial" w:cs="Arial"/>
          <w:sz w:val="22"/>
          <w:szCs w:val="22"/>
          <w:lang w:val="en-US"/>
        </w:rPr>
        <w:t>Schot</w:t>
      </w:r>
      <w:proofErr w:type="spellEnd"/>
      <w:r w:rsidRPr="00607C1D">
        <w:rPr>
          <w:rFonts w:ascii="Arial" w:hAnsi="Arial" w:cs="Arial"/>
          <w:sz w:val="22"/>
          <w:szCs w:val="22"/>
          <w:lang w:val="en-US"/>
        </w:rPr>
        <w:t xml:space="preserve">, </w:t>
      </w:r>
      <w:proofErr w:type="spellStart"/>
      <w:r w:rsidRPr="00607C1D">
        <w:rPr>
          <w:rFonts w:ascii="Arial" w:hAnsi="Arial" w:cs="Arial"/>
          <w:sz w:val="22"/>
          <w:szCs w:val="22"/>
          <w:lang w:val="en-US"/>
        </w:rPr>
        <w:t>Tummers</w:t>
      </w:r>
      <w:proofErr w:type="spellEnd"/>
      <w:r w:rsidRPr="00607C1D">
        <w:rPr>
          <w:rFonts w:ascii="Arial" w:hAnsi="Arial" w:cs="Arial"/>
          <w:sz w:val="22"/>
          <w:szCs w:val="22"/>
          <w:lang w:val="en-US"/>
        </w:rPr>
        <w:t xml:space="preserve"> and </w:t>
      </w:r>
      <w:proofErr w:type="spellStart"/>
      <w:r w:rsidRPr="00607C1D">
        <w:rPr>
          <w:rFonts w:ascii="Arial" w:hAnsi="Arial" w:cs="Arial"/>
          <w:sz w:val="22"/>
          <w:szCs w:val="22"/>
          <w:lang w:val="en-US"/>
        </w:rPr>
        <w:t>Noordegraaf</w:t>
      </w:r>
      <w:proofErr w:type="spellEnd"/>
      <w:r w:rsidRPr="00607C1D">
        <w:rPr>
          <w:rFonts w:ascii="Arial" w:hAnsi="Arial" w:cs="Arial"/>
          <w:sz w:val="22"/>
          <w:szCs w:val="22"/>
          <w:lang w:val="en-US"/>
        </w:rPr>
        <w:t xml:space="preserve"> (2020) add that collaboration depends on professionals negotiating role boundaries. Where these conditions fail, assessments are duplicated and the person becomes the subject of professional discussion rather than a participant in it.</w:t>
      </w:r>
    </w:p>
    <w:p w14:paraId="1DB59080" w14:textId="77777777" w:rsidR="00607C1D" w:rsidRPr="00607C1D" w:rsidRDefault="00607C1D" w:rsidP="004A5F3C">
      <w:pPr>
        <w:spacing w:line="360" w:lineRule="auto"/>
        <w:jc w:val="both"/>
        <w:rPr>
          <w:rFonts w:ascii="Arial" w:hAnsi="Arial" w:cs="Arial"/>
          <w:sz w:val="22"/>
          <w:szCs w:val="22"/>
          <w:lang w:val="en-US"/>
        </w:rPr>
      </w:pPr>
      <w:r w:rsidRPr="00607C1D">
        <w:rPr>
          <w:rFonts w:ascii="Arial" w:hAnsi="Arial" w:cs="Arial"/>
          <w:sz w:val="22"/>
          <w:szCs w:val="22"/>
          <w:lang w:val="en-US"/>
        </w:rPr>
        <w:t xml:space="preserve">In ethical decision-making, Beauchamp and Childress’s (2019) </w:t>
      </w:r>
      <w:proofErr w:type="spellStart"/>
      <w:r w:rsidRPr="00607C1D">
        <w:rPr>
          <w:rFonts w:ascii="Arial" w:hAnsi="Arial" w:cs="Arial"/>
          <w:sz w:val="22"/>
          <w:szCs w:val="22"/>
          <w:lang w:val="en-US"/>
        </w:rPr>
        <w:t>principlism</w:t>
      </w:r>
      <w:proofErr w:type="spellEnd"/>
      <w:r w:rsidRPr="00607C1D">
        <w:rPr>
          <w:rFonts w:ascii="Arial" w:hAnsi="Arial" w:cs="Arial"/>
          <w:sz w:val="22"/>
          <w:szCs w:val="22"/>
          <w:lang w:val="en-US"/>
        </w:rPr>
        <w:t xml:space="preserve"> offers four principles, namely autonomy, beneficence, non-maleficence and justice. They give practitioners a shared language but are not ranked, so judgement is required. Relational accounts also challenge individualistic readings of autonomy, locating decisions within the relationships through which people receive support (Gómez-</w:t>
      </w:r>
      <w:proofErr w:type="spellStart"/>
      <w:r w:rsidRPr="00607C1D">
        <w:rPr>
          <w:rFonts w:ascii="Arial" w:hAnsi="Arial" w:cs="Arial"/>
          <w:sz w:val="22"/>
          <w:szCs w:val="22"/>
          <w:lang w:val="en-US"/>
        </w:rPr>
        <w:t>Vírseda</w:t>
      </w:r>
      <w:proofErr w:type="spellEnd"/>
      <w:r w:rsidRPr="00607C1D">
        <w:rPr>
          <w:rFonts w:ascii="Arial" w:hAnsi="Arial" w:cs="Arial"/>
          <w:sz w:val="22"/>
          <w:szCs w:val="22"/>
          <w:lang w:val="en-US"/>
        </w:rPr>
        <w:t xml:space="preserve">, De </w:t>
      </w:r>
      <w:proofErr w:type="spellStart"/>
      <w:r w:rsidRPr="00607C1D">
        <w:rPr>
          <w:rFonts w:ascii="Arial" w:hAnsi="Arial" w:cs="Arial"/>
          <w:sz w:val="22"/>
          <w:szCs w:val="22"/>
          <w:lang w:val="en-US"/>
        </w:rPr>
        <w:t>Maeseneer</w:t>
      </w:r>
      <w:proofErr w:type="spellEnd"/>
      <w:r w:rsidRPr="00607C1D">
        <w:rPr>
          <w:rFonts w:ascii="Arial" w:hAnsi="Arial" w:cs="Arial"/>
          <w:sz w:val="22"/>
          <w:szCs w:val="22"/>
          <w:lang w:val="en-US"/>
        </w:rPr>
        <w:t xml:space="preserve"> and </w:t>
      </w:r>
      <w:proofErr w:type="spellStart"/>
      <w:r w:rsidRPr="00607C1D">
        <w:rPr>
          <w:rFonts w:ascii="Arial" w:hAnsi="Arial" w:cs="Arial"/>
          <w:sz w:val="22"/>
          <w:szCs w:val="22"/>
          <w:lang w:val="en-US"/>
        </w:rPr>
        <w:t>Gastmans</w:t>
      </w:r>
      <w:proofErr w:type="spellEnd"/>
      <w:r w:rsidRPr="00607C1D">
        <w:rPr>
          <w:rFonts w:ascii="Arial" w:hAnsi="Arial" w:cs="Arial"/>
          <w:sz w:val="22"/>
          <w:szCs w:val="22"/>
          <w:lang w:val="en-US"/>
        </w:rPr>
        <w:t xml:space="preserve">, 2019). Here autonomy and beneficence can pull apart. For example, a person with capacity may decline a care package that a professional considers necessary. Under section 1(4) of the Mental Capacity Act 2005, a person is not to be treated as unable to make a decision merely because it is unwise, so autonomy is protected while professionals still explain risks and reduce avoidable harm. Even so, Güney, Karadağ and El-Masri (2021) found that staffing, training and managerial support shape whether staff can </w:t>
      </w:r>
      <w:proofErr w:type="spellStart"/>
      <w:r w:rsidRPr="00607C1D">
        <w:rPr>
          <w:rFonts w:ascii="Arial" w:hAnsi="Arial" w:cs="Arial"/>
          <w:sz w:val="22"/>
          <w:szCs w:val="22"/>
          <w:lang w:val="en-US"/>
        </w:rPr>
        <w:t>practise</w:t>
      </w:r>
      <w:proofErr w:type="spellEnd"/>
      <w:r w:rsidRPr="00607C1D">
        <w:rPr>
          <w:rFonts w:ascii="Arial" w:hAnsi="Arial" w:cs="Arial"/>
          <w:sz w:val="22"/>
          <w:szCs w:val="22"/>
          <w:lang w:val="en-US"/>
        </w:rPr>
        <w:t xml:space="preserve"> PCC, so principles improve care only where systems allow practitioners to apply them.</w:t>
      </w:r>
    </w:p>
    <w:p w14:paraId="5975442F" w14:textId="77777777" w:rsidR="00607C1D" w:rsidRPr="00607C1D" w:rsidRDefault="00607C1D" w:rsidP="005C7FD7">
      <w:pPr>
        <w:pStyle w:val="Heading1"/>
        <w:rPr>
          <w:lang w:val="en-US"/>
        </w:rPr>
      </w:pPr>
      <w:bookmarkStart w:id="2" w:name="_Toc243759663"/>
      <w:r w:rsidRPr="00607C1D">
        <w:rPr>
          <w:lang w:val="en-US"/>
        </w:rPr>
        <w:t>Task 2: Practical Example in Practice</w:t>
      </w:r>
      <w:bookmarkEnd w:id="2"/>
    </w:p>
    <w:p w14:paraId="02C59612" w14:textId="77777777" w:rsidR="00607C1D" w:rsidRPr="00607C1D" w:rsidRDefault="00607C1D" w:rsidP="004A5F3C">
      <w:pPr>
        <w:spacing w:line="360" w:lineRule="auto"/>
        <w:jc w:val="both"/>
        <w:rPr>
          <w:rFonts w:ascii="Arial" w:hAnsi="Arial" w:cs="Arial"/>
          <w:sz w:val="22"/>
          <w:szCs w:val="22"/>
          <w:lang w:val="en-US"/>
        </w:rPr>
      </w:pPr>
      <w:r w:rsidRPr="00607C1D">
        <w:rPr>
          <w:rFonts w:ascii="Arial" w:hAnsi="Arial" w:cs="Arial"/>
          <w:sz w:val="22"/>
          <w:szCs w:val="22"/>
          <w:lang w:val="en-US"/>
        </w:rPr>
        <w:t xml:space="preserve">Robyn’s case shows the difference between keeping someone safe and supporting them to live a life they value. Following a spinal injury she required 24-hour assistance, yet in 2014 alone 36 personal assistants provided her care. Some assistants could not drive or work around animals, although horses and an active social life were central to her identity (NHS England, </w:t>
      </w:r>
      <w:proofErr w:type="spellStart"/>
      <w:r w:rsidRPr="00607C1D">
        <w:rPr>
          <w:rFonts w:ascii="Arial" w:hAnsi="Arial" w:cs="Arial"/>
          <w:sz w:val="22"/>
          <w:szCs w:val="22"/>
          <w:lang w:val="en-US"/>
        </w:rPr>
        <w:t>n.d.c</w:t>
      </w:r>
      <w:proofErr w:type="spellEnd"/>
      <w:r w:rsidRPr="00607C1D">
        <w:rPr>
          <w:rFonts w:ascii="Arial" w:hAnsi="Arial" w:cs="Arial"/>
          <w:sz w:val="22"/>
          <w:szCs w:val="22"/>
          <w:lang w:val="en-US"/>
        </w:rPr>
        <w:t>).</w:t>
      </w:r>
    </w:p>
    <w:p w14:paraId="711ADF97" w14:textId="77777777" w:rsidR="00607C1D" w:rsidRPr="00607C1D" w:rsidRDefault="00607C1D" w:rsidP="004A5F3C">
      <w:pPr>
        <w:spacing w:line="360" w:lineRule="auto"/>
        <w:jc w:val="both"/>
        <w:rPr>
          <w:rFonts w:ascii="Arial" w:hAnsi="Arial" w:cs="Arial"/>
          <w:sz w:val="22"/>
          <w:szCs w:val="22"/>
          <w:lang w:val="en-US"/>
        </w:rPr>
      </w:pPr>
      <w:r w:rsidRPr="00607C1D">
        <w:rPr>
          <w:rFonts w:ascii="Arial" w:hAnsi="Arial" w:cs="Arial"/>
          <w:sz w:val="22"/>
          <w:szCs w:val="22"/>
          <w:lang w:val="en-US"/>
        </w:rPr>
        <w:t>Person-</w:t>
      </w:r>
      <w:proofErr w:type="spellStart"/>
      <w:r w:rsidRPr="00607C1D">
        <w:rPr>
          <w:rFonts w:ascii="Arial" w:hAnsi="Arial" w:cs="Arial"/>
          <w:sz w:val="22"/>
          <w:szCs w:val="22"/>
          <w:lang w:val="en-US"/>
        </w:rPr>
        <w:t>centred</w:t>
      </w:r>
      <w:proofErr w:type="spellEnd"/>
      <w:r w:rsidRPr="00607C1D">
        <w:rPr>
          <w:rFonts w:ascii="Arial" w:hAnsi="Arial" w:cs="Arial"/>
          <w:sz w:val="22"/>
          <w:szCs w:val="22"/>
          <w:lang w:val="en-US"/>
        </w:rPr>
        <w:t xml:space="preserve"> care was absent at first. </w:t>
      </w:r>
      <w:proofErr w:type="spellStart"/>
      <w:r w:rsidRPr="00607C1D">
        <w:rPr>
          <w:rFonts w:ascii="Arial" w:hAnsi="Arial" w:cs="Arial"/>
          <w:sz w:val="22"/>
          <w:szCs w:val="22"/>
          <w:lang w:val="en-US"/>
        </w:rPr>
        <w:t>Kitwood</w:t>
      </w:r>
      <w:proofErr w:type="spellEnd"/>
      <w:r w:rsidRPr="00607C1D">
        <w:rPr>
          <w:rFonts w:ascii="Arial" w:hAnsi="Arial" w:cs="Arial"/>
          <w:sz w:val="22"/>
          <w:szCs w:val="22"/>
          <w:lang w:val="en-US"/>
        </w:rPr>
        <w:t xml:space="preserve"> (1997) argued that personhood is undermined when routines override the individual, and here staffing availability, not Robyn’s goals, shaped her support. The position changed through a personal health budget (PHB). A PHB nurse explored what was not working and what she wanted to achieve, and the budget allowed her to employ regular assistants who knew her needs, alongside work, care of her </w:t>
      </w:r>
      <w:r w:rsidRPr="00607C1D">
        <w:rPr>
          <w:rFonts w:ascii="Arial" w:hAnsi="Arial" w:cs="Arial"/>
          <w:sz w:val="22"/>
          <w:szCs w:val="22"/>
          <w:lang w:val="en-US"/>
        </w:rPr>
        <w:lastRenderedPageBreak/>
        <w:t xml:space="preserve">animals and an active social life. This reflects shared decision-making, combining professional knowledge and public resources with Robyn’s expertise about her own life (NICE, 2021). It also reflects Regulation 9, which requires care to meet people’s needs and reflect their preferences (Care Quality Commission, 2025). Continuity also supported safety, as assistants who knew her could anticipate potential issues. For professionals, the PHB nurse continues to explore ways to increase her independence, such as delegating further health tasks to her assistants to reduce reliance on community nursing (NHS England, </w:t>
      </w:r>
      <w:proofErr w:type="spellStart"/>
      <w:r w:rsidRPr="00607C1D">
        <w:rPr>
          <w:rFonts w:ascii="Arial" w:hAnsi="Arial" w:cs="Arial"/>
          <w:sz w:val="22"/>
          <w:szCs w:val="22"/>
          <w:lang w:val="en-US"/>
        </w:rPr>
        <w:t>n.d.c</w:t>
      </w:r>
      <w:proofErr w:type="spellEnd"/>
      <w:r w:rsidRPr="00607C1D">
        <w:rPr>
          <w:rFonts w:ascii="Arial" w:hAnsi="Arial" w:cs="Arial"/>
          <w:sz w:val="22"/>
          <w:szCs w:val="22"/>
          <w:lang w:val="en-US"/>
        </w:rPr>
        <w:t>).</w:t>
      </w:r>
    </w:p>
    <w:p w14:paraId="2F00A6C2" w14:textId="77777777" w:rsidR="00607C1D" w:rsidRPr="00607C1D" w:rsidRDefault="00607C1D" w:rsidP="004A5F3C">
      <w:pPr>
        <w:spacing w:line="360" w:lineRule="auto"/>
        <w:jc w:val="both"/>
        <w:rPr>
          <w:rFonts w:ascii="Arial" w:hAnsi="Arial" w:cs="Arial"/>
          <w:sz w:val="22"/>
          <w:szCs w:val="22"/>
          <w:lang w:val="en-US"/>
        </w:rPr>
      </w:pPr>
      <w:r w:rsidRPr="00607C1D">
        <w:rPr>
          <w:rFonts w:ascii="Arial" w:hAnsi="Arial" w:cs="Arial"/>
          <w:sz w:val="22"/>
          <w:szCs w:val="22"/>
          <w:lang w:val="en-US"/>
        </w:rPr>
        <w:t xml:space="preserve">Partnership working involved her jointly funded social care and NHS Continuing Healthcare teams and the local Personal Budget Support Service, which supported recruitment and employment and processed her payroll. </w:t>
      </w:r>
      <w:proofErr w:type="spellStart"/>
      <w:r w:rsidRPr="00607C1D">
        <w:rPr>
          <w:rFonts w:ascii="Arial" w:hAnsi="Arial" w:cs="Arial"/>
          <w:sz w:val="22"/>
          <w:szCs w:val="22"/>
          <w:lang w:val="en-US"/>
        </w:rPr>
        <w:t>Doornebosch</w:t>
      </w:r>
      <w:proofErr w:type="spellEnd"/>
      <w:r w:rsidRPr="00607C1D">
        <w:rPr>
          <w:rFonts w:ascii="Arial" w:hAnsi="Arial" w:cs="Arial"/>
          <w:sz w:val="22"/>
          <w:szCs w:val="22"/>
          <w:lang w:val="en-US"/>
        </w:rPr>
        <w:t xml:space="preserve">, </w:t>
      </w:r>
      <w:proofErr w:type="spellStart"/>
      <w:r w:rsidRPr="00607C1D">
        <w:rPr>
          <w:rFonts w:ascii="Arial" w:hAnsi="Arial" w:cs="Arial"/>
          <w:sz w:val="22"/>
          <w:szCs w:val="22"/>
          <w:lang w:val="en-US"/>
        </w:rPr>
        <w:t>Smaling</w:t>
      </w:r>
      <w:proofErr w:type="spellEnd"/>
      <w:r w:rsidRPr="00607C1D">
        <w:rPr>
          <w:rFonts w:ascii="Arial" w:hAnsi="Arial" w:cs="Arial"/>
          <w:sz w:val="22"/>
          <w:szCs w:val="22"/>
          <w:lang w:val="en-US"/>
        </w:rPr>
        <w:t xml:space="preserve"> and Achterberg (2022) found that collaboration depends on interacting team, </w:t>
      </w:r>
      <w:proofErr w:type="spellStart"/>
      <w:r w:rsidRPr="00607C1D">
        <w:rPr>
          <w:rFonts w:ascii="Arial" w:hAnsi="Arial" w:cs="Arial"/>
          <w:sz w:val="22"/>
          <w:szCs w:val="22"/>
          <w:lang w:val="en-US"/>
        </w:rPr>
        <w:t>organisational</w:t>
      </w:r>
      <w:proofErr w:type="spellEnd"/>
      <w:r w:rsidRPr="00607C1D">
        <w:rPr>
          <w:rFonts w:ascii="Arial" w:hAnsi="Arial" w:cs="Arial"/>
          <w:sz w:val="22"/>
          <w:szCs w:val="22"/>
          <w:lang w:val="en-US"/>
        </w:rPr>
        <w:t xml:space="preserve"> and information-sharing conditions, and the case shows both strengths and gaps. Practical support made choice workable, but the process took 18 months with long periods without updates, suggesting weak communication and accountability. Robyn’s initial plan also did not represent her, and she eventually rewrote it herself. This fell short of Regulation 9’s expectation that care is planned collaboratively with the person (Care Quality Commission, 2025). In Arnstein’s (1969) terms, the process was closer to tokenism than partnership until she took control. A </w:t>
      </w:r>
      <w:proofErr w:type="spellStart"/>
      <w:r w:rsidRPr="00607C1D">
        <w:rPr>
          <w:rFonts w:ascii="Arial" w:hAnsi="Arial" w:cs="Arial"/>
          <w:sz w:val="22"/>
          <w:szCs w:val="22"/>
          <w:lang w:val="en-US"/>
        </w:rPr>
        <w:t>personalised</w:t>
      </w:r>
      <w:proofErr w:type="spellEnd"/>
      <w:r w:rsidRPr="00607C1D">
        <w:rPr>
          <w:rFonts w:ascii="Arial" w:hAnsi="Arial" w:cs="Arial"/>
          <w:sz w:val="22"/>
          <w:szCs w:val="22"/>
          <w:lang w:val="en-US"/>
        </w:rPr>
        <w:t xml:space="preserve"> budget therefore did not guarantee a </w:t>
      </w:r>
      <w:proofErr w:type="spellStart"/>
      <w:r w:rsidRPr="00607C1D">
        <w:rPr>
          <w:rFonts w:ascii="Arial" w:hAnsi="Arial" w:cs="Arial"/>
          <w:sz w:val="22"/>
          <w:szCs w:val="22"/>
          <w:lang w:val="en-US"/>
        </w:rPr>
        <w:t>personalised</w:t>
      </w:r>
      <w:proofErr w:type="spellEnd"/>
      <w:r w:rsidRPr="00607C1D">
        <w:rPr>
          <w:rFonts w:ascii="Arial" w:hAnsi="Arial" w:cs="Arial"/>
          <w:sz w:val="22"/>
          <w:szCs w:val="22"/>
          <w:lang w:val="en-US"/>
        </w:rPr>
        <w:t xml:space="preserve"> planning process.</w:t>
      </w:r>
    </w:p>
    <w:p w14:paraId="470A3778" w14:textId="77777777" w:rsidR="00607C1D" w:rsidRPr="00607C1D" w:rsidRDefault="00607C1D" w:rsidP="004A5F3C">
      <w:pPr>
        <w:spacing w:line="360" w:lineRule="auto"/>
        <w:jc w:val="both"/>
        <w:rPr>
          <w:rFonts w:ascii="Arial" w:hAnsi="Arial" w:cs="Arial"/>
          <w:sz w:val="22"/>
          <w:szCs w:val="22"/>
          <w:lang w:val="en-US"/>
        </w:rPr>
      </w:pPr>
      <w:r w:rsidRPr="00607C1D">
        <w:rPr>
          <w:rFonts w:ascii="Arial" w:hAnsi="Arial" w:cs="Arial"/>
          <w:sz w:val="22"/>
          <w:szCs w:val="22"/>
          <w:lang w:val="en-US"/>
        </w:rPr>
        <w:t>Ethically, the case shows principles in tension (Beauchamp and Childress, 2019). Autonomy increased as Robyn gained control over who supported her and how she lived, while beneficence extended beyond avoiding injury to improving her quality of life. Her autonomy was also relational, because it depended on her relationships with assistants, nurses and support services (Gómez-</w:t>
      </w:r>
      <w:proofErr w:type="spellStart"/>
      <w:r w:rsidRPr="00607C1D">
        <w:rPr>
          <w:rFonts w:ascii="Arial" w:hAnsi="Arial" w:cs="Arial"/>
          <w:sz w:val="22"/>
          <w:szCs w:val="22"/>
          <w:lang w:val="en-US"/>
        </w:rPr>
        <w:t>Vírseda</w:t>
      </w:r>
      <w:proofErr w:type="spellEnd"/>
      <w:r w:rsidRPr="00607C1D">
        <w:rPr>
          <w:rFonts w:ascii="Arial" w:hAnsi="Arial" w:cs="Arial"/>
          <w:sz w:val="22"/>
          <w:szCs w:val="22"/>
          <w:lang w:val="en-US"/>
        </w:rPr>
        <w:t xml:space="preserve">, De </w:t>
      </w:r>
      <w:proofErr w:type="spellStart"/>
      <w:r w:rsidRPr="00607C1D">
        <w:rPr>
          <w:rFonts w:ascii="Arial" w:hAnsi="Arial" w:cs="Arial"/>
          <w:sz w:val="22"/>
          <w:szCs w:val="22"/>
          <w:lang w:val="en-US"/>
        </w:rPr>
        <w:t>Maeseneer</w:t>
      </w:r>
      <w:proofErr w:type="spellEnd"/>
      <w:r w:rsidRPr="00607C1D">
        <w:rPr>
          <w:rFonts w:ascii="Arial" w:hAnsi="Arial" w:cs="Arial"/>
          <w:sz w:val="22"/>
          <w:szCs w:val="22"/>
          <w:lang w:val="en-US"/>
        </w:rPr>
        <w:t xml:space="preserve"> and </w:t>
      </w:r>
      <w:proofErr w:type="spellStart"/>
      <w:r w:rsidRPr="00607C1D">
        <w:rPr>
          <w:rFonts w:ascii="Arial" w:hAnsi="Arial" w:cs="Arial"/>
          <w:sz w:val="22"/>
          <w:szCs w:val="22"/>
          <w:lang w:val="en-US"/>
        </w:rPr>
        <w:t>Gastmans</w:t>
      </w:r>
      <w:proofErr w:type="spellEnd"/>
      <w:r w:rsidRPr="00607C1D">
        <w:rPr>
          <w:rFonts w:ascii="Arial" w:hAnsi="Arial" w:cs="Arial"/>
          <w:sz w:val="22"/>
          <w:szCs w:val="22"/>
          <w:lang w:val="en-US"/>
        </w:rPr>
        <w:t>, 2019). Choice carried responsibility, however. As an employer she needed payroll support and backup cover, which served non-maleficence by keeping care competent and reliable. Justice required accountable, needs-based use of public funds, yet the time taken to approve the arrangement prolonged an unsuitable one.</w:t>
      </w:r>
    </w:p>
    <w:p w14:paraId="6DFECC02" w14:textId="08314162" w:rsidR="005C7FD7" w:rsidRDefault="00607C1D" w:rsidP="004A5F3C">
      <w:pPr>
        <w:spacing w:line="360" w:lineRule="auto"/>
        <w:jc w:val="both"/>
        <w:rPr>
          <w:rFonts w:ascii="Arial" w:hAnsi="Arial" w:cs="Arial"/>
          <w:sz w:val="22"/>
          <w:szCs w:val="22"/>
          <w:lang w:val="en-US"/>
        </w:rPr>
      </w:pPr>
      <w:r w:rsidRPr="00607C1D">
        <w:rPr>
          <w:rFonts w:ascii="Arial" w:hAnsi="Arial" w:cs="Arial"/>
          <w:sz w:val="22"/>
          <w:szCs w:val="22"/>
          <w:lang w:val="en-US"/>
        </w:rPr>
        <w:t>A named contact, scheduled updates, earlier co-produced planning, peer support from experienced budget holders and clear contingency arrangements could have shortened the 18-month process and reduced its burden. These measures would strengthen communication and accountability and give Robyn control over her plan from the outset, higher on Arnstein’s (1969) ladder. Success depended on continuity and suitable assistants, so the approach will not work equally well for everyone, particularly where workforce instability or bureaucracy causes delay.</w:t>
      </w:r>
    </w:p>
    <w:p w14:paraId="64A5F270" w14:textId="77777777" w:rsidR="005C7FD7" w:rsidRDefault="005C7FD7">
      <w:pPr>
        <w:rPr>
          <w:rFonts w:ascii="Arial" w:hAnsi="Arial" w:cs="Arial"/>
          <w:sz w:val="22"/>
          <w:szCs w:val="22"/>
          <w:lang w:val="en-US"/>
        </w:rPr>
      </w:pPr>
      <w:r>
        <w:rPr>
          <w:rFonts w:ascii="Arial" w:hAnsi="Arial" w:cs="Arial"/>
          <w:sz w:val="22"/>
          <w:szCs w:val="22"/>
          <w:lang w:val="en-US"/>
        </w:rPr>
        <w:br w:type="page"/>
      </w:r>
    </w:p>
    <w:p w14:paraId="62E56BA0" w14:textId="77777777" w:rsidR="00607C1D" w:rsidRPr="00607C1D" w:rsidRDefault="00607C1D" w:rsidP="005C7FD7">
      <w:pPr>
        <w:pStyle w:val="Heading1"/>
        <w:rPr>
          <w:lang w:val="en-US"/>
        </w:rPr>
      </w:pPr>
      <w:bookmarkStart w:id="3" w:name="_Toc243759664"/>
      <w:r w:rsidRPr="00607C1D">
        <w:rPr>
          <w:lang w:val="en-US"/>
        </w:rPr>
        <w:lastRenderedPageBreak/>
        <w:t>Task 3: Self-Reflection as a Health and Social Care Professional</w:t>
      </w:r>
      <w:bookmarkEnd w:id="3"/>
    </w:p>
    <w:p w14:paraId="165EBF8E" w14:textId="082A030D" w:rsidR="00607C1D" w:rsidRDefault="00607C1D" w:rsidP="004A5F3C">
      <w:pPr>
        <w:spacing w:line="360" w:lineRule="auto"/>
        <w:jc w:val="both"/>
        <w:rPr>
          <w:rFonts w:ascii="Arial" w:hAnsi="Arial" w:cs="Arial"/>
          <w:sz w:val="22"/>
          <w:szCs w:val="22"/>
          <w:lang w:val="en-US"/>
        </w:rPr>
      </w:pPr>
      <w:r w:rsidRPr="00607C1D">
        <w:rPr>
          <w:rFonts w:ascii="Arial" w:hAnsi="Arial" w:cs="Arial"/>
          <w:sz w:val="22"/>
          <w:szCs w:val="22"/>
          <w:lang w:val="en-US"/>
        </w:rPr>
        <w:t xml:space="preserve">Gibbs’ (1988) reflective cycle </w:t>
      </w:r>
      <w:r w:rsidR="00CA2447">
        <w:rPr>
          <w:rFonts w:ascii="Arial" w:hAnsi="Arial" w:cs="Arial"/>
          <w:sz w:val="22"/>
          <w:szCs w:val="22"/>
          <w:lang w:val="en-US"/>
        </w:rPr>
        <w:t>was used to structure</w:t>
      </w:r>
      <w:r w:rsidRPr="00607C1D">
        <w:rPr>
          <w:rFonts w:ascii="Arial" w:hAnsi="Arial" w:cs="Arial"/>
          <w:sz w:val="22"/>
          <w:szCs w:val="22"/>
          <w:lang w:val="en-US"/>
        </w:rPr>
        <w:t xml:space="preserve"> this reflection from description to action plan.</w:t>
      </w:r>
      <w:r w:rsidR="007B57EE">
        <w:rPr>
          <w:rFonts w:ascii="Arial" w:hAnsi="Arial" w:cs="Arial"/>
          <w:sz w:val="22"/>
          <w:szCs w:val="22"/>
          <w:lang w:val="en-US"/>
        </w:rPr>
        <w:t xml:space="preserve"> It is divided into 6 stages as seen in Figure 1 below.</w:t>
      </w:r>
    </w:p>
    <w:p w14:paraId="7615AA8B" w14:textId="352EF1B4" w:rsidR="00CA2447" w:rsidRDefault="007B57EE" w:rsidP="004A5F3C">
      <w:pPr>
        <w:spacing w:line="360" w:lineRule="auto"/>
        <w:jc w:val="both"/>
        <w:rPr>
          <w:rFonts w:ascii="Arial" w:hAnsi="Arial" w:cs="Arial"/>
          <w:sz w:val="22"/>
          <w:szCs w:val="22"/>
          <w:lang w:val="en-US"/>
        </w:rPr>
      </w:pPr>
      <w:r w:rsidRPr="007B57EE">
        <w:rPr>
          <w:rFonts w:ascii="Arial" w:hAnsi="Arial" w:cs="Arial"/>
          <w:noProof/>
          <w:sz w:val="22"/>
          <w:szCs w:val="22"/>
          <w:lang w:val="en-US"/>
        </w:rPr>
        <w:drawing>
          <wp:inline distT="0" distB="0" distL="0" distR="0" wp14:anchorId="64FB46FA" wp14:editId="093E2C1B">
            <wp:extent cx="5731510" cy="4298950"/>
            <wp:effectExtent l="0" t="0" r="2540" b="6350"/>
            <wp:docPr id="18419658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965885" name=""/>
                    <pic:cNvPicPr/>
                  </pic:nvPicPr>
                  <pic:blipFill>
                    <a:blip r:embed="rId10"/>
                    <a:stretch>
                      <a:fillRect/>
                    </a:stretch>
                  </pic:blipFill>
                  <pic:spPr>
                    <a:xfrm>
                      <a:off x="0" y="0"/>
                      <a:ext cx="5731510" cy="4298950"/>
                    </a:xfrm>
                    <a:prstGeom prst="rect">
                      <a:avLst/>
                    </a:prstGeom>
                  </pic:spPr>
                </pic:pic>
              </a:graphicData>
            </a:graphic>
          </wp:inline>
        </w:drawing>
      </w:r>
    </w:p>
    <w:p w14:paraId="67B15E40" w14:textId="63AF01CE" w:rsidR="007B57EE" w:rsidRDefault="007B57EE" w:rsidP="004A5F3C">
      <w:pPr>
        <w:spacing w:line="360" w:lineRule="auto"/>
        <w:jc w:val="both"/>
        <w:rPr>
          <w:rFonts w:ascii="Arial" w:hAnsi="Arial" w:cs="Arial"/>
          <w:sz w:val="22"/>
          <w:szCs w:val="22"/>
          <w:lang w:val="en-US"/>
        </w:rPr>
      </w:pPr>
      <w:r>
        <w:rPr>
          <w:rFonts w:ascii="Arial" w:hAnsi="Arial" w:cs="Arial"/>
          <w:sz w:val="22"/>
          <w:szCs w:val="22"/>
          <w:lang w:val="en-US"/>
        </w:rPr>
        <w:t>Figure 1: Gibbs Reflective Cycle</w:t>
      </w:r>
    </w:p>
    <w:p w14:paraId="333A68F2" w14:textId="1D0A3081" w:rsidR="007B57EE" w:rsidRPr="00607C1D" w:rsidRDefault="007B57EE" w:rsidP="004A5F3C">
      <w:pPr>
        <w:spacing w:line="360" w:lineRule="auto"/>
        <w:jc w:val="both"/>
        <w:rPr>
          <w:rFonts w:ascii="Arial" w:hAnsi="Arial" w:cs="Arial"/>
          <w:sz w:val="22"/>
          <w:szCs w:val="22"/>
          <w:lang w:val="en-US"/>
        </w:rPr>
      </w:pPr>
      <w:r>
        <w:rPr>
          <w:rFonts w:ascii="Arial" w:hAnsi="Arial" w:cs="Arial"/>
          <w:sz w:val="22"/>
          <w:szCs w:val="22"/>
          <w:lang w:val="en-US"/>
        </w:rPr>
        <w:t>Source: McLeod (2025) adapted from Gibbs (1988)</w:t>
      </w:r>
    </w:p>
    <w:p w14:paraId="4BE769AD" w14:textId="77777777" w:rsidR="00607C1D" w:rsidRPr="00607C1D" w:rsidRDefault="00607C1D" w:rsidP="004A5F3C">
      <w:pPr>
        <w:spacing w:line="360" w:lineRule="auto"/>
        <w:jc w:val="both"/>
        <w:rPr>
          <w:rFonts w:ascii="Arial" w:hAnsi="Arial" w:cs="Arial"/>
          <w:sz w:val="22"/>
          <w:szCs w:val="22"/>
          <w:lang w:val="en-US"/>
        </w:rPr>
      </w:pPr>
      <w:r w:rsidRPr="00607C1D">
        <w:rPr>
          <w:rFonts w:ascii="Arial" w:hAnsi="Arial" w:cs="Arial"/>
          <w:b/>
          <w:bCs/>
          <w:sz w:val="22"/>
          <w:szCs w:val="22"/>
          <w:lang w:val="en-US"/>
        </w:rPr>
        <w:t>Description</w:t>
      </w:r>
    </w:p>
    <w:p w14:paraId="07CDE971" w14:textId="77777777" w:rsidR="00607C1D" w:rsidRPr="00607C1D" w:rsidRDefault="00607C1D" w:rsidP="004A5F3C">
      <w:pPr>
        <w:spacing w:line="360" w:lineRule="auto"/>
        <w:jc w:val="both"/>
        <w:rPr>
          <w:rFonts w:ascii="Arial" w:hAnsi="Arial" w:cs="Arial"/>
          <w:sz w:val="22"/>
          <w:szCs w:val="22"/>
          <w:lang w:val="en-US"/>
        </w:rPr>
      </w:pPr>
      <w:r w:rsidRPr="00607C1D">
        <w:rPr>
          <w:rFonts w:ascii="Arial" w:hAnsi="Arial" w:cs="Arial"/>
          <w:sz w:val="22"/>
          <w:szCs w:val="22"/>
          <w:lang w:val="en-US"/>
        </w:rPr>
        <w:t>I supported an adult with type 2 diabetes and chronic leg ulcers on an acute medical ward who refused high-compression bandaging because it felt too tight, disturbed his sleep and prevented him from wearing his usual shoes. My first response was to explain the clinical purpose of compression and the risks of refusing. Once I listened more closely, I worked with the tissue viability nurse to offer lower-compression hosiery, which he agreed to try during the day, with a review after one week. For discharge, I coordinated the referral, clarified the dressing regime with the tissue viability nurse, confirmed a 14-day dressing supply with pharmacy and telephoned the district nursing hub for a clinical handover. The district nursing team received the electronic referral late on a Friday afternoon and key safe details were unconfirmed, delaying the first home visit.</w:t>
      </w:r>
    </w:p>
    <w:p w14:paraId="0181547E" w14:textId="77777777" w:rsidR="00607C1D" w:rsidRPr="00607C1D" w:rsidRDefault="00607C1D" w:rsidP="004A5F3C">
      <w:pPr>
        <w:spacing w:line="360" w:lineRule="auto"/>
        <w:jc w:val="both"/>
        <w:rPr>
          <w:rFonts w:ascii="Arial" w:hAnsi="Arial" w:cs="Arial"/>
          <w:sz w:val="22"/>
          <w:szCs w:val="22"/>
          <w:lang w:val="en-US"/>
        </w:rPr>
      </w:pPr>
      <w:r w:rsidRPr="00607C1D">
        <w:rPr>
          <w:rFonts w:ascii="Arial" w:hAnsi="Arial" w:cs="Arial"/>
          <w:b/>
          <w:bCs/>
          <w:sz w:val="22"/>
          <w:szCs w:val="22"/>
          <w:lang w:val="en-US"/>
        </w:rPr>
        <w:lastRenderedPageBreak/>
        <w:t>Feelings</w:t>
      </w:r>
    </w:p>
    <w:p w14:paraId="59932157" w14:textId="77777777" w:rsidR="00607C1D" w:rsidRPr="00607C1D" w:rsidRDefault="00607C1D" w:rsidP="004A5F3C">
      <w:pPr>
        <w:spacing w:line="360" w:lineRule="auto"/>
        <w:jc w:val="both"/>
        <w:rPr>
          <w:rFonts w:ascii="Arial" w:hAnsi="Arial" w:cs="Arial"/>
          <w:sz w:val="22"/>
          <w:szCs w:val="22"/>
          <w:lang w:val="en-US"/>
        </w:rPr>
      </w:pPr>
      <w:r w:rsidRPr="00607C1D">
        <w:rPr>
          <w:rFonts w:ascii="Arial" w:hAnsi="Arial" w:cs="Arial"/>
          <w:sz w:val="22"/>
          <w:szCs w:val="22"/>
          <w:lang w:val="en-US"/>
        </w:rPr>
        <w:t xml:space="preserve">I felt anxious about infection, delayed healing and tissue deterioration, while </w:t>
      </w:r>
      <w:proofErr w:type="spellStart"/>
      <w:r w:rsidRPr="00607C1D">
        <w:rPr>
          <w:rFonts w:ascii="Arial" w:hAnsi="Arial" w:cs="Arial"/>
          <w:sz w:val="22"/>
          <w:szCs w:val="22"/>
          <w:lang w:val="en-US"/>
        </w:rPr>
        <w:t>recognising</w:t>
      </w:r>
      <w:proofErr w:type="spellEnd"/>
      <w:r w:rsidRPr="00607C1D">
        <w:rPr>
          <w:rFonts w:ascii="Arial" w:hAnsi="Arial" w:cs="Arial"/>
          <w:sz w:val="22"/>
          <w:szCs w:val="22"/>
          <w:lang w:val="en-US"/>
        </w:rPr>
        <w:t xml:space="preserve"> his right to decide. My responsibility to preserve safety made the recommended treatment feel like the priority, so I assumed he did not understand its importance. This was my limitation, because my assumption, not his understanding, was the barrier. The discharge delay made me aware that I had treated sending the referral as completing my responsibility.</w:t>
      </w:r>
    </w:p>
    <w:p w14:paraId="7C72EFF4" w14:textId="77777777" w:rsidR="00607C1D" w:rsidRPr="00607C1D" w:rsidRDefault="00607C1D" w:rsidP="004A5F3C">
      <w:pPr>
        <w:spacing w:line="360" w:lineRule="auto"/>
        <w:jc w:val="both"/>
        <w:rPr>
          <w:rFonts w:ascii="Arial" w:hAnsi="Arial" w:cs="Arial"/>
          <w:sz w:val="22"/>
          <w:szCs w:val="22"/>
          <w:lang w:val="en-US"/>
        </w:rPr>
      </w:pPr>
      <w:r w:rsidRPr="00607C1D">
        <w:rPr>
          <w:rFonts w:ascii="Arial" w:hAnsi="Arial" w:cs="Arial"/>
          <w:b/>
          <w:bCs/>
          <w:sz w:val="22"/>
          <w:szCs w:val="22"/>
          <w:lang w:val="en-US"/>
        </w:rPr>
        <w:t>Evaluation</w:t>
      </w:r>
    </w:p>
    <w:p w14:paraId="606C57C7" w14:textId="77777777" w:rsidR="00607C1D" w:rsidRPr="00607C1D" w:rsidRDefault="00607C1D" w:rsidP="004A5F3C">
      <w:pPr>
        <w:spacing w:line="360" w:lineRule="auto"/>
        <w:jc w:val="both"/>
        <w:rPr>
          <w:rFonts w:ascii="Arial" w:hAnsi="Arial" w:cs="Arial"/>
          <w:sz w:val="22"/>
          <w:szCs w:val="22"/>
          <w:lang w:val="en-US"/>
        </w:rPr>
      </w:pPr>
      <w:r w:rsidRPr="00607C1D">
        <w:rPr>
          <w:rFonts w:ascii="Arial" w:hAnsi="Arial" w:cs="Arial"/>
          <w:sz w:val="22"/>
          <w:szCs w:val="22"/>
          <w:lang w:val="en-US"/>
        </w:rPr>
        <w:t>My strength was communication and problem-solving. I used open questions, listened without interrupting and checked understanding, which kept him involved in decisions while reducing avoidable risk. Communication within the team also worked well because the tissue viability nurse provided clear photographic wound documentation and a rationale for the plan. Collaboration was weaker, since I should have contacted the community team 24 to 48 hours before discharge to confirm receipt and practical arrangements.</w:t>
      </w:r>
    </w:p>
    <w:p w14:paraId="37705C1D" w14:textId="77777777" w:rsidR="00607C1D" w:rsidRPr="00607C1D" w:rsidRDefault="00607C1D" w:rsidP="004A5F3C">
      <w:pPr>
        <w:spacing w:line="360" w:lineRule="auto"/>
        <w:jc w:val="both"/>
        <w:rPr>
          <w:rFonts w:ascii="Arial" w:hAnsi="Arial" w:cs="Arial"/>
          <w:sz w:val="22"/>
          <w:szCs w:val="22"/>
          <w:lang w:val="en-US"/>
        </w:rPr>
      </w:pPr>
      <w:r w:rsidRPr="00607C1D">
        <w:rPr>
          <w:rFonts w:ascii="Arial" w:hAnsi="Arial" w:cs="Arial"/>
          <w:b/>
          <w:bCs/>
          <w:sz w:val="22"/>
          <w:szCs w:val="22"/>
          <w:lang w:val="en-US"/>
        </w:rPr>
        <w:t>Analysis</w:t>
      </w:r>
    </w:p>
    <w:p w14:paraId="6C8A90CF" w14:textId="77777777" w:rsidR="00607C1D" w:rsidRPr="00607C1D" w:rsidRDefault="00607C1D" w:rsidP="004A5F3C">
      <w:pPr>
        <w:spacing w:line="360" w:lineRule="auto"/>
        <w:jc w:val="both"/>
        <w:rPr>
          <w:rFonts w:ascii="Arial" w:hAnsi="Arial" w:cs="Arial"/>
          <w:sz w:val="22"/>
          <w:szCs w:val="22"/>
          <w:lang w:val="en-US"/>
        </w:rPr>
      </w:pPr>
      <w:r w:rsidRPr="00607C1D">
        <w:rPr>
          <w:rFonts w:ascii="Arial" w:hAnsi="Arial" w:cs="Arial"/>
          <w:sz w:val="22"/>
          <w:szCs w:val="22"/>
          <w:lang w:val="en-US"/>
        </w:rPr>
        <w:t>Technically correct care is not necessarily person-</w:t>
      </w:r>
      <w:proofErr w:type="spellStart"/>
      <w:r w:rsidRPr="00607C1D">
        <w:rPr>
          <w:rFonts w:ascii="Arial" w:hAnsi="Arial" w:cs="Arial"/>
          <w:sz w:val="22"/>
          <w:szCs w:val="22"/>
          <w:lang w:val="en-US"/>
        </w:rPr>
        <w:t>centred</w:t>
      </w:r>
      <w:proofErr w:type="spellEnd"/>
      <w:r w:rsidRPr="00607C1D">
        <w:rPr>
          <w:rFonts w:ascii="Arial" w:hAnsi="Arial" w:cs="Arial"/>
          <w:sz w:val="22"/>
          <w:szCs w:val="22"/>
          <w:lang w:val="en-US"/>
        </w:rPr>
        <w:t xml:space="preserve"> care. PCC involves sharing power and supporting informed involvement through planning that considers the whole person (NHS England, </w:t>
      </w:r>
      <w:proofErr w:type="spellStart"/>
      <w:r w:rsidRPr="00607C1D">
        <w:rPr>
          <w:rFonts w:ascii="Arial" w:hAnsi="Arial" w:cs="Arial"/>
          <w:sz w:val="22"/>
          <w:szCs w:val="22"/>
          <w:lang w:val="en-US"/>
        </w:rPr>
        <w:t>n.d.a</w:t>
      </w:r>
      <w:proofErr w:type="spellEnd"/>
      <w:r w:rsidRPr="00607C1D">
        <w:rPr>
          <w:rFonts w:ascii="Arial" w:hAnsi="Arial" w:cs="Arial"/>
          <w:sz w:val="22"/>
          <w:szCs w:val="22"/>
          <w:lang w:val="en-US"/>
        </w:rPr>
        <w:t xml:space="preserve">; NHS England, </w:t>
      </w:r>
      <w:proofErr w:type="spellStart"/>
      <w:r w:rsidRPr="00607C1D">
        <w:rPr>
          <w:rFonts w:ascii="Arial" w:hAnsi="Arial" w:cs="Arial"/>
          <w:sz w:val="22"/>
          <w:szCs w:val="22"/>
          <w:lang w:val="en-US"/>
        </w:rPr>
        <w:t>n.d.b</w:t>
      </w:r>
      <w:proofErr w:type="spellEnd"/>
      <w:r w:rsidRPr="00607C1D">
        <w:rPr>
          <w:rFonts w:ascii="Arial" w:hAnsi="Arial" w:cs="Arial"/>
          <w:sz w:val="22"/>
          <w:szCs w:val="22"/>
          <w:lang w:val="en-US"/>
        </w:rPr>
        <w:t>). Elwyn et al. (2017) place team talk, which supports the person and elicits their goals, before option talk, whereas I began by explaining risks. The patient had full capacity but declined four-layer compression and clinic attendance. The Mental Capacity Act 2005 requires capacity to be presumed and assessed for the specific decision, and does not allow an unwise choice to be treated as proof of incapacity. I explained the risks without coercion, and we agreed lower-compression hosiery with twice-weekly home reviews. Using Beauchamp and Childress (2019), autonomy supported his right to refuse, while beneficence and non-maleficence required me to keep seeking an acceptable option that reduced harm. The Nursing and Midwifery Council (2018) Code likewise requires nurses to respect and document a person’s right to accept or refuse care and treatment. I must guard against paternalism by separating “Do I agree with this choice?” from “Can this person understand, retain, use or weigh relevant information and communicate a decision?”</w:t>
      </w:r>
    </w:p>
    <w:p w14:paraId="1AE251F5" w14:textId="77777777" w:rsidR="00607C1D" w:rsidRPr="00607C1D" w:rsidRDefault="00607C1D" w:rsidP="004A5F3C">
      <w:pPr>
        <w:spacing w:line="360" w:lineRule="auto"/>
        <w:jc w:val="both"/>
        <w:rPr>
          <w:rFonts w:ascii="Arial" w:hAnsi="Arial" w:cs="Arial"/>
          <w:sz w:val="22"/>
          <w:szCs w:val="22"/>
          <w:lang w:val="en-US"/>
        </w:rPr>
      </w:pPr>
      <w:r w:rsidRPr="00607C1D">
        <w:rPr>
          <w:rFonts w:ascii="Arial" w:hAnsi="Arial" w:cs="Arial"/>
          <w:sz w:val="22"/>
          <w:szCs w:val="22"/>
          <w:lang w:val="en-US"/>
        </w:rPr>
        <w:t xml:space="preserve">Under the Care Act 2014 duty of cooperation, timely confirmation of discharge arrangements is a shared responsibility, and following </w:t>
      </w:r>
      <w:proofErr w:type="spellStart"/>
      <w:r w:rsidRPr="00607C1D">
        <w:rPr>
          <w:rFonts w:ascii="Arial" w:hAnsi="Arial" w:cs="Arial"/>
          <w:sz w:val="22"/>
          <w:szCs w:val="22"/>
          <w:lang w:val="en-US"/>
        </w:rPr>
        <w:t>Schot</w:t>
      </w:r>
      <w:proofErr w:type="spellEnd"/>
      <w:r w:rsidRPr="00607C1D">
        <w:rPr>
          <w:rFonts w:ascii="Arial" w:hAnsi="Arial" w:cs="Arial"/>
          <w:sz w:val="22"/>
          <w:szCs w:val="22"/>
          <w:lang w:val="en-US"/>
        </w:rPr>
        <w:t xml:space="preserve">, </w:t>
      </w:r>
      <w:proofErr w:type="spellStart"/>
      <w:r w:rsidRPr="00607C1D">
        <w:rPr>
          <w:rFonts w:ascii="Arial" w:hAnsi="Arial" w:cs="Arial"/>
          <w:sz w:val="22"/>
          <w:szCs w:val="22"/>
          <w:lang w:val="en-US"/>
        </w:rPr>
        <w:t>Tummers</w:t>
      </w:r>
      <w:proofErr w:type="spellEnd"/>
      <w:r w:rsidRPr="00607C1D">
        <w:rPr>
          <w:rFonts w:ascii="Arial" w:hAnsi="Arial" w:cs="Arial"/>
          <w:sz w:val="22"/>
          <w:szCs w:val="22"/>
          <w:lang w:val="en-US"/>
        </w:rPr>
        <w:t xml:space="preserve"> and </w:t>
      </w:r>
      <w:proofErr w:type="spellStart"/>
      <w:r w:rsidRPr="00607C1D">
        <w:rPr>
          <w:rFonts w:ascii="Arial" w:hAnsi="Arial" w:cs="Arial"/>
          <w:sz w:val="22"/>
          <w:szCs w:val="22"/>
          <w:lang w:val="en-US"/>
        </w:rPr>
        <w:t>Noordegraaf</w:t>
      </w:r>
      <w:proofErr w:type="spellEnd"/>
      <w:r w:rsidRPr="00607C1D">
        <w:rPr>
          <w:rFonts w:ascii="Arial" w:hAnsi="Arial" w:cs="Arial"/>
          <w:sz w:val="22"/>
          <w:szCs w:val="22"/>
          <w:lang w:val="en-US"/>
        </w:rPr>
        <w:t xml:space="preserve"> (2020), I must distinguish multidisciplinary presence from genuine coordination. </w:t>
      </w:r>
      <w:proofErr w:type="spellStart"/>
      <w:r w:rsidRPr="00607C1D">
        <w:rPr>
          <w:rFonts w:ascii="Arial" w:hAnsi="Arial" w:cs="Arial"/>
          <w:sz w:val="22"/>
          <w:szCs w:val="22"/>
          <w:lang w:val="en-US"/>
        </w:rPr>
        <w:t>Organisational</w:t>
      </w:r>
      <w:proofErr w:type="spellEnd"/>
      <w:r w:rsidRPr="00607C1D">
        <w:rPr>
          <w:rFonts w:ascii="Arial" w:hAnsi="Arial" w:cs="Arial"/>
          <w:sz w:val="22"/>
          <w:szCs w:val="22"/>
          <w:lang w:val="en-US"/>
        </w:rPr>
        <w:t xml:space="preserve"> conditions also affect PCC (Güney, Karadağ and El-Masri, 2021), and when my workload is high, I focus on tasks and give less attention to shared planning. This does not remove my accountability, </w:t>
      </w:r>
      <w:r w:rsidRPr="00607C1D">
        <w:rPr>
          <w:rFonts w:ascii="Arial" w:hAnsi="Arial" w:cs="Arial"/>
          <w:sz w:val="22"/>
          <w:szCs w:val="22"/>
          <w:lang w:val="en-US"/>
        </w:rPr>
        <w:lastRenderedPageBreak/>
        <w:t xml:space="preserve">so I will </w:t>
      </w:r>
      <w:proofErr w:type="spellStart"/>
      <w:r w:rsidRPr="00607C1D">
        <w:rPr>
          <w:rFonts w:ascii="Arial" w:hAnsi="Arial" w:cs="Arial"/>
          <w:sz w:val="22"/>
          <w:szCs w:val="22"/>
          <w:lang w:val="en-US"/>
        </w:rPr>
        <w:t>prioritise</w:t>
      </w:r>
      <w:proofErr w:type="spellEnd"/>
      <w:r w:rsidRPr="00607C1D">
        <w:rPr>
          <w:rFonts w:ascii="Arial" w:hAnsi="Arial" w:cs="Arial"/>
          <w:sz w:val="22"/>
          <w:szCs w:val="22"/>
          <w:lang w:val="en-US"/>
        </w:rPr>
        <w:t xml:space="preserve"> essential communication, record unmet needs and raise recurring barriers in supervision.</w:t>
      </w:r>
    </w:p>
    <w:p w14:paraId="776EE81C" w14:textId="77777777" w:rsidR="00607C1D" w:rsidRPr="00607C1D" w:rsidRDefault="00607C1D" w:rsidP="004A5F3C">
      <w:pPr>
        <w:spacing w:line="360" w:lineRule="auto"/>
        <w:jc w:val="both"/>
        <w:rPr>
          <w:rFonts w:ascii="Arial" w:hAnsi="Arial" w:cs="Arial"/>
          <w:sz w:val="22"/>
          <w:szCs w:val="22"/>
          <w:lang w:val="en-US"/>
        </w:rPr>
      </w:pPr>
      <w:r w:rsidRPr="00607C1D">
        <w:rPr>
          <w:rFonts w:ascii="Arial" w:hAnsi="Arial" w:cs="Arial"/>
          <w:b/>
          <w:bCs/>
          <w:sz w:val="22"/>
          <w:szCs w:val="22"/>
          <w:lang w:val="en-US"/>
        </w:rPr>
        <w:t>Reflective Conclusion</w:t>
      </w:r>
    </w:p>
    <w:p w14:paraId="74CB7EA4" w14:textId="77777777" w:rsidR="00607C1D" w:rsidRPr="00607C1D" w:rsidRDefault="00607C1D" w:rsidP="004A5F3C">
      <w:pPr>
        <w:spacing w:line="360" w:lineRule="auto"/>
        <w:jc w:val="both"/>
        <w:rPr>
          <w:rFonts w:ascii="Arial" w:hAnsi="Arial" w:cs="Arial"/>
          <w:sz w:val="22"/>
          <w:szCs w:val="22"/>
          <w:lang w:val="en-US"/>
        </w:rPr>
      </w:pPr>
      <w:r w:rsidRPr="00607C1D">
        <w:rPr>
          <w:rFonts w:ascii="Arial" w:hAnsi="Arial" w:cs="Arial"/>
          <w:sz w:val="22"/>
          <w:szCs w:val="22"/>
          <w:lang w:val="en-US"/>
        </w:rPr>
        <w:t>My strengths are communication and problem-solving, and my areas for improvement are testing assumptions, confirming handovers early and applying capacity law with confidence. In similar situations, I would begin with the person’s priorities, use teach-back to check understanding and confirm community responsibility before discharge.</w:t>
      </w:r>
    </w:p>
    <w:p w14:paraId="3DC65F2D" w14:textId="77777777" w:rsidR="00607C1D" w:rsidRPr="00607C1D" w:rsidRDefault="00607C1D" w:rsidP="004A5F3C">
      <w:pPr>
        <w:spacing w:line="360" w:lineRule="auto"/>
        <w:jc w:val="both"/>
        <w:rPr>
          <w:rFonts w:ascii="Arial" w:hAnsi="Arial" w:cs="Arial"/>
          <w:sz w:val="22"/>
          <w:szCs w:val="22"/>
          <w:lang w:val="en-US"/>
        </w:rPr>
      </w:pPr>
      <w:r w:rsidRPr="00607C1D">
        <w:rPr>
          <w:rFonts w:ascii="Arial" w:hAnsi="Arial" w:cs="Arial"/>
          <w:b/>
          <w:bCs/>
          <w:sz w:val="22"/>
          <w:szCs w:val="22"/>
          <w:lang w:val="en-US"/>
        </w:rPr>
        <w:t>Action Plan</w:t>
      </w:r>
    </w:p>
    <w:p w14:paraId="7E3E1617" w14:textId="77777777" w:rsidR="00607C1D" w:rsidRPr="00607C1D" w:rsidRDefault="00607C1D" w:rsidP="004A5F3C">
      <w:pPr>
        <w:spacing w:line="360" w:lineRule="auto"/>
        <w:jc w:val="both"/>
        <w:rPr>
          <w:rFonts w:ascii="Arial" w:hAnsi="Arial" w:cs="Arial"/>
          <w:sz w:val="22"/>
          <w:szCs w:val="22"/>
          <w:lang w:val="en-US"/>
        </w:rPr>
      </w:pPr>
      <w:r w:rsidRPr="00607C1D">
        <w:rPr>
          <w:rFonts w:ascii="Arial" w:hAnsi="Arial" w:cs="Arial"/>
          <w:sz w:val="22"/>
          <w:szCs w:val="22"/>
          <w:lang w:val="en-US"/>
        </w:rPr>
        <w:t xml:space="preserve">Within four weeks, I will complete Mental Capacity Act and consent training and discuss one </w:t>
      </w:r>
      <w:proofErr w:type="spellStart"/>
      <w:r w:rsidRPr="00607C1D">
        <w:rPr>
          <w:rFonts w:ascii="Arial" w:hAnsi="Arial" w:cs="Arial"/>
          <w:sz w:val="22"/>
          <w:szCs w:val="22"/>
          <w:lang w:val="en-US"/>
        </w:rPr>
        <w:t>anonymised</w:t>
      </w:r>
      <w:proofErr w:type="spellEnd"/>
      <w:r w:rsidRPr="00607C1D">
        <w:rPr>
          <w:rFonts w:ascii="Arial" w:hAnsi="Arial" w:cs="Arial"/>
          <w:sz w:val="22"/>
          <w:szCs w:val="22"/>
          <w:lang w:val="en-US"/>
        </w:rPr>
        <w:t xml:space="preserve"> scenario with my supervisor. For four weeks, I will keep a weekly reflective log recording the person’s goal, my assumptions and what I would change. I will request structured feedback on one multidisciplinary handover and review progress with my supervisor at six weeks using my training record, reflective entries and feedback. Success will mean documented confirmation of receipt for every discharge I coordinate.</w:t>
      </w:r>
    </w:p>
    <w:p w14:paraId="2EE25AE8" w14:textId="77777777" w:rsidR="00607C1D" w:rsidRPr="00607C1D" w:rsidRDefault="00607C1D" w:rsidP="004A5F3C">
      <w:pPr>
        <w:spacing w:line="360" w:lineRule="auto"/>
        <w:jc w:val="both"/>
        <w:rPr>
          <w:rFonts w:ascii="Arial" w:hAnsi="Arial" w:cs="Arial"/>
          <w:b/>
          <w:bCs/>
          <w:sz w:val="22"/>
          <w:szCs w:val="22"/>
          <w:lang w:val="en-US"/>
        </w:rPr>
      </w:pPr>
      <w:r w:rsidRPr="00607C1D">
        <w:rPr>
          <w:rFonts w:ascii="Arial" w:hAnsi="Arial" w:cs="Arial"/>
          <w:b/>
          <w:bCs/>
          <w:sz w:val="22"/>
          <w:szCs w:val="22"/>
          <w:lang w:val="en-US"/>
        </w:rPr>
        <w:t>Conclusion</w:t>
      </w:r>
    </w:p>
    <w:p w14:paraId="54607AFC" w14:textId="2651EE86" w:rsidR="004225D8" w:rsidRPr="004225D8" w:rsidRDefault="004225D8" w:rsidP="004225D8">
      <w:pPr>
        <w:spacing w:line="360" w:lineRule="auto"/>
        <w:jc w:val="both"/>
        <w:rPr>
          <w:rFonts w:ascii="Arial" w:hAnsi="Arial" w:cs="Arial"/>
          <w:sz w:val="22"/>
          <w:szCs w:val="22"/>
          <w:lang w:val="en-US"/>
        </w:rPr>
      </w:pPr>
      <w:bookmarkStart w:id="4" w:name="_Toc243759665"/>
      <w:r w:rsidRPr="004225D8">
        <w:rPr>
          <w:rFonts w:ascii="Arial" w:hAnsi="Arial" w:cs="Arial"/>
          <w:sz w:val="22"/>
          <w:szCs w:val="22"/>
          <w:lang w:val="en-US"/>
        </w:rPr>
        <w:t xml:space="preserve">PCC, partnership working and ethics operate together to create care that is safe, coordinated and genuinely shaped by the individual. PCC identifies what matters to the person, partnership working brings together the professionals and </w:t>
      </w:r>
      <w:proofErr w:type="spellStart"/>
      <w:r w:rsidRPr="004225D8">
        <w:rPr>
          <w:rFonts w:ascii="Arial" w:hAnsi="Arial" w:cs="Arial"/>
          <w:sz w:val="22"/>
          <w:szCs w:val="22"/>
          <w:lang w:val="en-US"/>
        </w:rPr>
        <w:t>organisations</w:t>
      </w:r>
      <w:proofErr w:type="spellEnd"/>
      <w:r w:rsidRPr="004225D8">
        <w:rPr>
          <w:rFonts w:ascii="Arial" w:hAnsi="Arial" w:cs="Arial"/>
          <w:sz w:val="22"/>
          <w:szCs w:val="22"/>
          <w:lang w:val="en-US"/>
        </w:rPr>
        <w:t xml:space="preserve"> needed to act on those priorities, and ethics provides a framework for resolving tensions, protecting rights and ensuring fairness. Robyn’s story illustrated how </w:t>
      </w:r>
      <w:proofErr w:type="spellStart"/>
      <w:r w:rsidRPr="004225D8">
        <w:rPr>
          <w:rFonts w:ascii="Arial" w:hAnsi="Arial" w:cs="Arial"/>
          <w:sz w:val="22"/>
          <w:szCs w:val="22"/>
          <w:lang w:val="en-US"/>
        </w:rPr>
        <w:t>personalised</w:t>
      </w:r>
      <w:proofErr w:type="spellEnd"/>
      <w:r w:rsidRPr="004225D8">
        <w:rPr>
          <w:rFonts w:ascii="Arial" w:hAnsi="Arial" w:cs="Arial"/>
          <w:sz w:val="22"/>
          <w:szCs w:val="22"/>
          <w:lang w:val="en-US"/>
        </w:rPr>
        <w:t xml:space="preserve"> planning, shared responsibility and balanced risk</w:t>
      </w:r>
      <w:r w:rsidRPr="004225D8">
        <w:rPr>
          <w:rFonts w:ascii="Cambria Math" w:hAnsi="Cambria Math" w:cs="Cambria Math"/>
          <w:sz w:val="22"/>
          <w:szCs w:val="22"/>
          <w:lang w:val="en-US"/>
        </w:rPr>
        <w:t>‑</w:t>
      </w:r>
      <w:r w:rsidRPr="004225D8">
        <w:rPr>
          <w:rFonts w:ascii="Arial" w:hAnsi="Arial" w:cs="Arial"/>
          <w:sz w:val="22"/>
          <w:szCs w:val="22"/>
          <w:lang w:val="en-US"/>
        </w:rPr>
        <w:t>taking improve continuity, autonomy and quality of life. The self</w:t>
      </w:r>
      <w:r w:rsidRPr="004225D8">
        <w:rPr>
          <w:rFonts w:ascii="Cambria Math" w:hAnsi="Cambria Math" w:cs="Cambria Math"/>
          <w:sz w:val="22"/>
          <w:szCs w:val="22"/>
          <w:lang w:val="en-US"/>
        </w:rPr>
        <w:t>‑</w:t>
      </w:r>
      <w:r w:rsidRPr="004225D8">
        <w:rPr>
          <w:rFonts w:ascii="Arial" w:hAnsi="Arial" w:cs="Arial"/>
          <w:sz w:val="22"/>
          <w:szCs w:val="22"/>
          <w:lang w:val="en-US"/>
        </w:rPr>
        <w:t xml:space="preserve">reflection highlighted that applying these principles relies not only on policy knowledge but also on the practitioner’s communication, assumptions and early coordination with others. Consistent practice therefore requires supported participation, clear roles and </w:t>
      </w:r>
      <w:proofErr w:type="spellStart"/>
      <w:r w:rsidRPr="004225D8">
        <w:rPr>
          <w:rFonts w:ascii="Arial" w:hAnsi="Arial" w:cs="Arial"/>
          <w:sz w:val="22"/>
          <w:szCs w:val="22"/>
          <w:lang w:val="en-US"/>
        </w:rPr>
        <w:t>organisational</w:t>
      </w:r>
      <w:proofErr w:type="spellEnd"/>
      <w:r w:rsidRPr="004225D8">
        <w:rPr>
          <w:rFonts w:ascii="Arial" w:hAnsi="Arial" w:cs="Arial"/>
          <w:sz w:val="22"/>
          <w:szCs w:val="22"/>
          <w:lang w:val="en-US"/>
        </w:rPr>
        <w:t xml:space="preserve"> cultures that enable staff to uphold PCC, collaborate effectively and make ethical decisions. When these elements work together, care becomes respectful, safe and meaningfully shaped by the people who use it.</w:t>
      </w:r>
    </w:p>
    <w:p w14:paraId="2FE8F6FC" w14:textId="77777777" w:rsidR="004225D8" w:rsidRDefault="004225D8" w:rsidP="00C929E9">
      <w:pPr>
        <w:rPr>
          <w:rFonts w:ascii="Arial" w:hAnsi="Arial" w:cs="Arial"/>
          <w:b/>
          <w:bCs/>
          <w:sz w:val="22"/>
          <w:szCs w:val="22"/>
          <w:lang w:val="en-US"/>
        </w:rPr>
      </w:pPr>
    </w:p>
    <w:p w14:paraId="21DE7E79" w14:textId="77777777" w:rsidR="004225D8" w:rsidRDefault="004225D8" w:rsidP="00C929E9">
      <w:pPr>
        <w:rPr>
          <w:rFonts w:ascii="Arial" w:hAnsi="Arial" w:cs="Arial"/>
          <w:b/>
          <w:bCs/>
          <w:sz w:val="22"/>
          <w:szCs w:val="22"/>
          <w:lang w:val="en-US"/>
        </w:rPr>
      </w:pPr>
    </w:p>
    <w:p w14:paraId="6612FE14" w14:textId="77777777" w:rsidR="004225D8" w:rsidRDefault="004225D8" w:rsidP="00C929E9">
      <w:pPr>
        <w:rPr>
          <w:rFonts w:ascii="Arial" w:hAnsi="Arial" w:cs="Arial"/>
          <w:b/>
          <w:bCs/>
          <w:sz w:val="22"/>
          <w:szCs w:val="22"/>
          <w:lang w:val="en-US"/>
        </w:rPr>
      </w:pPr>
    </w:p>
    <w:p w14:paraId="7BADE478" w14:textId="77777777" w:rsidR="004225D8" w:rsidRDefault="004225D8" w:rsidP="00C929E9">
      <w:pPr>
        <w:rPr>
          <w:rFonts w:ascii="Arial" w:hAnsi="Arial" w:cs="Arial"/>
          <w:b/>
          <w:bCs/>
          <w:sz w:val="22"/>
          <w:szCs w:val="22"/>
          <w:lang w:val="en-US"/>
        </w:rPr>
      </w:pPr>
    </w:p>
    <w:p w14:paraId="285F58D4" w14:textId="77777777" w:rsidR="004225D8" w:rsidRDefault="004225D8" w:rsidP="00C929E9">
      <w:pPr>
        <w:rPr>
          <w:rFonts w:ascii="Arial" w:hAnsi="Arial" w:cs="Arial"/>
          <w:b/>
          <w:bCs/>
          <w:sz w:val="22"/>
          <w:szCs w:val="22"/>
          <w:lang w:val="en-US"/>
        </w:rPr>
      </w:pPr>
    </w:p>
    <w:p w14:paraId="5407F6A4" w14:textId="77777777" w:rsidR="004225D8" w:rsidRDefault="004225D8" w:rsidP="00C929E9">
      <w:pPr>
        <w:rPr>
          <w:rFonts w:ascii="Arial" w:hAnsi="Arial" w:cs="Arial"/>
          <w:b/>
          <w:bCs/>
          <w:sz w:val="22"/>
          <w:szCs w:val="22"/>
          <w:lang w:val="en-US"/>
        </w:rPr>
      </w:pPr>
    </w:p>
    <w:p w14:paraId="6CCCC201" w14:textId="77777777" w:rsidR="004225D8" w:rsidRDefault="004225D8" w:rsidP="00C929E9">
      <w:pPr>
        <w:rPr>
          <w:rFonts w:ascii="Arial" w:hAnsi="Arial" w:cs="Arial"/>
          <w:b/>
          <w:bCs/>
          <w:sz w:val="22"/>
          <w:szCs w:val="22"/>
          <w:lang w:val="en-US"/>
        </w:rPr>
      </w:pPr>
    </w:p>
    <w:p w14:paraId="1AF1B57E" w14:textId="508DD90E" w:rsidR="00607C1D" w:rsidRPr="00C929E9" w:rsidRDefault="00607C1D" w:rsidP="00C929E9">
      <w:pPr>
        <w:rPr>
          <w:rFonts w:ascii="Arial" w:hAnsi="Arial" w:cs="Arial"/>
          <w:b/>
          <w:bCs/>
          <w:sz w:val="22"/>
          <w:szCs w:val="22"/>
          <w:lang w:val="en-US"/>
        </w:rPr>
      </w:pPr>
      <w:r w:rsidRPr="00607C1D">
        <w:rPr>
          <w:lang w:val="en-US"/>
        </w:rPr>
        <w:t>References</w:t>
      </w:r>
      <w:bookmarkEnd w:id="4"/>
    </w:p>
    <w:p w14:paraId="45CC6F93" w14:textId="77777777" w:rsidR="00607C1D" w:rsidRPr="00607C1D" w:rsidRDefault="00607C1D" w:rsidP="004A5F3C">
      <w:pPr>
        <w:spacing w:line="240" w:lineRule="auto"/>
        <w:jc w:val="both"/>
        <w:rPr>
          <w:rFonts w:ascii="Arial" w:hAnsi="Arial" w:cs="Arial"/>
          <w:sz w:val="22"/>
          <w:szCs w:val="22"/>
          <w:lang w:val="en-US"/>
        </w:rPr>
      </w:pPr>
      <w:r w:rsidRPr="00607C1D">
        <w:rPr>
          <w:rFonts w:ascii="Arial" w:hAnsi="Arial" w:cs="Arial"/>
          <w:sz w:val="22"/>
          <w:szCs w:val="22"/>
          <w:lang w:val="en-US"/>
        </w:rPr>
        <w:t xml:space="preserve">Arnstein, S.R. (1969) ‘A ladder of citizen participation’, </w:t>
      </w:r>
      <w:r w:rsidRPr="00607C1D">
        <w:rPr>
          <w:rFonts w:ascii="Arial" w:hAnsi="Arial" w:cs="Arial"/>
          <w:i/>
          <w:iCs/>
          <w:sz w:val="22"/>
          <w:szCs w:val="22"/>
          <w:lang w:val="en-US"/>
        </w:rPr>
        <w:t>Journal of the American Institute of Planners</w:t>
      </w:r>
      <w:r w:rsidRPr="00607C1D">
        <w:rPr>
          <w:rFonts w:ascii="Arial" w:hAnsi="Arial" w:cs="Arial"/>
          <w:sz w:val="22"/>
          <w:szCs w:val="22"/>
          <w:lang w:val="en-US"/>
        </w:rPr>
        <w:t xml:space="preserve">, 35(4), pp. 216–224. </w:t>
      </w:r>
      <w:proofErr w:type="spellStart"/>
      <w:r w:rsidRPr="00607C1D">
        <w:rPr>
          <w:rFonts w:ascii="Arial" w:hAnsi="Arial" w:cs="Arial"/>
          <w:sz w:val="22"/>
          <w:szCs w:val="22"/>
          <w:lang w:val="en-US"/>
        </w:rPr>
        <w:t>doi</w:t>
      </w:r>
      <w:proofErr w:type="spellEnd"/>
      <w:r w:rsidRPr="00607C1D">
        <w:rPr>
          <w:rFonts w:ascii="Arial" w:hAnsi="Arial" w:cs="Arial"/>
          <w:sz w:val="22"/>
          <w:szCs w:val="22"/>
          <w:lang w:val="en-US"/>
        </w:rPr>
        <w:t>: 10.1080/01944366908977225.</w:t>
      </w:r>
    </w:p>
    <w:p w14:paraId="4EE13B36" w14:textId="77777777" w:rsidR="00607C1D" w:rsidRPr="00607C1D" w:rsidRDefault="00607C1D" w:rsidP="004A5F3C">
      <w:pPr>
        <w:spacing w:line="240" w:lineRule="auto"/>
        <w:jc w:val="both"/>
        <w:rPr>
          <w:rFonts w:ascii="Arial" w:hAnsi="Arial" w:cs="Arial"/>
          <w:sz w:val="22"/>
          <w:szCs w:val="22"/>
          <w:lang w:val="en-US"/>
        </w:rPr>
      </w:pPr>
      <w:r w:rsidRPr="00607C1D">
        <w:rPr>
          <w:rFonts w:ascii="Arial" w:hAnsi="Arial" w:cs="Arial"/>
          <w:sz w:val="22"/>
          <w:szCs w:val="22"/>
          <w:lang w:val="en-US"/>
        </w:rPr>
        <w:t xml:space="preserve">Beauchamp, T.L. and Childress, J.F. (2019) </w:t>
      </w:r>
      <w:r w:rsidRPr="00607C1D">
        <w:rPr>
          <w:rFonts w:ascii="Arial" w:hAnsi="Arial" w:cs="Arial"/>
          <w:i/>
          <w:iCs/>
          <w:sz w:val="22"/>
          <w:szCs w:val="22"/>
          <w:lang w:val="en-US"/>
        </w:rPr>
        <w:t>Principles of biomedical ethics</w:t>
      </w:r>
      <w:r w:rsidRPr="00607C1D">
        <w:rPr>
          <w:rFonts w:ascii="Arial" w:hAnsi="Arial" w:cs="Arial"/>
          <w:sz w:val="22"/>
          <w:szCs w:val="22"/>
          <w:lang w:val="en-US"/>
        </w:rPr>
        <w:t xml:space="preserve">. 8th </w:t>
      </w:r>
      <w:proofErr w:type="spellStart"/>
      <w:r w:rsidRPr="00607C1D">
        <w:rPr>
          <w:rFonts w:ascii="Arial" w:hAnsi="Arial" w:cs="Arial"/>
          <w:sz w:val="22"/>
          <w:szCs w:val="22"/>
          <w:lang w:val="en-US"/>
        </w:rPr>
        <w:t>edn</w:t>
      </w:r>
      <w:proofErr w:type="spellEnd"/>
      <w:r w:rsidRPr="00607C1D">
        <w:rPr>
          <w:rFonts w:ascii="Arial" w:hAnsi="Arial" w:cs="Arial"/>
          <w:sz w:val="22"/>
          <w:szCs w:val="22"/>
          <w:lang w:val="en-US"/>
        </w:rPr>
        <w:t>. New York: Oxford University Press.</w:t>
      </w:r>
    </w:p>
    <w:p w14:paraId="31A9542B" w14:textId="77777777" w:rsidR="00607C1D" w:rsidRPr="00607C1D" w:rsidRDefault="00607C1D" w:rsidP="004A5F3C">
      <w:pPr>
        <w:spacing w:line="240" w:lineRule="auto"/>
        <w:jc w:val="both"/>
        <w:rPr>
          <w:rFonts w:ascii="Arial" w:hAnsi="Arial" w:cs="Arial"/>
          <w:sz w:val="22"/>
          <w:szCs w:val="22"/>
          <w:lang w:val="en-US"/>
        </w:rPr>
      </w:pPr>
      <w:r w:rsidRPr="00607C1D">
        <w:rPr>
          <w:rFonts w:ascii="Arial" w:hAnsi="Arial" w:cs="Arial"/>
          <w:sz w:val="22"/>
          <w:szCs w:val="22"/>
          <w:lang w:val="en-US"/>
        </w:rPr>
        <w:t xml:space="preserve">Byrne, A.-L., Baldwin, A. and Harvey, C.L. (2020) ‘Whose </w:t>
      </w:r>
      <w:proofErr w:type="spellStart"/>
      <w:r w:rsidRPr="00607C1D">
        <w:rPr>
          <w:rFonts w:ascii="Arial" w:hAnsi="Arial" w:cs="Arial"/>
          <w:sz w:val="22"/>
          <w:szCs w:val="22"/>
          <w:lang w:val="en-US"/>
        </w:rPr>
        <w:t>centre</w:t>
      </w:r>
      <w:proofErr w:type="spellEnd"/>
      <w:r w:rsidRPr="00607C1D">
        <w:rPr>
          <w:rFonts w:ascii="Arial" w:hAnsi="Arial" w:cs="Arial"/>
          <w:sz w:val="22"/>
          <w:szCs w:val="22"/>
          <w:lang w:val="en-US"/>
        </w:rPr>
        <w:t xml:space="preserve"> is it anyway? Defining person-</w:t>
      </w:r>
      <w:proofErr w:type="spellStart"/>
      <w:r w:rsidRPr="00607C1D">
        <w:rPr>
          <w:rFonts w:ascii="Arial" w:hAnsi="Arial" w:cs="Arial"/>
          <w:sz w:val="22"/>
          <w:szCs w:val="22"/>
          <w:lang w:val="en-US"/>
        </w:rPr>
        <w:t>centred</w:t>
      </w:r>
      <w:proofErr w:type="spellEnd"/>
      <w:r w:rsidRPr="00607C1D">
        <w:rPr>
          <w:rFonts w:ascii="Arial" w:hAnsi="Arial" w:cs="Arial"/>
          <w:sz w:val="22"/>
          <w:szCs w:val="22"/>
          <w:lang w:val="en-US"/>
        </w:rPr>
        <w:t xml:space="preserve"> care in nursing: an integrative review’, </w:t>
      </w:r>
      <w:r w:rsidRPr="00607C1D">
        <w:rPr>
          <w:rFonts w:ascii="Arial" w:hAnsi="Arial" w:cs="Arial"/>
          <w:i/>
          <w:iCs/>
          <w:sz w:val="22"/>
          <w:szCs w:val="22"/>
          <w:lang w:val="en-US"/>
        </w:rPr>
        <w:t>PLOS ONE</w:t>
      </w:r>
      <w:r w:rsidRPr="00607C1D">
        <w:rPr>
          <w:rFonts w:ascii="Arial" w:hAnsi="Arial" w:cs="Arial"/>
          <w:sz w:val="22"/>
          <w:szCs w:val="22"/>
          <w:lang w:val="en-US"/>
        </w:rPr>
        <w:t xml:space="preserve">, 15(3), e0229923. </w:t>
      </w:r>
      <w:proofErr w:type="spellStart"/>
      <w:r w:rsidRPr="00607C1D">
        <w:rPr>
          <w:rFonts w:ascii="Arial" w:hAnsi="Arial" w:cs="Arial"/>
          <w:sz w:val="22"/>
          <w:szCs w:val="22"/>
          <w:lang w:val="en-US"/>
        </w:rPr>
        <w:t>doi</w:t>
      </w:r>
      <w:proofErr w:type="spellEnd"/>
      <w:r w:rsidRPr="00607C1D">
        <w:rPr>
          <w:rFonts w:ascii="Arial" w:hAnsi="Arial" w:cs="Arial"/>
          <w:sz w:val="22"/>
          <w:szCs w:val="22"/>
          <w:lang w:val="en-US"/>
        </w:rPr>
        <w:t>: 10.1371/journal.pone.0229923.</w:t>
      </w:r>
    </w:p>
    <w:p w14:paraId="480ECF63" w14:textId="77777777" w:rsidR="00607C1D" w:rsidRPr="00607C1D" w:rsidRDefault="00607C1D" w:rsidP="004A5F3C">
      <w:pPr>
        <w:spacing w:line="240" w:lineRule="auto"/>
        <w:jc w:val="both"/>
        <w:rPr>
          <w:rFonts w:ascii="Arial" w:hAnsi="Arial" w:cs="Arial"/>
          <w:sz w:val="22"/>
          <w:szCs w:val="22"/>
          <w:lang w:val="en-US"/>
        </w:rPr>
      </w:pPr>
      <w:r w:rsidRPr="00607C1D">
        <w:rPr>
          <w:rFonts w:ascii="Arial" w:hAnsi="Arial" w:cs="Arial"/>
          <w:sz w:val="22"/>
          <w:szCs w:val="22"/>
          <w:lang w:val="en-US"/>
        </w:rPr>
        <w:t xml:space="preserve">Care Act 2014, c. 23. Available at: </w:t>
      </w:r>
      <w:hyperlink r:id="rId11" w:history="1">
        <w:r w:rsidRPr="00607C1D">
          <w:rPr>
            <w:rStyle w:val="Hyperlink"/>
            <w:rFonts w:ascii="Arial" w:hAnsi="Arial" w:cs="Arial"/>
            <w:sz w:val="22"/>
            <w:szCs w:val="22"/>
            <w:lang w:val="en-US"/>
          </w:rPr>
          <w:t>https://www.legislation.gov.uk/ukpga/2014/23/contents</w:t>
        </w:r>
      </w:hyperlink>
      <w:r w:rsidRPr="00607C1D">
        <w:rPr>
          <w:rFonts w:ascii="Arial" w:hAnsi="Arial" w:cs="Arial"/>
          <w:sz w:val="22"/>
          <w:szCs w:val="22"/>
          <w:lang w:val="en-US"/>
        </w:rPr>
        <w:t xml:space="preserve"> (Accessed: 28 September 2026).</w:t>
      </w:r>
    </w:p>
    <w:p w14:paraId="7B36D3AA" w14:textId="77777777" w:rsidR="00607C1D" w:rsidRPr="00607C1D" w:rsidRDefault="00607C1D" w:rsidP="004A5F3C">
      <w:pPr>
        <w:spacing w:line="240" w:lineRule="auto"/>
        <w:jc w:val="both"/>
        <w:rPr>
          <w:rFonts w:ascii="Arial" w:hAnsi="Arial" w:cs="Arial"/>
          <w:sz w:val="22"/>
          <w:szCs w:val="22"/>
          <w:lang w:val="en-US"/>
        </w:rPr>
      </w:pPr>
      <w:r w:rsidRPr="00607C1D">
        <w:rPr>
          <w:rFonts w:ascii="Arial" w:hAnsi="Arial" w:cs="Arial"/>
          <w:sz w:val="22"/>
          <w:szCs w:val="22"/>
          <w:lang w:val="en-US"/>
        </w:rPr>
        <w:t xml:space="preserve">Care Quality Commission (2025) </w:t>
      </w:r>
      <w:r w:rsidRPr="00607C1D">
        <w:rPr>
          <w:rFonts w:ascii="Arial" w:hAnsi="Arial" w:cs="Arial"/>
          <w:i/>
          <w:iCs/>
          <w:sz w:val="22"/>
          <w:szCs w:val="22"/>
          <w:lang w:val="en-US"/>
        </w:rPr>
        <w:t>Regulation 9: Person-</w:t>
      </w:r>
      <w:proofErr w:type="spellStart"/>
      <w:r w:rsidRPr="00607C1D">
        <w:rPr>
          <w:rFonts w:ascii="Arial" w:hAnsi="Arial" w:cs="Arial"/>
          <w:i/>
          <w:iCs/>
          <w:sz w:val="22"/>
          <w:szCs w:val="22"/>
          <w:lang w:val="en-US"/>
        </w:rPr>
        <w:t>centred</w:t>
      </w:r>
      <w:proofErr w:type="spellEnd"/>
      <w:r w:rsidRPr="00607C1D">
        <w:rPr>
          <w:rFonts w:ascii="Arial" w:hAnsi="Arial" w:cs="Arial"/>
          <w:i/>
          <w:iCs/>
          <w:sz w:val="22"/>
          <w:szCs w:val="22"/>
          <w:lang w:val="en-US"/>
        </w:rPr>
        <w:t xml:space="preserve"> care</w:t>
      </w:r>
      <w:r w:rsidRPr="00607C1D">
        <w:rPr>
          <w:rFonts w:ascii="Arial" w:hAnsi="Arial" w:cs="Arial"/>
          <w:sz w:val="22"/>
          <w:szCs w:val="22"/>
          <w:lang w:val="en-US"/>
        </w:rPr>
        <w:t xml:space="preserve">. Available at: </w:t>
      </w:r>
      <w:hyperlink r:id="rId12" w:history="1">
        <w:r w:rsidRPr="00607C1D">
          <w:rPr>
            <w:rStyle w:val="Hyperlink"/>
            <w:rFonts w:ascii="Arial" w:hAnsi="Arial" w:cs="Arial"/>
            <w:sz w:val="22"/>
            <w:szCs w:val="22"/>
            <w:lang w:val="en-US"/>
          </w:rPr>
          <w:t>https://www.cqc.org.uk/guidance-regulation/providers/regulations-service-providers-and-managers/health-social-care-act/regulation-9</w:t>
        </w:r>
      </w:hyperlink>
      <w:r w:rsidRPr="00607C1D">
        <w:rPr>
          <w:rFonts w:ascii="Arial" w:hAnsi="Arial" w:cs="Arial"/>
          <w:sz w:val="22"/>
          <w:szCs w:val="22"/>
          <w:lang w:val="en-US"/>
        </w:rPr>
        <w:t xml:space="preserve"> (Accessed: 5 October 2026).</w:t>
      </w:r>
    </w:p>
    <w:p w14:paraId="016324A3" w14:textId="77777777" w:rsidR="00607C1D" w:rsidRPr="00607C1D" w:rsidRDefault="00607C1D" w:rsidP="004A5F3C">
      <w:pPr>
        <w:spacing w:line="240" w:lineRule="auto"/>
        <w:jc w:val="both"/>
        <w:rPr>
          <w:rFonts w:ascii="Arial" w:hAnsi="Arial" w:cs="Arial"/>
          <w:sz w:val="22"/>
          <w:szCs w:val="22"/>
          <w:lang w:val="en-US"/>
        </w:rPr>
      </w:pPr>
      <w:proofErr w:type="spellStart"/>
      <w:r w:rsidRPr="00607C1D">
        <w:rPr>
          <w:rFonts w:ascii="Arial" w:hAnsi="Arial" w:cs="Arial"/>
          <w:sz w:val="22"/>
          <w:szCs w:val="22"/>
          <w:lang w:val="en-US"/>
        </w:rPr>
        <w:t>Doornebosch</w:t>
      </w:r>
      <w:proofErr w:type="spellEnd"/>
      <w:r w:rsidRPr="00607C1D">
        <w:rPr>
          <w:rFonts w:ascii="Arial" w:hAnsi="Arial" w:cs="Arial"/>
          <w:sz w:val="22"/>
          <w:szCs w:val="22"/>
          <w:lang w:val="en-US"/>
        </w:rPr>
        <w:t xml:space="preserve">, A.J., </w:t>
      </w:r>
      <w:proofErr w:type="spellStart"/>
      <w:r w:rsidRPr="00607C1D">
        <w:rPr>
          <w:rFonts w:ascii="Arial" w:hAnsi="Arial" w:cs="Arial"/>
          <w:sz w:val="22"/>
          <w:szCs w:val="22"/>
          <w:lang w:val="en-US"/>
        </w:rPr>
        <w:t>Smaling</w:t>
      </w:r>
      <w:proofErr w:type="spellEnd"/>
      <w:r w:rsidRPr="00607C1D">
        <w:rPr>
          <w:rFonts w:ascii="Arial" w:hAnsi="Arial" w:cs="Arial"/>
          <w:sz w:val="22"/>
          <w:szCs w:val="22"/>
          <w:lang w:val="en-US"/>
        </w:rPr>
        <w:t xml:space="preserve">, H.J.A. and Achterberg, W.P. (2022) ‘Interprofessional collaboration in long-term care and rehabilitation: a systematic review’, </w:t>
      </w:r>
      <w:r w:rsidRPr="00607C1D">
        <w:rPr>
          <w:rFonts w:ascii="Arial" w:hAnsi="Arial" w:cs="Arial"/>
          <w:i/>
          <w:iCs/>
          <w:sz w:val="22"/>
          <w:szCs w:val="22"/>
          <w:lang w:val="en-US"/>
        </w:rPr>
        <w:t>Journal of the American Medical Directors Association</w:t>
      </w:r>
      <w:r w:rsidRPr="00607C1D">
        <w:rPr>
          <w:rFonts w:ascii="Arial" w:hAnsi="Arial" w:cs="Arial"/>
          <w:sz w:val="22"/>
          <w:szCs w:val="22"/>
          <w:lang w:val="en-US"/>
        </w:rPr>
        <w:t xml:space="preserve">, 23(5), pp. 764–777.e2. </w:t>
      </w:r>
      <w:proofErr w:type="spellStart"/>
      <w:r w:rsidRPr="00607C1D">
        <w:rPr>
          <w:rFonts w:ascii="Arial" w:hAnsi="Arial" w:cs="Arial"/>
          <w:sz w:val="22"/>
          <w:szCs w:val="22"/>
          <w:lang w:val="en-US"/>
        </w:rPr>
        <w:t>doi</w:t>
      </w:r>
      <w:proofErr w:type="spellEnd"/>
      <w:r w:rsidRPr="00607C1D">
        <w:rPr>
          <w:rFonts w:ascii="Arial" w:hAnsi="Arial" w:cs="Arial"/>
          <w:sz w:val="22"/>
          <w:szCs w:val="22"/>
          <w:lang w:val="en-US"/>
        </w:rPr>
        <w:t>: 10.1016/j.jamda.2021.12.028.</w:t>
      </w:r>
    </w:p>
    <w:p w14:paraId="538128B4" w14:textId="77777777" w:rsidR="00607C1D" w:rsidRPr="00607C1D" w:rsidRDefault="00607C1D" w:rsidP="004A5F3C">
      <w:pPr>
        <w:spacing w:line="240" w:lineRule="auto"/>
        <w:jc w:val="both"/>
        <w:rPr>
          <w:rFonts w:ascii="Arial" w:hAnsi="Arial" w:cs="Arial"/>
          <w:sz w:val="22"/>
          <w:szCs w:val="22"/>
          <w:lang w:val="en-US"/>
        </w:rPr>
      </w:pPr>
      <w:r w:rsidRPr="00607C1D">
        <w:rPr>
          <w:rFonts w:ascii="Arial" w:hAnsi="Arial" w:cs="Arial"/>
          <w:sz w:val="22"/>
          <w:szCs w:val="22"/>
          <w:lang w:val="en-US"/>
        </w:rPr>
        <w:t xml:space="preserve">Elwyn, G. </w:t>
      </w:r>
      <w:r w:rsidRPr="00607C1D">
        <w:rPr>
          <w:rFonts w:ascii="Arial" w:hAnsi="Arial" w:cs="Arial"/>
          <w:i/>
          <w:iCs/>
          <w:sz w:val="22"/>
          <w:szCs w:val="22"/>
          <w:lang w:val="en-US"/>
        </w:rPr>
        <w:t>et al.</w:t>
      </w:r>
      <w:r w:rsidRPr="00607C1D">
        <w:rPr>
          <w:rFonts w:ascii="Arial" w:hAnsi="Arial" w:cs="Arial"/>
          <w:sz w:val="22"/>
          <w:szCs w:val="22"/>
          <w:lang w:val="en-US"/>
        </w:rPr>
        <w:t xml:space="preserve"> (2017) ‘A three-talk model for shared decision making: multistage consultation process’, </w:t>
      </w:r>
      <w:r w:rsidRPr="00607C1D">
        <w:rPr>
          <w:rFonts w:ascii="Arial" w:hAnsi="Arial" w:cs="Arial"/>
          <w:i/>
          <w:iCs/>
          <w:sz w:val="22"/>
          <w:szCs w:val="22"/>
          <w:lang w:val="en-US"/>
        </w:rPr>
        <w:t>BMJ</w:t>
      </w:r>
      <w:r w:rsidRPr="00607C1D">
        <w:rPr>
          <w:rFonts w:ascii="Arial" w:hAnsi="Arial" w:cs="Arial"/>
          <w:sz w:val="22"/>
          <w:szCs w:val="22"/>
          <w:lang w:val="en-US"/>
        </w:rPr>
        <w:t xml:space="preserve">, 359, j4891. </w:t>
      </w:r>
      <w:proofErr w:type="spellStart"/>
      <w:r w:rsidRPr="00607C1D">
        <w:rPr>
          <w:rFonts w:ascii="Arial" w:hAnsi="Arial" w:cs="Arial"/>
          <w:sz w:val="22"/>
          <w:szCs w:val="22"/>
          <w:lang w:val="en-US"/>
        </w:rPr>
        <w:t>doi</w:t>
      </w:r>
      <w:proofErr w:type="spellEnd"/>
      <w:r w:rsidRPr="00607C1D">
        <w:rPr>
          <w:rFonts w:ascii="Arial" w:hAnsi="Arial" w:cs="Arial"/>
          <w:sz w:val="22"/>
          <w:szCs w:val="22"/>
          <w:lang w:val="en-US"/>
        </w:rPr>
        <w:t>: 10.1136/bmj.j4891.</w:t>
      </w:r>
    </w:p>
    <w:p w14:paraId="1D0350AB" w14:textId="77777777" w:rsidR="00607C1D" w:rsidRPr="00607C1D" w:rsidRDefault="00607C1D" w:rsidP="004A5F3C">
      <w:pPr>
        <w:spacing w:line="240" w:lineRule="auto"/>
        <w:jc w:val="both"/>
        <w:rPr>
          <w:rFonts w:ascii="Arial" w:hAnsi="Arial" w:cs="Arial"/>
          <w:sz w:val="22"/>
          <w:szCs w:val="22"/>
          <w:lang w:val="en-US"/>
        </w:rPr>
      </w:pPr>
      <w:r w:rsidRPr="00607C1D">
        <w:rPr>
          <w:rFonts w:ascii="Arial" w:hAnsi="Arial" w:cs="Arial"/>
          <w:sz w:val="22"/>
          <w:szCs w:val="22"/>
          <w:lang w:val="en-US"/>
        </w:rPr>
        <w:t xml:space="preserve">Gibbs, G. (1988) </w:t>
      </w:r>
      <w:r w:rsidRPr="00607C1D">
        <w:rPr>
          <w:rFonts w:ascii="Arial" w:hAnsi="Arial" w:cs="Arial"/>
          <w:i/>
          <w:iCs/>
          <w:sz w:val="22"/>
          <w:szCs w:val="22"/>
          <w:lang w:val="en-US"/>
        </w:rPr>
        <w:t>Learning by doing: a guide to teaching and learning methods</w:t>
      </w:r>
      <w:r w:rsidRPr="00607C1D">
        <w:rPr>
          <w:rFonts w:ascii="Arial" w:hAnsi="Arial" w:cs="Arial"/>
          <w:sz w:val="22"/>
          <w:szCs w:val="22"/>
          <w:lang w:val="en-US"/>
        </w:rPr>
        <w:t>. Oxford: Further Education Unit.</w:t>
      </w:r>
    </w:p>
    <w:p w14:paraId="233A75CE" w14:textId="77777777" w:rsidR="00607C1D" w:rsidRPr="00607C1D" w:rsidRDefault="00607C1D" w:rsidP="004A5F3C">
      <w:pPr>
        <w:spacing w:line="240" w:lineRule="auto"/>
        <w:jc w:val="both"/>
        <w:rPr>
          <w:rFonts w:ascii="Arial" w:hAnsi="Arial" w:cs="Arial"/>
          <w:sz w:val="22"/>
          <w:szCs w:val="22"/>
          <w:lang w:val="en-US"/>
        </w:rPr>
      </w:pPr>
      <w:r w:rsidRPr="00607C1D">
        <w:rPr>
          <w:rFonts w:ascii="Arial" w:hAnsi="Arial" w:cs="Arial"/>
          <w:sz w:val="22"/>
          <w:szCs w:val="22"/>
          <w:lang w:val="en-US"/>
        </w:rPr>
        <w:t>Gómez-</w:t>
      </w:r>
      <w:proofErr w:type="spellStart"/>
      <w:r w:rsidRPr="00607C1D">
        <w:rPr>
          <w:rFonts w:ascii="Arial" w:hAnsi="Arial" w:cs="Arial"/>
          <w:sz w:val="22"/>
          <w:szCs w:val="22"/>
          <w:lang w:val="en-US"/>
        </w:rPr>
        <w:t>Vírseda</w:t>
      </w:r>
      <w:proofErr w:type="spellEnd"/>
      <w:r w:rsidRPr="00607C1D">
        <w:rPr>
          <w:rFonts w:ascii="Arial" w:hAnsi="Arial" w:cs="Arial"/>
          <w:sz w:val="22"/>
          <w:szCs w:val="22"/>
          <w:lang w:val="en-US"/>
        </w:rPr>
        <w:t xml:space="preserve">, C., De Maeseneer, Y. and </w:t>
      </w:r>
      <w:proofErr w:type="spellStart"/>
      <w:r w:rsidRPr="00607C1D">
        <w:rPr>
          <w:rFonts w:ascii="Arial" w:hAnsi="Arial" w:cs="Arial"/>
          <w:sz w:val="22"/>
          <w:szCs w:val="22"/>
          <w:lang w:val="en-US"/>
        </w:rPr>
        <w:t>Gastmans</w:t>
      </w:r>
      <w:proofErr w:type="spellEnd"/>
      <w:r w:rsidRPr="00607C1D">
        <w:rPr>
          <w:rFonts w:ascii="Arial" w:hAnsi="Arial" w:cs="Arial"/>
          <w:sz w:val="22"/>
          <w:szCs w:val="22"/>
          <w:lang w:val="en-US"/>
        </w:rPr>
        <w:t xml:space="preserve">, C. (2019) ‘Relational autonomy: what does it mean and how is it used in end-of-life care? A systematic review of argument-based ethics literature’, </w:t>
      </w:r>
      <w:r w:rsidRPr="00607C1D">
        <w:rPr>
          <w:rFonts w:ascii="Arial" w:hAnsi="Arial" w:cs="Arial"/>
          <w:i/>
          <w:iCs/>
          <w:sz w:val="22"/>
          <w:szCs w:val="22"/>
          <w:lang w:val="en-US"/>
        </w:rPr>
        <w:t>BMC Medical Ethics</w:t>
      </w:r>
      <w:r w:rsidRPr="00607C1D">
        <w:rPr>
          <w:rFonts w:ascii="Arial" w:hAnsi="Arial" w:cs="Arial"/>
          <w:sz w:val="22"/>
          <w:szCs w:val="22"/>
          <w:lang w:val="en-US"/>
        </w:rPr>
        <w:t xml:space="preserve">, 20, 76. </w:t>
      </w:r>
      <w:proofErr w:type="spellStart"/>
      <w:r w:rsidRPr="00607C1D">
        <w:rPr>
          <w:rFonts w:ascii="Arial" w:hAnsi="Arial" w:cs="Arial"/>
          <w:sz w:val="22"/>
          <w:szCs w:val="22"/>
          <w:lang w:val="en-US"/>
        </w:rPr>
        <w:t>doi</w:t>
      </w:r>
      <w:proofErr w:type="spellEnd"/>
      <w:r w:rsidRPr="00607C1D">
        <w:rPr>
          <w:rFonts w:ascii="Arial" w:hAnsi="Arial" w:cs="Arial"/>
          <w:sz w:val="22"/>
          <w:szCs w:val="22"/>
          <w:lang w:val="en-US"/>
        </w:rPr>
        <w:t>: 10.1186/s12910-019-0417-3.</w:t>
      </w:r>
    </w:p>
    <w:p w14:paraId="14C636D5" w14:textId="77777777" w:rsidR="00607C1D" w:rsidRPr="00607C1D" w:rsidRDefault="00607C1D" w:rsidP="004A5F3C">
      <w:pPr>
        <w:spacing w:line="240" w:lineRule="auto"/>
        <w:jc w:val="both"/>
        <w:rPr>
          <w:rFonts w:ascii="Arial" w:hAnsi="Arial" w:cs="Arial"/>
          <w:sz w:val="22"/>
          <w:szCs w:val="22"/>
          <w:lang w:val="en-US"/>
        </w:rPr>
      </w:pPr>
      <w:r w:rsidRPr="00607C1D">
        <w:rPr>
          <w:rFonts w:ascii="Arial" w:hAnsi="Arial" w:cs="Arial"/>
          <w:sz w:val="22"/>
          <w:szCs w:val="22"/>
          <w:lang w:val="en-US"/>
        </w:rPr>
        <w:t xml:space="preserve">Güney, S., Karadağ, A. and El-Masri, M. (2021) ‘Perceptions and experiences of person-centered care among nurses and nurse aides in long term residential care facilities: a systematic review of qualitative studies’, </w:t>
      </w:r>
      <w:r w:rsidRPr="00607C1D">
        <w:rPr>
          <w:rFonts w:ascii="Arial" w:hAnsi="Arial" w:cs="Arial"/>
          <w:i/>
          <w:iCs/>
          <w:sz w:val="22"/>
          <w:szCs w:val="22"/>
          <w:lang w:val="en-US"/>
        </w:rPr>
        <w:t>Geriatric Nursing</w:t>
      </w:r>
      <w:r w:rsidRPr="00607C1D">
        <w:rPr>
          <w:rFonts w:ascii="Arial" w:hAnsi="Arial" w:cs="Arial"/>
          <w:sz w:val="22"/>
          <w:szCs w:val="22"/>
          <w:lang w:val="en-US"/>
        </w:rPr>
        <w:t xml:space="preserve">, 42(4), pp. 816–824. </w:t>
      </w:r>
      <w:proofErr w:type="spellStart"/>
      <w:r w:rsidRPr="00607C1D">
        <w:rPr>
          <w:rFonts w:ascii="Arial" w:hAnsi="Arial" w:cs="Arial"/>
          <w:sz w:val="22"/>
          <w:szCs w:val="22"/>
          <w:lang w:val="en-US"/>
        </w:rPr>
        <w:t>doi</w:t>
      </w:r>
      <w:proofErr w:type="spellEnd"/>
      <w:r w:rsidRPr="00607C1D">
        <w:rPr>
          <w:rFonts w:ascii="Arial" w:hAnsi="Arial" w:cs="Arial"/>
          <w:sz w:val="22"/>
          <w:szCs w:val="22"/>
          <w:lang w:val="en-US"/>
        </w:rPr>
        <w:t>: 10.1016/j.gerinurse.2021.04.005.</w:t>
      </w:r>
    </w:p>
    <w:p w14:paraId="13323870" w14:textId="77777777" w:rsidR="00607C1D" w:rsidRPr="00607C1D" w:rsidRDefault="00607C1D" w:rsidP="004A5F3C">
      <w:pPr>
        <w:spacing w:line="240" w:lineRule="auto"/>
        <w:jc w:val="both"/>
        <w:rPr>
          <w:rFonts w:ascii="Arial" w:hAnsi="Arial" w:cs="Arial"/>
          <w:sz w:val="22"/>
          <w:szCs w:val="22"/>
          <w:lang w:val="en-US"/>
        </w:rPr>
      </w:pPr>
      <w:r w:rsidRPr="00607C1D">
        <w:rPr>
          <w:rFonts w:ascii="Arial" w:hAnsi="Arial" w:cs="Arial"/>
          <w:sz w:val="22"/>
          <w:szCs w:val="22"/>
          <w:lang w:val="en-US"/>
        </w:rPr>
        <w:t xml:space="preserve">Health and Care Act 2022, c. 31. Available at: </w:t>
      </w:r>
      <w:hyperlink r:id="rId13" w:history="1">
        <w:r w:rsidRPr="00607C1D">
          <w:rPr>
            <w:rStyle w:val="Hyperlink"/>
            <w:rFonts w:ascii="Arial" w:hAnsi="Arial" w:cs="Arial"/>
            <w:sz w:val="22"/>
            <w:szCs w:val="22"/>
            <w:lang w:val="en-US"/>
          </w:rPr>
          <w:t>https://www.legislation.gov.uk/ukpga/2022/31/contents</w:t>
        </w:r>
      </w:hyperlink>
      <w:r w:rsidRPr="00607C1D">
        <w:rPr>
          <w:rFonts w:ascii="Arial" w:hAnsi="Arial" w:cs="Arial"/>
          <w:sz w:val="22"/>
          <w:szCs w:val="22"/>
          <w:lang w:val="en-US"/>
        </w:rPr>
        <w:t xml:space="preserve"> (Accessed: 28 September 2026).</w:t>
      </w:r>
    </w:p>
    <w:p w14:paraId="08ABD6DD" w14:textId="77777777" w:rsidR="00607C1D" w:rsidRDefault="00607C1D" w:rsidP="004A5F3C">
      <w:pPr>
        <w:spacing w:line="240" w:lineRule="auto"/>
        <w:jc w:val="both"/>
        <w:rPr>
          <w:rFonts w:ascii="Arial" w:hAnsi="Arial" w:cs="Arial"/>
          <w:sz w:val="22"/>
          <w:szCs w:val="22"/>
          <w:lang w:val="en-US"/>
        </w:rPr>
      </w:pPr>
      <w:proofErr w:type="spellStart"/>
      <w:r w:rsidRPr="00607C1D">
        <w:rPr>
          <w:rFonts w:ascii="Arial" w:hAnsi="Arial" w:cs="Arial"/>
          <w:sz w:val="22"/>
          <w:szCs w:val="22"/>
          <w:lang w:val="en-US"/>
        </w:rPr>
        <w:t>Kitwood</w:t>
      </w:r>
      <w:proofErr w:type="spellEnd"/>
      <w:r w:rsidRPr="00607C1D">
        <w:rPr>
          <w:rFonts w:ascii="Arial" w:hAnsi="Arial" w:cs="Arial"/>
          <w:sz w:val="22"/>
          <w:szCs w:val="22"/>
          <w:lang w:val="en-US"/>
        </w:rPr>
        <w:t xml:space="preserve">, T. (1997) </w:t>
      </w:r>
      <w:r w:rsidRPr="00607C1D">
        <w:rPr>
          <w:rFonts w:ascii="Arial" w:hAnsi="Arial" w:cs="Arial"/>
          <w:i/>
          <w:iCs/>
          <w:sz w:val="22"/>
          <w:szCs w:val="22"/>
          <w:lang w:val="en-US"/>
        </w:rPr>
        <w:t>Dementia reconsidered: the person comes first</w:t>
      </w:r>
      <w:r w:rsidRPr="00607C1D">
        <w:rPr>
          <w:rFonts w:ascii="Arial" w:hAnsi="Arial" w:cs="Arial"/>
          <w:sz w:val="22"/>
          <w:szCs w:val="22"/>
          <w:lang w:val="en-US"/>
        </w:rPr>
        <w:t>. Buckingham: Open University Press.</w:t>
      </w:r>
    </w:p>
    <w:p w14:paraId="444CD593" w14:textId="484554B3" w:rsidR="007B57EE" w:rsidRPr="007B57EE" w:rsidRDefault="007B57EE" w:rsidP="004A5F3C">
      <w:pPr>
        <w:spacing w:line="240" w:lineRule="auto"/>
        <w:jc w:val="both"/>
        <w:rPr>
          <w:rFonts w:ascii="Arial" w:hAnsi="Arial" w:cs="Arial"/>
          <w:i/>
          <w:iCs/>
          <w:sz w:val="22"/>
          <w:szCs w:val="22"/>
          <w:lang w:val="en-US"/>
        </w:rPr>
      </w:pPr>
      <w:r>
        <w:rPr>
          <w:rFonts w:ascii="Arial" w:hAnsi="Arial" w:cs="Arial"/>
          <w:sz w:val="22"/>
          <w:szCs w:val="22"/>
          <w:lang w:val="en-US"/>
        </w:rPr>
        <w:t xml:space="preserve">McLeod, S. (2025) </w:t>
      </w:r>
      <w:r>
        <w:rPr>
          <w:rFonts w:ascii="Arial" w:hAnsi="Arial" w:cs="Arial"/>
          <w:i/>
          <w:iCs/>
          <w:sz w:val="22"/>
          <w:szCs w:val="22"/>
          <w:lang w:val="en-US"/>
        </w:rPr>
        <w:t xml:space="preserve">Gibbs’ reflective cycle </w:t>
      </w:r>
      <w:r>
        <w:rPr>
          <w:rFonts w:ascii="Arial" w:hAnsi="Arial" w:cs="Arial"/>
          <w:sz w:val="22"/>
          <w:szCs w:val="22"/>
          <w:lang w:val="en-US"/>
        </w:rPr>
        <w:t xml:space="preserve">[Online Image]. Available at: </w:t>
      </w:r>
      <w:hyperlink r:id="rId14" w:history="1">
        <w:r w:rsidRPr="00373CDC">
          <w:rPr>
            <w:rStyle w:val="Hyperlink"/>
            <w:rFonts w:ascii="Arial" w:hAnsi="Arial" w:cs="Arial"/>
            <w:sz w:val="22"/>
            <w:szCs w:val="22"/>
            <w:lang w:val="en-US"/>
          </w:rPr>
          <w:t>https://www.simplypsychology.org/gibbs-reflective-cycle.html</w:t>
        </w:r>
      </w:hyperlink>
      <w:r>
        <w:rPr>
          <w:rFonts w:ascii="Arial" w:hAnsi="Arial" w:cs="Arial"/>
          <w:sz w:val="22"/>
          <w:szCs w:val="22"/>
          <w:lang w:val="en-US"/>
        </w:rPr>
        <w:t xml:space="preserve"> (Accessed: 24</w:t>
      </w:r>
      <w:r w:rsidRPr="007B57EE">
        <w:rPr>
          <w:rFonts w:ascii="Arial" w:hAnsi="Arial" w:cs="Arial"/>
          <w:sz w:val="22"/>
          <w:szCs w:val="22"/>
          <w:vertAlign w:val="superscript"/>
          <w:lang w:val="en-US"/>
        </w:rPr>
        <w:t>th</w:t>
      </w:r>
      <w:r>
        <w:rPr>
          <w:rFonts w:ascii="Arial" w:hAnsi="Arial" w:cs="Arial"/>
          <w:sz w:val="22"/>
          <w:szCs w:val="22"/>
          <w:lang w:val="en-US"/>
        </w:rPr>
        <w:t xml:space="preserve"> October 2026).</w:t>
      </w:r>
    </w:p>
    <w:p w14:paraId="435E9C46" w14:textId="77777777" w:rsidR="00607C1D" w:rsidRPr="00607C1D" w:rsidRDefault="00607C1D" w:rsidP="004A5F3C">
      <w:pPr>
        <w:spacing w:line="240" w:lineRule="auto"/>
        <w:jc w:val="both"/>
        <w:rPr>
          <w:rFonts w:ascii="Arial" w:hAnsi="Arial" w:cs="Arial"/>
          <w:sz w:val="22"/>
          <w:szCs w:val="22"/>
          <w:lang w:val="en-US"/>
        </w:rPr>
      </w:pPr>
      <w:r w:rsidRPr="00607C1D">
        <w:rPr>
          <w:rFonts w:ascii="Arial" w:hAnsi="Arial" w:cs="Arial"/>
          <w:sz w:val="22"/>
          <w:szCs w:val="22"/>
          <w:lang w:val="en-US"/>
        </w:rPr>
        <w:t xml:space="preserve">Mental Capacity Act 2005, c. 9. Available at: </w:t>
      </w:r>
      <w:hyperlink r:id="rId15" w:history="1">
        <w:r w:rsidRPr="00607C1D">
          <w:rPr>
            <w:rStyle w:val="Hyperlink"/>
            <w:rFonts w:ascii="Arial" w:hAnsi="Arial" w:cs="Arial"/>
            <w:sz w:val="22"/>
            <w:szCs w:val="22"/>
            <w:lang w:val="en-US"/>
          </w:rPr>
          <w:t>https://www.legislation.gov.uk/ukpga/2005/9/contents</w:t>
        </w:r>
      </w:hyperlink>
      <w:r w:rsidRPr="00607C1D">
        <w:rPr>
          <w:rFonts w:ascii="Arial" w:hAnsi="Arial" w:cs="Arial"/>
          <w:sz w:val="22"/>
          <w:szCs w:val="22"/>
          <w:lang w:val="en-US"/>
        </w:rPr>
        <w:t xml:space="preserve"> (Accessed: 28 September 2026).</w:t>
      </w:r>
    </w:p>
    <w:p w14:paraId="1F9E07EB" w14:textId="77777777" w:rsidR="00607C1D" w:rsidRPr="00607C1D" w:rsidRDefault="00607C1D" w:rsidP="004A5F3C">
      <w:pPr>
        <w:spacing w:line="240" w:lineRule="auto"/>
        <w:jc w:val="both"/>
        <w:rPr>
          <w:rFonts w:ascii="Arial" w:hAnsi="Arial" w:cs="Arial"/>
          <w:sz w:val="22"/>
          <w:szCs w:val="22"/>
          <w:lang w:val="en-US"/>
        </w:rPr>
      </w:pPr>
      <w:r w:rsidRPr="00607C1D">
        <w:rPr>
          <w:rFonts w:ascii="Arial" w:hAnsi="Arial" w:cs="Arial"/>
          <w:sz w:val="22"/>
          <w:szCs w:val="22"/>
          <w:lang w:val="en-US"/>
        </w:rPr>
        <w:t xml:space="preserve">Moore, L., Britten, N., Lydahl, D., </w:t>
      </w:r>
      <w:proofErr w:type="spellStart"/>
      <w:r w:rsidRPr="00607C1D">
        <w:rPr>
          <w:rFonts w:ascii="Arial" w:hAnsi="Arial" w:cs="Arial"/>
          <w:sz w:val="22"/>
          <w:szCs w:val="22"/>
          <w:lang w:val="en-US"/>
        </w:rPr>
        <w:t>Naldemirci</w:t>
      </w:r>
      <w:proofErr w:type="spellEnd"/>
      <w:r w:rsidRPr="00607C1D">
        <w:rPr>
          <w:rFonts w:ascii="Arial" w:hAnsi="Arial" w:cs="Arial"/>
          <w:sz w:val="22"/>
          <w:szCs w:val="22"/>
          <w:lang w:val="en-US"/>
        </w:rPr>
        <w:t>, Ö., Elam, M.J. and Wolf, A. (2017) ‘Barriers and facilitators to the implementation of person-</w:t>
      </w:r>
      <w:proofErr w:type="spellStart"/>
      <w:r w:rsidRPr="00607C1D">
        <w:rPr>
          <w:rFonts w:ascii="Arial" w:hAnsi="Arial" w:cs="Arial"/>
          <w:sz w:val="22"/>
          <w:szCs w:val="22"/>
          <w:lang w:val="en-US"/>
        </w:rPr>
        <w:t>centred</w:t>
      </w:r>
      <w:proofErr w:type="spellEnd"/>
      <w:r w:rsidRPr="00607C1D">
        <w:rPr>
          <w:rFonts w:ascii="Arial" w:hAnsi="Arial" w:cs="Arial"/>
          <w:sz w:val="22"/>
          <w:szCs w:val="22"/>
          <w:lang w:val="en-US"/>
        </w:rPr>
        <w:t xml:space="preserve"> care in different healthcare contexts’, </w:t>
      </w:r>
      <w:r w:rsidRPr="00607C1D">
        <w:rPr>
          <w:rFonts w:ascii="Arial" w:hAnsi="Arial" w:cs="Arial"/>
          <w:i/>
          <w:iCs/>
          <w:sz w:val="22"/>
          <w:szCs w:val="22"/>
          <w:lang w:val="en-US"/>
        </w:rPr>
        <w:t>Scandinavian Journal of Caring Sciences</w:t>
      </w:r>
      <w:r w:rsidRPr="00607C1D">
        <w:rPr>
          <w:rFonts w:ascii="Arial" w:hAnsi="Arial" w:cs="Arial"/>
          <w:sz w:val="22"/>
          <w:szCs w:val="22"/>
          <w:lang w:val="en-US"/>
        </w:rPr>
        <w:t xml:space="preserve">, 31(4), pp. 662–673. </w:t>
      </w:r>
      <w:proofErr w:type="spellStart"/>
      <w:r w:rsidRPr="00607C1D">
        <w:rPr>
          <w:rFonts w:ascii="Arial" w:hAnsi="Arial" w:cs="Arial"/>
          <w:sz w:val="22"/>
          <w:szCs w:val="22"/>
          <w:lang w:val="en-US"/>
        </w:rPr>
        <w:t>doi</w:t>
      </w:r>
      <w:proofErr w:type="spellEnd"/>
      <w:r w:rsidRPr="00607C1D">
        <w:rPr>
          <w:rFonts w:ascii="Arial" w:hAnsi="Arial" w:cs="Arial"/>
          <w:sz w:val="22"/>
          <w:szCs w:val="22"/>
          <w:lang w:val="en-US"/>
        </w:rPr>
        <w:t>: 10.1111/scs.12376.</w:t>
      </w:r>
    </w:p>
    <w:p w14:paraId="0CA277B9" w14:textId="77777777" w:rsidR="00607C1D" w:rsidRPr="00607C1D" w:rsidRDefault="00607C1D" w:rsidP="004A5F3C">
      <w:pPr>
        <w:spacing w:line="240" w:lineRule="auto"/>
        <w:jc w:val="both"/>
        <w:rPr>
          <w:rFonts w:ascii="Arial" w:hAnsi="Arial" w:cs="Arial"/>
          <w:sz w:val="22"/>
          <w:szCs w:val="22"/>
          <w:lang w:val="en-US"/>
        </w:rPr>
      </w:pPr>
      <w:r w:rsidRPr="00607C1D">
        <w:rPr>
          <w:rFonts w:ascii="Arial" w:hAnsi="Arial" w:cs="Arial"/>
          <w:sz w:val="22"/>
          <w:szCs w:val="22"/>
          <w:lang w:val="en-US"/>
        </w:rPr>
        <w:t xml:space="preserve">National Institute for Health and Care Excellence (NICE) (2021) </w:t>
      </w:r>
      <w:r w:rsidRPr="00607C1D">
        <w:rPr>
          <w:rFonts w:ascii="Arial" w:hAnsi="Arial" w:cs="Arial"/>
          <w:i/>
          <w:iCs/>
          <w:sz w:val="22"/>
          <w:szCs w:val="22"/>
          <w:lang w:val="en-US"/>
        </w:rPr>
        <w:t>Shared decision making</w:t>
      </w:r>
      <w:r w:rsidRPr="00607C1D">
        <w:rPr>
          <w:rFonts w:ascii="Arial" w:hAnsi="Arial" w:cs="Arial"/>
          <w:sz w:val="22"/>
          <w:szCs w:val="22"/>
          <w:lang w:val="en-US"/>
        </w:rPr>
        <w:t xml:space="preserve"> (NICE guideline NG197). Available at: </w:t>
      </w:r>
      <w:hyperlink r:id="rId16" w:history="1">
        <w:r w:rsidRPr="00607C1D">
          <w:rPr>
            <w:rStyle w:val="Hyperlink"/>
            <w:rFonts w:ascii="Arial" w:hAnsi="Arial" w:cs="Arial"/>
            <w:sz w:val="22"/>
            <w:szCs w:val="22"/>
            <w:lang w:val="en-US"/>
          </w:rPr>
          <w:t>https://www.nice.org.uk/guidance/ng197</w:t>
        </w:r>
      </w:hyperlink>
      <w:r w:rsidRPr="00607C1D">
        <w:rPr>
          <w:rFonts w:ascii="Arial" w:hAnsi="Arial" w:cs="Arial"/>
          <w:sz w:val="22"/>
          <w:szCs w:val="22"/>
          <w:lang w:val="en-US"/>
        </w:rPr>
        <w:t xml:space="preserve"> (Accessed: 5 October 2026).</w:t>
      </w:r>
    </w:p>
    <w:p w14:paraId="4FD7B445" w14:textId="77777777" w:rsidR="00607C1D" w:rsidRPr="00607C1D" w:rsidRDefault="00607C1D" w:rsidP="004A5F3C">
      <w:pPr>
        <w:spacing w:line="240" w:lineRule="auto"/>
        <w:jc w:val="both"/>
        <w:rPr>
          <w:rFonts w:ascii="Arial" w:hAnsi="Arial" w:cs="Arial"/>
          <w:sz w:val="22"/>
          <w:szCs w:val="22"/>
          <w:lang w:val="en-US"/>
        </w:rPr>
      </w:pPr>
      <w:r w:rsidRPr="00607C1D">
        <w:rPr>
          <w:rFonts w:ascii="Arial" w:hAnsi="Arial" w:cs="Arial"/>
          <w:sz w:val="22"/>
          <w:szCs w:val="22"/>
          <w:lang w:val="en-US"/>
        </w:rPr>
        <w:lastRenderedPageBreak/>
        <w:t>NHS England (</w:t>
      </w:r>
      <w:proofErr w:type="spellStart"/>
      <w:r w:rsidRPr="00607C1D">
        <w:rPr>
          <w:rFonts w:ascii="Arial" w:hAnsi="Arial" w:cs="Arial"/>
          <w:sz w:val="22"/>
          <w:szCs w:val="22"/>
          <w:lang w:val="en-US"/>
        </w:rPr>
        <w:t>n.d.a</w:t>
      </w:r>
      <w:proofErr w:type="spellEnd"/>
      <w:r w:rsidRPr="00607C1D">
        <w:rPr>
          <w:rFonts w:ascii="Arial" w:hAnsi="Arial" w:cs="Arial"/>
          <w:sz w:val="22"/>
          <w:szCs w:val="22"/>
          <w:lang w:val="en-US"/>
        </w:rPr>
        <w:t xml:space="preserve">) </w:t>
      </w:r>
      <w:r w:rsidRPr="00607C1D">
        <w:rPr>
          <w:rFonts w:ascii="Arial" w:hAnsi="Arial" w:cs="Arial"/>
          <w:i/>
          <w:iCs/>
          <w:sz w:val="22"/>
          <w:szCs w:val="22"/>
          <w:lang w:val="en-US"/>
        </w:rPr>
        <w:t>About shared decision making</w:t>
      </w:r>
      <w:r w:rsidRPr="00607C1D">
        <w:rPr>
          <w:rFonts w:ascii="Arial" w:hAnsi="Arial" w:cs="Arial"/>
          <w:sz w:val="22"/>
          <w:szCs w:val="22"/>
          <w:lang w:val="en-US"/>
        </w:rPr>
        <w:t xml:space="preserve">. Available at: </w:t>
      </w:r>
      <w:hyperlink r:id="rId17" w:history="1">
        <w:r w:rsidRPr="00607C1D">
          <w:rPr>
            <w:rStyle w:val="Hyperlink"/>
            <w:rFonts w:ascii="Arial" w:hAnsi="Arial" w:cs="Arial"/>
            <w:sz w:val="22"/>
            <w:szCs w:val="22"/>
            <w:lang w:val="en-US"/>
          </w:rPr>
          <w:t>https://www.england.nhs.uk/personalisedcare/shared-decision-making/about/</w:t>
        </w:r>
      </w:hyperlink>
      <w:r w:rsidRPr="00607C1D">
        <w:rPr>
          <w:rFonts w:ascii="Arial" w:hAnsi="Arial" w:cs="Arial"/>
          <w:sz w:val="22"/>
          <w:szCs w:val="22"/>
          <w:lang w:val="en-US"/>
        </w:rPr>
        <w:t xml:space="preserve"> (Accessed: 28 September 2026).</w:t>
      </w:r>
    </w:p>
    <w:p w14:paraId="212BA086" w14:textId="77777777" w:rsidR="00607C1D" w:rsidRPr="00607C1D" w:rsidRDefault="00607C1D" w:rsidP="004A5F3C">
      <w:pPr>
        <w:spacing w:line="240" w:lineRule="auto"/>
        <w:jc w:val="both"/>
        <w:rPr>
          <w:rFonts w:ascii="Arial" w:hAnsi="Arial" w:cs="Arial"/>
          <w:sz w:val="22"/>
          <w:szCs w:val="22"/>
          <w:lang w:val="en-US"/>
        </w:rPr>
      </w:pPr>
      <w:r w:rsidRPr="00607C1D">
        <w:rPr>
          <w:rFonts w:ascii="Arial" w:hAnsi="Arial" w:cs="Arial"/>
          <w:sz w:val="22"/>
          <w:szCs w:val="22"/>
          <w:lang w:val="en-US"/>
        </w:rPr>
        <w:t>NHS England (</w:t>
      </w:r>
      <w:proofErr w:type="spellStart"/>
      <w:r w:rsidRPr="00607C1D">
        <w:rPr>
          <w:rFonts w:ascii="Arial" w:hAnsi="Arial" w:cs="Arial"/>
          <w:sz w:val="22"/>
          <w:szCs w:val="22"/>
          <w:lang w:val="en-US"/>
        </w:rPr>
        <w:t>n.d.b</w:t>
      </w:r>
      <w:proofErr w:type="spellEnd"/>
      <w:r w:rsidRPr="00607C1D">
        <w:rPr>
          <w:rFonts w:ascii="Arial" w:hAnsi="Arial" w:cs="Arial"/>
          <w:sz w:val="22"/>
          <w:szCs w:val="22"/>
          <w:lang w:val="en-US"/>
        </w:rPr>
        <w:t xml:space="preserve">) </w:t>
      </w:r>
      <w:proofErr w:type="spellStart"/>
      <w:r w:rsidRPr="00607C1D">
        <w:rPr>
          <w:rFonts w:ascii="Arial" w:hAnsi="Arial" w:cs="Arial"/>
          <w:i/>
          <w:iCs/>
          <w:sz w:val="22"/>
          <w:szCs w:val="22"/>
          <w:lang w:val="en-US"/>
        </w:rPr>
        <w:t>Personalised</w:t>
      </w:r>
      <w:proofErr w:type="spellEnd"/>
      <w:r w:rsidRPr="00607C1D">
        <w:rPr>
          <w:rFonts w:ascii="Arial" w:hAnsi="Arial" w:cs="Arial"/>
          <w:i/>
          <w:iCs/>
          <w:sz w:val="22"/>
          <w:szCs w:val="22"/>
          <w:lang w:val="en-US"/>
        </w:rPr>
        <w:t xml:space="preserve"> care and support planning</w:t>
      </w:r>
      <w:r w:rsidRPr="00607C1D">
        <w:rPr>
          <w:rFonts w:ascii="Arial" w:hAnsi="Arial" w:cs="Arial"/>
          <w:sz w:val="22"/>
          <w:szCs w:val="22"/>
          <w:lang w:val="en-US"/>
        </w:rPr>
        <w:t xml:space="preserve">. Available at: </w:t>
      </w:r>
      <w:hyperlink r:id="rId18" w:history="1">
        <w:r w:rsidRPr="00607C1D">
          <w:rPr>
            <w:rStyle w:val="Hyperlink"/>
            <w:rFonts w:ascii="Arial" w:hAnsi="Arial" w:cs="Arial"/>
            <w:sz w:val="22"/>
            <w:szCs w:val="22"/>
            <w:lang w:val="en-US"/>
          </w:rPr>
          <w:t>https://www.england.nhs.uk/personalisedcare/pcsp/</w:t>
        </w:r>
      </w:hyperlink>
      <w:r w:rsidRPr="00607C1D">
        <w:rPr>
          <w:rFonts w:ascii="Arial" w:hAnsi="Arial" w:cs="Arial"/>
          <w:sz w:val="22"/>
          <w:szCs w:val="22"/>
          <w:lang w:val="en-US"/>
        </w:rPr>
        <w:t xml:space="preserve"> (Accessed: 28 September 2026).</w:t>
      </w:r>
    </w:p>
    <w:p w14:paraId="21B9E5E9" w14:textId="77777777" w:rsidR="00607C1D" w:rsidRPr="00607C1D" w:rsidRDefault="00607C1D" w:rsidP="004A5F3C">
      <w:pPr>
        <w:spacing w:line="240" w:lineRule="auto"/>
        <w:jc w:val="both"/>
        <w:rPr>
          <w:rFonts w:ascii="Arial" w:hAnsi="Arial" w:cs="Arial"/>
          <w:sz w:val="22"/>
          <w:szCs w:val="22"/>
          <w:lang w:val="en-US"/>
        </w:rPr>
      </w:pPr>
      <w:r w:rsidRPr="00607C1D">
        <w:rPr>
          <w:rFonts w:ascii="Arial" w:hAnsi="Arial" w:cs="Arial"/>
          <w:sz w:val="22"/>
          <w:szCs w:val="22"/>
          <w:lang w:val="en-US"/>
        </w:rPr>
        <w:t>NHS England (</w:t>
      </w:r>
      <w:proofErr w:type="spellStart"/>
      <w:r w:rsidRPr="00607C1D">
        <w:rPr>
          <w:rFonts w:ascii="Arial" w:hAnsi="Arial" w:cs="Arial"/>
          <w:sz w:val="22"/>
          <w:szCs w:val="22"/>
          <w:lang w:val="en-US"/>
        </w:rPr>
        <w:t>n.d.c</w:t>
      </w:r>
      <w:proofErr w:type="spellEnd"/>
      <w:r w:rsidRPr="00607C1D">
        <w:rPr>
          <w:rFonts w:ascii="Arial" w:hAnsi="Arial" w:cs="Arial"/>
          <w:sz w:val="22"/>
          <w:szCs w:val="22"/>
          <w:lang w:val="en-US"/>
        </w:rPr>
        <w:t xml:space="preserve">) </w:t>
      </w:r>
      <w:r w:rsidRPr="00607C1D">
        <w:rPr>
          <w:rFonts w:ascii="Arial" w:hAnsi="Arial" w:cs="Arial"/>
          <w:i/>
          <w:iCs/>
          <w:sz w:val="22"/>
          <w:szCs w:val="22"/>
          <w:lang w:val="en-US"/>
        </w:rPr>
        <w:t>Robyn’s story</w:t>
      </w:r>
      <w:r w:rsidRPr="00607C1D">
        <w:rPr>
          <w:rFonts w:ascii="Arial" w:hAnsi="Arial" w:cs="Arial"/>
          <w:sz w:val="22"/>
          <w:szCs w:val="22"/>
          <w:lang w:val="en-US"/>
        </w:rPr>
        <w:t xml:space="preserve">. Available at: </w:t>
      </w:r>
      <w:hyperlink r:id="rId19" w:history="1">
        <w:r w:rsidRPr="00607C1D">
          <w:rPr>
            <w:rStyle w:val="Hyperlink"/>
            <w:rFonts w:ascii="Arial" w:hAnsi="Arial" w:cs="Arial"/>
            <w:sz w:val="22"/>
            <w:szCs w:val="22"/>
            <w:lang w:val="en-US"/>
          </w:rPr>
          <w:t>https://www.england.nhs.uk/personalisedcare/comprehensive-model/case-studies/robyns-story/</w:t>
        </w:r>
      </w:hyperlink>
      <w:r w:rsidRPr="00607C1D">
        <w:rPr>
          <w:rFonts w:ascii="Arial" w:hAnsi="Arial" w:cs="Arial"/>
          <w:sz w:val="22"/>
          <w:szCs w:val="22"/>
          <w:lang w:val="en-US"/>
        </w:rPr>
        <w:t xml:space="preserve"> (Accessed: 5 October 2026).</w:t>
      </w:r>
    </w:p>
    <w:p w14:paraId="73B5DC14" w14:textId="77777777" w:rsidR="00607C1D" w:rsidRPr="00607C1D" w:rsidRDefault="00607C1D" w:rsidP="004A5F3C">
      <w:pPr>
        <w:spacing w:line="240" w:lineRule="auto"/>
        <w:jc w:val="both"/>
        <w:rPr>
          <w:rFonts w:ascii="Arial" w:hAnsi="Arial" w:cs="Arial"/>
          <w:sz w:val="22"/>
          <w:szCs w:val="22"/>
          <w:lang w:val="en-US"/>
        </w:rPr>
      </w:pPr>
      <w:r w:rsidRPr="00607C1D">
        <w:rPr>
          <w:rFonts w:ascii="Arial" w:hAnsi="Arial" w:cs="Arial"/>
          <w:sz w:val="22"/>
          <w:szCs w:val="22"/>
          <w:lang w:val="en-US"/>
        </w:rPr>
        <w:t xml:space="preserve">Nursing and Midwifery Council (2018) </w:t>
      </w:r>
      <w:r w:rsidRPr="00607C1D">
        <w:rPr>
          <w:rFonts w:ascii="Arial" w:hAnsi="Arial" w:cs="Arial"/>
          <w:i/>
          <w:iCs/>
          <w:sz w:val="22"/>
          <w:szCs w:val="22"/>
          <w:lang w:val="en-US"/>
        </w:rPr>
        <w:t xml:space="preserve">The Code: professional standards of practice and </w:t>
      </w:r>
      <w:proofErr w:type="spellStart"/>
      <w:r w:rsidRPr="00607C1D">
        <w:rPr>
          <w:rFonts w:ascii="Arial" w:hAnsi="Arial" w:cs="Arial"/>
          <w:i/>
          <w:iCs/>
          <w:sz w:val="22"/>
          <w:szCs w:val="22"/>
          <w:lang w:val="en-US"/>
        </w:rPr>
        <w:t>behaviour</w:t>
      </w:r>
      <w:proofErr w:type="spellEnd"/>
      <w:r w:rsidRPr="00607C1D">
        <w:rPr>
          <w:rFonts w:ascii="Arial" w:hAnsi="Arial" w:cs="Arial"/>
          <w:i/>
          <w:iCs/>
          <w:sz w:val="22"/>
          <w:szCs w:val="22"/>
          <w:lang w:val="en-US"/>
        </w:rPr>
        <w:t xml:space="preserve"> for nurses, midwives and nursing associates</w:t>
      </w:r>
      <w:r w:rsidRPr="00607C1D">
        <w:rPr>
          <w:rFonts w:ascii="Arial" w:hAnsi="Arial" w:cs="Arial"/>
          <w:sz w:val="22"/>
          <w:szCs w:val="22"/>
          <w:lang w:val="en-US"/>
        </w:rPr>
        <w:t xml:space="preserve">. London: NMC. Available at: </w:t>
      </w:r>
      <w:hyperlink r:id="rId20" w:history="1">
        <w:r w:rsidRPr="00607C1D">
          <w:rPr>
            <w:rStyle w:val="Hyperlink"/>
            <w:rFonts w:ascii="Arial" w:hAnsi="Arial" w:cs="Arial"/>
            <w:sz w:val="22"/>
            <w:szCs w:val="22"/>
            <w:lang w:val="en-US"/>
          </w:rPr>
          <w:t>https://www.nmc.org.uk/standards/code/</w:t>
        </w:r>
      </w:hyperlink>
      <w:r w:rsidRPr="00607C1D">
        <w:rPr>
          <w:rFonts w:ascii="Arial" w:hAnsi="Arial" w:cs="Arial"/>
          <w:sz w:val="22"/>
          <w:szCs w:val="22"/>
          <w:lang w:val="en-US"/>
        </w:rPr>
        <w:t xml:space="preserve"> (Accessed: 23 October 2026).</w:t>
      </w:r>
    </w:p>
    <w:p w14:paraId="22C8F390" w14:textId="77777777" w:rsidR="00607C1D" w:rsidRPr="00607C1D" w:rsidRDefault="00607C1D" w:rsidP="004A5F3C">
      <w:pPr>
        <w:spacing w:line="240" w:lineRule="auto"/>
        <w:jc w:val="both"/>
        <w:rPr>
          <w:rFonts w:ascii="Arial" w:hAnsi="Arial" w:cs="Arial"/>
          <w:sz w:val="22"/>
          <w:szCs w:val="22"/>
          <w:lang w:val="en-US"/>
        </w:rPr>
      </w:pPr>
      <w:r w:rsidRPr="00607C1D">
        <w:rPr>
          <w:rFonts w:ascii="Arial" w:hAnsi="Arial" w:cs="Arial"/>
          <w:sz w:val="22"/>
          <w:szCs w:val="22"/>
          <w:lang w:val="en-US"/>
        </w:rPr>
        <w:t xml:space="preserve">Rogers, C.R. (1951) </w:t>
      </w:r>
      <w:r w:rsidRPr="00607C1D">
        <w:rPr>
          <w:rFonts w:ascii="Arial" w:hAnsi="Arial" w:cs="Arial"/>
          <w:i/>
          <w:iCs/>
          <w:sz w:val="22"/>
          <w:szCs w:val="22"/>
          <w:lang w:val="en-US"/>
        </w:rPr>
        <w:t>Client-centered therapy: its current practice, implications and theory</w:t>
      </w:r>
      <w:r w:rsidRPr="00607C1D">
        <w:rPr>
          <w:rFonts w:ascii="Arial" w:hAnsi="Arial" w:cs="Arial"/>
          <w:sz w:val="22"/>
          <w:szCs w:val="22"/>
          <w:lang w:val="en-US"/>
        </w:rPr>
        <w:t>. Boston: Houghton Mifflin.</w:t>
      </w:r>
    </w:p>
    <w:p w14:paraId="12349E60" w14:textId="77777777" w:rsidR="00607C1D" w:rsidRPr="00607C1D" w:rsidRDefault="00607C1D" w:rsidP="004A5F3C">
      <w:pPr>
        <w:spacing w:line="240" w:lineRule="auto"/>
        <w:jc w:val="both"/>
        <w:rPr>
          <w:rFonts w:ascii="Arial" w:hAnsi="Arial" w:cs="Arial"/>
          <w:sz w:val="22"/>
          <w:szCs w:val="22"/>
          <w:lang w:val="en-US"/>
        </w:rPr>
      </w:pPr>
      <w:proofErr w:type="spellStart"/>
      <w:r w:rsidRPr="00607C1D">
        <w:rPr>
          <w:rFonts w:ascii="Arial" w:hAnsi="Arial" w:cs="Arial"/>
          <w:sz w:val="22"/>
          <w:szCs w:val="22"/>
          <w:lang w:val="en-US"/>
        </w:rPr>
        <w:t>Schot</w:t>
      </w:r>
      <w:proofErr w:type="spellEnd"/>
      <w:r w:rsidRPr="00607C1D">
        <w:rPr>
          <w:rFonts w:ascii="Arial" w:hAnsi="Arial" w:cs="Arial"/>
          <w:sz w:val="22"/>
          <w:szCs w:val="22"/>
          <w:lang w:val="en-US"/>
        </w:rPr>
        <w:t xml:space="preserve">, E., </w:t>
      </w:r>
      <w:proofErr w:type="spellStart"/>
      <w:r w:rsidRPr="00607C1D">
        <w:rPr>
          <w:rFonts w:ascii="Arial" w:hAnsi="Arial" w:cs="Arial"/>
          <w:sz w:val="22"/>
          <w:szCs w:val="22"/>
          <w:lang w:val="en-US"/>
        </w:rPr>
        <w:t>Tummers</w:t>
      </w:r>
      <w:proofErr w:type="spellEnd"/>
      <w:r w:rsidRPr="00607C1D">
        <w:rPr>
          <w:rFonts w:ascii="Arial" w:hAnsi="Arial" w:cs="Arial"/>
          <w:sz w:val="22"/>
          <w:szCs w:val="22"/>
          <w:lang w:val="en-US"/>
        </w:rPr>
        <w:t xml:space="preserve">, L. and </w:t>
      </w:r>
      <w:proofErr w:type="spellStart"/>
      <w:r w:rsidRPr="00607C1D">
        <w:rPr>
          <w:rFonts w:ascii="Arial" w:hAnsi="Arial" w:cs="Arial"/>
          <w:sz w:val="22"/>
          <w:szCs w:val="22"/>
          <w:lang w:val="en-US"/>
        </w:rPr>
        <w:t>Noordegraaf</w:t>
      </w:r>
      <w:proofErr w:type="spellEnd"/>
      <w:r w:rsidRPr="00607C1D">
        <w:rPr>
          <w:rFonts w:ascii="Arial" w:hAnsi="Arial" w:cs="Arial"/>
          <w:sz w:val="22"/>
          <w:szCs w:val="22"/>
          <w:lang w:val="en-US"/>
        </w:rPr>
        <w:t xml:space="preserve">, M. (2020) ‘Working on working together: a systematic review on how healthcare professionals contribute to interprofessional collaboration’, </w:t>
      </w:r>
      <w:r w:rsidRPr="00607C1D">
        <w:rPr>
          <w:rFonts w:ascii="Arial" w:hAnsi="Arial" w:cs="Arial"/>
          <w:i/>
          <w:iCs/>
          <w:sz w:val="22"/>
          <w:szCs w:val="22"/>
          <w:lang w:val="en-US"/>
        </w:rPr>
        <w:t>Journal of Interprofessional Care</w:t>
      </w:r>
      <w:r w:rsidRPr="00607C1D">
        <w:rPr>
          <w:rFonts w:ascii="Arial" w:hAnsi="Arial" w:cs="Arial"/>
          <w:sz w:val="22"/>
          <w:szCs w:val="22"/>
          <w:lang w:val="en-US"/>
        </w:rPr>
        <w:t xml:space="preserve">, 34(3), pp. 332–342. </w:t>
      </w:r>
      <w:proofErr w:type="spellStart"/>
      <w:r w:rsidRPr="00607C1D">
        <w:rPr>
          <w:rFonts w:ascii="Arial" w:hAnsi="Arial" w:cs="Arial"/>
          <w:sz w:val="22"/>
          <w:szCs w:val="22"/>
          <w:lang w:val="en-US"/>
        </w:rPr>
        <w:t>doi</w:t>
      </w:r>
      <w:proofErr w:type="spellEnd"/>
      <w:r w:rsidRPr="00607C1D">
        <w:rPr>
          <w:rFonts w:ascii="Arial" w:hAnsi="Arial" w:cs="Arial"/>
          <w:sz w:val="22"/>
          <w:szCs w:val="22"/>
          <w:lang w:val="en-US"/>
        </w:rPr>
        <w:t>: 10.1080/13561820.2019.1636007.</w:t>
      </w:r>
    </w:p>
    <w:p w14:paraId="7E1EBB59" w14:textId="17145B19" w:rsidR="00B91658" w:rsidRPr="000C2064" w:rsidRDefault="00B91658" w:rsidP="00607C1D">
      <w:pPr>
        <w:spacing w:line="240" w:lineRule="auto"/>
        <w:jc w:val="both"/>
        <w:rPr>
          <w:rFonts w:ascii="Arial" w:hAnsi="Arial" w:cs="Arial"/>
          <w:sz w:val="22"/>
          <w:szCs w:val="22"/>
          <w:lang w:val="en-US"/>
        </w:rPr>
      </w:pPr>
    </w:p>
    <w:sectPr w:rsidR="00B91658" w:rsidRPr="000C2064">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425D1" w14:textId="77777777" w:rsidR="00DE71C8" w:rsidRDefault="00DE71C8" w:rsidP="00B244A8">
      <w:pPr>
        <w:spacing w:after="0" w:line="240" w:lineRule="auto"/>
      </w:pPr>
      <w:r>
        <w:separator/>
      </w:r>
    </w:p>
  </w:endnote>
  <w:endnote w:type="continuationSeparator" w:id="0">
    <w:p w14:paraId="6DE8A1FA" w14:textId="77777777" w:rsidR="00DE71C8" w:rsidRDefault="00DE71C8"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EndPr/>
    <w:sdtContent>
      <w:sdt>
        <w:sdtPr>
          <w:id w:val="1728636285"/>
          <w:docPartObj>
            <w:docPartGallery w:val="Page Numbers (Top of Page)"/>
            <w:docPartUnique/>
          </w:docPartObj>
        </w:sdtPr>
        <w:sdtEnd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41946C" w14:textId="77777777" w:rsidR="00DE71C8" w:rsidRDefault="00DE71C8" w:rsidP="00B244A8">
      <w:pPr>
        <w:spacing w:after="0" w:line="240" w:lineRule="auto"/>
      </w:pPr>
      <w:r>
        <w:separator/>
      </w:r>
    </w:p>
  </w:footnote>
  <w:footnote w:type="continuationSeparator" w:id="0">
    <w:p w14:paraId="7BA498B5" w14:textId="77777777" w:rsidR="00DE71C8" w:rsidRDefault="00DE71C8"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32EED"/>
    <w:multiLevelType w:val="hybridMultilevel"/>
    <w:tmpl w:val="52609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1119F"/>
    <w:rsid w:val="00042168"/>
    <w:rsid w:val="00045237"/>
    <w:rsid w:val="000465CF"/>
    <w:rsid w:val="0005771F"/>
    <w:rsid w:val="00067AB3"/>
    <w:rsid w:val="00084755"/>
    <w:rsid w:val="00091F7D"/>
    <w:rsid w:val="000A6849"/>
    <w:rsid w:val="000B2D27"/>
    <w:rsid w:val="000B4057"/>
    <w:rsid w:val="000C2064"/>
    <w:rsid w:val="000D1025"/>
    <w:rsid w:val="000D541E"/>
    <w:rsid w:val="000D6890"/>
    <w:rsid w:val="000E7A4C"/>
    <w:rsid w:val="00106B58"/>
    <w:rsid w:val="0011107E"/>
    <w:rsid w:val="0012599A"/>
    <w:rsid w:val="0013486A"/>
    <w:rsid w:val="00153E8A"/>
    <w:rsid w:val="00175C4B"/>
    <w:rsid w:val="00180515"/>
    <w:rsid w:val="00186B4C"/>
    <w:rsid w:val="0019005E"/>
    <w:rsid w:val="001A61CE"/>
    <w:rsid w:val="001B5AC3"/>
    <w:rsid w:val="001B614B"/>
    <w:rsid w:val="001B6FDB"/>
    <w:rsid w:val="001C628A"/>
    <w:rsid w:val="001D4F3C"/>
    <w:rsid w:val="001D640C"/>
    <w:rsid w:val="001E7A95"/>
    <w:rsid w:val="001F4140"/>
    <w:rsid w:val="00225B06"/>
    <w:rsid w:val="00230935"/>
    <w:rsid w:val="00231C1C"/>
    <w:rsid w:val="00245D37"/>
    <w:rsid w:val="002522C1"/>
    <w:rsid w:val="00254217"/>
    <w:rsid w:val="002703B4"/>
    <w:rsid w:val="0027531E"/>
    <w:rsid w:val="002832DB"/>
    <w:rsid w:val="002C09D3"/>
    <w:rsid w:val="002D2AE1"/>
    <w:rsid w:val="002D754D"/>
    <w:rsid w:val="002E2FF6"/>
    <w:rsid w:val="002E6659"/>
    <w:rsid w:val="002E6BA3"/>
    <w:rsid w:val="002F721D"/>
    <w:rsid w:val="00312FA9"/>
    <w:rsid w:val="003161D5"/>
    <w:rsid w:val="003169D0"/>
    <w:rsid w:val="00326B87"/>
    <w:rsid w:val="00332EE7"/>
    <w:rsid w:val="003430D0"/>
    <w:rsid w:val="00343E35"/>
    <w:rsid w:val="0035328C"/>
    <w:rsid w:val="003652BC"/>
    <w:rsid w:val="00394A9D"/>
    <w:rsid w:val="003B629C"/>
    <w:rsid w:val="003D4109"/>
    <w:rsid w:val="003D4694"/>
    <w:rsid w:val="003E1A46"/>
    <w:rsid w:val="003E4899"/>
    <w:rsid w:val="003F5E6B"/>
    <w:rsid w:val="003F6295"/>
    <w:rsid w:val="00410269"/>
    <w:rsid w:val="00410683"/>
    <w:rsid w:val="00410AB5"/>
    <w:rsid w:val="00410BE8"/>
    <w:rsid w:val="00416907"/>
    <w:rsid w:val="00417260"/>
    <w:rsid w:val="004225D8"/>
    <w:rsid w:val="00424723"/>
    <w:rsid w:val="004356E6"/>
    <w:rsid w:val="00437111"/>
    <w:rsid w:val="00440FE0"/>
    <w:rsid w:val="00446313"/>
    <w:rsid w:val="00446538"/>
    <w:rsid w:val="00455AAA"/>
    <w:rsid w:val="00477B47"/>
    <w:rsid w:val="00480CA6"/>
    <w:rsid w:val="00485FDF"/>
    <w:rsid w:val="0049173B"/>
    <w:rsid w:val="004A5F3C"/>
    <w:rsid w:val="004A63C1"/>
    <w:rsid w:val="004A69A5"/>
    <w:rsid w:val="004C195B"/>
    <w:rsid w:val="004C5D92"/>
    <w:rsid w:val="004C698C"/>
    <w:rsid w:val="004D0CE9"/>
    <w:rsid w:val="004D103B"/>
    <w:rsid w:val="004D1574"/>
    <w:rsid w:val="004D6756"/>
    <w:rsid w:val="004E2BAE"/>
    <w:rsid w:val="004E492C"/>
    <w:rsid w:val="004E513A"/>
    <w:rsid w:val="004F652A"/>
    <w:rsid w:val="00503B1E"/>
    <w:rsid w:val="00514DEC"/>
    <w:rsid w:val="0052168A"/>
    <w:rsid w:val="00521C74"/>
    <w:rsid w:val="00522B60"/>
    <w:rsid w:val="00532B9D"/>
    <w:rsid w:val="00535FAE"/>
    <w:rsid w:val="00541B7D"/>
    <w:rsid w:val="00542A51"/>
    <w:rsid w:val="00564D67"/>
    <w:rsid w:val="005724CA"/>
    <w:rsid w:val="00586331"/>
    <w:rsid w:val="0059128A"/>
    <w:rsid w:val="005B1DDB"/>
    <w:rsid w:val="005C7FD7"/>
    <w:rsid w:val="005D11E9"/>
    <w:rsid w:val="005D5E48"/>
    <w:rsid w:val="005E35ED"/>
    <w:rsid w:val="005E6545"/>
    <w:rsid w:val="005F0CF4"/>
    <w:rsid w:val="005F738D"/>
    <w:rsid w:val="00607C1D"/>
    <w:rsid w:val="00625E73"/>
    <w:rsid w:val="006276A7"/>
    <w:rsid w:val="00653061"/>
    <w:rsid w:val="00664008"/>
    <w:rsid w:val="006666E7"/>
    <w:rsid w:val="00675990"/>
    <w:rsid w:val="00685C57"/>
    <w:rsid w:val="0069332C"/>
    <w:rsid w:val="00696E0C"/>
    <w:rsid w:val="006B3064"/>
    <w:rsid w:val="006B7009"/>
    <w:rsid w:val="006D4DD2"/>
    <w:rsid w:val="006D5A12"/>
    <w:rsid w:val="006D6A13"/>
    <w:rsid w:val="006E22D2"/>
    <w:rsid w:val="007030AD"/>
    <w:rsid w:val="00703AF7"/>
    <w:rsid w:val="00721441"/>
    <w:rsid w:val="007263FC"/>
    <w:rsid w:val="00744ACA"/>
    <w:rsid w:val="007620D3"/>
    <w:rsid w:val="00765162"/>
    <w:rsid w:val="00765AA0"/>
    <w:rsid w:val="00772129"/>
    <w:rsid w:val="00774A59"/>
    <w:rsid w:val="007766D6"/>
    <w:rsid w:val="007768B0"/>
    <w:rsid w:val="00777189"/>
    <w:rsid w:val="00780D1D"/>
    <w:rsid w:val="007870B7"/>
    <w:rsid w:val="007927FD"/>
    <w:rsid w:val="00792C0F"/>
    <w:rsid w:val="00794C6E"/>
    <w:rsid w:val="007953DB"/>
    <w:rsid w:val="007A2E84"/>
    <w:rsid w:val="007A56AD"/>
    <w:rsid w:val="007B200A"/>
    <w:rsid w:val="007B57EE"/>
    <w:rsid w:val="007D0502"/>
    <w:rsid w:val="007D455E"/>
    <w:rsid w:val="007D481D"/>
    <w:rsid w:val="007D7F8E"/>
    <w:rsid w:val="007F558A"/>
    <w:rsid w:val="007F790A"/>
    <w:rsid w:val="00816DBF"/>
    <w:rsid w:val="00822620"/>
    <w:rsid w:val="00822A31"/>
    <w:rsid w:val="00824A79"/>
    <w:rsid w:val="00825B6C"/>
    <w:rsid w:val="008273DB"/>
    <w:rsid w:val="00827C35"/>
    <w:rsid w:val="00830749"/>
    <w:rsid w:val="00834E63"/>
    <w:rsid w:val="008463BB"/>
    <w:rsid w:val="00864893"/>
    <w:rsid w:val="00870498"/>
    <w:rsid w:val="00876B57"/>
    <w:rsid w:val="00883CAF"/>
    <w:rsid w:val="00885717"/>
    <w:rsid w:val="0089170F"/>
    <w:rsid w:val="008C6A87"/>
    <w:rsid w:val="008C7DFA"/>
    <w:rsid w:val="008D5CD9"/>
    <w:rsid w:val="008E00B6"/>
    <w:rsid w:val="008E3189"/>
    <w:rsid w:val="008F4733"/>
    <w:rsid w:val="008F5810"/>
    <w:rsid w:val="008F5E6D"/>
    <w:rsid w:val="009041D3"/>
    <w:rsid w:val="0091304C"/>
    <w:rsid w:val="00916084"/>
    <w:rsid w:val="009336C8"/>
    <w:rsid w:val="00942BB5"/>
    <w:rsid w:val="00945C49"/>
    <w:rsid w:val="00946742"/>
    <w:rsid w:val="00954481"/>
    <w:rsid w:val="009809A2"/>
    <w:rsid w:val="00981DCF"/>
    <w:rsid w:val="009A09CF"/>
    <w:rsid w:val="009B0271"/>
    <w:rsid w:val="009B2B1B"/>
    <w:rsid w:val="009B37AE"/>
    <w:rsid w:val="009C1CFE"/>
    <w:rsid w:val="009D1B85"/>
    <w:rsid w:val="009E1F0E"/>
    <w:rsid w:val="009E2E03"/>
    <w:rsid w:val="009F7EC8"/>
    <w:rsid w:val="00A14A03"/>
    <w:rsid w:val="00A16506"/>
    <w:rsid w:val="00A177F8"/>
    <w:rsid w:val="00A22BB0"/>
    <w:rsid w:val="00A25D6A"/>
    <w:rsid w:val="00A31345"/>
    <w:rsid w:val="00A36D80"/>
    <w:rsid w:val="00A401AF"/>
    <w:rsid w:val="00A448A7"/>
    <w:rsid w:val="00A529B9"/>
    <w:rsid w:val="00A53893"/>
    <w:rsid w:val="00A650DD"/>
    <w:rsid w:val="00A76DDD"/>
    <w:rsid w:val="00AB2630"/>
    <w:rsid w:val="00AB7E77"/>
    <w:rsid w:val="00AB7F35"/>
    <w:rsid w:val="00AC168A"/>
    <w:rsid w:val="00AC678A"/>
    <w:rsid w:val="00AC7EBC"/>
    <w:rsid w:val="00AD74AC"/>
    <w:rsid w:val="00AF548A"/>
    <w:rsid w:val="00AF7580"/>
    <w:rsid w:val="00B031CA"/>
    <w:rsid w:val="00B14506"/>
    <w:rsid w:val="00B152DF"/>
    <w:rsid w:val="00B244A8"/>
    <w:rsid w:val="00B47B3E"/>
    <w:rsid w:val="00B52F7F"/>
    <w:rsid w:val="00B64CDF"/>
    <w:rsid w:val="00B64FA4"/>
    <w:rsid w:val="00B85951"/>
    <w:rsid w:val="00B91658"/>
    <w:rsid w:val="00B96DCD"/>
    <w:rsid w:val="00B97E6F"/>
    <w:rsid w:val="00BB6B48"/>
    <w:rsid w:val="00BC373A"/>
    <w:rsid w:val="00BD2C28"/>
    <w:rsid w:val="00BD339A"/>
    <w:rsid w:val="00C02532"/>
    <w:rsid w:val="00C03A79"/>
    <w:rsid w:val="00C05CA0"/>
    <w:rsid w:val="00C10F6A"/>
    <w:rsid w:val="00C15F83"/>
    <w:rsid w:val="00C20BB5"/>
    <w:rsid w:val="00C2152D"/>
    <w:rsid w:val="00C27EC8"/>
    <w:rsid w:val="00C31FB6"/>
    <w:rsid w:val="00C45F47"/>
    <w:rsid w:val="00C511D6"/>
    <w:rsid w:val="00C53212"/>
    <w:rsid w:val="00C60DAC"/>
    <w:rsid w:val="00C75A70"/>
    <w:rsid w:val="00C8528F"/>
    <w:rsid w:val="00C86C8F"/>
    <w:rsid w:val="00C929E9"/>
    <w:rsid w:val="00C942E7"/>
    <w:rsid w:val="00C95025"/>
    <w:rsid w:val="00CA1D74"/>
    <w:rsid w:val="00CA2447"/>
    <w:rsid w:val="00CA4109"/>
    <w:rsid w:val="00CC32EB"/>
    <w:rsid w:val="00CC3F1D"/>
    <w:rsid w:val="00CE34E2"/>
    <w:rsid w:val="00D0208B"/>
    <w:rsid w:val="00D16077"/>
    <w:rsid w:val="00D171C1"/>
    <w:rsid w:val="00D25DE2"/>
    <w:rsid w:val="00D31DE1"/>
    <w:rsid w:val="00D56B58"/>
    <w:rsid w:val="00D60EA3"/>
    <w:rsid w:val="00D8227D"/>
    <w:rsid w:val="00D846CE"/>
    <w:rsid w:val="00D85AB3"/>
    <w:rsid w:val="00D91D11"/>
    <w:rsid w:val="00DA1B79"/>
    <w:rsid w:val="00DC05C0"/>
    <w:rsid w:val="00DD0093"/>
    <w:rsid w:val="00DD45F1"/>
    <w:rsid w:val="00DD47B2"/>
    <w:rsid w:val="00DE71C8"/>
    <w:rsid w:val="00DF77C0"/>
    <w:rsid w:val="00E11948"/>
    <w:rsid w:val="00E15699"/>
    <w:rsid w:val="00E34CFB"/>
    <w:rsid w:val="00E35B68"/>
    <w:rsid w:val="00E655C5"/>
    <w:rsid w:val="00E801CD"/>
    <w:rsid w:val="00E930C3"/>
    <w:rsid w:val="00EA2C68"/>
    <w:rsid w:val="00EA42A0"/>
    <w:rsid w:val="00EB123D"/>
    <w:rsid w:val="00EB23FE"/>
    <w:rsid w:val="00EB43A5"/>
    <w:rsid w:val="00ED2204"/>
    <w:rsid w:val="00EE1028"/>
    <w:rsid w:val="00EE37EC"/>
    <w:rsid w:val="00EE5798"/>
    <w:rsid w:val="00F0190C"/>
    <w:rsid w:val="00F01BD7"/>
    <w:rsid w:val="00F050E4"/>
    <w:rsid w:val="00F31FCC"/>
    <w:rsid w:val="00F41955"/>
    <w:rsid w:val="00F61DF0"/>
    <w:rsid w:val="00F6609C"/>
    <w:rsid w:val="00F677CE"/>
    <w:rsid w:val="00F806C3"/>
    <w:rsid w:val="00F8544D"/>
    <w:rsid w:val="00F9508C"/>
    <w:rsid w:val="00FA36EB"/>
    <w:rsid w:val="00FA3DB0"/>
    <w:rsid w:val="00FB1D62"/>
    <w:rsid w:val="00FC7243"/>
    <w:rsid w:val="00FD00E9"/>
    <w:rsid w:val="00FD2C5B"/>
    <w:rsid w:val="00FD47A2"/>
    <w:rsid w:val="00FE06BB"/>
    <w:rsid w:val="00FE0A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F41955"/>
    <w:pPr>
      <w:spacing w:line="360" w:lineRule="auto"/>
      <w:jc w:val="both"/>
      <w:outlineLvl w:val="0"/>
    </w:pPr>
    <w:rPr>
      <w:rFonts w:ascii="Arial" w:hAnsi="Arial" w:cs="Arial"/>
      <w:b/>
      <w:bCs/>
      <w:sz w:val="22"/>
      <w:szCs w:val="22"/>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41955"/>
    <w:rPr>
      <w:rFonts w:ascii="Arial" w:eastAsiaTheme="minorHAnsi" w:hAnsi="Arial" w:cs="Arial"/>
      <w:b/>
      <w:bCs/>
      <w:sz w:val="22"/>
      <w:szCs w:val="22"/>
      <w:lang w:eastAsia="en-US"/>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660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gislation.gov.uk/ukpga/2022/31/contents" TargetMode="External"/><Relationship Id="rId18" Type="http://schemas.openxmlformats.org/officeDocument/2006/relationships/hyperlink" Target="https://www.england.nhs.uk/personalisedcare/pcsp/"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cqc.org.uk/guidance-regulation/providers/regulations-service-providers-and-managers/health-social-care-act/regulation-9" TargetMode="External"/><Relationship Id="rId17" Type="http://schemas.openxmlformats.org/officeDocument/2006/relationships/hyperlink" Target="https://www.england.nhs.uk/personalisedcare/shared-decision-making/about/" TargetMode="External"/><Relationship Id="rId2" Type="http://schemas.openxmlformats.org/officeDocument/2006/relationships/numbering" Target="numbering.xml"/><Relationship Id="rId16" Type="http://schemas.openxmlformats.org/officeDocument/2006/relationships/hyperlink" Target="https://www.nice.org.uk/guidance/ng197" TargetMode="External"/><Relationship Id="rId20" Type="http://schemas.openxmlformats.org/officeDocument/2006/relationships/hyperlink" Target="https://www.nmc.org.uk/standards/cod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lation.gov.uk/ukpga/2014/23/contents" TargetMode="External"/><Relationship Id="rId5" Type="http://schemas.openxmlformats.org/officeDocument/2006/relationships/webSettings" Target="webSettings.xml"/><Relationship Id="rId15" Type="http://schemas.openxmlformats.org/officeDocument/2006/relationships/hyperlink" Target="https://www.legislation.gov.uk/ukpga/2005/9/contents" TargetMode="Externa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www.england.nhs.uk/personalisedcare/comprehensive-model/case-studies/robyns-story/"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simplypsychology.org/gibbs-reflective-cycle.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3012</Words>
  <Characters>17174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Prince Isidahomen (2509813)</cp:lastModifiedBy>
  <cp:revision>2</cp:revision>
  <cp:lastPrinted>2025-08-13T10:56:00Z</cp:lastPrinted>
  <dcterms:created xsi:type="dcterms:W3CDTF">2026-10-25T22:48:00Z</dcterms:created>
  <dcterms:modified xsi:type="dcterms:W3CDTF">2026-10-25T22:48:00Z</dcterms:modified>
</cp:coreProperties>
</file>