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20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007"/>
      </w:tblGrid>
      <w:tr w:rsidR="00F927A1" w:rsidRPr="005D3F07" w14:paraId="68CAA39D" w14:textId="77777777" w:rsidTr="00F43F6E">
        <w:trPr>
          <w:trHeight w:val="3901"/>
        </w:trPr>
        <w:tc>
          <w:tcPr>
            <w:tcW w:w="12007" w:type="dxa"/>
          </w:tcPr>
          <w:p w14:paraId="02F8EE88" w14:textId="2AE2F77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43F6E">
              <w:rPr>
                <w:rFonts w:ascii="Times New Roman" w:hAnsi="Times New Roman" w:cs="Times New Roman"/>
                <w:b/>
                <w:color w:val="auto"/>
                <w:sz w:val="48"/>
              </w:rPr>
              <w:t>Courtney Honey-Jones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071884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95359">
              <w:rPr>
                <w:rFonts w:ascii="Times New Roman" w:hAnsi="Times New Roman" w:cs="Times New Roman"/>
                <w:b/>
                <w:color w:val="auto"/>
                <w:sz w:val="48"/>
              </w:rPr>
              <w:t xml:space="preserve"> </w:t>
            </w:r>
            <w:r w:rsidR="00F43F6E">
              <w:rPr>
                <w:rFonts w:ascii="Times New Roman" w:hAnsi="Times New Roman" w:cs="Times New Roman"/>
                <w:b/>
                <w:color w:val="auto"/>
                <w:sz w:val="48"/>
              </w:rPr>
              <w:t>2432489</w:t>
            </w:r>
            <w:r w:rsidR="00295359">
              <w:rPr>
                <w:rFonts w:ascii="Times New Roman" w:hAnsi="Times New Roman" w:cs="Times New Roman"/>
                <w:b/>
                <w:color w:val="auto"/>
                <w:sz w:val="48"/>
              </w:rPr>
              <w:t>@student.uwtsd.ac.uk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E0A5D4A"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43F6E">
              <w:rPr>
                <w:rFonts w:ascii="Times New Roman" w:hAnsi="Times New Roman" w:cs="Times New Roman"/>
                <w:b/>
                <w:color w:val="auto"/>
                <w:sz w:val="48"/>
              </w:rPr>
              <w:t>2432489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7AA7810"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w:t>
            </w:r>
            <w:r w:rsidR="00F43F6E">
              <w:rPr>
                <w:rFonts w:ascii="Times New Roman" w:hAnsi="Times New Roman" w:cs="Times New Roman"/>
                <w:b/>
                <w:color w:val="auto"/>
                <w:sz w:val="48"/>
              </w:rPr>
              <w:t>5B</w:t>
            </w:r>
            <w:r w:rsidR="00295359">
              <w:rPr>
                <w:rFonts w:ascii="Times New Roman" w:hAnsi="Times New Roman" w:cs="Times New Roman"/>
                <w:b/>
                <w:color w:val="auto"/>
                <w:sz w:val="48"/>
              </w:rPr>
              <w:t xml:space="preserve"> </w:t>
            </w:r>
            <w:r w:rsidR="00AE6231">
              <w:rPr>
                <w:rFonts w:ascii="Times New Roman" w:hAnsi="Times New Roman" w:cs="Times New Roman"/>
                <w:b/>
                <w:color w:val="auto"/>
                <w:sz w:val="48"/>
              </w:rPr>
              <w:t>onwards</w:t>
            </w:r>
          </w:p>
        </w:tc>
      </w:tr>
      <w:tr w:rsidR="00802471" w:rsidRPr="005D3F07" w14:paraId="6424456C" w14:textId="77777777" w:rsidTr="00F43F6E">
        <w:trPr>
          <w:trHeight w:val="552"/>
        </w:trPr>
        <w:tc>
          <w:tcPr>
            <w:tcW w:w="12007" w:type="dxa"/>
          </w:tcPr>
          <w:p w14:paraId="51311CA2" w14:textId="77777777" w:rsidR="00802471" w:rsidRDefault="00802471"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EF984DF" w14:textId="4CBBB930" w:rsidR="000D0BB6" w:rsidRPr="00C801A1" w:rsidRDefault="00E83F91" w:rsidP="00C801A1">
      <w:pPr>
        <w:rPr>
          <w:b/>
          <w:sz w:val="24"/>
          <w:szCs w:val="24"/>
        </w:rPr>
      </w:pPr>
      <w:r>
        <w:rPr>
          <w:b/>
          <w:sz w:val="24"/>
          <w:szCs w:val="24"/>
        </w:rPr>
        <w:br w:type="page"/>
      </w:r>
      <w:r w:rsidR="00C801A1">
        <w:rPr>
          <w:b/>
          <w:sz w:val="24"/>
          <w:szCs w:val="24"/>
        </w:rPr>
        <w:t xml:space="preserve">                                                                                                   </w:t>
      </w:r>
      <w:r w:rsidR="00337FEF"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5F5D71">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4E38B78C" w14:textId="77777777" w:rsidR="00F43F6E" w:rsidRPr="00730979" w:rsidRDefault="00BB7FD2" w:rsidP="00FF7EBB">
            <w:pPr>
              <w:jc w:val="both"/>
              <w:rPr>
                <w:b/>
                <w:bCs/>
                <w:sz w:val="24"/>
                <w:szCs w:val="24"/>
              </w:rPr>
            </w:pPr>
            <w:r w:rsidRPr="00730979">
              <w:rPr>
                <w:b/>
                <w:bCs/>
                <w:sz w:val="24"/>
                <w:szCs w:val="24"/>
              </w:rPr>
              <w:t xml:space="preserve">In an area that is not your </w:t>
            </w:r>
            <w:proofErr w:type="gramStart"/>
            <w:r w:rsidRPr="00730979">
              <w:rPr>
                <w:b/>
                <w:bCs/>
                <w:sz w:val="24"/>
                <w:szCs w:val="24"/>
              </w:rPr>
              <w:t>main focus</w:t>
            </w:r>
            <w:proofErr w:type="gramEnd"/>
            <w:r w:rsidRPr="00730979">
              <w:rPr>
                <w:b/>
                <w:bCs/>
                <w:sz w:val="24"/>
                <w:szCs w:val="24"/>
              </w:rPr>
              <w:t xml:space="preserve"> of work (see guidance above), </w:t>
            </w:r>
            <w:r w:rsidR="0002440E" w:rsidRPr="00730979">
              <w:rPr>
                <w:b/>
                <w:bCs/>
                <w:sz w:val="24"/>
                <w:szCs w:val="24"/>
              </w:rPr>
              <w:t>explain</w:t>
            </w:r>
            <w:r w:rsidR="008340BA" w:rsidRPr="00730979">
              <w:rPr>
                <w:b/>
                <w:bCs/>
                <w:sz w:val="24"/>
                <w:szCs w:val="24"/>
              </w:rPr>
              <w:t xml:space="preserve"> </w:t>
            </w:r>
            <w:r w:rsidR="00DA22EC" w:rsidRPr="00730979">
              <w:rPr>
                <w:b/>
                <w:bCs/>
                <w:sz w:val="24"/>
                <w:szCs w:val="24"/>
              </w:rPr>
              <w:t>the</w:t>
            </w:r>
            <w:r w:rsidR="005A545C" w:rsidRPr="00730979">
              <w:rPr>
                <w:b/>
                <w:bCs/>
                <w:sz w:val="24"/>
                <w:szCs w:val="24"/>
              </w:rPr>
              <w:t xml:space="preserve"> relevant </w:t>
            </w:r>
            <w:r w:rsidRPr="00730979">
              <w:rPr>
                <w:b/>
                <w:bCs/>
                <w:sz w:val="24"/>
                <w:szCs w:val="24"/>
              </w:rPr>
              <w:t xml:space="preserve">legislation, </w:t>
            </w:r>
            <w:r w:rsidR="0002440E" w:rsidRPr="00730979">
              <w:rPr>
                <w:b/>
                <w:bCs/>
                <w:sz w:val="24"/>
                <w:szCs w:val="24"/>
              </w:rPr>
              <w:t>and</w:t>
            </w:r>
            <w:r w:rsidR="008340BA" w:rsidRPr="00730979">
              <w:rPr>
                <w:b/>
                <w:bCs/>
                <w:sz w:val="24"/>
                <w:szCs w:val="24"/>
              </w:rPr>
              <w:t xml:space="preserve"> the </w:t>
            </w:r>
            <w:r w:rsidR="005A545C" w:rsidRPr="00730979">
              <w:rPr>
                <w:b/>
                <w:bCs/>
                <w:sz w:val="24"/>
                <w:szCs w:val="24"/>
              </w:rPr>
              <w:t>national, local and organisational policies and procedures</w:t>
            </w:r>
            <w:r w:rsidRPr="00730979">
              <w:rPr>
                <w:b/>
                <w:bCs/>
                <w:sz w:val="24"/>
                <w:szCs w:val="24"/>
              </w:rPr>
              <w:t xml:space="preserve"> for safeguarding.</w:t>
            </w:r>
          </w:p>
          <w:p w14:paraId="44A41343" w14:textId="77777777" w:rsidR="00E34CB8" w:rsidRDefault="00E34CB8" w:rsidP="00FF7EBB">
            <w:pPr>
              <w:jc w:val="both"/>
              <w:rPr>
                <w:sz w:val="24"/>
                <w:szCs w:val="24"/>
              </w:rPr>
            </w:pPr>
          </w:p>
          <w:p w14:paraId="4C86EEFA" w14:textId="77777777" w:rsidR="00F43F6E" w:rsidRDefault="00F43F6E" w:rsidP="00FF7EBB">
            <w:pPr>
              <w:jc w:val="both"/>
              <w:rPr>
                <w:sz w:val="24"/>
                <w:szCs w:val="24"/>
              </w:rPr>
            </w:pPr>
          </w:p>
          <w:p w14:paraId="0CA6D71A" w14:textId="77777777" w:rsidR="005F5D71" w:rsidRDefault="005F5D71" w:rsidP="0061341E">
            <w:pPr>
              <w:spacing w:line="480" w:lineRule="auto"/>
              <w:jc w:val="both"/>
              <w:rPr>
                <w:rFonts w:eastAsia="Aptos"/>
                <w:color w:val="auto"/>
                <w:sz w:val="22"/>
                <w:szCs w:val="22"/>
              </w:rPr>
            </w:pPr>
          </w:p>
          <w:p w14:paraId="1D99A98E" w14:textId="77777777" w:rsidR="005F5D71" w:rsidRDefault="005F5D71" w:rsidP="005F5D71">
            <w:pPr>
              <w:pStyle w:val="NormalWeb"/>
              <w:spacing w:line="480" w:lineRule="auto"/>
              <w:jc w:val="both"/>
              <w:rPr>
                <w:rFonts w:ascii="Arial" w:hAnsi="Arial" w:cs="Arial"/>
                <w:sz w:val="22"/>
                <w:szCs w:val="22"/>
              </w:rPr>
            </w:pPr>
            <w:r w:rsidRPr="005F5D71">
              <w:rPr>
                <w:rFonts w:ascii="Arial" w:hAnsi="Arial" w:cs="Arial"/>
                <w:sz w:val="22"/>
                <w:szCs w:val="22"/>
              </w:rPr>
              <w:t>Within adult services, I hold a duty to understand the legislative and procedural framework relating to the safeguarding of children. Recognising signs and indicators of abuse, neglect, and exploitation is essential, as is understanding the appropriate professional response. Safeguarding is a shared, multi</w:t>
            </w:r>
            <w:r w:rsidRPr="005F5D71">
              <w:rPr>
                <w:rFonts w:ascii="Arial" w:hAnsi="Arial" w:cs="Arial"/>
                <w:sz w:val="22"/>
                <w:szCs w:val="22"/>
              </w:rPr>
              <w:noBreakHyphen/>
              <w:t>agency responsibility, and any concerns raised must be acted upon promptly (Welsh Government, 2018).</w:t>
            </w:r>
          </w:p>
          <w:p w14:paraId="15CEF670" w14:textId="77777777" w:rsidR="005F5D71" w:rsidRPr="005F5D71" w:rsidRDefault="005F5D71" w:rsidP="005F5D71">
            <w:pPr>
              <w:pStyle w:val="NormalWeb"/>
              <w:spacing w:line="480" w:lineRule="auto"/>
              <w:jc w:val="both"/>
              <w:rPr>
                <w:rFonts w:ascii="Arial" w:hAnsi="Arial" w:cs="Arial"/>
                <w:sz w:val="22"/>
                <w:szCs w:val="22"/>
              </w:rPr>
            </w:pPr>
          </w:p>
          <w:p w14:paraId="2B0A62B0" w14:textId="77777777" w:rsidR="005F5D71" w:rsidRDefault="005F5D71" w:rsidP="005F5D71">
            <w:pPr>
              <w:pStyle w:val="NormalWeb"/>
              <w:spacing w:line="480" w:lineRule="auto"/>
              <w:jc w:val="both"/>
              <w:rPr>
                <w:rFonts w:ascii="Arial" w:hAnsi="Arial" w:cs="Arial"/>
                <w:sz w:val="22"/>
                <w:szCs w:val="22"/>
              </w:rPr>
            </w:pPr>
            <w:r w:rsidRPr="005F5D71">
              <w:rPr>
                <w:rFonts w:ascii="Arial" w:hAnsi="Arial" w:cs="Arial"/>
                <w:sz w:val="22"/>
                <w:szCs w:val="22"/>
              </w:rPr>
              <w:t>The Human Rights Act 1998 incorporates the European Convention on Human Rights into UK law. Two key rights relevant to children are the right to respect for private and family life (Article 8) and the prohibition of inhuman or degrading treatment (Article 3). Children’s rights must always be balanced with the state’s responsibility to intervene where harm is occurring or likely (O’Loughlin, 2016).</w:t>
            </w:r>
          </w:p>
          <w:p w14:paraId="543181D8" w14:textId="77777777" w:rsidR="005F5D71" w:rsidRPr="005F5D71" w:rsidRDefault="005F5D71" w:rsidP="005F5D71">
            <w:pPr>
              <w:pStyle w:val="NormalWeb"/>
              <w:spacing w:line="480" w:lineRule="auto"/>
              <w:jc w:val="both"/>
              <w:rPr>
                <w:rFonts w:ascii="Arial" w:hAnsi="Arial" w:cs="Arial"/>
                <w:sz w:val="22"/>
                <w:szCs w:val="22"/>
              </w:rPr>
            </w:pPr>
          </w:p>
          <w:p w14:paraId="4878B2F5" w14:textId="5191406E" w:rsidR="005F5D71" w:rsidRDefault="005F5D71" w:rsidP="005F5D71">
            <w:pPr>
              <w:pStyle w:val="NormalWeb"/>
              <w:spacing w:line="480" w:lineRule="auto"/>
              <w:jc w:val="both"/>
              <w:rPr>
                <w:rFonts w:ascii="Arial" w:hAnsi="Arial" w:cs="Arial"/>
                <w:sz w:val="22"/>
                <w:szCs w:val="22"/>
              </w:rPr>
            </w:pPr>
            <w:r w:rsidRPr="005F5D71">
              <w:rPr>
                <w:rFonts w:ascii="Arial" w:hAnsi="Arial" w:cs="Arial"/>
                <w:sz w:val="22"/>
                <w:szCs w:val="22"/>
              </w:rPr>
              <w:t xml:space="preserve">The core legislation for protecting children in Wales is the </w:t>
            </w:r>
            <w:r w:rsidRPr="005F5D71">
              <w:rPr>
                <w:rStyle w:val="Emphasis"/>
                <w:rFonts w:ascii="Arial" w:hAnsi="Arial" w:cs="Arial"/>
                <w:i w:val="0"/>
                <w:iCs w:val="0"/>
                <w:sz w:val="22"/>
                <w:szCs w:val="22"/>
              </w:rPr>
              <w:t>Social Services and Well</w:t>
            </w:r>
            <w:r w:rsidRPr="005F5D71">
              <w:rPr>
                <w:rStyle w:val="Emphasis"/>
                <w:rFonts w:ascii="Arial" w:hAnsi="Arial" w:cs="Arial"/>
                <w:i w:val="0"/>
                <w:iCs w:val="0"/>
                <w:sz w:val="22"/>
                <w:szCs w:val="22"/>
              </w:rPr>
              <w:noBreakHyphen/>
              <w:t>being (Wales) Act 2014</w:t>
            </w:r>
            <w:r w:rsidRPr="005F5D71">
              <w:rPr>
                <w:rFonts w:ascii="Arial" w:hAnsi="Arial" w:cs="Arial"/>
                <w:sz w:val="22"/>
                <w:szCs w:val="22"/>
              </w:rPr>
              <w:t xml:space="preserve"> (SSWBWA). Part 7 of the Act sets out the statutory safeguarding framework, and Section 130 establishes the duty on relevant partners to report a child at risk. A “child at risk” is defined as a person under eighteen who is experiencing, or is likely to experience, abuse, neglect or harm, and requires care and support. The duty for all partners</w:t>
            </w:r>
            <w:r>
              <w:rPr>
                <w:rFonts w:ascii="Arial" w:hAnsi="Arial" w:cs="Arial"/>
                <w:sz w:val="22"/>
                <w:szCs w:val="22"/>
              </w:rPr>
              <w:t xml:space="preserve">, </w:t>
            </w:r>
            <w:r w:rsidRPr="005F5D71">
              <w:rPr>
                <w:rFonts w:ascii="Arial" w:hAnsi="Arial" w:cs="Arial"/>
                <w:sz w:val="22"/>
                <w:szCs w:val="22"/>
              </w:rPr>
              <w:t>including adult social workers</w:t>
            </w:r>
            <w:r>
              <w:rPr>
                <w:rFonts w:ascii="Arial" w:hAnsi="Arial" w:cs="Arial"/>
                <w:sz w:val="22"/>
                <w:szCs w:val="22"/>
              </w:rPr>
              <w:t>, t</w:t>
            </w:r>
            <w:r w:rsidRPr="005F5D71">
              <w:rPr>
                <w:rFonts w:ascii="Arial" w:hAnsi="Arial" w:cs="Arial"/>
                <w:sz w:val="22"/>
                <w:szCs w:val="22"/>
              </w:rPr>
              <w:t>o share information rapidly and notify the local authority of concerns reflects the importance of early, effective intervention (Welsh Government, 2014).</w:t>
            </w:r>
          </w:p>
          <w:p w14:paraId="39F44029" w14:textId="77777777" w:rsidR="005F5D71" w:rsidRPr="005F5D71" w:rsidRDefault="005F5D71" w:rsidP="005F5D71">
            <w:pPr>
              <w:pStyle w:val="NormalWeb"/>
              <w:spacing w:line="480" w:lineRule="auto"/>
              <w:jc w:val="both"/>
              <w:rPr>
                <w:rFonts w:ascii="Arial" w:hAnsi="Arial" w:cs="Arial"/>
                <w:sz w:val="22"/>
                <w:szCs w:val="22"/>
              </w:rPr>
            </w:pPr>
          </w:p>
          <w:p w14:paraId="5976439C" w14:textId="77777777" w:rsidR="005F5D71" w:rsidRDefault="005F5D71" w:rsidP="005F5D71">
            <w:pPr>
              <w:pStyle w:val="NormalWeb"/>
              <w:spacing w:line="480" w:lineRule="auto"/>
              <w:jc w:val="both"/>
              <w:rPr>
                <w:rFonts w:ascii="Arial" w:hAnsi="Arial" w:cs="Arial"/>
                <w:sz w:val="22"/>
                <w:szCs w:val="22"/>
              </w:rPr>
            </w:pPr>
            <w:r w:rsidRPr="005F5D71">
              <w:rPr>
                <w:rFonts w:ascii="Arial" w:hAnsi="Arial" w:cs="Arial"/>
                <w:sz w:val="22"/>
                <w:szCs w:val="22"/>
              </w:rPr>
              <w:t xml:space="preserve">The Human Rights Act reinforces that safeguarding practice must promote and protect individual rights, with public bodies prohibited from acting incompatibly with these rights (Chisnell and Kelly, 2019). While SSWBWA 2014 provides the legal framework in Wales, principles from the </w:t>
            </w:r>
            <w:r w:rsidRPr="005F5D71">
              <w:rPr>
                <w:rStyle w:val="Emphasis"/>
                <w:rFonts w:ascii="Arial" w:hAnsi="Arial" w:cs="Arial"/>
                <w:i w:val="0"/>
                <w:iCs w:val="0"/>
                <w:sz w:val="22"/>
                <w:szCs w:val="22"/>
              </w:rPr>
              <w:t>Children Act 1989</w:t>
            </w:r>
            <w:r w:rsidRPr="005F5D71">
              <w:rPr>
                <w:rFonts w:ascii="Arial" w:hAnsi="Arial" w:cs="Arial"/>
                <w:sz w:val="22"/>
                <w:szCs w:val="22"/>
              </w:rPr>
              <w:t xml:space="preserve"> continue to apply, including the requirement for a child’s welfare to be the paramount consideration. The </w:t>
            </w:r>
            <w:r w:rsidRPr="005F5D71">
              <w:rPr>
                <w:rStyle w:val="Emphasis"/>
                <w:rFonts w:ascii="Arial" w:hAnsi="Arial" w:cs="Arial"/>
                <w:i w:val="0"/>
                <w:iCs w:val="0"/>
                <w:sz w:val="22"/>
                <w:szCs w:val="22"/>
              </w:rPr>
              <w:t>Children Act 2004</w:t>
            </w:r>
            <w:r w:rsidRPr="005F5D71">
              <w:rPr>
                <w:rFonts w:ascii="Arial" w:hAnsi="Arial" w:cs="Arial"/>
                <w:sz w:val="22"/>
                <w:szCs w:val="22"/>
              </w:rPr>
              <w:t xml:space="preserve"> further strengthened multi</w:t>
            </w:r>
            <w:r w:rsidRPr="005F5D71">
              <w:rPr>
                <w:rFonts w:ascii="Arial" w:hAnsi="Arial" w:cs="Arial"/>
                <w:sz w:val="22"/>
                <w:szCs w:val="22"/>
              </w:rPr>
              <w:noBreakHyphen/>
              <w:t>agency cooperation by requiring agencies to work collaboratively to protect children.</w:t>
            </w:r>
          </w:p>
          <w:p w14:paraId="431F0A67" w14:textId="77777777" w:rsidR="005F5D71" w:rsidRPr="005F5D71" w:rsidRDefault="005F5D71" w:rsidP="005F5D71">
            <w:pPr>
              <w:pStyle w:val="NormalWeb"/>
              <w:spacing w:line="480" w:lineRule="auto"/>
              <w:jc w:val="both"/>
              <w:rPr>
                <w:rFonts w:ascii="Arial" w:hAnsi="Arial" w:cs="Arial"/>
                <w:sz w:val="22"/>
                <w:szCs w:val="22"/>
              </w:rPr>
            </w:pPr>
          </w:p>
          <w:p w14:paraId="3FCB3C0E" w14:textId="72CBCD9C" w:rsidR="005F5D71" w:rsidRDefault="005F5D71" w:rsidP="005F5D71">
            <w:pPr>
              <w:pStyle w:val="NormalWeb"/>
              <w:spacing w:line="480" w:lineRule="auto"/>
              <w:jc w:val="both"/>
              <w:rPr>
                <w:rFonts w:ascii="Arial" w:hAnsi="Arial" w:cs="Arial"/>
                <w:sz w:val="22"/>
                <w:szCs w:val="22"/>
              </w:rPr>
            </w:pPr>
            <w:r w:rsidRPr="005F5D71">
              <w:rPr>
                <w:rFonts w:ascii="Arial" w:hAnsi="Arial" w:cs="Arial"/>
                <w:sz w:val="22"/>
                <w:szCs w:val="22"/>
              </w:rPr>
              <w:t>Within adult social work, I may encounter situations where children experience direct or indirect harm due to an adult’s circumstances. This creates a legal and professional obligation to share relevant information and make a safeguarding referral to children’s services. Children living with vulnerable adults may face risks linked to mental ill health, domestic abuse, or substance misuse, all of which can compromise safety. Protecting children therefore relies on effective multi</w:t>
            </w:r>
            <w:r w:rsidRPr="005F5D71">
              <w:rPr>
                <w:rFonts w:ascii="Arial" w:hAnsi="Arial" w:cs="Arial"/>
                <w:sz w:val="22"/>
                <w:szCs w:val="22"/>
              </w:rPr>
              <w:noBreakHyphen/>
              <w:t>agency working, informed decision</w:t>
            </w:r>
            <w:r w:rsidRPr="005F5D71">
              <w:rPr>
                <w:rFonts w:ascii="Arial" w:hAnsi="Arial" w:cs="Arial"/>
                <w:sz w:val="22"/>
                <w:szCs w:val="22"/>
              </w:rPr>
              <w:noBreakHyphen/>
              <w:t>making, and clear communication (Chisnell and Kelly, 2019).</w:t>
            </w:r>
          </w:p>
          <w:p w14:paraId="657E80AC" w14:textId="77777777" w:rsidR="005F5D71" w:rsidRPr="005F5D71" w:rsidRDefault="005F5D71" w:rsidP="005F5D71">
            <w:pPr>
              <w:pStyle w:val="NormalWeb"/>
              <w:spacing w:line="480" w:lineRule="auto"/>
              <w:jc w:val="both"/>
              <w:rPr>
                <w:rFonts w:ascii="Arial" w:hAnsi="Arial" w:cs="Arial"/>
                <w:sz w:val="22"/>
                <w:szCs w:val="22"/>
              </w:rPr>
            </w:pPr>
          </w:p>
          <w:p w14:paraId="62709DAC" w14:textId="76924D96" w:rsidR="005F5D71" w:rsidRDefault="005F5D71" w:rsidP="005F5D71">
            <w:pPr>
              <w:pStyle w:val="NormalWeb"/>
              <w:spacing w:line="480" w:lineRule="auto"/>
              <w:jc w:val="both"/>
              <w:rPr>
                <w:rFonts w:ascii="Arial" w:hAnsi="Arial" w:cs="Arial"/>
                <w:sz w:val="22"/>
                <w:szCs w:val="22"/>
              </w:rPr>
            </w:pPr>
            <w:r w:rsidRPr="005F5D71">
              <w:rPr>
                <w:rFonts w:ascii="Arial" w:hAnsi="Arial" w:cs="Arial"/>
                <w:sz w:val="22"/>
                <w:szCs w:val="22"/>
              </w:rPr>
              <w:t xml:space="preserve">The Welsh Government’s </w:t>
            </w:r>
            <w:r w:rsidRPr="005F5D71">
              <w:rPr>
                <w:rStyle w:val="Emphasis"/>
                <w:rFonts w:ascii="Arial" w:hAnsi="Arial" w:cs="Arial"/>
                <w:i w:val="0"/>
                <w:iCs w:val="0"/>
                <w:sz w:val="22"/>
                <w:szCs w:val="22"/>
              </w:rPr>
              <w:t>Working Together to Safeguard People</w:t>
            </w:r>
            <w:r w:rsidRPr="005F5D71">
              <w:rPr>
                <w:rFonts w:ascii="Arial" w:hAnsi="Arial" w:cs="Arial"/>
                <w:i/>
                <w:iCs/>
                <w:sz w:val="22"/>
                <w:szCs w:val="22"/>
              </w:rPr>
              <w:t xml:space="preserve"> </w:t>
            </w:r>
            <w:r w:rsidRPr="005F5D71">
              <w:rPr>
                <w:rFonts w:ascii="Arial" w:hAnsi="Arial" w:cs="Arial"/>
                <w:sz w:val="22"/>
                <w:szCs w:val="22"/>
              </w:rPr>
              <w:t>guidance (2018)</w:t>
            </w:r>
            <w:r w:rsidRPr="005F5D71">
              <w:rPr>
                <w:rFonts w:ascii="Arial" w:hAnsi="Arial" w:cs="Arial"/>
                <w:i/>
                <w:iCs/>
                <w:sz w:val="22"/>
                <w:szCs w:val="22"/>
              </w:rPr>
              <w:t xml:space="preserve"> </w:t>
            </w:r>
            <w:r w:rsidRPr="005F5D71">
              <w:rPr>
                <w:rFonts w:ascii="Arial" w:hAnsi="Arial" w:cs="Arial"/>
                <w:sz w:val="22"/>
                <w:szCs w:val="22"/>
              </w:rPr>
              <w:t xml:space="preserve">underpins safeguarding practice and must be embedded across all services. Alongside this, the </w:t>
            </w:r>
            <w:r w:rsidRPr="005F5D71">
              <w:rPr>
                <w:rStyle w:val="Emphasis"/>
                <w:rFonts w:ascii="Arial" w:hAnsi="Arial" w:cs="Arial"/>
                <w:i w:val="0"/>
                <w:iCs w:val="0"/>
                <w:sz w:val="22"/>
                <w:szCs w:val="22"/>
              </w:rPr>
              <w:t>Wales Safeguarding Procedures</w:t>
            </w:r>
            <w:r w:rsidRPr="005F5D71">
              <w:rPr>
                <w:rFonts w:ascii="Arial" w:hAnsi="Arial" w:cs="Arial"/>
                <w:i/>
                <w:iCs/>
                <w:sz w:val="22"/>
                <w:szCs w:val="22"/>
              </w:rPr>
              <w:t xml:space="preserve"> </w:t>
            </w:r>
            <w:r w:rsidRPr="005F5D71">
              <w:rPr>
                <w:rFonts w:ascii="Arial" w:hAnsi="Arial" w:cs="Arial"/>
                <w:sz w:val="22"/>
                <w:szCs w:val="22"/>
              </w:rPr>
              <w:t>(2019) form the main operational policy for safeguarding children and adults, outlining processes for reporting, responding to, and managing concerns. The accompanying Practice Guides</w:t>
            </w:r>
            <w:r>
              <w:rPr>
                <w:rFonts w:ascii="Arial" w:hAnsi="Arial" w:cs="Arial"/>
                <w:sz w:val="22"/>
                <w:szCs w:val="22"/>
              </w:rPr>
              <w:t xml:space="preserve">, </w:t>
            </w:r>
            <w:r w:rsidRPr="005F5D71">
              <w:rPr>
                <w:rFonts w:ascii="Arial" w:hAnsi="Arial" w:cs="Arial"/>
                <w:sz w:val="22"/>
                <w:szCs w:val="22"/>
              </w:rPr>
              <w:t>such as those on the Child at Risk process, exploitation, neglect, and concerns about practitioners</w:t>
            </w:r>
            <w:r>
              <w:rPr>
                <w:rFonts w:ascii="Arial" w:hAnsi="Arial" w:cs="Arial"/>
                <w:sz w:val="22"/>
                <w:szCs w:val="22"/>
              </w:rPr>
              <w:t xml:space="preserve">, </w:t>
            </w:r>
            <w:r w:rsidRPr="005F5D71">
              <w:rPr>
                <w:rFonts w:ascii="Arial" w:hAnsi="Arial" w:cs="Arial"/>
                <w:sz w:val="22"/>
                <w:szCs w:val="22"/>
              </w:rPr>
              <w:t>support consistent threshold application and professional judgement. Volume 5 of the statutory guidance clarifies practitioner responsibilities regarding information sharing, referrals, and ensuring child safety. Regionally, the CYSUR Mid &amp; West Wales Safeguarding Board oversees local safeguarding arrangements, strengthens multi</w:t>
            </w:r>
            <w:r w:rsidRPr="005F5D71">
              <w:rPr>
                <w:rFonts w:ascii="Arial" w:hAnsi="Arial" w:cs="Arial"/>
                <w:sz w:val="22"/>
                <w:szCs w:val="22"/>
              </w:rPr>
              <w:noBreakHyphen/>
              <w:t>agency collaboration, and ensures statutory duties are met</w:t>
            </w:r>
            <w:r>
              <w:rPr>
                <w:rFonts w:ascii="Arial" w:hAnsi="Arial" w:cs="Arial"/>
                <w:sz w:val="22"/>
                <w:szCs w:val="22"/>
              </w:rPr>
              <w:t xml:space="preserve"> (</w:t>
            </w:r>
            <w:r w:rsidRPr="005F5D71">
              <w:rPr>
                <w:rFonts w:ascii="Arial" w:hAnsi="Arial" w:cs="Arial"/>
                <w:sz w:val="22"/>
                <w:szCs w:val="22"/>
              </w:rPr>
              <w:t>CYSUR Mid &amp; West Wales Safeguarding Board, n.d.).</w:t>
            </w:r>
          </w:p>
          <w:p w14:paraId="4E4E414A" w14:textId="77777777" w:rsidR="005F5D71" w:rsidRPr="005F5D71" w:rsidRDefault="005F5D71" w:rsidP="005F5D71">
            <w:pPr>
              <w:pStyle w:val="NormalWeb"/>
              <w:spacing w:line="480" w:lineRule="auto"/>
              <w:jc w:val="both"/>
              <w:rPr>
                <w:rFonts w:ascii="Arial" w:hAnsi="Arial" w:cs="Arial"/>
                <w:sz w:val="22"/>
                <w:szCs w:val="22"/>
              </w:rPr>
            </w:pPr>
          </w:p>
          <w:p w14:paraId="155DC98C" w14:textId="77777777" w:rsidR="005F5D71" w:rsidRPr="005F5D71" w:rsidRDefault="005F5D71" w:rsidP="005F5D71">
            <w:pPr>
              <w:pStyle w:val="NormalWeb"/>
              <w:spacing w:line="480" w:lineRule="auto"/>
              <w:jc w:val="both"/>
              <w:rPr>
                <w:rFonts w:ascii="Arial" w:hAnsi="Arial" w:cs="Arial"/>
                <w:sz w:val="22"/>
                <w:szCs w:val="22"/>
              </w:rPr>
            </w:pPr>
            <w:r w:rsidRPr="005F5D71">
              <w:rPr>
                <w:rFonts w:ascii="Arial" w:hAnsi="Arial" w:cs="Arial"/>
                <w:sz w:val="22"/>
                <w:szCs w:val="22"/>
              </w:rPr>
              <w:t xml:space="preserve">According to the local authority’s safeguarding policy, all staff must complete safeguarding training, understand referral procedures, and act promptly when concerns arise. The policy is governed by the </w:t>
            </w:r>
            <w:r w:rsidRPr="005F5D71">
              <w:rPr>
                <w:rStyle w:val="Emphasis"/>
                <w:rFonts w:ascii="Arial" w:hAnsi="Arial" w:cs="Arial"/>
                <w:i w:val="0"/>
                <w:iCs w:val="0"/>
                <w:sz w:val="22"/>
                <w:szCs w:val="22"/>
              </w:rPr>
              <w:t>Safeguarding Boards (Functions and Procedures) (Wales) Regulations 2015</w:t>
            </w:r>
            <w:r w:rsidRPr="005F5D71">
              <w:rPr>
                <w:rFonts w:ascii="Arial" w:hAnsi="Arial" w:cs="Arial"/>
                <w:i/>
                <w:iCs/>
                <w:sz w:val="22"/>
                <w:szCs w:val="22"/>
              </w:rPr>
              <w:t>,</w:t>
            </w:r>
            <w:r w:rsidRPr="005F5D71">
              <w:rPr>
                <w:rFonts w:ascii="Arial" w:hAnsi="Arial" w:cs="Arial"/>
                <w:sz w:val="22"/>
                <w:szCs w:val="22"/>
              </w:rPr>
              <w:t xml:space="preserve"> which require safeguarding boards to commission child practice reviews, promote learning, and reinforce multi</w:t>
            </w:r>
            <w:r w:rsidRPr="005F5D71">
              <w:rPr>
                <w:rFonts w:ascii="Arial" w:hAnsi="Arial" w:cs="Arial"/>
                <w:sz w:val="22"/>
                <w:szCs w:val="22"/>
              </w:rPr>
              <w:noBreakHyphen/>
              <w:t>agency working (Welsh Government, 2015).</w:t>
            </w:r>
          </w:p>
          <w:p w14:paraId="179329F4" w14:textId="77777777" w:rsidR="00802471" w:rsidRDefault="00802471"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4A725AA0" w14:textId="77777777" w:rsidR="0061341E" w:rsidRDefault="0061341E" w:rsidP="00FF7EBB">
            <w:pPr>
              <w:jc w:val="both"/>
              <w:rPr>
                <w:sz w:val="24"/>
                <w:szCs w:val="24"/>
              </w:rPr>
            </w:pPr>
          </w:p>
          <w:p w14:paraId="3D8EA27D" w14:textId="77777777" w:rsidR="0061341E" w:rsidRPr="00E34CB8" w:rsidRDefault="0061341E" w:rsidP="0061341E">
            <w:pPr>
              <w:jc w:val="both"/>
              <w:rPr>
                <w:sz w:val="24"/>
                <w:szCs w:val="24"/>
              </w:rPr>
            </w:pPr>
          </w:p>
          <w:p w14:paraId="23FC6D01" w14:textId="60B679F2" w:rsidR="0061341E" w:rsidRPr="00730979" w:rsidRDefault="0061341E" w:rsidP="0061341E">
            <w:pPr>
              <w:jc w:val="both"/>
              <w:rPr>
                <w:b/>
                <w:bCs/>
                <w:sz w:val="24"/>
                <w:szCs w:val="24"/>
              </w:rPr>
            </w:pPr>
            <w:r w:rsidRPr="00730979">
              <w:rPr>
                <w:b/>
                <w:bCs/>
                <w:sz w:val="24"/>
                <w:szCs w:val="24"/>
              </w:rPr>
              <w:t>Word count</w:t>
            </w:r>
            <w:r w:rsidR="005F5D71" w:rsidRPr="00730979">
              <w:rPr>
                <w:b/>
                <w:bCs/>
                <w:sz w:val="24"/>
                <w:szCs w:val="24"/>
              </w:rPr>
              <w:t>: 549</w:t>
            </w:r>
          </w:p>
          <w:p w14:paraId="7319BDAE" w14:textId="77777777" w:rsidR="0061341E" w:rsidRDefault="0061341E" w:rsidP="00FF7EBB">
            <w:pPr>
              <w:jc w:val="both"/>
              <w:rPr>
                <w:sz w:val="24"/>
                <w:szCs w:val="24"/>
              </w:rPr>
            </w:pP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730979">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3EFE1A0D" w14:textId="17ACC9DF" w:rsidR="00730979" w:rsidRPr="00730979" w:rsidRDefault="00FC0334" w:rsidP="00FC0334">
            <w:pPr>
              <w:jc w:val="both"/>
              <w:rPr>
                <w:b/>
                <w:bCs/>
                <w:sz w:val="24"/>
                <w:szCs w:val="24"/>
              </w:rPr>
            </w:pPr>
            <w:r w:rsidRPr="00730979">
              <w:rPr>
                <w:b/>
                <w:bCs/>
                <w:sz w:val="24"/>
                <w:szCs w:val="24"/>
              </w:rPr>
              <w:t>Reflect on the difference between safeguarding in adult</w:t>
            </w:r>
            <w:r w:rsidR="00C63CAB" w:rsidRPr="00730979">
              <w:rPr>
                <w:b/>
                <w:bCs/>
                <w:sz w:val="24"/>
                <w:szCs w:val="24"/>
              </w:rPr>
              <w:t>s’</w:t>
            </w:r>
            <w:r w:rsidRPr="00730979">
              <w:rPr>
                <w:b/>
                <w:bCs/>
                <w:sz w:val="24"/>
                <w:szCs w:val="24"/>
              </w:rPr>
              <w:t xml:space="preserve"> and children</w:t>
            </w:r>
            <w:r w:rsidR="007A628F" w:rsidRPr="00730979">
              <w:rPr>
                <w:b/>
                <w:bCs/>
                <w:sz w:val="24"/>
                <w:szCs w:val="24"/>
              </w:rPr>
              <w:t>’s</w:t>
            </w:r>
            <w:r w:rsidRPr="00730979">
              <w:rPr>
                <w:b/>
                <w:bCs/>
                <w:sz w:val="24"/>
                <w:szCs w:val="24"/>
              </w:rPr>
              <w:t xml:space="preserve"> work</w:t>
            </w:r>
            <w:r w:rsidR="00730979" w:rsidRPr="00730979">
              <w:rPr>
                <w:b/>
                <w:bCs/>
                <w:sz w:val="24"/>
                <w:szCs w:val="24"/>
              </w:rPr>
              <w:t>.</w:t>
            </w:r>
          </w:p>
          <w:p w14:paraId="744322F9" w14:textId="77777777" w:rsidR="00730979" w:rsidRDefault="00730979" w:rsidP="00FC0334">
            <w:pPr>
              <w:jc w:val="both"/>
              <w:rPr>
                <w:sz w:val="24"/>
                <w:szCs w:val="24"/>
              </w:rPr>
            </w:pPr>
          </w:p>
          <w:p w14:paraId="7B3AE9D1" w14:textId="77777777" w:rsidR="00730979" w:rsidRDefault="00730979" w:rsidP="00FC0334">
            <w:pPr>
              <w:jc w:val="both"/>
              <w:rPr>
                <w:sz w:val="24"/>
                <w:szCs w:val="24"/>
              </w:rPr>
            </w:pPr>
          </w:p>
          <w:p w14:paraId="75C92F78" w14:textId="77777777" w:rsidR="00730979" w:rsidRDefault="00730979" w:rsidP="00730979">
            <w:pPr>
              <w:pStyle w:val="NormalWeb"/>
              <w:spacing w:line="480" w:lineRule="auto"/>
              <w:jc w:val="both"/>
              <w:rPr>
                <w:rFonts w:ascii="Arial" w:hAnsi="Arial" w:cs="Arial"/>
                <w:sz w:val="22"/>
                <w:szCs w:val="22"/>
              </w:rPr>
            </w:pPr>
            <w:r w:rsidRPr="00730979">
              <w:rPr>
                <w:rFonts w:ascii="Arial" w:hAnsi="Arial" w:cs="Arial"/>
                <w:sz w:val="22"/>
                <w:szCs w:val="22"/>
              </w:rPr>
              <w:t>Part 7 of the Social Services and Well-Being (Wales) Act 2014 provides the legislative foundation for safeguarding adults and children in Wales, outlining a shared duty to protect both groups. While many safeguarding processes are similar, decision</w:t>
            </w:r>
            <w:r w:rsidRPr="00730979">
              <w:rPr>
                <w:rFonts w:ascii="Arial" w:hAnsi="Arial" w:cs="Arial"/>
                <w:sz w:val="22"/>
                <w:szCs w:val="22"/>
              </w:rPr>
              <w:noBreakHyphen/>
              <w:t>making capacity is a key distinction between adult and child safeguarding (Webb, 2018).</w:t>
            </w:r>
          </w:p>
          <w:p w14:paraId="764CF16A" w14:textId="77777777" w:rsidR="00730979" w:rsidRPr="00730979" w:rsidRDefault="00730979" w:rsidP="00730979">
            <w:pPr>
              <w:pStyle w:val="NormalWeb"/>
              <w:spacing w:line="480" w:lineRule="auto"/>
              <w:jc w:val="both"/>
              <w:rPr>
                <w:rFonts w:ascii="Arial" w:hAnsi="Arial" w:cs="Arial"/>
                <w:sz w:val="22"/>
                <w:szCs w:val="22"/>
              </w:rPr>
            </w:pPr>
          </w:p>
          <w:p w14:paraId="1A4A8733" w14:textId="38316D58" w:rsidR="00730979" w:rsidRDefault="00730979" w:rsidP="00730979">
            <w:pPr>
              <w:pStyle w:val="NormalWeb"/>
              <w:spacing w:line="480" w:lineRule="auto"/>
              <w:jc w:val="both"/>
              <w:rPr>
                <w:rFonts w:ascii="Arial" w:hAnsi="Arial" w:cs="Arial"/>
                <w:sz w:val="22"/>
                <w:szCs w:val="22"/>
              </w:rPr>
            </w:pPr>
            <w:r w:rsidRPr="00730979">
              <w:rPr>
                <w:rFonts w:ascii="Arial" w:hAnsi="Arial" w:cs="Arial"/>
                <w:sz w:val="22"/>
                <w:szCs w:val="22"/>
              </w:rPr>
              <w:t>My everyday practice in adult safeguarding is shaped by the Mental Capacity Act 2005 (MCA) and the Human Rights Act 1998. Although principles such as prevention, protection and partnership apply across both adult and child practice, the threshold for intervention and the underpinning legislation differ significantly (Webb, 2018).</w:t>
            </w:r>
          </w:p>
          <w:p w14:paraId="3F671A92" w14:textId="77777777" w:rsidR="00730979" w:rsidRPr="00730979" w:rsidRDefault="00730979" w:rsidP="00730979">
            <w:pPr>
              <w:pStyle w:val="NormalWeb"/>
              <w:spacing w:line="480" w:lineRule="auto"/>
              <w:jc w:val="both"/>
              <w:rPr>
                <w:rFonts w:ascii="Arial" w:hAnsi="Arial" w:cs="Arial"/>
                <w:sz w:val="22"/>
                <w:szCs w:val="22"/>
              </w:rPr>
            </w:pPr>
          </w:p>
          <w:p w14:paraId="20213369" w14:textId="42647E57" w:rsidR="00730979" w:rsidRDefault="00730979" w:rsidP="00730979">
            <w:pPr>
              <w:pStyle w:val="NormalWeb"/>
              <w:spacing w:line="480" w:lineRule="auto"/>
              <w:jc w:val="both"/>
              <w:rPr>
                <w:rFonts w:ascii="Arial" w:hAnsi="Arial" w:cs="Arial"/>
                <w:sz w:val="22"/>
                <w:szCs w:val="22"/>
              </w:rPr>
            </w:pPr>
            <w:r w:rsidRPr="00730979">
              <w:rPr>
                <w:rFonts w:ascii="Arial" w:hAnsi="Arial" w:cs="Arial"/>
                <w:sz w:val="22"/>
                <w:szCs w:val="22"/>
              </w:rPr>
              <w:t>It is also important to recognise that legislation defines adulthood differently. Under the MCA, individuals aged 16 and over can be assessed for capacity and make decisions about their care. In contrast, the Children Act 1989 defines a child as anyone under 18. While these laws operate concurrently, the Children Act takes precedence in safeguarding, placing a statutory duty on agencies to promote the welfare of all those under 18. Therefore, young people aged 16</w:t>
            </w:r>
            <w:r>
              <w:rPr>
                <w:rFonts w:ascii="Arial" w:hAnsi="Arial" w:cs="Arial"/>
                <w:sz w:val="22"/>
                <w:szCs w:val="22"/>
              </w:rPr>
              <w:t xml:space="preserve"> to 17</w:t>
            </w:r>
            <w:r w:rsidRPr="00730979">
              <w:rPr>
                <w:rFonts w:ascii="Arial" w:hAnsi="Arial" w:cs="Arial"/>
                <w:sz w:val="22"/>
                <w:szCs w:val="22"/>
              </w:rPr>
              <w:t xml:space="preserve"> may be considered adults for capacity purposes but are still treated as children within safeguarding procedures (Department of Health, 2007; United Kingdom, 1989; United Kingdom, 2005).</w:t>
            </w:r>
          </w:p>
          <w:p w14:paraId="1E1BD7FC" w14:textId="77777777" w:rsidR="00730979" w:rsidRPr="00730979" w:rsidRDefault="00730979" w:rsidP="00730979">
            <w:pPr>
              <w:pStyle w:val="NormalWeb"/>
              <w:spacing w:line="480" w:lineRule="auto"/>
              <w:jc w:val="both"/>
              <w:rPr>
                <w:rFonts w:ascii="Arial" w:hAnsi="Arial" w:cs="Arial"/>
                <w:sz w:val="22"/>
                <w:szCs w:val="22"/>
              </w:rPr>
            </w:pPr>
          </w:p>
          <w:p w14:paraId="34BE0A54" w14:textId="77777777" w:rsidR="00730979" w:rsidRDefault="00730979" w:rsidP="00730979">
            <w:pPr>
              <w:pStyle w:val="NormalWeb"/>
              <w:spacing w:line="480" w:lineRule="auto"/>
              <w:jc w:val="both"/>
              <w:rPr>
                <w:rFonts w:ascii="Arial" w:hAnsi="Arial" w:cs="Arial"/>
                <w:sz w:val="22"/>
                <w:szCs w:val="22"/>
              </w:rPr>
            </w:pPr>
            <w:r w:rsidRPr="00730979">
              <w:rPr>
                <w:rFonts w:ascii="Arial" w:hAnsi="Arial" w:cs="Arial"/>
                <w:sz w:val="22"/>
                <w:szCs w:val="22"/>
              </w:rPr>
              <w:t>A key difference in adult safeguarding is the emphasis on capacity and choice. Adults with capacity have the right to autonomy and to make unwise decisions, provided these choices do not endanger others, including children (MCA, 2005). Autonomy is central to adult safeguarding, whereas children cannot make decisions that place them at risk; in harmful situations, their safety overrides their stated wishes (Ferguson, 2025).</w:t>
            </w:r>
          </w:p>
          <w:p w14:paraId="19A5C82D" w14:textId="77777777" w:rsidR="00730979" w:rsidRPr="00730979" w:rsidRDefault="00730979" w:rsidP="00730979">
            <w:pPr>
              <w:pStyle w:val="NormalWeb"/>
              <w:spacing w:line="480" w:lineRule="auto"/>
              <w:jc w:val="both"/>
              <w:rPr>
                <w:rFonts w:ascii="Arial" w:hAnsi="Arial" w:cs="Arial"/>
                <w:sz w:val="22"/>
                <w:szCs w:val="22"/>
              </w:rPr>
            </w:pPr>
          </w:p>
          <w:p w14:paraId="799F016B" w14:textId="77777777" w:rsidR="00730979" w:rsidRDefault="00730979" w:rsidP="00730979">
            <w:pPr>
              <w:pStyle w:val="NormalWeb"/>
              <w:spacing w:line="480" w:lineRule="auto"/>
              <w:jc w:val="both"/>
              <w:rPr>
                <w:rFonts w:ascii="Arial" w:hAnsi="Arial" w:cs="Arial"/>
                <w:sz w:val="22"/>
                <w:szCs w:val="22"/>
              </w:rPr>
            </w:pPr>
            <w:r w:rsidRPr="00730979">
              <w:rPr>
                <w:rFonts w:ascii="Arial" w:hAnsi="Arial" w:cs="Arial"/>
                <w:sz w:val="22"/>
                <w:szCs w:val="22"/>
              </w:rPr>
              <w:t>Child safeguarding also requires balancing a child’s right to safety, parental responsibility, and the state’s duty to act in the child’s best interests (Chisnell and Kelly, 2019). While Gillick Competence recognises that some children can make informed decisions, the paramountcy principle in the Children Act 1989 ensures that their safety remains the overriding concern (Ferguson, 2025).</w:t>
            </w:r>
          </w:p>
          <w:p w14:paraId="14478027" w14:textId="77777777" w:rsidR="00730979" w:rsidRPr="00730979" w:rsidRDefault="00730979" w:rsidP="00730979">
            <w:pPr>
              <w:pStyle w:val="NormalWeb"/>
              <w:spacing w:line="480" w:lineRule="auto"/>
              <w:jc w:val="both"/>
              <w:rPr>
                <w:rFonts w:ascii="Arial" w:hAnsi="Arial" w:cs="Arial"/>
                <w:sz w:val="22"/>
                <w:szCs w:val="22"/>
              </w:rPr>
            </w:pPr>
          </w:p>
          <w:p w14:paraId="6302AA08" w14:textId="5B6C7DA9" w:rsidR="00730979" w:rsidRDefault="00730979" w:rsidP="00730979">
            <w:pPr>
              <w:pStyle w:val="NormalWeb"/>
              <w:spacing w:line="480" w:lineRule="auto"/>
              <w:jc w:val="both"/>
              <w:rPr>
                <w:rFonts w:ascii="Arial" w:hAnsi="Arial" w:cs="Arial"/>
                <w:sz w:val="22"/>
                <w:szCs w:val="22"/>
              </w:rPr>
            </w:pPr>
            <w:r>
              <w:rPr>
                <w:rFonts w:ascii="Arial" w:hAnsi="Arial" w:cs="Arial"/>
                <w:sz w:val="22"/>
                <w:szCs w:val="22"/>
              </w:rPr>
              <w:t>In addition, the assessment processes also differ</w:t>
            </w:r>
            <w:r w:rsidRPr="00730979">
              <w:rPr>
                <w:rFonts w:ascii="Arial" w:hAnsi="Arial" w:cs="Arial"/>
                <w:sz w:val="22"/>
                <w:szCs w:val="22"/>
              </w:rPr>
              <w:t>. Children’s safeguarding involves exploring wider family networks, parenting capacity and home conditions. In contrast, adult safeguarding assessments focus on the individual and aim to reduce risk while supporting independence (Kelly and Chisnell, 2019).</w:t>
            </w:r>
            <w:r>
              <w:rPr>
                <w:rFonts w:ascii="Arial" w:hAnsi="Arial" w:cs="Arial"/>
                <w:sz w:val="22"/>
                <w:szCs w:val="22"/>
              </w:rPr>
              <w:t xml:space="preserve"> </w:t>
            </w:r>
            <w:r w:rsidRPr="00730979">
              <w:rPr>
                <w:rFonts w:ascii="Arial" w:hAnsi="Arial" w:cs="Arial"/>
                <w:sz w:val="22"/>
                <w:szCs w:val="22"/>
              </w:rPr>
              <w:t>Safeguarding responses also vary in urgency. For children, intervention is often immediate due to the potential long</w:t>
            </w:r>
            <w:r w:rsidRPr="00730979">
              <w:rPr>
                <w:rFonts w:ascii="Arial" w:hAnsi="Arial" w:cs="Arial"/>
                <w:sz w:val="22"/>
                <w:szCs w:val="22"/>
              </w:rPr>
              <w:noBreakHyphen/>
              <w:t>term developmental impact of harm. Adult safeguarding may allow more time for planning and consideration of the least restrictive options (Welsh Government, 2018).</w:t>
            </w:r>
          </w:p>
          <w:p w14:paraId="0963591E" w14:textId="77777777" w:rsidR="00730979" w:rsidRPr="00730979" w:rsidRDefault="00730979" w:rsidP="00730979">
            <w:pPr>
              <w:pStyle w:val="NormalWeb"/>
              <w:spacing w:line="480" w:lineRule="auto"/>
              <w:jc w:val="both"/>
              <w:rPr>
                <w:rFonts w:ascii="Arial" w:hAnsi="Arial" w:cs="Arial"/>
                <w:sz w:val="22"/>
                <w:szCs w:val="22"/>
              </w:rPr>
            </w:pPr>
          </w:p>
          <w:p w14:paraId="7841E18D" w14:textId="77777777" w:rsidR="00730979" w:rsidRPr="00730979" w:rsidRDefault="00730979" w:rsidP="00730979">
            <w:pPr>
              <w:pStyle w:val="NormalWeb"/>
              <w:spacing w:line="480" w:lineRule="auto"/>
              <w:jc w:val="both"/>
              <w:rPr>
                <w:rFonts w:ascii="Arial" w:hAnsi="Arial" w:cs="Arial"/>
                <w:sz w:val="22"/>
                <w:szCs w:val="22"/>
              </w:rPr>
            </w:pPr>
            <w:r w:rsidRPr="00730979">
              <w:rPr>
                <w:rFonts w:ascii="Arial" w:hAnsi="Arial" w:cs="Arial"/>
                <w:sz w:val="22"/>
                <w:szCs w:val="22"/>
              </w:rPr>
              <w:t>In conclusion, while safeguarding is a shared professional responsibility, adults and children require different approaches. Adult safeguarding prioritises autonomy, whereas children’s safeguarding prioritises protection. Both approaches are essential and shaped by an individual’s vulnerability, developmental stage and legal status (Koubel, 2016).</w:t>
            </w:r>
          </w:p>
          <w:p w14:paraId="67E7ED72" w14:textId="77777777" w:rsidR="00FC0334" w:rsidRDefault="00FC0334" w:rsidP="00FC0334">
            <w:pPr>
              <w:jc w:val="both"/>
              <w:rPr>
                <w:sz w:val="24"/>
                <w:szCs w:val="24"/>
              </w:rPr>
            </w:pPr>
          </w:p>
          <w:p w14:paraId="438BF787" w14:textId="77777777" w:rsidR="00FC0334" w:rsidRDefault="00FC0334" w:rsidP="00FC0334">
            <w:pPr>
              <w:jc w:val="both"/>
              <w:rPr>
                <w:sz w:val="22"/>
                <w:szCs w:val="22"/>
              </w:rPr>
            </w:pPr>
          </w:p>
          <w:p w14:paraId="3719FCEA" w14:textId="77777777" w:rsidR="00730979" w:rsidRPr="006108C9" w:rsidRDefault="00730979"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48CEDE6B" w14:textId="77777777" w:rsidR="00C801A1" w:rsidRDefault="00C801A1" w:rsidP="00FC0334">
            <w:pPr>
              <w:jc w:val="both"/>
              <w:rPr>
                <w:i/>
                <w:sz w:val="24"/>
                <w:szCs w:val="24"/>
              </w:rPr>
            </w:pPr>
          </w:p>
          <w:p w14:paraId="51BFE149" w14:textId="77777777" w:rsidR="00C801A1" w:rsidRDefault="00C801A1" w:rsidP="00FC0334">
            <w:pPr>
              <w:jc w:val="both"/>
              <w:rPr>
                <w:i/>
                <w:sz w:val="24"/>
                <w:szCs w:val="24"/>
              </w:rPr>
            </w:pPr>
          </w:p>
          <w:p w14:paraId="34936E2B" w14:textId="0BCF6071" w:rsidR="00C801A1" w:rsidRPr="00730979" w:rsidRDefault="00C801A1" w:rsidP="00FC0334">
            <w:pPr>
              <w:jc w:val="both"/>
              <w:rPr>
                <w:b/>
                <w:bCs/>
                <w:iCs/>
                <w:sz w:val="24"/>
                <w:szCs w:val="24"/>
              </w:rPr>
            </w:pPr>
            <w:r w:rsidRPr="00730979">
              <w:rPr>
                <w:b/>
                <w:bCs/>
                <w:iCs/>
                <w:sz w:val="24"/>
                <w:szCs w:val="24"/>
              </w:rPr>
              <w:t xml:space="preserve">Word Count </w:t>
            </w:r>
            <w:r w:rsidR="004B722D" w:rsidRPr="00730979">
              <w:rPr>
                <w:b/>
                <w:bCs/>
                <w:iCs/>
                <w:sz w:val="24"/>
                <w:szCs w:val="24"/>
              </w:rPr>
              <w:t>–</w:t>
            </w:r>
            <w:r w:rsidRPr="00730979">
              <w:rPr>
                <w:b/>
                <w:bCs/>
                <w:iCs/>
                <w:sz w:val="24"/>
                <w:szCs w:val="24"/>
              </w:rPr>
              <w:t xml:space="preserve"> 4</w:t>
            </w:r>
            <w:r w:rsidR="00730979" w:rsidRPr="00730979">
              <w:rPr>
                <w:b/>
                <w:bCs/>
                <w:iCs/>
                <w:sz w:val="24"/>
                <w:szCs w:val="24"/>
              </w:rPr>
              <w:t>40</w:t>
            </w:r>
          </w:p>
          <w:p w14:paraId="56D69B6C" w14:textId="77777777" w:rsidR="004B722D" w:rsidRDefault="004B722D" w:rsidP="00FC0334">
            <w:pPr>
              <w:jc w:val="both"/>
              <w:rPr>
                <w:iCs/>
                <w:sz w:val="24"/>
                <w:szCs w:val="24"/>
              </w:rPr>
            </w:pPr>
          </w:p>
          <w:p w14:paraId="2052D6DD" w14:textId="699386AB" w:rsidR="004B722D" w:rsidRPr="00C801A1" w:rsidRDefault="004B722D" w:rsidP="00FC0334">
            <w:pPr>
              <w:jc w:val="both"/>
              <w:rPr>
                <w:iCs/>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C6D249" w14:textId="77777777" w:rsidR="00BD3861" w:rsidRDefault="00BD3861">
      <w:r>
        <w:separator/>
      </w:r>
    </w:p>
  </w:endnote>
  <w:endnote w:type="continuationSeparator" w:id="0">
    <w:p w14:paraId="513366DA" w14:textId="77777777" w:rsidR="00BD3861" w:rsidRDefault="00BD38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0EF509" w14:textId="77777777" w:rsidR="00BD3861" w:rsidRDefault="00BD3861">
      <w:r>
        <w:separator/>
      </w:r>
    </w:p>
  </w:footnote>
  <w:footnote w:type="continuationSeparator" w:id="0">
    <w:p w14:paraId="611B1981" w14:textId="77777777" w:rsidR="00BD3861" w:rsidRDefault="00BD38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4718F"/>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B3759"/>
    <w:rsid w:val="001C0237"/>
    <w:rsid w:val="001C0E74"/>
    <w:rsid w:val="001C4DB8"/>
    <w:rsid w:val="001C50B8"/>
    <w:rsid w:val="001D00A5"/>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6F92"/>
    <w:rsid w:val="00291ADD"/>
    <w:rsid w:val="002920DF"/>
    <w:rsid w:val="00292F3D"/>
    <w:rsid w:val="00295359"/>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5F8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54C58"/>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2CC"/>
    <w:rsid w:val="004B5553"/>
    <w:rsid w:val="004B600B"/>
    <w:rsid w:val="004B6822"/>
    <w:rsid w:val="004B69F6"/>
    <w:rsid w:val="004B722D"/>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2CCB"/>
    <w:rsid w:val="005579AA"/>
    <w:rsid w:val="00557D77"/>
    <w:rsid w:val="00562EAA"/>
    <w:rsid w:val="00563B58"/>
    <w:rsid w:val="005640C4"/>
    <w:rsid w:val="0056684C"/>
    <w:rsid w:val="00574A0C"/>
    <w:rsid w:val="0057780F"/>
    <w:rsid w:val="00581E0A"/>
    <w:rsid w:val="00586D89"/>
    <w:rsid w:val="005877C8"/>
    <w:rsid w:val="00587923"/>
    <w:rsid w:val="00593F54"/>
    <w:rsid w:val="00594F9F"/>
    <w:rsid w:val="005A1B4C"/>
    <w:rsid w:val="005A545C"/>
    <w:rsid w:val="005B271A"/>
    <w:rsid w:val="005B3A2D"/>
    <w:rsid w:val="005C1567"/>
    <w:rsid w:val="005C28D3"/>
    <w:rsid w:val="005C6CE5"/>
    <w:rsid w:val="005D3F07"/>
    <w:rsid w:val="005D4A1E"/>
    <w:rsid w:val="005D4F72"/>
    <w:rsid w:val="005E13EA"/>
    <w:rsid w:val="005E17F1"/>
    <w:rsid w:val="005F5D71"/>
    <w:rsid w:val="005F64AA"/>
    <w:rsid w:val="005F7851"/>
    <w:rsid w:val="00606E27"/>
    <w:rsid w:val="006108C9"/>
    <w:rsid w:val="0061341E"/>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44B9"/>
    <w:rsid w:val="006B4496"/>
    <w:rsid w:val="006B5E67"/>
    <w:rsid w:val="006B6612"/>
    <w:rsid w:val="006C2EB5"/>
    <w:rsid w:val="006D18A3"/>
    <w:rsid w:val="006D5970"/>
    <w:rsid w:val="006E32C9"/>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0979"/>
    <w:rsid w:val="00734809"/>
    <w:rsid w:val="0073714E"/>
    <w:rsid w:val="007374EF"/>
    <w:rsid w:val="007406E1"/>
    <w:rsid w:val="00743E40"/>
    <w:rsid w:val="00745016"/>
    <w:rsid w:val="007472EF"/>
    <w:rsid w:val="0075031F"/>
    <w:rsid w:val="00751263"/>
    <w:rsid w:val="007544FC"/>
    <w:rsid w:val="00755427"/>
    <w:rsid w:val="00756548"/>
    <w:rsid w:val="0075673A"/>
    <w:rsid w:val="0075704F"/>
    <w:rsid w:val="00763B2D"/>
    <w:rsid w:val="00764292"/>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2A0F"/>
    <w:rsid w:val="007D3EB4"/>
    <w:rsid w:val="007D3F16"/>
    <w:rsid w:val="007F10BD"/>
    <w:rsid w:val="007F312E"/>
    <w:rsid w:val="007F3F7E"/>
    <w:rsid w:val="007F4BA4"/>
    <w:rsid w:val="00802471"/>
    <w:rsid w:val="00813CEC"/>
    <w:rsid w:val="00814290"/>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6CB9"/>
    <w:rsid w:val="00880539"/>
    <w:rsid w:val="008859E8"/>
    <w:rsid w:val="0088737B"/>
    <w:rsid w:val="00891078"/>
    <w:rsid w:val="00892716"/>
    <w:rsid w:val="00893067"/>
    <w:rsid w:val="008933DE"/>
    <w:rsid w:val="00895FCE"/>
    <w:rsid w:val="00897F3E"/>
    <w:rsid w:val="008A21B4"/>
    <w:rsid w:val="008A47D3"/>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68CC"/>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08D3"/>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3861"/>
    <w:rsid w:val="00BE0F7B"/>
    <w:rsid w:val="00BE10C2"/>
    <w:rsid w:val="00BF0D6C"/>
    <w:rsid w:val="00C01D14"/>
    <w:rsid w:val="00C01D97"/>
    <w:rsid w:val="00C025B4"/>
    <w:rsid w:val="00C029EC"/>
    <w:rsid w:val="00C161FD"/>
    <w:rsid w:val="00C17C9F"/>
    <w:rsid w:val="00C23F17"/>
    <w:rsid w:val="00C246F2"/>
    <w:rsid w:val="00C26CEE"/>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1A1"/>
    <w:rsid w:val="00C8089F"/>
    <w:rsid w:val="00C835FE"/>
    <w:rsid w:val="00C836CC"/>
    <w:rsid w:val="00C852D6"/>
    <w:rsid w:val="00C87A74"/>
    <w:rsid w:val="00C92C71"/>
    <w:rsid w:val="00C93F8F"/>
    <w:rsid w:val="00CA0894"/>
    <w:rsid w:val="00CA3593"/>
    <w:rsid w:val="00CA5726"/>
    <w:rsid w:val="00CA6812"/>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62D6"/>
    <w:rsid w:val="00D22C8F"/>
    <w:rsid w:val="00D3203C"/>
    <w:rsid w:val="00D33491"/>
    <w:rsid w:val="00D3442D"/>
    <w:rsid w:val="00D36F00"/>
    <w:rsid w:val="00D44B67"/>
    <w:rsid w:val="00D44F8E"/>
    <w:rsid w:val="00D51FD5"/>
    <w:rsid w:val="00D532F2"/>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C6580"/>
    <w:rsid w:val="00DD31C5"/>
    <w:rsid w:val="00DD5020"/>
    <w:rsid w:val="00DD63BE"/>
    <w:rsid w:val="00DE4296"/>
    <w:rsid w:val="00DF2469"/>
    <w:rsid w:val="00DF3845"/>
    <w:rsid w:val="00DF7899"/>
    <w:rsid w:val="00E0524C"/>
    <w:rsid w:val="00E15751"/>
    <w:rsid w:val="00E17160"/>
    <w:rsid w:val="00E17D41"/>
    <w:rsid w:val="00E231D1"/>
    <w:rsid w:val="00E3288D"/>
    <w:rsid w:val="00E34CB8"/>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3F6E"/>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5F5D7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5F5D7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D9968FE7E4AD147928C56F4E3E703B4" ma:contentTypeVersion="4" ma:contentTypeDescription="Create a new document." ma:contentTypeScope="" ma:versionID="89a2b7a783f17fe59ac3399f2b4a5dda">
  <xsd:schema xmlns:xsd="http://www.w3.org/2001/XMLSchema" xmlns:xs="http://www.w3.org/2001/XMLSchema" xmlns:p="http://schemas.microsoft.com/office/2006/metadata/properties" xmlns:ns2="26efbe58-47b3-4718-9b64-083ac342c32b" targetNamespace="http://schemas.microsoft.com/office/2006/metadata/properties" ma:root="true" ma:fieldsID="81d0d0136f12139e3be5d69f2ea94d99" ns2:_="">
    <xsd:import namespace="26efbe58-47b3-4718-9b64-083ac342c32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efbe58-47b3-4718-9b64-083ac342c3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E274E46C-312D-4585-8BBF-B1B9D73A48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32930D6-468A-4572-B81F-FA0685794F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efbe58-47b3-4718-9b64-083ac342c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1267</Words>
  <Characters>7226</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Courtney Honey-Jones</cp:lastModifiedBy>
  <cp:revision>2</cp:revision>
  <cp:lastPrinted>2020-02-11T19:20:00Z</cp:lastPrinted>
  <dcterms:created xsi:type="dcterms:W3CDTF">2026-02-17T17:32:00Z</dcterms:created>
  <dcterms:modified xsi:type="dcterms:W3CDTF">2026-02-17T17:32:00Z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0x0101007D9968FE7E4AD147928C56F4E3E703B4</vt:lpwstr>
  </property>
</Properties>
</file>