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321C55" w14:textId="77777777" w:rsidR="00EB0A5F" w:rsidRPr="00A5381B" w:rsidRDefault="00FE1C37" w:rsidP="001400EA">
      <w:pPr>
        <w:pStyle w:val="Title"/>
      </w:pPr>
    </w:p>
    <w:p w14:paraId="2175D860" w14:textId="77777777" w:rsidR="00F07F0E" w:rsidRDefault="003F6CDE" w:rsidP="00EB0A5F">
      <w:pPr>
        <w:pStyle w:val="Title"/>
        <w:jc w:val="center"/>
        <w:rPr>
          <w:b/>
        </w:rPr>
      </w:pPr>
      <w:r w:rsidRPr="00EB0A5F">
        <w:rPr>
          <w:b/>
        </w:rPr>
        <w:t>Analysis of the Financial Statements and Presentations</w:t>
      </w:r>
    </w:p>
    <w:p w14:paraId="40FA9924" w14:textId="77777777" w:rsidR="00F07F0E" w:rsidRDefault="00F07F0E" w:rsidP="00EB0A5F">
      <w:pPr>
        <w:pStyle w:val="Title"/>
        <w:jc w:val="center"/>
        <w:rPr>
          <w:b/>
        </w:rPr>
      </w:pPr>
    </w:p>
    <w:p w14:paraId="68D1D1BE" w14:textId="77777777" w:rsidR="00F07F0E" w:rsidRDefault="00F07F0E" w:rsidP="00EB0A5F">
      <w:pPr>
        <w:pStyle w:val="Title"/>
        <w:jc w:val="center"/>
        <w:rPr>
          <w:b/>
        </w:rPr>
      </w:pPr>
    </w:p>
    <w:p w14:paraId="546853CB" w14:textId="77777777" w:rsidR="00F07F0E" w:rsidRDefault="00F07F0E" w:rsidP="00EB0A5F">
      <w:pPr>
        <w:pStyle w:val="Title"/>
        <w:jc w:val="center"/>
        <w:rPr>
          <w:sz w:val="40"/>
          <w:szCs w:val="40"/>
        </w:rPr>
      </w:pPr>
      <w:r w:rsidRPr="00F07F0E">
        <w:rPr>
          <w:b/>
          <w:sz w:val="40"/>
          <w:szCs w:val="40"/>
        </w:rPr>
        <w:t>Name:</w:t>
      </w:r>
      <w:r>
        <w:rPr>
          <w:sz w:val="40"/>
          <w:szCs w:val="40"/>
        </w:rPr>
        <w:t xml:space="preserve"> Razvan Joita</w:t>
      </w:r>
    </w:p>
    <w:p w14:paraId="4163708E" w14:textId="77777777" w:rsidR="00F07F0E" w:rsidRDefault="00F07F0E" w:rsidP="00EB0A5F">
      <w:pPr>
        <w:pStyle w:val="Title"/>
        <w:jc w:val="center"/>
        <w:rPr>
          <w:b/>
          <w:sz w:val="40"/>
          <w:szCs w:val="40"/>
        </w:rPr>
      </w:pPr>
      <w:r w:rsidRPr="00F07F0E">
        <w:rPr>
          <w:b/>
          <w:sz w:val="40"/>
          <w:szCs w:val="40"/>
        </w:rPr>
        <w:t xml:space="preserve">Student number: </w:t>
      </w:r>
      <w:r w:rsidRPr="00F07F0E">
        <w:rPr>
          <w:sz w:val="40"/>
          <w:szCs w:val="40"/>
        </w:rPr>
        <w:t>1905612</w:t>
      </w:r>
    </w:p>
    <w:p w14:paraId="1EE1E150" w14:textId="77777777" w:rsidR="00EB0A5F" w:rsidRPr="00F07F0E" w:rsidRDefault="00F07F0E" w:rsidP="00EB0A5F">
      <w:pPr>
        <w:pStyle w:val="Title"/>
        <w:jc w:val="center"/>
        <w:rPr>
          <w:b/>
          <w:color w:val="2E74B5" w:themeColor="accent1" w:themeShade="BF"/>
          <w:sz w:val="40"/>
          <w:szCs w:val="40"/>
        </w:rPr>
      </w:pPr>
      <w:r>
        <w:rPr>
          <w:b/>
          <w:sz w:val="40"/>
          <w:szCs w:val="40"/>
        </w:rPr>
        <w:t xml:space="preserve">Module Code: </w:t>
      </w:r>
      <w:r w:rsidRPr="00F07F0E">
        <w:rPr>
          <w:sz w:val="40"/>
          <w:szCs w:val="40"/>
        </w:rPr>
        <w:t>M5X01922</w:t>
      </w:r>
      <w:r w:rsidR="003F6CDE" w:rsidRPr="00F07F0E">
        <w:rPr>
          <w:b/>
          <w:sz w:val="40"/>
          <w:szCs w:val="40"/>
        </w:rPr>
        <w:br w:type="page"/>
      </w:r>
    </w:p>
    <w:sdt>
      <w:sdtPr>
        <w:rPr>
          <w:rFonts w:ascii="Times New Roman" w:eastAsiaTheme="minorHAnsi" w:hAnsi="Times New Roman" w:cstheme="minorBidi"/>
          <w:color w:val="auto"/>
          <w:sz w:val="24"/>
          <w:szCs w:val="22"/>
          <w:lang w:val="en-IN"/>
        </w:rPr>
        <w:id w:val="-567421255"/>
        <w:docPartObj>
          <w:docPartGallery w:val="Table of Contents"/>
          <w:docPartUnique/>
        </w:docPartObj>
      </w:sdtPr>
      <w:sdtEndPr>
        <w:rPr>
          <w:b/>
          <w:bCs/>
          <w:noProof/>
        </w:rPr>
      </w:sdtEndPr>
      <w:sdtContent>
        <w:p w14:paraId="5A8D78DA" w14:textId="77777777" w:rsidR="00EB0A5F" w:rsidRDefault="003F6CDE">
          <w:pPr>
            <w:pStyle w:val="TOCHeading"/>
          </w:pPr>
          <w:r>
            <w:t>Table of Contents</w:t>
          </w:r>
        </w:p>
        <w:p w14:paraId="00622548" w14:textId="77777777" w:rsidR="002E2AEF" w:rsidRDefault="00381535">
          <w:pPr>
            <w:pStyle w:val="TOC1"/>
            <w:tabs>
              <w:tab w:val="right" w:leader="dot" w:pos="9016"/>
            </w:tabs>
            <w:rPr>
              <w:rFonts w:asciiTheme="minorHAnsi" w:eastAsiaTheme="minorEastAsia" w:hAnsiTheme="minorHAnsi"/>
              <w:noProof/>
              <w:sz w:val="22"/>
              <w:lang w:eastAsia="en-IN"/>
            </w:rPr>
          </w:pPr>
          <w:r>
            <w:fldChar w:fldCharType="begin"/>
          </w:r>
          <w:r w:rsidR="003F6CDE">
            <w:instrText xml:space="preserve"> TOC \o "1-3" \h \z \u </w:instrText>
          </w:r>
          <w:r>
            <w:fldChar w:fldCharType="separate"/>
          </w:r>
          <w:hyperlink w:anchor="_Toc44854730" w:history="1">
            <w:r w:rsidR="003F6CDE" w:rsidRPr="00E032F3">
              <w:rPr>
                <w:rStyle w:val="Hyperlink"/>
                <w:noProof/>
              </w:rPr>
              <w:t>Introduction</w:t>
            </w:r>
            <w:r w:rsidR="003F6CDE">
              <w:rPr>
                <w:noProof/>
                <w:webHidden/>
              </w:rPr>
              <w:tab/>
            </w:r>
            <w:r>
              <w:rPr>
                <w:noProof/>
                <w:webHidden/>
              </w:rPr>
              <w:fldChar w:fldCharType="begin"/>
            </w:r>
            <w:r w:rsidR="003F6CDE">
              <w:rPr>
                <w:noProof/>
                <w:webHidden/>
              </w:rPr>
              <w:instrText xml:space="preserve"> PAGEREF _Toc44854730 \h </w:instrText>
            </w:r>
            <w:r>
              <w:rPr>
                <w:noProof/>
                <w:webHidden/>
              </w:rPr>
            </w:r>
            <w:r>
              <w:rPr>
                <w:noProof/>
                <w:webHidden/>
              </w:rPr>
              <w:fldChar w:fldCharType="separate"/>
            </w:r>
            <w:r w:rsidR="003F6CDE">
              <w:rPr>
                <w:noProof/>
                <w:webHidden/>
              </w:rPr>
              <w:t>3</w:t>
            </w:r>
            <w:r>
              <w:rPr>
                <w:noProof/>
                <w:webHidden/>
              </w:rPr>
              <w:fldChar w:fldCharType="end"/>
            </w:r>
          </w:hyperlink>
        </w:p>
        <w:p w14:paraId="503CE5B7" w14:textId="77777777" w:rsidR="002E2AEF" w:rsidRDefault="00FE1C37">
          <w:pPr>
            <w:pStyle w:val="TOC1"/>
            <w:tabs>
              <w:tab w:val="right" w:leader="dot" w:pos="9016"/>
            </w:tabs>
            <w:rPr>
              <w:rFonts w:asciiTheme="minorHAnsi" w:eastAsiaTheme="minorEastAsia" w:hAnsiTheme="minorHAnsi"/>
              <w:noProof/>
              <w:sz w:val="22"/>
              <w:lang w:eastAsia="en-IN"/>
            </w:rPr>
          </w:pPr>
          <w:hyperlink w:anchor="_Toc44854731" w:history="1">
            <w:r w:rsidR="003F6CDE" w:rsidRPr="00E032F3">
              <w:rPr>
                <w:rStyle w:val="Hyperlink"/>
                <w:noProof/>
              </w:rPr>
              <w:t>Assessment of the financial information</w:t>
            </w:r>
            <w:r w:rsidR="003F6CDE">
              <w:rPr>
                <w:noProof/>
                <w:webHidden/>
              </w:rPr>
              <w:tab/>
            </w:r>
            <w:r w:rsidR="00381535">
              <w:rPr>
                <w:noProof/>
                <w:webHidden/>
              </w:rPr>
              <w:fldChar w:fldCharType="begin"/>
            </w:r>
            <w:r w:rsidR="003F6CDE">
              <w:rPr>
                <w:noProof/>
                <w:webHidden/>
              </w:rPr>
              <w:instrText xml:space="preserve"> PAGEREF _Toc44854731 \h </w:instrText>
            </w:r>
            <w:r w:rsidR="00381535">
              <w:rPr>
                <w:noProof/>
                <w:webHidden/>
              </w:rPr>
            </w:r>
            <w:r w:rsidR="00381535">
              <w:rPr>
                <w:noProof/>
                <w:webHidden/>
              </w:rPr>
              <w:fldChar w:fldCharType="separate"/>
            </w:r>
            <w:r w:rsidR="003F6CDE">
              <w:rPr>
                <w:noProof/>
                <w:webHidden/>
              </w:rPr>
              <w:t>3</w:t>
            </w:r>
            <w:r w:rsidR="00381535">
              <w:rPr>
                <w:noProof/>
                <w:webHidden/>
              </w:rPr>
              <w:fldChar w:fldCharType="end"/>
            </w:r>
          </w:hyperlink>
        </w:p>
        <w:p w14:paraId="4B457DEA" w14:textId="77777777" w:rsidR="002E2AEF" w:rsidRDefault="00FE1C37">
          <w:pPr>
            <w:pStyle w:val="TOC2"/>
            <w:tabs>
              <w:tab w:val="right" w:leader="dot" w:pos="9016"/>
            </w:tabs>
            <w:rPr>
              <w:rFonts w:asciiTheme="minorHAnsi" w:eastAsiaTheme="minorEastAsia" w:hAnsiTheme="minorHAnsi"/>
              <w:noProof/>
              <w:sz w:val="22"/>
              <w:lang w:eastAsia="en-IN"/>
            </w:rPr>
          </w:pPr>
          <w:hyperlink w:anchor="_Toc44854732" w:history="1">
            <w:r w:rsidR="003F6CDE" w:rsidRPr="00E032F3">
              <w:rPr>
                <w:rStyle w:val="Hyperlink"/>
                <w:noProof/>
              </w:rPr>
              <w:t>Ratio calculation</w:t>
            </w:r>
            <w:r w:rsidR="003F6CDE">
              <w:rPr>
                <w:noProof/>
                <w:webHidden/>
              </w:rPr>
              <w:tab/>
            </w:r>
            <w:r w:rsidR="00381535">
              <w:rPr>
                <w:noProof/>
                <w:webHidden/>
              </w:rPr>
              <w:fldChar w:fldCharType="begin"/>
            </w:r>
            <w:r w:rsidR="003F6CDE">
              <w:rPr>
                <w:noProof/>
                <w:webHidden/>
              </w:rPr>
              <w:instrText xml:space="preserve"> PAGEREF _Toc44854732 \h </w:instrText>
            </w:r>
            <w:r w:rsidR="00381535">
              <w:rPr>
                <w:noProof/>
                <w:webHidden/>
              </w:rPr>
            </w:r>
            <w:r w:rsidR="00381535">
              <w:rPr>
                <w:noProof/>
                <w:webHidden/>
              </w:rPr>
              <w:fldChar w:fldCharType="separate"/>
            </w:r>
            <w:r w:rsidR="003F6CDE">
              <w:rPr>
                <w:noProof/>
                <w:webHidden/>
              </w:rPr>
              <w:t>3</w:t>
            </w:r>
            <w:r w:rsidR="00381535">
              <w:rPr>
                <w:noProof/>
                <w:webHidden/>
              </w:rPr>
              <w:fldChar w:fldCharType="end"/>
            </w:r>
          </w:hyperlink>
        </w:p>
        <w:p w14:paraId="43FC5977" w14:textId="77777777" w:rsidR="002E2AEF" w:rsidRDefault="00FE1C37">
          <w:pPr>
            <w:pStyle w:val="TOC2"/>
            <w:tabs>
              <w:tab w:val="right" w:leader="dot" w:pos="9016"/>
            </w:tabs>
            <w:rPr>
              <w:rFonts w:asciiTheme="minorHAnsi" w:eastAsiaTheme="minorEastAsia" w:hAnsiTheme="minorHAnsi"/>
              <w:noProof/>
              <w:sz w:val="22"/>
              <w:lang w:eastAsia="en-IN"/>
            </w:rPr>
          </w:pPr>
          <w:hyperlink w:anchor="_Toc44854733" w:history="1">
            <w:r w:rsidR="003F6CDE" w:rsidRPr="00E032F3">
              <w:rPr>
                <w:rStyle w:val="Hyperlink"/>
                <w:noProof/>
              </w:rPr>
              <w:t>Discussion in regards to trends evaluated in the process of ratio analysis</w:t>
            </w:r>
            <w:r w:rsidR="003F6CDE">
              <w:rPr>
                <w:noProof/>
                <w:webHidden/>
              </w:rPr>
              <w:tab/>
            </w:r>
            <w:r w:rsidR="00381535">
              <w:rPr>
                <w:noProof/>
                <w:webHidden/>
              </w:rPr>
              <w:fldChar w:fldCharType="begin"/>
            </w:r>
            <w:r w:rsidR="003F6CDE">
              <w:rPr>
                <w:noProof/>
                <w:webHidden/>
              </w:rPr>
              <w:instrText xml:space="preserve"> PAGEREF _Toc44854733 \h </w:instrText>
            </w:r>
            <w:r w:rsidR="00381535">
              <w:rPr>
                <w:noProof/>
                <w:webHidden/>
              </w:rPr>
            </w:r>
            <w:r w:rsidR="00381535">
              <w:rPr>
                <w:noProof/>
                <w:webHidden/>
              </w:rPr>
              <w:fldChar w:fldCharType="separate"/>
            </w:r>
            <w:r w:rsidR="003F6CDE">
              <w:rPr>
                <w:noProof/>
                <w:webHidden/>
              </w:rPr>
              <w:t>4</w:t>
            </w:r>
            <w:r w:rsidR="00381535">
              <w:rPr>
                <w:noProof/>
                <w:webHidden/>
              </w:rPr>
              <w:fldChar w:fldCharType="end"/>
            </w:r>
          </w:hyperlink>
        </w:p>
        <w:p w14:paraId="430113CE" w14:textId="77777777" w:rsidR="002E2AEF" w:rsidRDefault="00FE1C37">
          <w:pPr>
            <w:pStyle w:val="TOC2"/>
            <w:tabs>
              <w:tab w:val="right" w:leader="dot" w:pos="9016"/>
            </w:tabs>
            <w:rPr>
              <w:rFonts w:asciiTheme="minorHAnsi" w:eastAsiaTheme="minorEastAsia" w:hAnsiTheme="minorHAnsi"/>
              <w:noProof/>
              <w:sz w:val="22"/>
              <w:lang w:eastAsia="en-IN"/>
            </w:rPr>
          </w:pPr>
          <w:hyperlink w:anchor="_Toc44854734" w:history="1">
            <w:r w:rsidR="003F6CDE" w:rsidRPr="00E032F3">
              <w:rPr>
                <w:rStyle w:val="Hyperlink"/>
                <w:noProof/>
              </w:rPr>
              <w:t>Explanation of Liquidity, Profitability, and Gearing of the hotel chain</w:t>
            </w:r>
            <w:r w:rsidR="003F6CDE">
              <w:rPr>
                <w:noProof/>
                <w:webHidden/>
              </w:rPr>
              <w:tab/>
            </w:r>
            <w:r w:rsidR="00381535">
              <w:rPr>
                <w:noProof/>
                <w:webHidden/>
              </w:rPr>
              <w:fldChar w:fldCharType="begin"/>
            </w:r>
            <w:r w:rsidR="003F6CDE">
              <w:rPr>
                <w:noProof/>
                <w:webHidden/>
              </w:rPr>
              <w:instrText xml:space="preserve"> PAGEREF _Toc44854734 \h </w:instrText>
            </w:r>
            <w:r w:rsidR="00381535">
              <w:rPr>
                <w:noProof/>
                <w:webHidden/>
              </w:rPr>
            </w:r>
            <w:r w:rsidR="00381535">
              <w:rPr>
                <w:noProof/>
                <w:webHidden/>
              </w:rPr>
              <w:fldChar w:fldCharType="separate"/>
            </w:r>
            <w:r w:rsidR="003F6CDE">
              <w:rPr>
                <w:noProof/>
                <w:webHidden/>
              </w:rPr>
              <w:t>5</w:t>
            </w:r>
            <w:r w:rsidR="00381535">
              <w:rPr>
                <w:noProof/>
                <w:webHidden/>
              </w:rPr>
              <w:fldChar w:fldCharType="end"/>
            </w:r>
          </w:hyperlink>
        </w:p>
        <w:p w14:paraId="1B619D0E" w14:textId="77777777" w:rsidR="002E2AEF" w:rsidRDefault="00FE1C37">
          <w:pPr>
            <w:pStyle w:val="TOC1"/>
            <w:tabs>
              <w:tab w:val="right" w:leader="dot" w:pos="9016"/>
            </w:tabs>
            <w:rPr>
              <w:rFonts w:asciiTheme="minorHAnsi" w:eastAsiaTheme="minorEastAsia" w:hAnsiTheme="minorHAnsi"/>
              <w:noProof/>
              <w:sz w:val="22"/>
              <w:lang w:eastAsia="en-IN"/>
            </w:rPr>
          </w:pPr>
          <w:hyperlink w:anchor="_Toc44854735" w:history="1">
            <w:r w:rsidR="003F6CDE" w:rsidRPr="00E032F3">
              <w:rPr>
                <w:rStyle w:val="Hyperlink"/>
                <w:noProof/>
              </w:rPr>
              <w:t>Identification whether ratios and their overall fluctuations are vital in Hotel management</w:t>
            </w:r>
            <w:r w:rsidR="003F6CDE">
              <w:rPr>
                <w:noProof/>
                <w:webHidden/>
              </w:rPr>
              <w:tab/>
            </w:r>
            <w:r w:rsidR="00381535">
              <w:rPr>
                <w:noProof/>
                <w:webHidden/>
              </w:rPr>
              <w:fldChar w:fldCharType="begin"/>
            </w:r>
            <w:r w:rsidR="003F6CDE">
              <w:rPr>
                <w:noProof/>
                <w:webHidden/>
              </w:rPr>
              <w:instrText xml:space="preserve"> PAGEREF _Toc44854735 \h </w:instrText>
            </w:r>
            <w:r w:rsidR="00381535">
              <w:rPr>
                <w:noProof/>
                <w:webHidden/>
              </w:rPr>
            </w:r>
            <w:r w:rsidR="00381535">
              <w:rPr>
                <w:noProof/>
                <w:webHidden/>
              </w:rPr>
              <w:fldChar w:fldCharType="separate"/>
            </w:r>
            <w:r w:rsidR="003F6CDE">
              <w:rPr>
                <w:noProof/>
                <w:webHidden/>
              </w:rPr>
              <w:t>6</w:t>
            </w:r>
            <w:r w:rsidR="00381535">
              <w:rPr>
                <w:noProof/>
                <w:webHidden/>
              </w:rPr>
              <w:fldChar w:fldCharType="end"/>
            </w:r>
          </w:hyperlink>
        </w:p>
        <w:p w14:paraId="0AD2E60D" w14:textId="77777777" w:rsidR="002E2AEF" w:rsidRDefault="00FE1C37">
          <w:pPr>
            <w:pStyle w:val="TOC1"/>
            <w:tabs>
              <w:tab w:val="right" w:leader="dot" w:pos="9016"/>
            </w:tabs>
            <w:rPr>
              <w:rFonts w:asciiTheme="minorHAnsi" w:eastAsiaTheme="minorEastAsia" w:hAnsiTheme="minorHAnsi"/>
              <w:noProof/>
              <w:sz w:val="22"/>
              <w:lang w:eastAsia="en-IN"/>
            </w:rPr>
          </w:pPr>
          <w:hyperlink w:anchor="_Toc44854736" w:history="1">
            <w:r w:rsidR="003F6CDE" w:rsidRPr="00E032F3">
              <w:rPr>
                <w:rStyle w:val="Hyperlink"/>
                <w:noProof/>
              </w:rPr>
              <w:t>Benefits as well as limitations of applying the aspects of ratio analysis Tourism and Hotel Industry for the purpose of decision making</w:t>
            </w:r>
            <w:r w:rsidR="003F6CDE">
              <w:rPr>
                <w:noProof/>
                <w:webHidden/>
              </w:rPr>
              <w:tab/>
            </w:r>
            <w:r w:rsidR="00381535">
              <w:rPr>
                <w:noProof/>
                <w:webHidden/>
              </w:rPr>
              <w:fldChar w:fldCharType="begin"/>
            </w:r>
            <w:r w:rsidR="003F6CDE">
              <w:rPr>
                <w:noProof/>
                <w:webHidden/>
              </w:rPr>
              <w:instrText xml:space="preserve"> PAGEREF _Toc44854736 \h </w:instrText>
            </w:r>
            <w:r w:rsidR="00381535">
              <w:rPr>
                <w:noProof/>
                <w:webHidden/>
              </w:rPr>
            </w:r>
            <w:r w:rsidR="00381535">
              <w:rPr>
                <w:noProof/>
                <w:webHidden/>
              </w:rPr>
              <w:fldChar w:fldCharType="separate"/>
            </w:r>
            <w:r w:rsidR="003F6CDE">
              <w:rPr>
                <w:noProof/>
                <w:webHidden/>
              </w:rPr>
              <w:t>7</w:t>
            </w:r>
            <w:r w:rsidR="00381535">
              <w:rPr>
                <w:noProof/>
                <w:webHidden/>
              </w:rPr>
              <w:fldChar w:fldCharType="end"/>
            </w:r>
          </w:hyperlink>
        </w:p>
        <w:p w14:paraId="57D02A88" w14:textId="77777777" w:rsidR="002E2AEF" w:rsidRDefault="00FE1C37">
          <w:pPr>
            <w:pStyle w:val="TOC2"/>
            <w:tabs>
              <w:tab w:val="right" w:leader="dot" w:pos="9016"/>
            </w:tabs>
            <w:rPr>
              <w:rFonts w:asciiTheme="minorHAnsi" w:eastAsiaTheme="minorEastAsia" w:hAnsiTheme="minorHAnsi"/>
              <w:noProof/>
              <w:sz w:val="22"/>
              <w:lang w:eastAsia="en-IN"/>
            </w:rPr>
          </w:pPr>
          <w:hyperlink w:anchor="_Toc44854737" w:history="1">
            <w:r w:rsidR="003F6CDE" w:rsidRPr="00E032F3">
              <w:rPr>
                <w:rStyle w:val="Hyperlink"/>
                <w:noProof/>
              </w:rPr>
              <w:t>Benefits</w:t>
            </w:r>
            <w:r w:rsidR="003F6CDE">
              <w:rPr>
                <w:noProof/>
                <w:webHidden/>
              </w:rPr>
              <w:tab/>
            </w:r>
            <w:r w:rsidR="00381535">
              <w:rPr>
                <w:noProof/>
                <w:webHidden/>
              </w:rPr>
              <w:fldChar w:fldCharType="begin"/>
            </w:r>
            <w:r w:rsidR="003F6CDE">
              <w:rPr>
                <w:noProof/>
                <w:webHidden/>
              </w:rPr>
              <w:instrText xml:space="preserve"> PAGEREF _Toc44854737 \h </w:instrText>
            </w:r>
            <w:r w:rsidR="00381535">
              <w:rPr>
                <w:noProof/>
                <w:webHidden/>
              </w:rPr>
            </w:r>
            <w:r w:rsidR="00381535">
              <w:rPr>
                <w:noProof/>
                <w:webHidden/>
              </w:rPr>
              <w:fldChar w:fldCharType="separate"/>
            </w:r>
            <w:r w:rsidR="003F6CDE">
              <w:rPr>
                <w:noProof/>
                <w:webHidden/>
              </w:rPr>
              <w:t>7</w:t>
            </w:r>
            <w:r w:rsidR="00381535">
              <w:rPr>
                <w:noProof/>
                <w:webHidden/>
              </w:rPr>
              <w:fldChar w:fldCharType="end"/>
            </w:r>
          </w:hyperlink>
        </w:p>
        <w:p w14:paraId="67FC8AE1" w14:textId="77777777" w:rsidR="002E2AEF" w:rsidRDefault="00FE1C37">
          <w:pPr>
            <w:pStyle w:val="TOC1"/>
            <w:tabs>
              <w:tab w:val="right" w:leader="dot" w:pos="9016"/>
            </w:tabs>
            <w:rPr>
              <w:rFonts w:asciiTheme="minorHAnsi" w:eastAsiaTheme="minorEastAsia" w:hAnsiTheme="minorHAnsi"/>
              <w:noProof/>
              <w:sz w:val="22"/>
              <w:lang w:eastAsia="en-IN"/>
            </w:rPr>
          </w:pPr>
          <w:hyperlink w:anchor="_Toc44854738" w:history="1">
            <w:r w:rsidR="003F6CDE" w:rsidRPr="00E032F3">
              <w:rPr>
                <w:rStyle w:val="Hyperlink"/>
                <w:noProof/>
              </w:rPr>
              <w:t>Conclusion</w:t>
            </w:r>
            <w:r w:rsidR="003F6CDE">
              <w:rPr>
                <w:noProof/>
                <w:webHidden/>
              </w:rPr>
              <w:tab/>
            </w:r>
            <w:r w:rsidR="00381535">
              <w:rPr>
                <w:noProof/>
                <w:webHidden/>
              </w:rPr>
              <w:fldChar w:fldCharType="begin"/>
            </w:r>
            <w:r w:rsidR="003F6CDE">
              <w:rPr>
                <w:noProof/>
                <w:webHidden/>
              </w:rPr>
              <w:instrText xml:space="preserve"> PAGEREF _Toc44854738 \h </w:instrText>
            </w:r>
            <w:r w:rsidR="00381535">
              <w:rPr>
                <w:noProof/>
                <w:webHidden/>
              </w:rPr>
            </w:r>
            <w:r w:rsidR="00381535">
              <w:rPr>
                <w:noProof/>
                <w:webHidden/>
              </w:rPr>
              <w:fldChar w:fldCharType="separate"/>
            </w:r>
            <w:r w:rsidR="003F6CDE">
              <w:rPr>
                <w:noProof/>
                <w:webHidden/>
              </w:rPr>
              <w:t>7</w:t>
            </w:r>
            <w:r w:rsidR="00381535">
              <w:rPr>
                <w:noProof/>
                <w:webHidden/>
              </w:rPr>
              <w:fldChar w:fldCharType="end"/>
            </w:r>
          </w:hyperlink>
        </w:p>
        <w:p w14:paraId="5E68D405" w14:textId="77777777" w:rsidR="002E2AEF" w:rsidRDefault="00FE1C37">
          <w:pPr>
            <w:pStyle w:val="TOC1"/>
            <w:tabs>
              <w:tab w:val="right" w:leader="dot" w:pos="9016"/>
            </w:tabs>
            <w:rPr>
              <w:rFonts w:asciiTheme="minorHAnsi" w:eastAsiaTheme="minorEastAsia" w:hAnsiTheme="minorHAnsi"/>
              <w:noProof/>
              <w:sz w:val="22"/>
              <w:lang w:eastAsia="en-IN"/>
            </w:rPr>
          </w:pPr>
          <w:hyperlink w:anchor="_Toc44854739" w:history="1">
            <w:r w:rsidR="003F6CDE" w:rsidRPr="00E032F3">
              <w:rPr>
                <w:rStyle w:val="Hyperlink"/>
                <w:noProof/>
              </w:rPr>
              <w:t>References</w:t>
            </w:r>
            <w:r w:rsidR="003F6CDE">
              <w:rPr>
                <w:noProof/>
                <w:webHidden/>
              </w:rPr>
              <w:tab/>
            </w:r>
            <w:r w:rsidR="00381535">
              <w:rPr>
                <w:noProof/>
                <w:webHidden/>
              </w:rPr>
              <w:fldChar w:fldCharType="begin"/>
            </w:r>
            <w:r w:rsidR="003F6CDE">
              <w:rPr>
                <w:noProof/>
                <w:webHidden/>
              </w:rPr>
              <w:instrText xml:space="preserve"> PAGEREF _Toc44854739 \h </w:instrText>
            </w:r>
            <w:r w:rsidR="00381535">
              <w:rPr>
                <w:noProof/>
                <w:webHidden/>
              </w:rPr>
            </w:r>
            <w:r w:rsidR="00381535">
              <w:rPr>
                <w:noProof/>
                <w:webHidden/>
              </w:rPr>
              <w:fldChar w:fldCharType="separate"/>
            </w:r>
            <w:r w:rsidR="003F6CDE">
              <w:rPr>
                <w:noProof/>
                <w:webHidden/>
              </w:rPr>
              <w:t>8</w:t>
            </w:r>
            <w:r w:rsidR="00381535">
              <w:rPr>
                <w:noProof/>
                <w:webHidden/>
              </w:rPr>
              <w:fldChar w:fldCharType="end"/>
            </w:r>
          </w:hyperlink>
        </w:p>
        <w:p w14:paraId="769AAE70" w14:textId="77777777" w:rsidR="00EB0A5F" w:rsidRDefault="00381535">
          <w:r>
            <w:rPr>
              <w:b/>
              <w:bCs/>
              <w:noProof/>
            </w:rPr>
            <w:fldChar w:fldCharType="end"/>
          </w:r>
        </w:p>
      </w:sdtContent>
    </w:sdt>
    <w:p w14:paraId="2722EABC" w14:textId="77777777" w:rsidR="00EB0A5F" w:rsidRDefault="003F6CDE">
      <w:pPr>
        <w:spacing w:line="259" w:lineRule="auto"/>
        <w:jc w:val="left"/>
        <w:rPr>
          <w:rFonts w:eastAsiaTheme="majorEastAsia" w:cstheme="majorBidi"/>
          <w:color w:val="2E74B5" w:themeColor="accent1" w:themeShade="BF"/>
          <w:sz w:val="32"/>
          <w:szCs w:val="32"/>
        </w:rPr>
      </w:pPr>
      <w:r>
        <w:br w:type="page"/>
      </w:r>
    </w:p>
    <w:p w14:paraId="01940571" w14:textId="77777777" w:rsidR="00A56B10" w:rsidRDefault="003F6CDE" w:rsidP="00142308">
      <w:pPr>
        <w:pStyle w:val="Heading1"/>
      </w:pPr>
      <w:bookmarkStart w:id="0" w:name="_Toc44854730"/>
      <w:r>
        <w:lastRenderedPageBreak/>
        <w:t>Introduction</w:t>
      </w:r>
      <w:bookmarkEnd w:id="0"/>
    </w:p>
    <w:p w14:paraId="26A17D0B" w14:textId="77777777" w:rsidR="006566E6" w:rsidRDefault="003F6CDE" w:rsidP="009F5FE1">
      <w:r>
        <w:t xml:space="preserve">In business financial analysis, through the assistance of the financial data is essential to manage the decision making </w:t>
      </w:r>
      <w:proofErr w:type="spellStart"/>
      <w:r>
        <w:t>processon</w:t>
      </w:r>
      <w:proofErr w:type="spellEnd"/>
      <w:r>
        <w:t xml:space="preserve"> behalf of investors, under this process stakeholder of the firm use different sorts of tools by which they arrange the liquidity funds to manage the financial operations</w:t>
      </w:r>
      <w:sdt>
        <w:sdtPr>
          <w:id w:val="-185443303"/>
          <w:citation/>
        </w:sdtPr>
        <w:sdtEndPr/>
        <w:sdtContent>
          <w:r w:rsidR="00381535">
            <w:fldChar w:fldCharType="begin"/>
          </w:r>
          <w:r>
            <w:rPr>
              <w:lang w:val="en-US"/>
            </w:rPr>
            <w:instrText xml:space="preserve"> CITATION Ste18 \l 1033 </w:instrText>
          </w:r>
          <w:r w:rsidR="00381535">
            <w:fldChar w:fldCharType="separate"/>
          </w:r>
          <w:r w:rsidRPr="006D016F">
            <w:rPr>
              <w:noProof/>
              <w:lang w:val="en-US"/>
            </w:rPr>
            <w:t>(Steiner-Khamsi, et al., 2018)</w:t>
          </w:r>
          <w:r w:rsidR="00381535">
            <w:fldChar w:fldCharType="end"/>
          </w:r>
        </w:sdtContent>
      </w:sdt>
      <w:r>
        <w:t xml:space="preserve">. It is also asses that stakeholder makes the application of this procedure by which they able to examine the overall business financial position of the firm and make the future prediction. In this way, they get the proper opportunity to take the applicable decision for the purpose of the improvement. This report is based on the Gatsby Grange and this business firm is the  small chain of Boutique located Northern Ireland as well as the UK. In this </w:t>
      </w:r>
      <w:proofErr w:type="spellStart"/>
      <w:r>
        <w:t>report,financial</w:t>
      </w:r>
      <w:proofErr w:type="spellEnd"/>
      <w:r>
        <w:t xml:space="preserve"> analysis is </w:t>
      </w:r>
      <w:proofErr w:type="spellStart"/>
      <w:r>
        <w:t>representedwith</w:t>
      </w:r>
      <w:proofErr w:type="spellEnd"/>
      <w:r>
        <w:t xml:space="preserve"> the help of the ratio analysis which helps them to follow the key trend and make the appropriate decision in the hotel industry to achieve the sustainable growth in the market. </w:t>
      </w:r>
    </w:p>
    <w:p w14:paraId="1C46E34B" w14:textId="77777777" w:rsidR="0084505C" w:rsidRDefault="003F6CDE" w:rsidP="0084505C">
      <w:pPr>
        <w:pStyle w:val="Heading1"/>
      </w:pPr>
      <w:bookmarkStart w:id="1" w:name="_Toc44854731"/>
      <w:r>
        <w:t>Assessment of the financial information</w:t>
      </w:r>
      <w:bookmarkEnd w:id="1"/>
    </w:p>
    <w:p w14:paraId="668A807C" w14:textId="77777777" w:rsidR="0084505C" w:rsidRDefault="003F6CDE" w:rsidP="0084505C">
      <w:pPr>
        <w:pStyle w:val="Heading2"/>
      </w:pPr>
      <w:bookmarkStart w:id="2" w:name="_Toc44854732"/>
      <w:r>
        <w:t>Ratio calculation</w:t>
      </w:r>
      <w:bookmarkEnd w:id="2"/>
    </w:p>
    <w:p w14:paraId="6A6FFB22" w14:textId="77777777" w:rsidR="00101B51" w:rsidRDefault="003F6CDE" w:rsidP="00101B51">
      <w:r>
        <w:t>In financial analysis, accounting ratios play a vital role to assess the current financial state or the strength of the business firm through their statement and other financial data</w:t>
      </w:r>
      <w:sdt>
        <w:sdtPr>
          <w:id w:val="1056355378"/>
          <w:citation/>
        </w:sdtPr>
        <w:sdtEndPr/>
        <w:sdtContent>
          <w:r w:rsidR="00381535">
            <w:fldChar w:fldCharType="begin"/>
          </w:r>
          <w:r>
            <w:rPr>
              <w:lang w:val="en-US"/>
            </w:rPr>
            <w:instrText xml:space="preserve"> CITATION Elt19 \l 1033 </w:instrText>
          </w:r>
          <w:r w:rsidR="00381535">
            <w:fldChar w:fldCharType="separate"/>
          </w:r>
          <w:r w:rsidRPr="007D0C3C">
            <w:rPr>
              <w:noProof/>
              <w:lang w:val="en-US"/>
            </w:rPr>
            <w:t>(Eltaief, et al., 2019)</w:t>
          </w:r>
          <w:r w:rsidR="00381535">
            <w:fldChar w:fldCharType="end"/>
          </w:r>
        </w:sdtContent>
      </w:sdt>
      <w:r>
        <w:t xml:space="preserve">. In this way, stakeholders can positively take the applicable decision in regards to the business issues which is faced by them. Under the accounting ratio analysis process liquidity, profitability and leverage or gearing ratios are the essential ones which help to make the proper understanding of the situation. In order to assess the financial information related to the Gatsby Grange, the above ratios are applied.  </w:t>
      </w:r>
    </w:p>
    <w:p w14:paraId="65024707" w14:textId="77777777" w:rsidR="00EC0AFB" w:rsidRPr="00EC0AFB" w:rsidRDefault="003F6CDE" w:rsidP="00EC0AFB">
      <w:pPr>
        <w:jc w:val="center"/>
      </w:pPr>
      <w:r>
        <w:rPr>
          <w:noProof/>
          <w:lang w:val="en-US"/>
        </w:rPr>
        <w:drawing>
          <wp:inline distT="0" distB="0" distL="0" distR="0" wp14:anchorId="4C4F1C81" wp14:editId="120571B5">
            <wp:extent cx="4817110" cy="261776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stretch>
                      <a:fillRect/>
                    </a:stretch>
                  </pic:blipFill>
                  <pic:spPr>
                    <a:xfrm>
                      <a:off x="0" y="0"/>
                      <a:ext cx="4823402" cy="2621182"/>
                    </a:xfrm>
                    <a:prstGeom prst="rect">
                      <a:avLst/>
                    </a:prstGeom>
                  </pic:spPr>
                </pic:pic>
              </a:graphicData>
            </a:graphic>
          </wp:inline>
        </w:drawing>
      </w:r>
    </w:p>
    <w:p w14:paraId="236BC52A" w14:textId="77777777" w:rsidR="005C5D54" w:rsidRDefault="003F6CDE" w:rsidP="00101B51">
      <w:r>
        <w:lastRenderedPageBreak/>
        <w:t>The advantage of applying the Liquidity ratio is that it reflects the strength of the business firm with respect to paying the liabilities as well as business debts</w:t>
      </w:r>
      <w:sdt>
        <w:sdtPr>
          <w:id w:val="-1424795526"/>
          <w:citation/>
        </w:sdtPr>
        <w:sdtEndPr/>
        <w:sdtContent>
          <w:r w:rsidR="00381535">
            <w:fldChar w:fldCharType="begin"/>
          </w:r>
          <w:r>
            <w:rPr>
              <w:lang w:val="en-US"/>
            </w:rPr>
            <w:instrText xml:space="preserve"> CITATION Gab18 \l 1033 </w:instrText>
          </w:r>
          <w:r w:rsidR="00381535">
            <w:fldChar w:fldCharType="separate"/>
          </w:r>
          <w:r w:rsidRPr="00890336">
            <w:rPr>
              <w:noProof/>
              <w:lang w:val="en-US"/>
            </w:rPr>
            <w:t>(Gabric, 2018)</w:t>
          </w:r>
          <w:r w:rsidR="00381535">
            <w:fldChar w:fldCharType="end"/>
          </w:r>
        </w:sdtContent>
      </w:sdt>
      <w:r>
        <w:t xml:space="preserve">. From the analysis of the quick as well as the current it is asses that Gatsby Grange face the decline in performance the ratios are 1.13:1 and 2:1 in the </w:t>
      </w:r>
      <w:proofErr w:type="spellStart"/>
      <w:r>
        <w:t>financialyear</w:t>
      </w:r>
      <w:proofErr w:type="spellEnd"/>
      <w:r>
        <w:t xml:space="preserve"> of 2019, but in 2018 their ratios are 1.21:1 and 2.29:1 which present the better performance in comparison. This situation shows that the business firm faces the issues in relation to managing and clearing the debts of the business by assets liquidation process in business. Reduction in their net-working capital ratio also </w:t>
      </w:r>
      <w:proofErr w:type="spellStart"/>
      <w:r>
        <w:t>reflects,which</w:t>
      </w:r>
      <w:proofErr w:type="spellEnd"/>
      <w:r>
        <w:t xml:space="preserve"> is 28% to 26%, and it resulted in the company invested over the fixed assets in the business. </w:t>
      </w:r>
    </w:p>
    <w:p w14:paraId="7877AC21" w14:textId="77777777" w:rsidR="00B05B4A" w:rsidRDefault="003F6CDE" w:rsidP="00101B51">
      <w:r>
        <w:t xml:space="preserve">Use of the Profitability ratio represents the profit earning over the expenditures which </w:t>
      </w:r>
      <w:proofErr w:type="spellStart"/>
      <w:r>
        <w:t>aredone</w:t>
      </w:r>
      <w:proofErr w:type="spellEnd"/>
      <w:r>
        <w:t xml:space="preserve"> on behalf of managing the business operation</w:t>
      </w:r>
      <w:sdt>
        <w:sdtPr>
          <w:id w:val="-119460279"/>
          <w:citation/>
        </w:sdtPr>
        <w:sdtEndPr/>
        <w:sdtContent>
          <w:r w:rsidR="00381535">
            <w:fldChar w:fldCharType="begin"/>
          </w:r>
          <w:r>
            <w:rPr>
              <w:lang w:val="en-US"/>
            </w:rPr>
            <w:instrText xml:space="preserve"> CITATION Cha181 \l 1033 </w:instrText>
          </w:r>
          <w:r w:rsidR="00381535">
            <w:fldChar w:fldCharType="separate"/>
          </w:r>
          <w:r w:rsidRPr="002D6CD5">
            <w:rPr>
              <w:noProof/>
              <w:lang w:val="en-US"/>
            </w:rPr>
            <w:t>(Chalu &amp; Lubawa, 2018)</w:t>
          </w:r>
          <w:r w:rsidR="00381535">
            <w:fldChar w:fldCharType="end"/>
          </w:r>
        </w:sdtContent>
      </w:sdt>
      <w:r>
        <w:t xml:space="preserve">. From the assessment of the ratio, it is asses that Gatsby Grange shows the fall of the Gross and Net Profit ratio by the rate of 6% and 5% respectively. It is also asses that their calculated Return over Capital Employed also enhance and enlarge by the </w:t>
      </w:r>
      <w:proofErr w:type="spellStart"/>
      <w:r>
        <w:t>percentof</w:t>
      </w:r>
      <w:proofErr w:type="spellEnd"/>
      <w:r>
        <w:t xml:space="preserve"> 1%, which show high marginal income over the assets. </w:t>
      </w:r>
    </w:p>
    <w:p w14:paraId="22135FF5" w14:textId="77777777" w:rsidR="001410BB" w:rsidRDefault="003F6CDE" w:rsidP="00101B51">
      <w:r>
        <w:t>Analysis of the Gearing ratio represents the proportion of the debt as well as  the equity in the firm and enhancing the capital margin in the business</w:t>
      </w:r>
      <w:sdt>
        <w:sdtPr>
          <w:id w:val="838429258"/>
          <w:citation/>
        </w:sdtPr>
        <w:sdtEndPr/>
        <w:sdtContent>
          <w:r w:rsidR="00381535">
            <w:fldChar w:fldCharType="begin"/>
          </w:r>
          <w:r>
            <w:rPr>
              <w:lang w:val="en-US"/>
            </w:rPr>
            <w:instrText xml:space="preserve"> CITATION Hos19 \l 1033 </w:instrText>
          </w:r>
          <w:r w:rsidR="00381535">
            <w:fldChar w:fldCharType="separate"/>
          </w:r>
          <w:r w:rsidRPr="00742730">
            <w:rPr>
              <w:noProof/>
              <w:lang w:val="en-US"/>
            </w:rPr>
            <w:t>(Hosaka, 2019)</w:t>
          </w:r>
          <w:r w:rsidR="00381535">
            <w:fldChar w:fldCharType="end"/>
          </w:r>
        </w:sdtContent>
      </w:sdt>
      <w:r>
        <w:t xml:space="preserve">. The analysis of this accounting ratio represents that the overall debt margin reduced by the 7.05% and 2.31% over the business equity and business assets in the year of 2019 and in 2018 their rate is 7.25% and 2.41%. Their equity for the purpose of assets margin is also going down 32.77% because of there  the presence of assets in their business. </w:t>
      </w:r>
    </w:p>
    <w:p w14:paraId="5C54F81E" w14:textId="77777777" w:rsidR="000E29E6" w:rsidRDefault="003F6CDE" w:rsidP="00FD2E2E">
      <w:pPr>
        <w:pStyle w:val="Heading2"/>
      </w:pPr>
      <w:bookmarkStart w:id="3" w:name="_Toc44854733"/>
      <w:r>
        <w:t>Discussion in regards to trends evaluated in the process of ratio analysis</w:t>
      </w:r>
      <w:bookmarkEnd w:id="3"/>
    </w:p>
    <w:p w14:paraId="42BF86FE" w14:textId="77777777" w:rsidR="00FD2E2E" w:rsidRDefault="003F6CDE" w:rsidP="00FD2E2E">
      <w:r>
        <w:t>In the ratio analysis trend represent the change or the fluctuation which take place in the financial performance of the business which takes place in between the two or more years</w:t>
      </w:r>
      <w:sdt>
        <w:sdtPr>
          <w:id w:val="-2075649325"/>
          <w:citation/>
        </w:sdtPr>
        <w:sdtEndPr/>
        <w:sdtContent>
          <w:r w:rsidR="00381535">
            <w:fldChar w:fldCharType="begin"/>
          </w:r>
          <w:r>
            <w:rPr>
              <w:lang w:val="en-US"/>
            </w:rPr>
            <w:instrText xml:space="preserve"> CITATION Kha19 \l 1033 </w:instrText>
          </w:r>
          <w:r w:rsidR="00381535">
            <w:fldChar w:fldCharType="separate"/>
          </w:r>
          <w:r w:rsidRPr="00742730">
            <w:rPr>
              <w:noProof/>
              <w:lang w:val="en-US"/>
            </w:rPr>
            <w:t>(Khamis, et al., 2019)</w:t>
          </w:r>
          <w:r w:rsidR="00381535">
            <w:fldChar w:fldCharType="end"/>
          </w:r>
        </w:sdtContent>
      </w:sdt>
      <w:r>
        <w:t>. The assessment through the liquidity ratio analysis based on the information of Gatsby Grange it is asses that their business liabilities increased. The margin of the current assets also decreased from 2.29:1 in 2019 to the ratio of 2.005:1, and it also indicates the increase over the current liabilities in the business. The analysis in the trend of quick ratio it is asses a fall in which the quick ratio falls to 1.13:1 in 2019. This changing trend represents that hotel chain makes more financial investment such as marketable</w:t>
      </w:r>
      <w:r w:rsidRPr="00295C5E">
        <w:t xml:space="preserve"> securities </w:t>
      </w:r>
      <w:r>
        <w:t>as well as</w:t>
      </w:r>
      <w:r w:rsidRPr="00295C5E">
        <w:t xml:space="preserve"> inventories</w:t>
      </w:r>
      <w:r>
        <w:t xml:space="preserve"> in the year 2019. According to the evaluate trend of the net-</w:t>
      </w:r>
      <w:r>
        <w:lastRenderedPageBreak/>
        <w:t xml:space="preserve">working capital ratio a fall is evaluated by the rate of 20% in the year of 2019, and this situation represents that business firm invests more capital in the fixed assets. </w:t>
      </w:r>
    </w:p>
    <w:p w14:paraId="48AA8DEC" w14:textId="77777777" w:rsidR="00F4788A" w:rsidRDefault="003F6CDE" w:rsidP="00FD2E2E">
      <w:pPr>
        <w:rPr>
          <w:rFonts w:cs="Times New Roman"/>
        </w:rPr>
      </w:pPr>
      <w:r>
        <w:t xml:space="preserve">Assessment of the Profitability ratio based on the Gatsby Grange information it is asses that </w:t>
      </w:r>
      <w:r w:rsidRPr="00F4788A">
        <w:t>increase</w:t>
      </w:r>
      <w:r>
        <w:t xml:space="preserve"> of 1% of return on capital employed in 2019. This </w:t>
      </w:r>
      <w:proofErr w:type="spellStart"/>
      <w:r>
        <w:t>representsthat</w:t>
      </w:r>
      <w:proofErr w:type="spellEnd"/>
      <w:r>
        <w:t xml:space="preserve"> firm maintains the high marginal profit in the year 2019, and the value of profit is higher than their assets value estimation. The overall gross Profit ratio margin shows the overall decline by the rate of 6% in the comparison of 2018 valuation. This business trend represents that high margin in regards to the cost of goods sold in the financial year of 2019 and increased by </w:t>
      </w:r>
      <w:r>
        <w:rPr>
          <w:rFonts w:cs="Times New Roman"/>
        </w:rPr>
        <w:t>₤</w:t>
      </w:r>
      <w:r>
        <w:t xml:space="preserve">850,000. Their overall net profit increase by the rate of 5% in the margin of 73% in 2018. The reduction in this ration takes place due to the high marginal business expenditures in 2019, which is </w:t>
      </w:r>
      <w:r>
        <w:rPr>
          <w:rFonts w:cs="Times New Roman"/>
        </w:rPr>
        <w:t xml:space="preserve">₤1,077,000 in monetary value. </w:t>
      </w:r>
    </w:p>
    <w:p w14:paraId="521373CB" w14:textId="77777777" w:rsidR="00177F0B" w:rsidRDefault="003F6CDE" w:rsidP="00FD2E2E">
      <w:r>
        <w:rPr>
          <w:rFonts w:cs="Times New Roman"/>
        </w:rPr>
        <w:t xml:space="preserve">Assessment of the gearing ratio of </w:t>
      </w:r>
      <w:r>
        <w:t xml:space="preserve">Gatsby Grange represents that adequate margin in regards to the debt in the hotel chain. In regards to this business capital equity slightly slow by the rate of 2019 and its value is </w:t>
      </w:r>
      <w:r>
        <w:rPr>
          <w:rFonts w:cs="Times New Roman"/>
        </w:rPr>
        <w:t>₤</w:t>
      </w:r>
      <w:r>
        <w:t xml:space="preserve">2,056,000 </w:t>
      </w:r>
      <w:proofErr w:type="spellStart"/>
      <w:r>
        <w:t>incomparison</w:t>
      </w:r>
      <w:proofErr w:type="spellEnd"/>
      <w:r>
        <w:t xml:space="preserve"> of </w:t>
      </w:r>
      <w:r>
        <w:rPr>
          <w:rFonts w:cs="Times New Roman"/>
        </w:rPr>
        <w:t>₤</w:t>
      </w:r>
      <w:r>
        <w:t xml:space="preserve">2,068,000, which is calculated for 2018. The trend takes place due to the decline in the debts equity as well as assets ratio, and it is calculated around </w:t>
      </w:r>
      <w:r w:rsidRPr="009224C5">
        <w:t xml:space="preserve">7.05% and 2.31% in 2019 </w:t>
      </w:r>
      <w:r>
        <w:t>and</w:t>
      </w:r>
      <w:r w:rsidRPr="009224C5">
        <w:t xml:space="preserve"> 7.25% and 2.41%</w:t>
      </w:r>
      <w:r>
        <w:t xml:space="preserve"> in the year of 2018. This trend represents that high margin of business debt does not require by the firm. The overall equity to the assets ratio is also getting low 32.77% from 33.22%, and it represents the overall trend of finance from equity. </w:t>
      </w:r>
    </w:p>
    <w:p w14:paraId="4F4E2383" w14:textId="77777777" w:rsidR="0097509B" w:rsidRDefault="003F6CDE" w:rsidP="0097509B">
      <w:pPr>
        <w:pStyle w:val="Heading2"/>
      </w:pPr>
      <w:bookmarkStart w:id="4" w:name="_Toc44854734"/>
      <w:r>
        <w:t xml:space="preserve">Explanation of </w:t>
      </w:r>
      <w:proofErr w:type="spellStart"/>
      <w:r>
        <w:t>Liquidity,Profitability</w:t>
      </w:r>
      <w:proofErr w:type="spellEnd"/>
      <w:r>
        <w:t>, and Gearing of the hotel chain</w:t>
      </w:r>
      <w:bookmarkEnd w:id="4"/>
    </w:p>
    <w:p w14:paraId="03B54098" w14:textId="77777777" w:rsidR="0097509B" w:rsidRDefault="003F6CDE" w:rsidP="0097509B">
      <w:r>
        <w:t xml:space="preserve">On the accordance of the trend which is calculated in liquidity ratio, it is asses that Gatsby Grange face the issues in respect of overcoming the short terms debts in the year of 2019. The reason for this issue is avoiding the liquidation of its assets within the same margin of 2018. On the other </w:t>
      </w:r>
      <w:proofErr w:type="spellStart"/>
      <w:r>
        <w:t>hand,the</w:t>
      </w:r>
      <w:proofErr w:type="spellEnd"/>
      <w:r>
        <w:t xml:space="preserve"> decision to foster the liquidated position through investing the fund in the marketable securities not work due to less amount of the investment in the other current assets. On the other hand working capital ratio represents the business focus over the fixed assets, which does not make any change over the business liquidate a position. </w:t>
      </w:r>
    </w:p>
    <w:p w14:paraId="5B7BBF30" w14:textId="77777777" w:rsidR="009C5AA6" w:rsidRDefault="003F6CDE" w:rsidP="0097509B">
      <w:r>
        <w:t xml:space="preserve">In the business of Gatsby Grange, profitability ratio also reflects a reduction in the overall margin of business gross as well as the net profit which shows less income in 2019. The main reason for this significant problem is the high marginal operating expenses in the business in managing operation. In this situation, return over capital also increased because of the high margin in respect of fixed investment. </w:t>
      </w:r>
    </w:p>
    <w:p w14:paraId="35628894" w14:textId="77777777" w:rsidR="00E105CB" w:rsidRPr="00E105CB" w:rsidRDefault="003F6CDE" w:rsidP="0097509B">
      <w:r>
        <w:lastRenderedPageBreak/>
        <w:t xml:space="preserve">The business Gearing ratio reflects that firm not able to achieve the high margin of </w:t>
      </w:r>
      <w:proofErr w:type="gramStart"/>
      <w:r>
        <w:t>long term</w:t>
      </w:r>
      <w:proofErr w:type="gramEnd"/>
      <w:r>
        <w:t xml:space="preserve"> business debts. In this situation business equity margin manage the required finance by which they able to manage the overall business finance in an effective way</w:t>
      </w:r>
      <w:sdt>
        <w:sdtPr>
          <w:id w:val="1652178670"/>
          <w:citation/>
        </w:sdtPr>
        <w:sdtEndPr/>
        <w:sdtContent>
          <w:r w:rsidR="00381535">
            <w:fldChar w:fldCharType="begin"/>
          </w:r>
          <w:r>
            <w:rPr>
              <w:lang w:val="en-US"/>
            </w:rPr>
            <w:instrText xml:space="preserve"> CITATION Hos19 \l 1033 </w:instrText>
          </w:r>
          <w:r w:rsidR="00381535">
            <w:fldChar w:fldCharType="separate"/>
          </w:r>
          <w:r w:rsidRPr="00805D5B">
            <w:rPr>
              <w:noProof/>
              <w:lang w:val="en-US"/>
            </w:rPr>
            <w:t>(Hosaka, 2019)</w:t>
          </w:r>
          <w:r w:rsidR="00381535">
            <w:fldChar w:fldCharType="end"/>
          </w:r>
        </w:sdtContent>
      </w:sdt>
      <w:r>
        <w:t xml:space="preserve">. Under this, they can make the arrangement of the finance through the help of equity margin in the business. </w:t>
      </w:r>
    </w:p>
    <w:p w14:paraId="201E5E13" w14:textId="77777777" w:rsidR="00D360B5" w:rsidRDefault="003F6CDE" w:rsidP="00D360B5">
      <w:pPr>
        <w:pStyle w:val="Heading1"/>
      </w:pPr>
      <w:bookmarkStart w:id="5" w:name="_Toc44776663"/>
      <w:bookmarkStart w:id="6" w:name="_Toc44854735"/>
      <w:r>
        <w:t xml:space="preserve">Identification whether ratios and their overall fluctuations </w:t>
      </w:r>
      <w:proofErr w:type="spellStart"/>
      <w:r>
        <w:t>arevital</w:t>
      </w:r>
      <w:proofErr w:type="spellEnd"/>
      <w:r>
        <w:t xml:space="preserve"> in Hotel management</w:t>
      </w:r>
      <w:bookmarkEnd w:id="5"/>
      <w:bookmarkEnd w:id="6"/>
    </w:p>
    <w:p w14:paraId="480BBD3E" w14:textId="77777777" w:rsidR="00F328BE" w:rsidRDefault="003F6CDE" w:rsidP="00F328BE">
      <w:r>
        <w:t>The change and fluctuation in the ratios give the idea able to change, which occurs in the business financial statement of the firms</w:t>
      </w:r>
      <w:sdt>
        <w:sdtPr>
          <w:id w:val="-977539500"/>
          <w:citation/>
        </w:sdtPr>
        <w:sdtEndPr/>
        <w:sdtContent>
          <w:r w:rsidR="00381535">
            <w:fldChar w:fldCharType="begin"/>
          </w:r>
          <w:r>
            <w:rPr>
              <w:lang w:val="en-US"/>
            </w:rPr>
            <w:instrText xml:space="preserve"> CITATION Wil18 \l 1033 </w:instrText>
          </w:r>
          <w:r w:rsidR="00381535">
            <w:fldChar w:fldCharType="separate"/>
          </w:r>
          <w:r w:rsidRPr="00805D5B">
            <w:rPr>
              <w:noProof/>
              <w:lang w:val="en-US"/>
            </w:rPr>
            <w:t>(Williams Jr, et al., 2018)</w:t>
          </w:r>
          <w:r w:rsidR="00381535">
            <w:fldChar w:fldCharType="end"/>
          </w:r>
        </w:sdtContent>
      </w:sdt>
      <w:r>
        <w:t xml:space="preserve">. In this </w:t>
      </w:r>
      <w:proofErr w:type="spellStart"/>
      <w:r>
        <w:t>business,the</w:t>
      </w:r>
      <w:proofErr w:type="spellEnd"/>
      <w:r>
        <w:t xml:space="preserve"> firm can take the decisions in terms of the change investment and expansion decision in the business. In the situation of the Gatsby </w:t>
      </w:r>
      <w:proofErr w:type="spellStart"/>
      <w:r>
        <w:t>Grangefluctuated</w:t>
      </w:r>
      <w:proofErr w:type="spellEnd"/>
      <w:r>
        <w:t xml:space="preserve"> margin is asses in comparison of 2018. This is the reason it is important for them to take the reasonable decision in the context of the financial investment as well as future operational changes which is required to perform by them to make the better result and improvement in the overall </w:t>
      </w:r>
      <w:proofErr w:type="spellStart"/>
      <w:r>
        <w:t>financialsituation</w:t>
      </w:r>
      <w:proofErr w:type="spellEnd"/>
      <w:r>
        <w:t xml:space="preserve"> of the business without issues. Liquidity ratio analysis in the firm represents that the investment of the Gatsby Grange is more in their fixed assets in the business. In these aspects, it is becoming vital to the hotel chain for the determination of the business liquidate a position in future. In this, they can able to overcome all the debts in the business without any issues. </w:t>
      </w:r>
    </w:p>
    <w:p w14:paraId="0567D229" w14:textId="747F1CC3" w:rsidR="0098726D" w:rsidRDefault="003F6CDE" w:rsidP="00F328BE">
      <w:r>
        <w:t xml:space="preserve">The Changes which take place in the profitability ratio resulted that Gatsby Grange achieves the high margin in respect of the business expenditure in their production as well as operation centres. It also </w:t>
      </w:r>
      <w:proofErr w:type="spellStart"/>
      <w:r>
        <w:t>becomesimportant</w:t>
      </w:r>
      <w:proofErr w:type="spellEnd"/>
      <w:r>
        <w:t xml:space="preserve"> for the hotel chain to make the </w:t>
      </w:r>
      <w:proofErr w:type="spellStart"/>
      <w:r>
        <w:t>properunderstandingthat</w:t>
      </w:r>
      <w:proofErr w:type="spellEnd"/>
      <w:r>
        <w:t xml:space="preserve"> they have restricted the overflow of cash at the time of </w:t>
      </w:r>
      <w:proofErr w:type="spellStart"/>
      <w:r>
        <w:t>managingtheir</w:t>
      </w:r>
      <w:proofErr w:type="spellEnd"/>
      <w:r>
        <w:t xml:space="preserve"> overall business operations. This situation helps to make the applicable decision in the </w:t>
      </w:r>
      <w:proofErr w:type="spellStart"/>
      <w:r>
        <w:t>businessas</w:t>
      </w:r>
      <w:proofErr w:type="spellEnd"/>
      <w:r>
        <w:t xml:space="preserve"> their capital employed to achieve the increase by the rate of 1% and it </w:t>
      </w:r>
      <w:proofErr w:type="spellStart"/>
      <w:r>
        <w:t>representsthe</w:t>
      </w:r>
      <w:proofErr w:type="spellEnd"/>
      <w:r>
        <w:t xml:space="preserve"> importance of the utilizing business assets to achieve the high margin in the business. The change which takes place in the gearing ratio shows that the firm needs to decrease its debt margin in the business. The fluctuation which occurs in the equity to assets ratio represents more investment is required by which the overall procedure can be managed. </w:t>
      </w:r>
    </w:p>
    <w:p w14:paraId="4B7F644B" w14:textId="71377593" w:rsidR="00FE1C37" w:rsidRDefault="00FE1C37" w:rsidP="00F328BE"/>
    <w:p w14:paraId="77A66A8E" w14:textId="4652C7FD" w:rsidR="00FE1C37" w:rsidRDefault="00FE1C37" w:rsidP="00F328BE"/>
    <w:p w14:paraId="70CF1F3B" w14:textId="77777777" w:rsidR="00FE1C37" w:rsidRDefault="00FE1C37" w:rsidP="00F328BE"/>
    <w:tbl>
      <w:tblPr>
        <w:tblW w:w="6920" w:type="dxa"/>
        <w:tblInd w:w="113" w:type="dxa"/>
        <w:tblLook w:val="04A0" w:firstRow="1" w:lastRow="0" w:firstColumn="1" w:lastColumn="0" w:noHBand="0" w:noVBand="1"/>
      </w:tblPr>
      <w:tblGrid>
        <w:gridCol w:w="658"/>
        <w:gridCol w:w="3285"/>
        <w:gridCol w:w="271"/>
        <w:gridCol w:w="712"/>
        <w:gridCol w:w="712"/>
        <w:gridCol w:w="712"/>
        <w:gridCol w:w="712"/>
      </w:tblGrid>
      <w:tr w:rsidR="00FE1C37" w:rsidRPr="00FE1C37" w14:paraId="0502DDDC" w14:textId="77777777" w:rsidTr="00FE1C37">
        <w:trPr>
          <w:trHeight w:val="300"/>
        </w:trPr>
        <w:tc>
          <w:tcPr>
            <w:tcW w:w="6920" w:type="dxa"/>
            <w:gridSpan w:val="7"/>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41CEED3" w14:textId="77777777" w:rsidR="00FE1C37" w:rsidRPr="00FE1C37" w:rsidRDefault="00FE1C37" w:rsidP="00FE1C37">
            <w:pPr>
              <w:spacing w:after="0" w:line="240" w:lineRule="auto"/>
              <w:jc w:val="center"/>
              <w:rPr>
                <w:rFonts w:eastAsia="Times New Roman" w:cs="Times New Roman"/>
                <w:color w:val="000000"/>
                <w:sz w:val="22"/>
                <w:lang w:val="en-GB" w:eastAsia="en-GB"/>
              </w:rPr>
            </w:pPr>
            <w:r w:rsidRPr="00FE1C37">
              <w:rPr>
                <w:rFonts w:eastAsia="Times New Roman" w:cs="Times New Roman"/>
                <w:color w:val="000000"/>
                <w:sz w:val="22"/>
                <w:lang w:val="en-GB" w:eastAsia="en-GB"/>
              </w:rPr>
              <w:lastRenderedPageBreak/>
              <w:t>PROFIT AND LOSS ACCOUNT</w:t>
            </w:r>
          </w:p>
        </w:tc>
      </w:tr>
      <w:tr w:rsidR="00FE1C37" w:rsidRPr="00FE1C37" w14:paraId="195EAA6C"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5A06062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bottom"/>
            <w:hideMark/>
          </w:tcPr>
          <w:p w14:paraId="34270014"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129" w:type="dxa"/>
            <w:tcBorders>
              <w:top w:val="nil"/>
              <w:left w:val="nil"/>
              <w:bottom w:val="single" w:sz="4" w:space="0" w:color="auto"/>
              <w:right w:val="single" w:sz="4" w:space="0" w:color="auto"/>
            </w:tcBorders>
            <w:shd w:val="clear" w:color="auto" w:fill="auto"/>
            <w:noWrap/>
            <w:vAlign w:val="bottom"/>
            <w:hideMark/>
          </w:tcPr>
          <w:p w14:paraId="573AC70C"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04F2F1A7"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772D426C"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1E5A1043"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002EAAE4"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3893C9C6"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5FBCB08C"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bottom"/>
            <w:hideMark/>
          </w:tcPr>
          <w:p w14:paraId="64CDE5B9"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129" w:type="dxa"/>
            <w:tcBorders>
              <w:top w:val="nil"/>
              <w:left w:val="nil"/>
              <w:bottom w:val="single" w:sz="4" w:space="0" w:color="auto"/>
              <w:right w:val="single" w:sz="4" w:space="0" w:color="auto"/>
            </w:tcBorders>
            <w:shd w:val="clear" w:color="auto" w:fill="auto"/>
            <w:noWrap/>
            <w:vAlign w:val="bottom"/>
            <w:hideMark/>
          </w:tcPr>
          <w:p w14:paraId="49F2C7B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1424" w:type="dxa"/>
            <w:gridSpan w:val="2"/>
            <w:tcBorders>
              <w:top w:val="single" w:sz="4" w:space="0" w:color="auto"/>
              <w:left w:val="nil"/>
              <w:bottom w:val="single" w:sz="4" w:space="0" w:color="auto"/>
              <w:right w:val="single" w:sz="4" w:space="0" w:color="auto"/>
            </w:tcBorders>
            <w:shd w:val="clear" w:color="auto" w:fill="auto"/>
            <w:noWrap/>
            <w:vAlign w:val="bottom"/>
            <w:hideMark/>
          </w:tcPr>
          <w:p w14:paraId="01E4ABB3" w14:textId="77777777" w:rsidR="00FE1C37" w:rsidRPr="00FE1C37" w:rsidRDefault="00FE1C37" w:rsidP="00FE1C37">
            <w:pPr>
              <w:spacing w:after="0" w:line="240" w:lineRule="auto"/>
              <w:jc w:val="center"/>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2018</w:t>
            </w:r>
          </w:p>
        </w:tc>
        <w:tc>
          <w:tcPr>
            <w:tcW w:w="1424" w:type="dxa"/>
            <w:gridSpan w:val="2"/>
            <w:tcBorders>
              <w:top w:val="single" w:sz="4" w:space="0" w:color="auto"/>
              <w:left w:val="nil"/>
              <w:bottom w:val="single" w:sz="4" w:space="0" w:color="auto"/>
              <w:right w:val="single" w:sz="4" w:space="0" w:color="auto"/>
            </w:tcBorders>
            <w:shd w:val="clear" w:color="auto" w:fill="auto"/>
            <w:noWrap/>
            <w:vAlign w:val="bottom"/>
            <w:hideMark/>
          </w:tcPr>
          <w:p w14:paraId="3C9B9AF0" w14:textId="77777777" w:rsidR="00FE1C37" w:rsidRPr="00FE1C37" w:rsidRDefault="00FE1C37" w:rsidP="00FE1C37">
            <w:pPr>
              <w:spacing w:after="0" w:line="240" w:lineRule="auto"/>
              <w:jc w:val="center"/>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2019</w:t>
            </w:r>
          </w:p>
        </w:tc>
      </w:tr>
      <w:tr w:rsidR="00FE1C37" w:rsidRPr="00FE1C37" w14:paraId="6A703CC3"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18B08095"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bottom"/>
            <w:hideMark/>
          </w:tcPr>
          <w:p w14:paraId="46418AD4"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129" w:type="dxa"/>
            <w:tcBorders>
              <w:top w:val="nil"/>
              <w:left w:val="nil"/>
              <w:bottom w:val="single" w:sz="4" w:space="0" w:color="auto"/>
              <w:right w:val="single" w:sz="4" w:space="0" w:color="auto"/>
            </w:tcBorders>
            <w:shd w:val="clear" w:color="auto" w:fill="auto"/>
            <w:noWrap/>
            <w:vAlign w:val="bottom"/>
            <w:hideMark/>
          </w:tcPr>
          <w:p w14:paraId="5B77B16B"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19DE3DE0" w14:textId="77777777" w:rsidR="00FE1C37" w:rsidRPr="00FE1C37" w:rsidRDefault="00FE1C37" w:rsidP="00FE1C37">
            <w:pPr>
              <w:spacing w:after="0" w:line="240" w:lineRule="auto"/>
              <w:jc w:val="center"/>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£000</w:t>
            </w:r>
          </w:p>
        </w:tc>
        <w:tc>
          <w:tcPr>
            <w:tcW w:w="712" w:type="dxa"/>
            <w:tcBorders>
              <w:top w:val="nil"/>
              <w:left w:val="nil"/>
              <w:bottom w:val="single" w:sz="4" w:space="0" w:color="auto"/>
              <w:right w:val="single" w:sz="4" w:space="0" w:color="auto"/>
            </w:tcBorders>
            <w:shd w:val="clear" w:color="auto" w:fill="auto"/>
            <w:noWrap/>
            <w:vAlign w:val="bottom"/>
            <w:hideMark/>
          </w:tcPr>
          <w:p w14:paraId="7DF87258" w14:textId="77777777" w:rsidR="00FE1C37" w:rsidRPr="00FE1C37" w:rsidRDefault="00FE1C37" w:rsidP="00FE1C37">
            <w:pPr>
              <w:spacing w:after="0" w:line="240" w:lineRule="auto"/>
              <w:jc w:val="center"/>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£000</w:t>
            </w:r>
          </w:p>
        </w:tc>
        <w:tc>
          <w:tcPr>
            <w:tcW w:w="712" w:type="dxa"/>
            <w:tcBorders>
              <w:top w:val="nil"/>
              <w:left w:val="nil"/>
              <w:bottom w:val="single" w:sz="4" w:space="0" w:color="auto"/>
              <w:right w:val="single" w:sz="4" w:space="0" w:color="auto"/>
            </w:tcBorders>
            <w:shd w:val="clear" w:color="auto" w:fill="auto"/>
            <w:noWrap/>
            <w:vAlign w:val="bottom"/>
            <w:hideMark/>
          </w:tcPr>
          <w:p w14:paraId="3F478E1C" w14:textId="77777777" w:rsidR="00FE1C37" w:rsidRPr="00FE1C37" w:rsidRDefault="00FE1C37" w:rsidP="00FE1C37">
            <w:pPr>
              <w:spacing w:after="0" w:line="240" w:lineRule="auto"/>
              <w:jc w:val="center"/>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£000</w:t>
            </w:r>
          </w:p>
        </w:tc>
        <w:tc>
          <w:tcPr>
            <w:tcW w:w="712" w:type="dxa"/>
            <w:tcBorders>
              <w:top w:val="nil"/>
              <w:left w:val="nil"/>
              <w:bottom w:val="single" w:sz="4" w:space="0" w:color="auto"/>
              <w:right w:val="single" w:sz="4" w:space="0" w:color="auto"/>
            </w:tcBorders>
            <w:shd w:val="clear" w:color="auto" w:fill="auto"/>
            <w:noWrap/>
            <w:vAlign w:val="bottom"/>
            <w:hideMark/>
          </w:tcPr>
          <w:p w14:paraId="372390A1" w14:textId="77777777" w:rsidR="00FE1C37" w:rsidRPr="00FE1C37" w:rsidRDefault="00FE1C37" w:rsidP="00FE1C37">
            <w:pPr>
              <w:spacing w:after="0" w:line="240" w:lineRule="auto"/>
              <w:jc w:val="center"/>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£000</w:t>
            </w:r>
          </w:p>
        </w:tc>
      </w:tr>
      <w:tr w:rsidR="00FE1C37" w:rsidRPr="00FE1C37" w14:paraId="2BF7BDA6"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6ED8019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bottom"/>
            <w:hideMark/>
          </w:tcPr>
          <w:p w14:paraId="6FC20E9D"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Sales</w:t>
            </w:r>
          </w:p>
        </w:tc>
        <w:tc>
          <w:tcPr>
            <w:tcW w:w="129" w:type="dxa"/>
            <w:tcBorders>
              <w:top w:val="nil"/>
              <w:left w:val="nil"/>
              <w:bottom w:val="single" w:sz="4" w:space="0" w:color="auto"/>
              <w:right w:val="single" w:sz="4" w:space="0" w:color="auto"/>
            </w:tcBorders>
            <w:shd w:val="clear" w:color="auto" w:fill="auto"/>
            <w:noWrap/>
            <w:vAlign w:val="bottom"/>
            <w:hideMark/>
          </w:tcPr>
          <w:p w14:paraId="02B79A8B"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58B08390"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06B40695"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5500</w:t>
            </w:r>
          </w:p>
        </w:tc>
        <w:tc>
          <w:tcPr>
            <w:tcW w:w="712" w:type="dxa"/>
            <w:tcBorders>
              <w:top w:val="nil"/>
              <w:left w:val="nil"/>
              <w:bottom w:val="single" w:sz="4" w:space="0" w:color="auto"/>
              <w:right w:val="single" w:sz="4" w:space="0" w:color="auto"/>
            </w:tcBorders>
            <w:shd w:val="clear" w:color="auto" w:fill="auto"/>
            <w:noWrap/>
            <w:vAlign w:val="bottom"/>
            <w:hideMark/>
          </w:tcPr>
          <w:p w14:paraId="436D2F63"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4EBFB7B7"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6000</w:t>
            </w:r>
          </w:p>
        </w:tc>
      </w:tr>
      <w:tr w:rsidR="00FE1C37" w:rsidRPr="00FE1C37" w14:paraId="7CE03833"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5A335ECC"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Less</w:t>
            </w:r>
          </w:p>
        </w:tc>
        <w:tc>
          <w:tcPr>
            <w:tcW w:w="3285" w:type="dxa"/>
            <w:tcBorders>
              <w:top w:val="nil"/>
              <w:left w:val="nil"/>
              <w:bottom w:val="single" w:sz="4" w:space="0" w:color="auto"/>
              <w:right w:val="single" w:sz="4" w:space="0" w:color="auto"/>
            </w:tcBorders>
            <w:shd w:val="clear" w:color="auto" w:fill="auto"/>
            <w:noWrap/>
            <w:vAlign w:val="bottom"/>
            <w:hideMark/>
          </w:tcPr>
          <w:p w14:paraId="7FC89B9C"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Cost of goods sold:</w:t>
            </w:r>
          </w:p>
        </w:tc>
        <w:tc>
          <w:tcPr>
            <w:tcW w:w="129" w:type="dxa"/>
            <w:tcBorders>
              <w:top w:val="nil"/>
              <w:left w:val="nil"/>
              <w:bottom w:val="single" w:sz="4" w:space="0" w:color="auto"/>
              <w:right w:val="single" w:sz="4" w:space="0" w:color="auto"/>
            </w:tcBorders>
            <w:shd w:val="clear" w:color="auto" w:fill="auto"/>
            <w:noWrap/>
            <w:vAlign w:val="bottom"/>
            <w:hideMark/>
          </w:tcPr>
          <w:p w14:paraId="4E06B844"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72D7E7A2"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5FDE375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6AFF2BB9"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5A3D4DD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10F3D506"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40D8E979"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bottom"/>
            <w:hideMark/>
          </w:tcPr>
          <w:p w14:paraId="5C81A4FE"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Opening stock</w:t>
            </w:r>
          </w:p>
        </w:tc>
        <w:tc>
          <w:tcPr>
            <w:tcW w:w="129" w:type="dxa"/>
            <w:tcBorders>
              <w:top w:val="nil"/>
              <w:left w:val="nil"/>
              <w:bottom w:val="single" w:sz="4" w:space="0" w:color="auto"/>
              <w:right w:val="single" w:sz="4" w:space="0" w:color="auto"/>
            </w:tcBorders>
            <w:shd w:val="clear" w:color="auto" w:fill="auto"/>
            <w:noWrap/>
            <w:vAlign w:val="bottom"/>
            <w:hideMark/>
          </w:tcPr>
          <w:p w14:paraId="74A37C89"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3EED92EC"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750</w:t>
            </w:r>
          </w:p>
        </w:tc>
        <w:tc>
          <w:tcPr>
            <w:tcW w:w="712" w:type="dxa"/>
            <w:tcBorders>
              <w:top w:val="nil"/>
              <w:left w:val="nil"/>
              <w:bottom w:val="single" w:sz="4" w:space="0" w:color="auto"/>
              <w:right w:val="single" w:sz="4" w:space="0" w:color="auto"/>
            </w:tcBorders>
            <w:shd w:val="clear" w:color="auto" w:fill="auto"/>
            <w:noWrap/>
            <w:vAlign w:val="bottom"/>
            <w:hideMark/>
          </w:tcPr>
          <w:p w14:paraId="3B2A4B04"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608CA5C7"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900</w:t>
            </w:r>
          </w:p>
        </w:tc>
        <w:tc>
          <w:tcPr>
            <w:tcW w:w="712" w:type="dxa"/>
            <w:tcBorders>
              <w:top w:val="nil"/>
              <w:left w:val="nil"/>
              <w:bottom w:val="single" w:sz="4" w:space="0" w:color="auto"/>
              <w:right w:val="single" w:sz="4" w:space="0" w:color="auto"/>
            </w:tcBorders>
            <w:shd w:val="clear" w:color="auto" w:fill="auto"/>
            <w:noWrap/>
            <w:vAlign w:val="bottom"/>
            <w:hideMark/>
          </w:tcPr>
          <w:p w14:paraId="0EC0AE85"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6A9E8C92"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753FFD33"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bottom"/>
            <w:hideMark/>
          </w:tcPr>
          <w:p w14:paraId="32E18C4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Purchases</w:t>
            </w:r>
          </w:p>
        </w:tc>
        <w:tc>
          <w:tcPr>
            <w:tcW w:w="129" w:type="dxa"/>
            <w:tcBorders>
              <w:top w:val="nil"/>
              <w:left w:val="nil"/>
              <w:bottom w:val="single" w:sz="4" w:space="0" w:color="auto"/>
              <w:right w:val="single" w:sz="4" w:space="0" w:color="auto"/>
            </w:tcBorders>
            <w:shd w:val="clear" w:color="auto" w:fill="auto"/>
            <w:noWrap/>
            <w:vAlign w:val="bottom"/>
            <w:hideMark/>
          </w:tcPr>
          <w:p w14:paraId="11D07311"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04DB07C8"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500</w:t>
            </w:r>
          </w:p>
        </w:tc>
        <w:tc>
          <w:tcPr>
            <w:tcW w:w="712" w:type="dxa"/>
            <w:tcBorders>
              <w:top w:val="nil"/>
              <w:left w:val="nil"/>
              <w:bottom w:val="single" w:sz="4" w:space="0" w:color="auto"/>
              <w:right w:val="single" w:sz="4" w:space="0" w:color="auto"/>
            </w:tcBorders>
            <w:shd w:val="clear" w:color="auto" w:fill="auto"/>
            <w:noWrap/>
            <w:vAlign w:val="bottom"/>
            <w:hideMark/>
          </w:tcPr>
          <w:p w14:paraId="61C62466"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096F455C"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850</w:t>
            </w:r>
          </w:p>
        </w:tc>
        <w:tc>
          <w:tcPr>
            <w:tcW w:w="712" w:type="dxa"/>
            <w:tcBorders>
              <w:top w:val="nil"/>
              <w:left w:val="nil"/>
              <w:bottom w:val="single" w:sz="4" w:space="0" w:color="auto"/>
              <w:right w:val="single" w:sz="4" w:space="0" w:color="auto"/>
            </w:tcBorders>
            <w:shd w:val="clear" w:color="auto" w:fill="auto"/>
            <w:noWrap/>
            <w:vAlign w:val="bottom"/>
            <w:hideMark/>
          </w:tcPr>
          <w:p w14:paraId="0CC487E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250A47F3"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5F83AD35"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xml:space="preserve">Less </w:t>
            </w:r>
          </w:p>
        </w:tc>
        <w:tc>
          <w:tcPr>
            <w:tcW w:w="3285" w:type="dxa"/>
            <w:tcBorders>
              <w:top w:val="nil"/>
              <w:left w:val="nil"/>
              <w:bottom w:val="single" w:sz="4" w:space="0" w:color="auto"/>
              <w:right w:val="single" w:sz="4" w:space="0" w:color="auto"/>
            </w:tcBorders>
            <w:shd w:val="clear" w:color="auto" w:fill="auto"/>
            <w:noWrap/>
            <w:vAlign w:val="bottom"/>
            <w:hideMark/>
          </w:tcPr>
          <w:p w14:paraId="5998A0D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Closing Stock</w:t>
            </w:r>
          </w:p>
        </w:tc>
        <w:tc>
          <w:tcPr>
            <w:tcW w:w="129" w:type="dxa"/>
            <w:tcBorders>
              <w:top w:val="nil"/>
              <w:left w:val="nil"/>
              <w:bottom w:val="single" w:sz="4" w:space="0" w:color="auto"/>
              <w:right w:val="single" w:sz="4" w:space="0" w:color="auto"/>
            </w:tcBorders>
            <w:shd w:val="clear" w:color="auto" w:fill="auto"/>
            <w:noWrap/>
            <w:vAlign w:val="bottom"/>
            <w:hideMark/>
          </w:tcPr>
          <w:p w14:paraId="4F6063F3"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3FE7526B"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800</w:t>
            </w:r>
          </w:p>
        </w:tc>
        <w:tc>
          <w:tcPr>
            <w:tcW w:w="712" w:type="dxa"/>
            <w:tcBorders>
              <w:top w:val="nil"/>
              <w:left w:val="nil"/>
              <w:bottom w:val="single" w:sz="4" w:space="0" w:color="auto"/>
              <w:right w:val="single" w:sz="4" w:space="0" w:color="auto"/>
            </w:tcBorders>
            <w:shd w:val="clear" w:color="auto" w:fill="auto"/>
            <w:noWrap/>
            <w:vAlign w:val="bottom"/>
            <w:hideMark/>
          </w:tcPr>
          <w:p w14:paraId="2851B75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61F3C16C"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900</w:t>
            </w:r>
          </w:p>
        </w:tc>
        <w:tc>
          <w:tcPr>
            <w:tcW w:w="712" w:type="dxa"/>
            <w:tcBorders>
              <w:top w:val="nil"/>
              <w:left w:val="nil"/>
              <w:bottom w:val="single" w:sz="4" w:space="0" w:color="auto"/>
              <w:right w:val="single" w:sz="4" w:space="0" w:color="auto"/>
            </w:tcBorders>
            <w:shd w:val="clear" w:color="auto" w:fill="auto"/>
            <w:noWrap/>
            <w:vAlign w:val="bottom"/>
            <w:hideMark/>
          </w:tcPr>
          <w:p w14:paraId="5F50423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0E3DA364"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1676FFA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bottom"/>
            <w:hideMark/>
          </w:tcPr>
          <w:p w14:paraId="6E3B9E35"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129" w:type="dxa"/>
            <w:tcBorders>
              <w:top w:val="nil"/>
              <w:left w:val="nil"/>
              <w:bottom w:val="single" w:sz="4" w:space="0" w:color="auto"/>
              <w:right w:val="single" w:sz="4" w:space="0" w:color="auto"/>
            </w:tcBorders>
            <w:shd w:val="clear" w:color="auto" w:fill="auto"/>
            <w:noWrap/>
            <w:vAlign w:val="bottom"/>
            <w:hideMark/>
          </w:tcPr>
          <w:p w14:paraId="00315BF5"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00A16D7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4BF24A0C"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450</w:t>
            </w:r>
          </w:p>
        </w:tc>
        <w:tc>
          <w:tcPr>
            <w:tcW w:w="712" w:type="dxa"/>
            <w:tcBorders>
              <w:top w:val="nil"/>
              <w:left w:val="nil"/>
              <w:bottom w:val="single" w:sz="4" w:space="0" w:color="auto"/>
              <w:right w:val="single" w:sz="4" w:space="0" w:color="auto"/>
            </w:tcBorders>
            <w:shd w:val="clear" w:color="auto" w:fill="auto"/>
            <w:noWrap/>
            <w:vAlign w:val="bottom"/>
            <w:hideMark/>
          </w:tcPr>
          <w:p w14:paraId="290F9D51"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5712FB40"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850</w:t>
            </w:r>
          </w:p>
        </w:tc>
      </w:tr>
      <w:tr w:rsidR="00FE1C37" w:rsidRPr="00FE1C37" w14:paraId="4B3C9CE6"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6DB1DE56"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bottom"/>
            <w:hideMark/>
          </w:tcPr>
          <w:p w14:paraId="5BAB6D1F" w14:textId="77777777" w:rsidR="00FE1C37" w:rsidRPr="00FE1C37" w:rsidRDefault="00FE1C37" w:rsidP="00FE1C37">
            <w:pPr>
              <w:spacing w:after="0" w:line="240" w:lineRule="auto"/>
              <w:jc w:val="left"/>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Gross Profit</w:t>
            </w:r>
          </w:p>
        </w:tc>
        <w:tc>
          <w:tcPr>
            <w:tcW w:w="129" w:type="dxa"/>
            <w:tcBorders>
              <w:top w:val="nil"/>
              <w:left w:val="nil"/>
              <w:bottom w:val="single" w:sz="4" w:space="0" w:color="auto"/>
              <w:right w:val="single" w:sz="4" w:space="0" w:color="auto"/>
            </w:tcBorders>
            <w:shd w:val="clear" w:color="auto" w:fill="auto"/>
            <w:noWrap/>
            <w:vAlign w:val="bottom"/>
            <w:hideMark/>
          </w:tcPr>
          <w:p w14:paraId="5A861D0B"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000000" w:fill="FFFF00"/>
            <w:noWrap/>
            <w:vAlign w:val="bottom"/>
            <w:hideMark/>
          </w:tcPr>
          <w:p w14:paraId="66152694"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000000" w:fill="FFFF00"/>
            <w:noWrap/>
            <w:vAlign w:val="bottom"/>
            <w:hideMark/>
          </w:tcPr>
          <w:p w14:paraId="5475F812" w14:textId="77777777" w:rsidR="00FE1C37" w:rsidRPr="00FE1C37" w:rsidRDefault="00FE1C37" w:rsidP="00FE1C37">
            <w:pPr>
              <w:spacing w:after="0" w:line="240" w:lineRule="auto"/>
              <w:jc w:val="right"/>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5050</w:t>
            </w:r>
          </w:p>
        </w:tc>
        <w:tc>
          <w:tcPr>
            <w:tcW w:w="712" w:type="dxa"/>
            <w:tcBorders>
              <w:top w:val="nil"/>
              <w:left w:val="nil"/>
              <w:bottom w:val="single" w:sz="4" w:space="0" w:color="auto"/>
              <w:right w:val="single" w:sz="4" w:space="0" w:color="auto"/>
            </w:tcBorders>
            <w:shd w:val="clear" w:color="000000" w:fill="FFFF00"/>
            <w:noWrap/>
            <w:vAlign w:val="bottom"/>
            <w:hideMark/>
          </w:tcPr>
          <w:p w14:paraId="4CBAB17D"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000000" w:fill="FFFF00"/>
            <w:noWrap/>
            <w:vAlign w:val="bottom"/>
            <w:hideMark/>
          </w:tcPr>
          <w:p w14:paraId="3137F848" w14:textId="77777777" w:rsidR="00FE1C37" w:rsidRPr="00FE1C37" w:rsidRDefault="00FE1C37" w:rsidP="00FE1C37">
            <w:pPr>
              <w:spacing w:after="0" w:line="240" w:lineRule="auto"/>
              <w:jc w:val="right"/>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5150</w:t>
            </w:r>
          </w:p>
        </w:tc>
      </w:tr>
      <w:tr w:rsidR="00FE1C37" w:rsidRPr="00FE1C37" w14:paraId="4CB72782"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6F5C0CF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xml:space="preserve">Less </w:t>
            </w:r>
          </w:p>
        </w:tc>
        <w:tc>
          <w:tcPr>
            <w:tcW w:w="3285" w:type="dxa"/>
            <w:tcBorders>
              <w:top w:val="nil"/>
              <w:left w:val="nil"/>
              <w:bottom w:val="single" w:sz="4" w:space="0" w:color="auto"/>
              <w:right w:val="single" w:sz="4" w:space="0" w:color="auto"/>
            </w:tcBorders>
            <w:shd w:val="clear" w:color="auto" w:fill="auto"/>
            <w:noWrap/>
            <w:vAlign w:val="bottom"/>
            <w:hideMark/>
          </w:tcPr>
          <w:p w14:paraId="396AC277"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Expenses</w:t>
            </w:r>
          </w:p>
        </w:tc>
        <w:tc>
          <w:tcPr>
            <w:tcW w:w="129" w:type="dxa"/>
            <w:tcBorders>
              <w:top w:val="nil"/>
              <w:left w:val="nil"/>
              <w:bottom w:val="single" w:sz="4" w:space="0" w:color="auto"/>
              <w:right w:val="single" w:sz="4" w:space="0" w:color="auto"/>
            </w:tcBorders>
            <w:shd w:val="clear" w:color="auto" w:fill="auto"/>
            <w:noWrap/>
            <w:vAlign w:val="bottom"/>
            <w:hideMark/>
          </w:tcPr>
          <w:p w14:paraId="4FB31B95"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2536007E"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23BDA1B0"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3CF0B474"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7947A5F9"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76ECBA1C"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29738F5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514F4377"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Rent</w:t>
            </w:r>
          </w:p>
        </w:tc>
        <w:tc>
          <w:tcPr>
            <w:tcW w:w="129" w:type="dxa"/>
            <w:tcBorders>
              <w:top w:val="nil"/>
              <w:left w:val="nil"/>
              <w:bottom w:val="single" w:sz="4" w:space="0" w:color="auto"/>
              <w:right w:val="single" w:sz="4" w:space="0" w:color="auto"/>
            </w:tcBorders>
            <w:shd w:val="clear" w:color="auto" w:fill="auto"/>
            <w:noWrap/>
            <w:vAlign w:val="bottom"/>
            <w:hideMark/>
          </w:tcPr>
          <w:p w14:paraId="68DC08E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5C4EED4C"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200</w:t>
            </w:r>
          </w:p>
        </w:tc>
        <w:tc>
          <w:tcPr>
            <w:tcW w:w="712" w:type="dxa"/>
            <w:tcBorders>
              <w:top w:val="nil"/>
              <w:left w:val="nil"/>
              <w:bottom w:val="single" w:sz="4" w:space="0" w:color="auto"/>
              <w:right w:val="single" w:sz="4" w:space="0" w:color="auto"/>
            </w:tcBorders>
            <w:shd w:val="clear" w:color="auto" w:fill="auto"/>
            <w:noWrap/>
            <w:vAlign w:val="bottom"/>
            <w:hideMark/>
          </w:tcPr>
          <w:p w14:paraId="5AF252D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1D6151A9"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225</w:t>
            </w:r>
          </w:p>
        </w:tc>
        <w:tc>
          <w:tcPr>
            <w:tcW w:w="712" w:type="dxa"/>
            <w:tcBorders>
              <w:top w:val="nil"/>
              <w:left w:val="nil"/>
              <w:bottom w:val="single" w:sz="4" w:space="0" w:color="auto"/>
              <w:right w:val="single" w:sz="4" w:space="0" w:color="auto"/>
            </w:tcBorders>
            <w:shd w:val="clear" w:color="auto" w:fill="auto"/>
            <w:noWrap/>
            <w:vAlign w:val="bottom"/>
            <w:hideMark/>
          </w:tcPr>
          <w:p w14:paraId="3986796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4A08CF06"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72ACC5D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692FE60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Rates</w:t>
            </w:r>
          </w:p>
        </w:tc>
        <w:tc>
          <w:tcPr>
            <w:tcW w:w="129" w:type="dxa"/>
            <w:tcBorders>
              <w:top w:val="nil"/>
              <w:left w:val="nil"/>
              <w:bottom w:val="single" w:sz="4" w:space="0" w:color="auto"/>
              <w:right w:val="single" w:sz="4" w:space="0" w:color="auto"/>
            </w:tcBorders>
            <w:shd w:val="clear" w:color="auto" w:fill="auto"/>
            <w:noWrap/>
            <w:vAlign w:val="bottom"/>
            <w:hideMark/>
          </w:tcPr>
          <w:p w14:paraId="6D98C201"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18579F4B"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80</w:t>
            </w:r>
          </w:p>
        </w:tc>
        <w:tc>
          <w:tcPr>
            <w:tcW w:w="712" w:type="dxa"/>
            <w:tcBorders>
              <w:top w:val="nil"/>
              <w:left w:val="nil"/>
              <w:bottom w:val="single" w:sz="4" w:space="0" w:color="auto"/>
              <w:right w:val="single" w:sz="4" w:space="0" w:color="auto"/>
            </w:tcBorders>
            <w:shd w:val="clear" w:color="auto" w:fill="auto"/>
            <w:noWrap/>
            <w:vAlign w:val="bottom"/>
            <w:hideMark/>
          </w:tcPr>
          <w:p w14:paraId="7486CEB1"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72B46352"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80</w:t>
            </w:r>
          </w:p>
        </w:tc>
        <w:tc>
          <w:tcPr>
            <w:tcW w:w="712" w:type="dxa"/>
            <w:tcBorders>
              <w:top w:val="nil"/>
              <w:left w:val="nil"/>
              <w:bottom w:val="single" w:sz="4" w:space="0" w:color="auto"/>
              <w:right w:val="single" w:sz="4" w:space="0" w:color="auto"/>
            </w:tcBorders>
            <w:shd w:val="clear" w:color="auto" w:fill="auto"/>
            <w:noWrap/>
            <w:vAlign w:val="bottom"/>
            <w:hideMark/>
          </w:tcPr>
          <w:p w14:paraId="0D5326EB"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12A52143"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4EFB0839"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0F7753E4"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Motor Expenses</w:t>
            </w:r>
          </w:p>
        </w:tc>
        <w:tc>
          <w:tcPr>
            <w:tcW w:w="129" w:type="dxa"/>
            <w:tcBorders>
              <w:top w:val="nil"/>
              <w:left w:val="nil"/>
              <w:bottom w:val="single" w:sz="4" w:space="0" w:color="auto"/>
              <w:right w:val="single" w:sz="4" w:space="0" w:color="auto"/>
            </w:tcBorders>
            <w:shd w:val="clear" w:color="auto" w:fill="auto"/>
            <w:noWrap/>
            <w:vAlign w:val="bottom"/>
            <w:hideMark/>
          </w:tcPr>
          <w:p w14:paraId="6FDA1BDB"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1D6B8C15"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90</w:t>
            </w:r>
          </w:p>
        </w:tc>
        <w:tc>
          <w:tcPr>
            <w:tcW w:w="712" w:type="dxa"/>
            <w:tcBorders>
              <w:top w:val="nil"/>
              <w:left w:val="nil"/>
              <w:bottom w:val="single" w:sz="4" w:space="0" w:color="auto"/>
              <w:right w:val="single" w:sz="4" w:space="0" w:color="auto"/>
            </w:tcBorders>
            <w:shd w:val="clear" w:color="auto" w:fill="auto"/>
            <w:noWrap/>
            <w:vAlign w:val="bottom"/>
            <w:hideMark/>
          </w:tcPr>
          <w:p w14:paraId="41E9CE4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419B7307"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90</w:t>
            </w:r>
          </w:p>
        </w:tc>
        <w:tc>
          <w:tcPr>
            <w:tcW w:w="712" w:type="dxa"/>
            <w:tcBorders>
              <w:top w:val="nil"/>
              <w:left w:val="nil"/>
              <w:bottom w:val="single" w:sz="4" w:space="0" w:color="auto"/>
              <w:right w:val="single" w:sz="4" w:space="0" w:color="auto"/>
            </w:tcBorders>
            <w:shd w:val="clear" w:color="auto" w:fill="auto"/>
            <w:noWrap/>
            <w:vAlign w:val="bottom"/>
            <w:hideMark/>
          </w:tcPr>
          <w:p w14:paraId="0398A957"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5B96E339"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63F9B2B9"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7D4A4390"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Advertising</w:t>
            </w:r>
          </w:p>
        </w:tc>
        <w:tc>
          <w:tcPr>
            <w:tcW w:w="129" w:type="dxa"/>
            <w:tcBorders>
              <w:top w:val="nil"/>
              <w:left w:val="nil"/>
              <w:bottom w:val="single" w:sz="4" w:space="0" w:color="auto"/>
              <w:right w:val="single" w:sz="4" w:space="0" w:color="auto"/>
            </w:tcBorders>
            <w:shd w:val="clear" w:color="auto" w:fill="auto"/>
            <w:noWrap/>
            <w:vAlign w:val="bottom"/>
            <w:hideMark/>
          </w:tcPr>
          <w:p w14:paraId="250EDBC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461253DC"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75</w:t>
            </w:r>
          </w:p>
        </w:tc>
        <w:tc>
          <w:tcPr>
            <w:tcW w:w="712" w:type="dxa"/>
            <w:tcBorders>
              <w:top w:val="nil"/>
              <w:left w:val="nil"/>
              <w:bottom w:val="single" w:sz="4" w:space="0" w:color="auto"/>
              <w:right w:val="single" w:sz="4" w:space="0" w:color="auto"/>
            </w:tcBorders>
            <w:shd w:val="clear" w:color="auto" w:fill="auto"/>
            <w:noWrap/>
            <w:vAlign w:val="bottom"/>
            <w:hideMark/>
          </w:tcPr>
          <w:p w14:paraId="4827EE5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3EEF947D"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88</w:t>
            </w:r>
          </w:p>
        </w:tc>
        <w:tc>
          <w:tcPr>
            <w:tcW w:w="712" w:type="dxa"/>
            <w:tcBorders>
              <w:top w:val="nil"/>
              <w:left w:val="nil"/>
              <w:bottom w:val="single" w:sz="4" w:space="0" w:color="auto"/>
              <w:right w:val="single" w:sz="4" w:space="0" w:color="auto"/>
            </w:tcBorders>
            <w:shd w:val="clear" w:color="auto" w:fill="auto"/>
            <w:noWrap/>
            <w:vAlign w:val="bottom"/>
            <w:hideMark/>
          </w:tcPr>
          <w:p w14:paraId="0820562E"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1406E388"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4697EA9B"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4D102189"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Light and Heat</w:t>
            </w:r>
          </w:p>
        </w:tc>
        <w:tc>
          <w:tcPr>
            <w:tcW w:w="129" w:type="dxa"/>
            <w:tcBorders>
              <w:top w:val="nil"/>
              <w:left w:val="nil"/>
              <w:bottom w:val="single" w:sz="4" w:space="0" w:color="auto"/>
              <w:right w:val="single" w:sz="4" w:space="0" w:color="auto"/>
            </w:tcBorders>
            <w:shd w:val="clear" w:color="auto" w:fill="auto"/>
            <w:noWrap/>
            <w:vAlign w:val="bottom"/>
            <w:hideMark/>
          </w:tcPr>
          <w:p w14:paraId="7EE36DD1"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75F8DE16"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72</w:t>
            </w:r>
          </w:p>
        </w:tc>
        <w:tc>
          <w:tcPr>
            <w:tcW w:w="712" w:type="dxa"/>
            <w:tcBorders>
              <w:top w:val="nil"/>
              <w:left w:val="nil"/>
              <w:bottom w:val="single" w:sz="4" w:space="0" w:color="auto"/>
              <w:right w:val="single" w:sz="4" w:space="0" w:color="auto"/>
            </w:tcBorders>
            <w:shd w:val="clear" w:color="auto" w:fill="auto"/>
            <w:noWrap/>
            <w:vAlign w:val="bottom"/>
            <w:hideMark/>
          </w:tcPr>
          <w:p w14:paraId="676CF93C"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5AA26DC1"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98</w:t>
            </w:r>
          </w:p>
        </w:tc>
        <w:tc>
          <w:tcPr>
            <w:tcW w:w="712" w:type="dxa"/>
            <w:tcBorders>
              <w:top w:val="nil"/>
              <w:left w:val="nil"/>
              <w:bottom w:val="single" w:sz="4" w:space="0" w:color="auto"/>
              <w:right w:val="single" w:sz="4" w:space="0" w:color="auto"/>
            </w:tcBorders>
            <w:shd w:val="clear" w:color="auto" w:fill="auto"/>
            <w:noWrap/>
            <w:vAlign w:val="bottom"/>
            <w:hideMark/>
          </w:tcPr>
          <w:p w14:paraId="245961B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4FAF6F9C"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67538C6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0B3E4DD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Depreciation</w:t>
            </w:r>
          </w:p>
        </w:tc>
        <w:tc>
          <w:tcPr>
            <w:tcW w:w="129" w:type="dxa"/>
            <w:tcBorders>
              <w:top w:val="nil"/>
              <w:left w:val="nil"/>
              <w:bottom w:val="single" w:sz="4" w:space="0" w:color="auto"/>
              <w:right w:val="single" w:sz="4" w:space="0" w:color="auto"/>
            </w:tcBorders>
            <w:shd w:val="clear" w:color="auto" w:fill="auto"/>
            <w:noWrap/>
            <w:vAlign w:val="bottom"/>
            <w:hideMark/>
          </w:tcPr>
          <w:p w14:paraId="703E208D"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1A73B870"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100</w:t>
            </w:r>
          </w:p>
        </w:tc>
        <w:tc>
          <w:tcPr>
            <w:tcW w:w="712" w:type="dxa"/>
            <w:tcBorders>
              <w:top w:val="nil"/>
              <w:left w:val="nil"/>
              <w:bottom w:val="single" w:sz="4" w:space="0" w:color="auto"/>
              <w:right w:val="single" w:sz="4" w:space="0" w:color="auto"/>
            </w:tcBorders>
            <w:shd w:val="clear" w:color="auto" w:fill="auto"/>
            <w:noWrap/>
            <w:vAlign w:val="bottom"/>
            <w:hideMark/>
          </w:tcPr>
          <w:p w14:paraId="647753DD"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50D92172"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110</w:t>
            </w:r>
          </w:p>
        </w:tc>
        <w:tc>
          <w:tcPr>
            <w:tcW w:w="712" w:type="dxa"/>
            <w:tcBorders>
              <w:top w:val="nil"/>
              <w:left w:val="nil"/>
              <w:bottom w:val="single" w:sz="4" w:space="0" w:color="auto"/>
              <w:right w:val="single" w:sz="4" w:space="0" w:color="auto"/>
            </w:tcBorders>
            <w:shd w:val="clear" w:color="auto" w:fill="auto"/>
            <w:noWrap/>
            <w:vAlign w:val="bottom"/>
            <w:hideMark/>
          </w:tcPr>
          <w:p w14:paraId="34E4FC4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38743627"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18598D83"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3E96AC43"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Insurance</w:t>
            </w:r>
          </w:p>
        </w:tc>
        <w:tc>
          <w:tcPr>
            <w:tcW w:w="129" w:type="dxa"/>
            <w:tcBorders>
              <w:top w:val="nil"/>
              <w:left w:val="nil"/>
              <w:bottom w:val="single" w:sz="4" w:space="0" w:color="auto"/>
              <w:right w:val="single" w:sz="4" w:space="0" w:color="auto"/>
            </w:tcBorders>
            <w:shd w:val="clear" w:color="auto" w:fill="auto"/>
            <w:noWrap/>
            <w:vAlign w:val="bottom"/>
            <w:hideMark/>
          </w:tcPr>
          <w:p w14:paraId="355B5FBB"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0D74572A"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65</w:t>
            </w:r>
          </w:p>
        </w:tc>
        <w:tc>
          <w:tcPr>
            <w:tcW w:w="712" w:type="dxa"/>
            <w:tcBorders>
              <w:top w:val="nil"/>
              <w:left w:val="nil"/>
              <w:bottom w:val="single" w:sz="4" w:space="0" w:color="auto"/>
              <w:right w:val="single" w:sz="4" w:space="0" w:color="auto"/>
            </w:tcBorders>
            <w:shd w:val="clear" w:color="auto" w:fill="auto"/>
            <w:noWrap/>
            <w:vAlign w:val="bottom"/>
            <w:hideMark/>
          </w:tcPr>
          <w:p w14:paraId="43408BA6"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1E3A2B49"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65</w:t>
            </w:r>
          </w:p>
        </w:tc>
        <w:tc>
          <w:tcPr>
            <w:tcW w:w="712" w:type="dxa"/>
            <w:tcBorders>
              <w:top w:val="nil"/>
              <w:left w:val="nil"/>
              <w:bottom w:val="single" w:sz="4" w:space="0" w:color="auto"/>
              <w:right w:val="single" w:sz="4" w:space="0" w:color="auto"/>
            </w:tcBorders>
            <w:shd w:val="clear" w:color="auto" w:fill="auto"/>
            <w:noWrap/>
            <w:vAlign w:val="bottom"/>
            <w:hideMark/>
          </w:tcPr>
          <w:p w14:paraId="389B4A0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139F87E1"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5D4E4BC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1FBF35A5"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Repairs</w:t>
            </w:r>
          </w:p>
        </w:tc>
        <w:tc>
          <w:tcPr>
            <w:tcW w:w="129" w:type="dxa"/>
            <w:tcBorders>
              <w:top w:val="nil"/>
              <w:left w:val="nil"/>
              <w:bottom w:val="single" w:sz="4" w:space="0" w:color="auto"/>
              <w:right w:val="single" w:sz="4" w:space="0" w:color="auto"/>
            </w:tcBorders>
            <w:shd w:val="clear" w:color="auto" w:fill="auto"/>
            <w:noWrap/>
            <w:vAlign w:val="bottom"/>
            <w:hideMark/>
          </w:tcPr>
          <w:p w14:paraId="0579AE92"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282AD049"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160</w:t>
            </w:r>
          </w:p>
        </w:tc>
        <w:tc>
          <w:tcPr>
            <w:tcW w:w="712" w:type="dxa"/>
            <w:tcBorders>
              <w:top w:val="nil"/>
              <w:left w:val="nil"/>
              <w:bottom w:val="single" w:sz="4" w:space="0" w:color="auto"/>
              <w:right w:val="single" w:sz="4" w:space="0" w:color="auto"/>
            </w:tcBorders>
            <w:shd w:val="clear" w:color="auto" w:fill="auto"/>
            <w:noWrap/>
            <w:vAlign w:val="bottom"/>
            <w:hideMark/>
          </w:tcPr>
          <w:p w14:paraId="0D8551AC"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4E9ADC18"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90</w:t>
            </w:r>
          </w:p>
        </w:tc>
        <w:tc>
          <w:tcPr>
            <w:tcW w:w="712" w:type="dxa"/>
            <w:tcBorders>
              <w:top w:val="nil"/>
              <w:left w:val="nil"/>
              <w:bottom w:val="single" w:sz="4" w:space="0" w:color="auto"/>
              <w:right w:val="single" w:sz="4" w:space="0" w:color="auto"/>
            </w:tcBorders>
            <w:shd w:val="clear" w:color="auto" w:fill="auto"/>
            <w:noWrap/>
            <w:vAlign w:val="bottom"/>
            <w:hideMark/>
          </w:tcPr>
          <w:p w14:paraId="25FA6FCB"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6B67DD95"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6A2C8100"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485DDB07"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Bad Debts</w:t>
            </w:r>
          </w:p>
        </w:tc>
        <w:tc>
          <w:tcPr>
            <w:tcW w:w="129" w:type="dxa"/>
            <w:tcBorders>
              <w:top w:val="nil"/>
              <w:left w:val="nil"/>
              <w:bottom w:val="single" w:sz="4" w:space="0" w:color="auto"/>
              <w:right w:val="single" w:sz="4" w:space="0" w:color="auto"/>
            </w:tcBorders>
            <w:shd w:val="clear" w:color="auto" w:fill="auto"/>
            <w:noWrap/>
            <w:vAlign w:val="bottom"/>
            <w:hideMark/>
          </w:tcPr>
          <w:p w14:paraId="53A88950"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03A89FE0"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40</w:t>
            </w:r>
          </w:p>
        </w:tc>
        <w:tc>
          <w:tcPr>
            <w:tcW w:w="712" w:type="dxa"/>
            <w:tcBorders>
              <w:top w:val="nil"/>
              <w:left w:val="nil"/>
              <w:bottom w:val="single" w:sz="4" w:space="0" w:color="auto"/>
              <w:right w:val="single" w:sz="4" w:space="0" w:color="auto"/>
            </w:tcBorders>
            <w:shd w:val="clear" w:color="auto" w:fill="auto"/>
            <w:noWrap/>
            <w:vAlign w:val="bottom"/>
            <w:hideMark/>
          </w:tcPr>
          <w:p w14:paraId="770A17BC"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593D6C73"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78</w:t>
            </w:r>
          </w:p>
        </w:tc>
        <w:tc>
          <w:tcPr>
            <w:tcW w:w="712" w:type="dxa"/>
            <w:tcBorders>
              <w:top w:val="nil"/>
              <w:left w:val="nil"/>
              <w:bottom w:val="single" w:sz="4" w:space="0" w:color="auto"/>
              <w:right w:val="single" w:sz="4" w:space="0" w:color="auto"/>
            </w:tcBorders>
            <w:shd w:val="clear" w:color="auto" w:fill="auto"/>
            <w:noWrap/>
            <w:vAlign w:val="bottom"/>
            <w:hideMark/>
          </w:tcPr>
          <w:p w14:paraId="24765A03"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4DE23439"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0AAC9BB0"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1ADD5A79"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Salaries</w:t>
            </w:r>
          </w:p>
        </w:tc>
        <w:tc>
          <w:tcPr>
            <w:tcW w:w="129" w:type="dxa"/>
            <w:tcBorders>
              <w:top w:val="nil"/>
              <w:left w:val="nil"/>
              <w:bottom w:val="single" w:sz="4" w:space="0" w:color="auto"/>
              <w:right w:val="single" w:sz="4" w:space="0" w:color="auto"/>
            </w:tcBorders>
            <w:shd w:val="clear" w:color="auto" w:fill="auto"/>
            <w:noWrap/>
            <w:vAlign w:val="bottom"/>
            <w:hideMark/>
          </w:tcPr>
          <w:p w14:paraId="38E49BE4"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353D3BB1"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140</w:t>
            </w:r>
          </w:p>
        </w:tc>
        <w:tc>
          <w:tcPr>
            <w:tcW w:w="712" w:type="dxa"/>
            <w:tcBorders>
              <w:top w:val="nil"/>
              <w:left w:val="nil"/>
              <w:bottom w:val="single" w:sz="4" w:space="0" w:color="auto"/>
              <w:right w:val="single" w:sz="4" w:space="0" w:color="auto"/>
            </w:tcBorders>
            <w:shd w:val="clear" w:color="auto" w:fill="auto"/>
            <w:noWrap/>
            <w:vAlign w:val="bottom"/>
            <w:hideMark/>
          </w:tcPr>
          <w:p w14:paraId="0927C22E"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5551201F"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135</w:t>
            </w:r>
          </w:p>
        </w:tc>
        <w:tc>
          <w:tcPr>
            <w:tcW w:w="712" w:type="dxa"/>
            <w:tcBorders>
              <w:top w:val="nil"/>
              <w:left w:val="nil"/>
              <w:bottom w:val="single" w:sz="4" w:space="0" w:color="auto"/>
              <w:right w:val="single" w:sz="4" w:space="0" w:color="auto"/>
            </w:tcBorders>
            <w:shd w:val="clear" w:color="auto" w:fill="auto"/>
            <w:noWrap/>
            <w:vAlign w:val="bottom"/>
            <w:hideMark/>
          </w:tcPr>
          <w:p w14:paraId="244A350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1DA2A877"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79FA5C40"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center"/>
            <w:hideMark/>
          </w:tcPr>
          <w:p w14:paraId="14B1F286"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Loan Interest</w:t>
            </w:r>
          </w:p>
        </w:tc>
        <w:tc>
          <w:tcPr>
            <w:tcW w:w="129" w:type="dxa"/>
            <w:tcBorders>
              <w:top w:val="nil"/>
              <w:left w:val="nil"/>
              <w:bottom w:val="single" w:sz="4" w:space="0" w:color="auto"/>
              <w:right w:val="single" w:sz="4" w:space="0" w:color="auto"/>
            </w:tcBorders>
            <w:shd w:val="clear" w:color="auto" w:fill="auto"/>
            <w:noWrap/>
            <w:vAlign w:val="bottom"/>
            <w:hideMark/>
          </w:tcPr>
          <w:p w14:paraId="09B1A81E"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7F8B4B87"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20</w:t>
            </w:r>
          </w:p>
        </w:tc>
        <w:tc>
          <w:tcPr>
            <w:tcW w:w="712" w:type="dxa"/>
            <w:tcBorders>
              <w:top w:val="nil"/>
              <w:left w:val="nil"/>
              <w:bottom w:val="single" w:sz="4" w:space="0" w:color="auto"/>
              <w:right w:val="single" w:sz="4" w:space="0" w:color="auto"/>
            </w:tcBorders>
            <w:shd w:val="clear" w:color="auto" w:fill="auto"/>
            <w:noWrap/>
            <w:vAlign w:val="bottom"/>
            <w:hideMark/>
          </w:tcPr>
          <w:p w14:paraId="1DDD88E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56DAFB49"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18</w:t>
            </w:r>
          </w:p>
        </w:tc>
        <w:tc>
          <w:tcPr>
            <w:tcW w:w="712" w:type="dxa"/>
            <w:tcBorders>
              <w:top w:val="nil"/>
              <w:left w:val="nil"/>
              <w:bottom w:val="single" w:sz="4" w:space="0" w:color="auto"/>
              <w:right w:val="single" w:sz="4" w:space="0" w:color="auto"/>
            </w:tcBorders>
            <w:shd w:val="clear" w:color="auto" w:fill="auto"/>
            <w:noWrap/>
            <w:vAlign w:val="bottom"/>
            <w:hideMark/>
          </w:tcPr>
          <w:p w14:paraId="29E6FDC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r>
      <w:tr w:rsidR="00FE1C37" w:rsidRPr="00FE1C37" w14:paraId="4390D6A6"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hideMark/>
          </w:tcPr>
          <w:p w14:paraId="0425A9A9"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single" w:sz="4" w:space="0" w:color="auto"/>
              <w:right w:val="single" w:sz="4" w:space="0" w:color="auto"/>
            </w:tcBorders>
            <w:shd w:val="clear" w:color="auto" w:fill="auto"/>
            <w:noWrap/>
            <w:vAlign w:val="bottom"/>
            <w:hideMark/>
          </w:tcPr>
          <w:p w14:paraId="33EA765C"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129" w:type="dxa"/>
            <w:tcBorders>
              <w:top w:val="nil"/>
              <w:left w:val="nil"/>
              <w:bottom w:val="single" w:sz="4" w:space="0" w:color="auto"/>
              <w:right w:val="single" w:sz="4" w:space="0" w:color="auto"/>
            </w:tcBorders>
            <w:shd w:val="clear" w:color="auto" w:fill="auto"/>
            <w:noWrap/>
            <w:vAlign w:val="bottom"/>
            <w:hideMark/>
          </w:tcPr>
          <w:p w14:paraId="44CB8994"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4F69CAA8"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28906B58"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1042</w:t>
            </w:r>
          </w:p>
        </w:tc>
        <w:tc>
          <w:tcPr>
            <w:tcW w:w="712" w:type="dxa"/>
            <w:tcBorders>
              <w:top w:val="nil"/>
              <w:left w:val="nil"/>
              <w:bottom w:val="single" w:sz="4" w:space="0" w:color="auto"/>
              <w:right w:val="single" w:sz="4" w:space="0" w:color="auto"/>
            </w:tcBorders>
            <w:shd w:val="clear" w:color="auto" w:fill="auto"/>
            <w:noWrap/>
            <w:vAlign w:val="bottom"/>
            <w:hideMark/>
          </w:tcPr>
          <w:p w14:paraId="4772E06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single" w:sz="4" w:space="0" w:color="auto"/>
              <w:right w:val="single" w:sz="4" w:space="0" w:color="auto"/>
            </w:tcBorders>
            <w:shd w:val="clear" w:color="auto" w:fill="auto"/>
            <w:noWrap/>
            <w:vAlign w:val="bottom"/>
            <w:hideMark/>
          </w:tcPr>
          <w:p w14:paraId="1D182D5C" w14:textId="77777777" w:rsidR="00FE1C37" w:rsidRPr="00FE1C37" w:rsidRDefault="00FE1C37" w:rsidP="00FE1C37">
            <w:pPr>
              <w:spacing w:after="0" w:line="240" w:lineRule="auto"/>
              <w:jc w:val="right"/>
              <w:rPr>
                <w:rFonts w:eastAsia="Times New Roman" w:cs="Times New Roman"/>
                <w:color w:val="000000"/>
                <w:sz w:val="22"/>
                <w:lang w:val="en-GB" w:eastAsia="en-GB"/>
              </w:rPr>
            </w:pPr>
            <w:r w:rsidRPr="00FE1C37">
              <w:rPr>
                <w:rFonts w:eastAsia="Times New Roman" w:cs="Times New Roman"/>
                <w:color w:val="000000"/>
                <w:sz w:val="22"/>
                <w:lang w:val="en-GB" w:eastAsia="en-GB"/>
              </w:rPr>
              <w:t>1077</w:t>
            </w:r>
          </w:p>
        </w:tc>
      </w:tr>
      <w:tr w:rsidR="00FE1C37" w:rsidRPr="00FE1C37" w14:paraId="4B32540D" w14:textId="77777777" w:rsidTr="00FE1C37">
        <w:trPr>
          <w:trHeight w:val="300"/>
        </w:trPr>
        <w:tc>
          <w:tcPr>
            <w:tcW w:w="658" w:type="dxa"/>
            <w:tcBorders>
              <w:top w:val="nil"/>
              <w:left w:val="single" w:sz="4" w:space="0" w:color="auto"/>
              <w:bottom w:val="nil"/>
              <w:right w:val="single" w:sz="4" w:space="0" w:color="auto"/>
            </w:tcBorders>
            <w:shd w:val="clear" w:color="auto" w:fill="auto"/>
            <w:noWrap/>
            <w:vAlign w:val="bottom"/>
            <w:hideMark/>
          </w:tcPr>
          <w:p w14:paraId="268768EF"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3285" w:type="dxa"/>
            <w:tcBorders>
              <w:top w:val="nil"/>
              <w:left w:val="nil"/>
              <w:bottom w:val="nil"/>
              <w:right w:val="single" w:sz="4" w:space="0" w:color="auto"/>
            </w:tcBorders>
            <w:shd w:val="clear" w:color="auto" w:fill="auto"/>
            <w:noWrap/>
            <w:vAlign w:val="bottom"/>
            <w:hideMark/>
          </w:tcPr>
          <w:p w14:paraId="33D16F5E" w14:textId="77777777" w:rsidR="00FE1C37" w:rsidRPr="00FE1C37" w:rsidRDefault="00FE1C37" w:rsidP="00FE1C37">
            <w:pPr>
              <w:spacing w:after="0" w:line="240" w:lineRule="auto"/>
              <w:jc w:val="left"/>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Net Profit for the Year</w:t>
            </w:r>
          </w:p>
        </w:tc>
        <w:tc>
          <w:tcPr>
            <w:tcW w:w="129" w:type="dxa"/>
            <w:tcBorders>
              <w:top w:val="nil"/>
              <w:left w:val="nil"/>
              <w:bottom w:val="nil"/>
              <w:right w:val="single" w:sz="4" w:space="0" w:color="auto"/>
            </w:tcBorders>
            <w:shd w:val="clear" w:color="auto" w:fill="auto"/>
            <w:noWrap/>
            <w:vAlign w:val="bottom"/>
            <w:hideMark/>
          </w:tcPr>
          <w:p w14:paraId="04AA3B20"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nil"/>
              <w:right w:val="single" w:sz="4" w:space="0" w:color="auto"/>
            </w:tcBorders>
            <w:shd w:val="clear" w:color="auto" w:fill="auto"/>
            <w:noWrap/>
            <w:vAlign w:val="bottom"/>
            <w:hideMark/>
          </w:tcPr>
          <w:p w14:paraId="11AAE32A" w14:textId="77777777" w:rsidR="00FE1C37" w:rsidRPr="00FE1C37" w:rsidRDefault="00FE1C37" w:rsidP="00FE1C37">
            <w:pPr>
              <w:spacing w:after="0" w:line="240" w:lineRule="auto"/>
              <w:jc w:val="left"/>
              <w:rPr>
                <w:rFonts w:eastAsia="Times New Roman" w:cs="Times New Roman"/>
                <w:color w:val="000000"/>
                <w:sz w:val="22"/>
                <w:lang w:val="en-GB" w:eastAsia="en-GB"/>
              </w:rPr>
            </w:pPr>
            <w:r w:rsidRPr="00FE1C37">
              <w:rPr>
                <w:rFonts w:eastAsia="Times New Roman" w:cs="Times New Roman"/>
                <w:color w:val="000000"/>
                <w:sz w:val="22"/>
                <w:lang w:val="en-GB" w:eastAsia="en-GB"/>
              </w:rPr>
              <w:t> </w:t>
            </w:r>
          </w:p>
        </w:tc>
        <w:tc>
          <w:tcPr>
            <w:tcW w:w="712" w:type="dxa"/>
            <w:tcBorders>
              <w:top w:val="nil"/>
              <w:left w:val="nil"/>
              <w:bottom w:val="nil"/>
              <w:right w:val="single" w:sz="4" w:space="0" w:color="auto"/>
            </w:tcBorders>
            <w:shd w:val="clear" w:color="auto" w:fill="auto"/>
            <w:noWrap/>
            <w:vAlign w:val="bottom"/>
            <w:hideMark/>
          </w:tcPr>
          <w:p w14:paraId="63D97FFF" w14:textId="77777777" w:rsidR="00FE1C37" w:rsidRPr="00FE1C37" w:rsidRDefault="00FE1C37" w:rsidP="00FE1C37">
            <w:pPr>
              <w:spacing w:after="0" w:line="240" w:lineRule="auto"/>
              <w:jc w:val="right"/>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4008</w:t>
            </w:r>
          </w:p>
        </w:tc>
        <w:tc>
          <w:tcPr>
            <w:tcW w:w="712" w:type="dxa"/>
            <w:tcBorders>
              <w:top w:val="nil"/>
              <w:left w:val="nil"/>
              <w:bottom w:val="nil"/>
              <w:right w:val="single" w:sz="4" w:space="0" w:color="auto"/>
            </w:tcBorders>
            <w:shd w:val="clear" w:color="auto" w:fill="auto"/>
            <w:noWrap/>
            <w:vAlign w:val="bottom"/>
            <w:hideMark/>
          </w:tcPr>
          <w:p w14:paraId="2A104D41" w14:textId="77777777" w:rsidR="00FE1C37" w:rsidRPr="00FE1C37" w:rsidRDefault="00FE1C37" w:rsidP="00FE1C37">
            <w:pPr>
              <w:spacing w:after="0" w:line="240" w:lineRule="auto"/>
              <w:jc w:val="left"/>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 </w:t>
            </w:r>
          </w:p>
        </w:tc>
        <w:tc>
          <w:tcPr>
            <w:tcW w:w="712" w:type="dxa"/>
            <w:tcBorders>
              <w:top w:val="nil"/>
              <w:left w:val="nil"/>
              <w:bottom w:val="nil"/>
              <w:right w:val="single" w:sz="4" w:space="0" w:color="auto"/>
            </w:tcBorders>
            <w:shd w:val="clear" w:color="auto" w:fill="auto"/>
            <w:noWrap/>
            <w:vAlign w:val="bottom"/>
            <w:hideMark/>
          </w:tcPr>
          <w:p w14:paraId="4E707481" w14:textId="77777777" w:rsidR="00FE1C37" w:rsidRPr="00FE1C37" w:rsidRDefault="00FE1C37" w:rsidP="00FE1C37">
            <w:pPr>
              <w:spacing w:after="0" w:line="240" w:lineRule="auto"/>
              <w:jc w:val="right"/>
              <w:rPr>
                <w:rFonts w:eastAsia="Times New Roman" w:cs="Times New Roman"/>
                <w:b/>
                <w:bCs/>
                <w:color w:val="000000"/>
                <w:sz w:val="22"/>
                <w:lang w:val="en-GB" w:eastAsia="en-GB"/>
              </w:rPr>
            </w:pPr>
            <w:r w:rsidRPr="00FE1C37">
              <w:rPr>
                <w:rFonts w:eastAsia="Times New Roman" w:cs="Times New Roman"/>
                <w:b/>
                <w:bCs/>
                <w:color w:val="000000"/>
                <w:sz w:val="22"/>
                <w:lang w:val="en-GB" w:eastAsia="en-GB"/>
              </w:rPr>
              <w:t>4073</w:t>
            </w:r>
          </w:p>
        </w:tc>
      </w:tr>
      <w:tr w:rsidR="00FE1C37" w:rsidRPr="00FE1C37" w14:paraId="35E4C0AE" w14:textId="77777777" w:rsidTr="00FE1C37">
        <w:trPr>
          <w:trHeight w:val="300"/>
        </w:trPr>
        <w:tc>
          <w:tcPr>
            <w:tcW w:w="658" w:type="dxa"/>
            <w:tcBorders>
              <w:top w:val="nil"/>
              <w:left w:val="single" w:sz="4" w:space="0" w:color="auto"/>
              <w:bottom w:val="single" w:sz="4" w:space="0" w:color="auto"/>
              <w:right w:val="single" w:sz="4" w:space="0" w:color="auto"/>
            </w:tcBorders>
            <w:shd w:val="clear" w:color="auto" w:fill="auto"/>
            <w:noWrap/>
            <w:vAlign w:val="bottom"/>
          </w:tcPr>
          <w:p w14:paraId="5B740701" w14:textId="77777777" w:rsidR="00FE1C37" w:rsidRPr="00FE1C37" w:rsidRDefault="00FE1C37" w:rsidP="00FE1C37">
            <w:pPr>
              <w:spacing w:after="0" w:line="240" w:lineRule="auto"/>
              <w:jc w:val="left"/>
              <w:rPr>
                <w:rFonts w:eastAsia="Times New Roman" w:cs="Times New Roman"/>
                <w:color w:val="000000"/>
                <w:sz w:val="22"/>
                <w:lang w:val="en-GB" w:eastAsia="en-GB"/>
              </w:rPr>
            </w:pPr>
          </w:p>
        </w:tc>
        <w:tc>
          <w:tcPr>
            <w:tcW w:w="3285" w:type="dxa"/>
            <w:tcBorders>
              <w:top w:val="nil"/>
              <w:left w:val="nil"/>
              <w:bottom w:val="single" w:sz="4" w:space="0" w:color="auto"/>
              <w:right w:val="single" w:sz="4" w:space="0" w:color="auto"/>
            </w:tcBorders>
            <w:shd w:val="clear" w:color="auto" w:fill="auto"/>
            <w:noWrap/>
            <w:vAlign w:val="bottom"/>
          </w:tcPr>
          <w:p w14:paraId="0D3D9ADE" w14:textId="77777777" w:rsidR="00FE1C37" w:rsidRPr="00FE1C37" w:rsidRDefault="00FE1C37" w:rsidP="00FE1C37">
            <w:pPr>
              <w:spacing w:after="0" w:line="240" w:lineRule="auto"/>
              <w:jc w:val="left"/>
              <w:rPr>
                <w:rFonts w:eastAsia="Times New Roman" w:cs="Times New Roman"/>
                <w:b/>
                <w:bCs/>
                <w:color w:val="000000"/>
                <w:sz w:val="22"/>
                <w:lang w:val="en-GB" w:eastAsia="en-GB"/>
              </w:rPr>
            </w:pPr>
          </w:p>
        </w:tc>
        <w:tc>
          <w:tcPr>
            <w:tcW w:w="129" w:type="dxa"/>
            <w:tcBorders>
              <w:top w:val="nil"/>
              <w:left w:val="nil"/>
              <w:bottom w:val="single" w:sz="4" w:space="0" w:color="auto"/>
              <w:right w:val="single" w:sz="4" w:space="0" w:color="auto"/>
            </w:tcBorders>
            <w:shd w:val="clear" w:color="auto" w:fill="auto"/>
            <w:noWrap/>
            <w:vAlign w:val="bottom"/>
          </w:tcPr>
          <w:p w14:paraId="0F6AE089" w14:textId="77777777" w:rsidR="00FE1C37" w:rsidRPr="00FE1C37" w:rsidRDefault="00FE1C37" w:rsidP="00FE1C37">
            <w:pPr>
              <w:spacing w:after="0" w:line="240" w:lineRule="auto"/>
              <w:jc w:val="left"/>
              <w:rPr>
                <w:rFonts w:eastAsia="Times New Roman" w:cs="Times New Roman"/>
                <w:color w:val="000000"/>
                <w:sz w:val="22"/>
                <w:lang w:val="en-GB" w:eastAsia="en-GB"/>
              </w:rPr>
            </w:pPr>
          </w:p>
        </w:tc>
        <w:tc>
          <w:tcPr>
            <w:tcW w:w="712" w:type="dxa"/>
            <w:tcBorders>
              <w:top w:val="nil"/>
              <w:left w:val="nil"/>
              <w:bottom w:val="single" w:sz="4" w:space="0" w:color="auto"/>
              <w:right w:val="single" w:sz="4" w:space="0" w:color="auto"/>
            </w:tcBorders>
            <w:shd w:val="clear" w:color="auto" w:fill="auto"/>
            <w:noWrap/>
            <w:vAlign w:val="bottom"/>
          </w:tcPr>
          <w:p w14:paraId="1234AFDB" w14:textId="77777777" w:rsidR="00FE1C37" w:rsidRPr="00FE1C37" w:rsidRDefault="00FE1C37" w:rsidP="00FE1C37">
            <w:pPr>
              <w:spacing w:after="0" w:line="240" w:lineRule="auto"/>
              <w:jc w:val="left"/>
              <w:rPr>
                <w:rFonts w:eastAsia="Times New Roman" w:cs="Times New Roman"/>
                <w:color w:val="000000"/>
                <w:sz w:val="22"/>
                <w:lang w:val="en-GB" w:eastAsia="en-GB"/>
              </w:rPr>
            </w:pPr>
          </w:p>
        </w:tc>
        <w:tc>
          <w:tcPr>
            <w:tcW w:w="712" w:type="dxa"/>
            <w:tcBorders>
              <w:top w:val="nil"/>
              <w:left w:val="nil"/>
              <w:bottom w:val="single" w:sz="4" w:space="0" w:color="auto"/>
              <w:right w:val="single" w:sz="4" w:space="0" w:color="auto"/>
            </w:tcBorders>
            <w:shd w:val="clear" w:color="auto" w:fill="auto"/>
            <w:noWrap/>
            <w:vAlign w:val="bottom"/>
          </w:tcPr>
          <w:p w14:paraId="0A4B0DFF" w14:textId="77777777" w:rsidR="00FE1C37" w:rsidRPr="00FE1C37" w:rsidRDefault="00FE1C37" w:rsidP="00FE1C37">
            <w:pPr>
              <w:spacing w:after="0" w:line="240" w:lineRule="auto"/>
              <w:jc w:val="right"/>
              <w:rPr>
                <w:rFonts w:eastAsia="Times New Roman" w:cs="Times New Roman"/>
                <w:b/>
                <w:bCs/>
                <w:color w:val="000000"/>
                <w:sz w:val="22"/>
                <w:lang w:val="en-GB" w:eastAsia="en-GB"/>
              </w:rPr>
            </w:pPr>
          </w:p>
        </w:tc>
        <w:tc>
          <w:tcPr>
            <w:tcW w:w="712" w:type="dxa"/>
            <w:tcBorders>
              <w:top w:val="nil"/>
              <w:left w:val="nil"/>
              <w:bottom w:val="single" w:sz="4" w:space="0" w:color="auto"/>
              <w:right w:val="single" w:sz="4" w:space="0" w:color="auto"/>
            </w:tcBorders>
            <w:shd w:val="clear" w:color="auto" w:fill="auto"/>
            <w:noWrap/>
            <w:vAlign w:val="bottom"/>
          </w:tcPr>
          <w:p w14:paraId="7C64B445" w14:textId="77777777" w:rsidR="00FE1C37" w:rsidRPr="00FE1C37" w:rsidRDefault="00FE1C37" w:rsidP="00FE1C37">
            <w:pPr>
              <w:spacing w:after="0" w:line="240" w:lineRule="auto"/>
              <w:jc w:val="left"/>
              <w:rPr>
                <w:rFonts w:eastAsia="Times New Roman" w:cs="Times New Roman"/>
                <w:b/>
                <w:bCs/>
                <w:color w:val="000000"/>
                <w:sz w:val="22"/>
                <w:lang w:val="en-GB" w:eastAsia="en-GB"/>
              </w:rPr>
            </w:pPr>
          </w:p>
        </w:tc>
        <w:tc>
          <w:tcPr>
            <w:tcW w:w="712" w:type="dxa"/>
            <w:tcBorders>
              <w:top w:val="nil"/>
              <w:left w:val="nil"/>
              <w:bottom w:val="single" w:sz="4" w:space="0" w:color="auto"/>
              <w:right w:val="single" w:sz="4" w:space="0" w:color="auto"/>
            </w:tcBorders>
            <w:shd w:val="clear" w:color="auto" w:fill="auto"/>
            <w:noWrap/>
            <w:vAlign w:val="bottom"/>
          </w:tcPr>
          <w:p w14:paraId="3E64A398" w14:textId="77777777" w:rsidR="00FE1C37" w:rsidRPr="00FE1C37" w:rsidRDefault="00FE1C37" w:rsidP="00FE1C37">
            <w:pPr>
              <w:spacing w:after="0" w:line="240" w:lineRule="auto"/>
              <w:jc w:val="right"/>
              <w:rPr>
                <w:rFonts w:eastAsia="Times New Roman" w:cs="Times New Roman"/>
                <w:b/>
                <w:bCs/>
                <w:color w:val="000000"/>
                <w:sz w:val="22"/>
                <w:lang w:val="en-GB" w:eastAsia="en-GB"/>
              </w:rPr>
            </w:pPr>
          </w:p>
        </w:tc>
      </w:tr>
    </w:tbl>
    <w:p w14:paraId="55A57FD2" w14:textId="23C0B179" w:rsidR="00FE1C37" w:rsidRDefault="00FE1C37" w:rsidP="00F328BE"/>
    <w:tbl>
      <w:tblPr>
        <w:tblW w:w="0" w:type="auto"/>
        <w:tblLayout w:type="fixed"/>
        <w:tblCellMar>
          <w:left w:w="30" w:type="dxa"/>
          <w:right w:w="30" w:type="dxa"/>
        </w:tblCellMar>
        <w:tblLook w:val="0000" w:firstRow="0" w:lastRow="0" w:firstColumn="0" w:lastColumn="0" w:noHBand="0" w:noVBand="0"/>
      </w:tblPr>
      <w:tblGrid>
        <w:gridCol w:w="1032"/>
        <w:gridCol w:w="1032"/>
        <w:gridCol w:w="1241"/>
        <w:gridCol w:w="1032"/>
        <w:gridCol w:w="1032"/>
        <w:gridCol w:w="1032"/>
        <w:gridCol w:w="1032"/>
      </w:tblGrid>
      <w:tr w:rsidR="00FE1C37" w14:paraId="7678BDE9"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shd w:val="solid" w:color="0066CC" w:fill="auto"/>
          </w:tcPr>
          <w:p w14:paraId="7B510690" w14:textId="77777777" w:rsidR="00FE1C37" w:rsidRDefault="00FE1C37">
            <w:pPr>
              <w:autoSpaceDE w:val="0"/>
              <w:autoSpaceDN w:val="0"/>
              <w:adjustRightInd w:val="0"/>
              <w:spacing w:after="0" w:line="240" w:lineRule="auto"/>
              <w:jc w:val="center"/>
              <w:rPr>
                <w:rFonts w:cs="Times New Roman"/>
                <w:color w:val="000000"/>
                <w:sz w:val="22"/>
                <w:lang w:val="en-GB"/>
              </w:rPr>
            </w:pPr>
            <w:proofErr w:type="spellStart"/>
            <w:r>
              <w:rPr>
                <w:rFonts w:cs="Times New Roman"/>
                <w:color w:val="000000"/>
                <w:sz w:val="22"/>
                <w:lang w:val="en-GB"/>
              </w:rPr>
              <w:t>zxsxs</w:t>
            </w:r>
            <w:proofErr w:type="spellEnd"/>
          </w:p>
        </w:tc>
        <w:tc>
          <w:tcPr>
            <w:tcW w:w="1032" w:type="dxa"/>
            <w:tcBorders>
              <w:top w:val="single" w:sz="6" w:space="0" w:color="auto"/>
              <w:left w:val="single" w:sz="6" w:space="0" w:color="auto"/>
              <w:bottom w:val="single" w:sz="6" w:space="0" w:color="auto"/>
              <w:right w:val="single" w:sz="6" w:space="0" w:color="auto"/>
            </w:tcBorders>
            <w:shd w:val="solid" w:color="0066CC" w:fill="auto"/>
          </w:tcPr>
          <w:p w14:paraId="6E75B2B4" w14:textId="77777777" w:rsidR="00FE1C37" w:rsidRDefault="00FE1C37">
            <w:pPr>
              <w:autoSpaceDE w:val="0"/>
              <w:autoSpaceDN w:val="0"/>
              <w:adjustRightInd w:val="0"/>
              <w:spacing w:after="0" w:line="240" w:lineRule="auto"/>
              <w:jc w:val="center"/>
              <w:rPr>
                <w:rFonts w:cs="Times New Roman"/>
                <w:color w:val="000000"/>
                <w:sz w:val="22"/>
                <w:lang w:val="en-GB"/>
              </w:rPr>
            </w:pPr>
          </w:p>
        </w:tc>
        <w:tc>
          <w:tcPr>
            <w:tcW w:w="1241" w:type="dxa"/>
            <w:tcBorders>
              <w:top w:val="single" w:sz="6" w:space="0" w:color="auto"/>
              <w:left w:val="single" w:sz="6" w:space="0" w:color="auto"/>
              <w:bottom w:val="single" w:sz="6" w:space="0" w:color="auto"/>
              <w:right w:val="single" w:sz="6" w:space="0" w:color="auto"/>
            </w:tcBorders>
            <w:shd w:val="solid" w:color="0066CC" w:fill="auto"/>
          </w:tcPr>
          <w:p w14:paraId="34558EEA" w14:textId="77777777" w:rsidR="00FE1C37" w:rsidRDefault="00FE1C37">
            <w:pPr>
              <w:autoSpaceDE w:val="0"/>
              <w:autoSpaceDN w:val="0"/>
              <w:adjustRightInd w:val="0"/>
              <w:spacing w:after="0" w:line="240" w:lineRule="auto"/>
              <w:jc w:val="center"/>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shd w:val="solid" w:color="0066CC" w:fill="auto"/>
          </w:tcPr>
          <w:p w14:paraId="515873A9" w14:textId="77777777" w:rsidR="00FE1C37" w:rsidRDefault="00FE1C37">
            <w:pPr>
              <w:autoSpaceDE w:val="0"/>
              <w:autoSpaceDN w:val="0"/>
              <w:adjustRightInd w:val="0"/>
              <w:spacing w:after="0" w:line="240" w:lineRule="auto"/>
              <w:jc w:val="center"/>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shd w:val="solid" w:color="0066CC" w:fill="auto"/>
          </w:tcPr>
          <w:p w14:paraId="4959ED44" w14:textId="77777777" w:rsidR="00FE1C37" w:rsidRDefault="00FE1C37">
            <w:pPr>
              <w:autoSpaceDE w:val="0"/>
              <w:autoSpaceDN w:val="0"/>
              <w:adjustRightInd w:val="0"/>
              <w:spacing w:after="0" w:line="240" w:lineRule="auto"/>
              <w:jc w:val="center"/>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shd w:val="solid" w:color="0066CC" w:fill="auto"/>
          </w:tcPr>
          <w:p w14:paraId="19F01F80" w14:textId="77777777" w:rsidR="00FE1C37" w:rsidRDefault="00FE1C37">
            <w:pPr>
              <w:autoSpaceDE w:val="0"/>
              <w:autoSpaceDN w:val="0"/>
              <w:adjustRightInd w:val="0"/>
              <w:spacing w:after="0" w:line="240" w:lineRule="auto"/>
              <w:jc w:val="center"/>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shd w:val="solid" w:color="0066CC" w:fill="auto"/>
          </w:tcPr>
          <w:p w14:paraId="2BF52427" w14:textId="77777777" w:rsidR="00FE1C37" w:rsidRDefault="00FE1C37">
            <w:pPr>
              <w:autoSpaceDE w:val="0"/>
              <w:autoSpaceDN w:val="0"/>
              <w:adjustRightInd w:val="0"/>
              <w:spacing w:after="0" w:line="240" w:lineRule="auto"/>
              <w:jc w:val="center"/>
              <w:rPr>
                <w:rFonts w:cs="Times New Roman"/>
                <w:color w:val="000000"/>
                <w:sz w:val="22"/>
                <w:lang w:val="en-GB"/>
              </w:rPr>
            </w:pPr>
          </w:p>
        </w:tc>
      </w:tr>
      <w:tr w:rsidR="00FE1C37" w14:paraId="1ABB89FA"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111A9A5E"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44A0D267"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241" w:type="dxa"/>
            <w:tcBorders>
              <w:top w:val="single" w:sz="6" w:space="0" w:color="auto"/>
              <w:left w:val="single" w:sz="6" w:space="0" w:color="auto"/>
              <w:bottom w:val="single" w:sz="6" w:space="0" w:color="auto"/>
              <w:right w:val="single" w:sz="6" w:space="0" w:color="auto"/>
            </w:tcBorders>
          </w:tcPr>
          <w:p w14:paraId="68B4937B"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28ABC42"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4F65235E"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60A9C7F"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10229BB1"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01EDE247"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27A909E6"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1AED7A60"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241" w:type="dxa"/>
            <w:tcBorders>
              <w:top w:val="single" w:sz="6" w:space="0" w:color="auto"/>
              <w:left w:val="single" w:sz="6" w:space="0" w:color="auto"/>
              <w:bottom w:val="single" w:sz="6" w:space="0" w:color="auto"/>
              <w:right w:val="single" w:sz="6" w:space="0" w:color="auto"/>
            </w:tcBorders>
          </w:tcPr>
          <w:p w14:paraId="237C62BC"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5E48010" w14:textId="77777777" w:rsidR="00FE1C37" w:rsidRDefault="00FE1C37">
            <w:pPr>
              <w:autoSpaceDE w:val="0"/>
              <w:autoSpaceDN w:val="0"/>
              <w:adjustRightInd w:val="0"/>
              <w:spacing w:after="0" w:line="240" w:lineRule="auto"/>
              <w:jc w:val="center"/>
              <w:rPr>
                <w:rFonts w:cs="Times New Roman"/>
                <w:b/>
                <w:bCs/>
                <w:color w:val="000000"/>
                <w:sz w:val="22"/>
                <w:lang w:val="en-GB"/>
              </w:rPr>
            </w:pPr>
            <w:r>
              <w:rPr>
                <w:rFonts w:cs="Times New Roman"/>
                <w:b/>
                <w:bCs/>
                <w:color w:val="000000"/>
                <w:sz w:val="22"/>
                <w:lang w:val="en-GB"/>
              </w:rPr>
              <w:t>2018</w:t>
            </w:r>
          </w:p>
        </w:tc>
        <w:tc>
          <w:tcPr>
            <w:tcW w:w="1032" w:type="dxa"/>
            <w:tcBorders>
              <w:top w:val="single" w:sz="6" w:space="0" w:color="auto"/>
              <w:left w:val="single" w:sz="6" w:space="0" w:color="auto"/>
              <w:bottom w:val="single" w:sz="6" w:space="0" w:color="auto"/>
              <w:right w:val="single" w:sz="6" w:space="0" w:color="auto"/>
            </w:tcBorders>
          </w:tcPr>
          <w:p w14:paraId="5A11E7BD" w14:textId="77777777" w:rsidR="00FE1C37" w:rsidRDefault="00FE1C37">
            <w:pPr>
              <w:autoSpaceDE w:val="0"/>
              <w:autoSpaceDN w:val="0"/>
              <w:adjustRightInd w:val="0"/>
              <w:spacing w:after="0" w:line="240" w:lineRule="auto"/>
              <w:jc w:val="center"/>
              <w:rPr>
                <w:rFonts w:cs="Times New Roman"/>
                <w:b/>
                <w:bCs/>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BF4164C" w14:textId="77777777" w:rsidR="00FE1C37" w:rsidRDefault="00FE1C37">
            <w:pPr>
              <w:autoSpaceDE w:val="0"/>
              <w:autoSpaceDN w:val="0"/>
              <w:adjustRightInd w:val="0"/>
              <w:spacing w:after="0" w:line="240" w:lineRule="auto"/>
              <w:jc w:val="center"/>
              <w:rPr>
                <w:rFonts w:cs="Times New Roman"/>
                <w:b/>
                <w:bCs/>
                <w:color w:val="000000"/>
                <w:sz w:val="22"/>
                <w:lang w:val="en-GB"/>
              </w:rPr>
            </w:pPr>
            <w:r>
              <w:rPr>
                <w:rFonts w:cs="Times New Roman"/>
                <w:b/>
                <w:bCs/>
                <w:color w:val="000000"/>
                <w:sz w:val="22"/>
                <w:lang w:val="en-GB"/>
              </w:rPr>
              <w:t>2019</w:t>
            </w:r>
          </w:p>
        </w:tc>
        <w:tc>
          <w:tcPr>
            <w:tcW w:w="1032" w:type="dxa"/>
            <w:tcBorders>
              <w:top w:val="single" w:sz="6" w:space="0" w:color="auto"/>
              <w:left w:val="single" w:sz="6" w:space="0" w:color="auto"/>
              <w:bottom w:val="single" w:sz="6" w:space="0" w:color="auto"/>
              <w:right w:val="single" w:sz="6" w:space="0" w:color="auto"/>
            </w:tcBorders>
          </w:tcPr>
          <w:p w14:paraId="5E085D3D" w14:textId="77777777" w:rsidR="00FE1C37" w:rsidRDefault="00FE1C37">
            <w:pPr>
              <w:autoSpaceDE w:val="0"/>
              <w:autoSpaceDN w:val="0"/>
              <w:adjustRightInd w:val="0"/>
              <w:spacing w:after="0" w:line="240" w:lineRule="auto"/>
              <w:jc w:val="center"/>
              <w:rPr>
                <w:rFonts w:cs="Times New Roman"/>
                <w:b/>
                <w:bCs/>
                <w:color w:val="000000"/>
                <w:sz w:val="22"/>
                <w:lang w:val="en-GB"/>
              </w:rPr>
            </w:pPr>
          </w:p>
        </w:tc>
      </w:tr>
      <w:tr w:rsidR="00FE1C37" w14:paraId="6A35E61C"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1E0E6D9A"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2A8F5C14"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241" w:type="dxa"/>
            <w:tcBorders>
              <w:top w:val="single" w:sz="6" w:space="0" w:color="auto"/>
              <w:left w:val="single" w:sz="6" w:space="0" w:color="auto"/>
              <w:bottom w:val="single" w:sz="6" w:space="0" w:color="auto"/>
              <w:right w:val="single" w:sz="6" w:space="0" w:color="auto"/>
            </w:tcBorders>
          </w:tcPr>
          <w:p w14:paraId="58CC3F69"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2EA97850" w14:textId="77777777" w:rsidR="00FE1C37" w:rsidRDefault="00FE1C37">
            <w:pPr>
              <w:autoSpaceDE w:val="0"/>
              <w:autoSpaceDN w:val="0"/>
              <w:adjustRightInd w:val="0"/>
              <w:spacing w:after="0" w:line="240" w:lineRule="auto"/>
              <w:jc w:val="center"/>
              <w:rPr>
                <w:rFonts w:cs="Times New Roman"/>
                <w:b/>
                <w:bCs/>
                <w:color w:val="000000"/>
                <w:sz w:val="22"/>
                <w:lang w:val="en-GB"/>
              </w:rPr>
            </w:pPr>
            <w:r>
              <w:rPr>
                <w:rFonts w:cs="Times New Roman"/>
                <w:b/>
                <w:bCs/>
                <w:color w:val="000000"/>
                <w:sz w:val="22"/>
                <w:lang w:val="en-GB"/>
              </w:rPr>
              <w:t>£000</w:t>
            </w:r>
          </w:p>
        </w:tc>
        <w:tc>
          <w:tcPr>
            <w:tcW w:w="1032" w:type="dxa"/>
            <w:tcBorders>
              <w:top w:val="single" w:sz="6" w:space="0" w:color="auto"/>
              <w:left w:val="single" w:sz="6" w:space="0" w:color="auto"/>
              <w:bottom w:val="single" w:sz="6" w:space="0" w:color="auto"/>
              <w:right w:val="single" w:sz="6" w:space="0" w:color="auto"/>
            </w:tcBorders>
          </w:tcPr>
          <w:p w14:paraId="36794E62" w14:textId="77777777" w:rsidR="00FE1C37" w:rsidRDefault="00FE1C37">
            <w:pPr>
              <w:autoSpaceDE w:val="0"/>
              <w:autoSpaceDN w:val="0"/>
              <w:adjustRightInd w:val="0"/>
              <w:spacing w:after="0" w:line="240" w:lineRule="auto"/>
              <w:jc w:val="center"/>
              <w:rPr>
                <w:rFonts w:cs="Times New Roman"/>
                <w:b/>
                <w:bCs/>
                <w:color w:val="000000"/>
                <w:sz w:val="22"/>
                <w:lang w:val="en-GB"/>
              </w:rPr>
            </w:pPr>
            <w:r>
              <w:rPr>
                <w:rFonts w:cs="Times New Roman"/>
                <w:b/>
                <w:bCs/>
                <w:color w:val="000000"/>
                <w:sz w:val="22"/>
                <w:lang w:val="en-GB"/>
              </w:rPr>
              <w:t>£000</w:t>
            </w:r>
          </w:p>
        </w:tc>
        <w:tc>
          <w:tcPr>
            <w:tcW w:w="1032" w:type="dxa"/>
            <w:tcBorders>
              <w:top w:val="single" w:sz="6" w:space="0" w:color="auto"/>
              <w:left w:val="single" w:sz="6" w:space="0" w:color="auto"/>
              <w:bottom w:val="single" w:sz="6" w:space="0" w:color="auto"/>
              <w:right w:val="single" w:sz="6" w:space="0" w:color="auto"/>
            </w:tcBorders>
          </w:tcPr>
          <w:p w14:paraId="66C0DDB7" w14:textId="77777777" w:rsidR="00FE1C37" w:rsidRDefault="00FE1C37">
            <w:pPr>
              <w:autoSpaceDE w:val="0"/>
              <w:autoSpaceDN w:val="0"/>
              <w:adjustRightInd w:val="0"/>
              <w:spacing w:after="0" w:line="240" w:lineRule="auto"/>
              <w:jc w:val="center"/>
              <w:rPr>
                <w:rFonts w:cs="Times New Roman"/>
                <w:b/>
                <w:bCs/>
                <w:color w:val="000000"/>
                <w:sz w:val="22"/>
                <w:lang w:val="en-GB"/>
              </w:rPr>
            </w:pPr>
            <w:r>
              <w:rPr>
                <w:rFonts w:cs="Times New Roman"/>
                <w:b/>
                <w:bCs/>
                <w:color w:val="000000"/>
                <w:sz w:val="22"/>
                <w:lang w:val="en-GB"/>
              </w:rPr>
              <w:t>£000</w:t>
            </w:r>
          </w:p>
        </w:tc>
        <w:tc>
          <w:tcPr>
            <w:tcW w:w="1032" w:type="dxa"/>
            <w:tcBorders>
              <w:top w:val="single" w:sz="6" w:space="0" w:color="auto"/>
              <w:left w:val="single" w:sz="6" w:space="0" w:color="auto"/>
              <w:bottom w:val="single" w:sz="6" w:space="0" w:color="auto"/>
              <w:right w:val="single" w:sz="6" w:space="0" w:color="auto"/>
            </w:tcBorders>
          </w:tcPr>
          <w:p w14:paraId="1006A6B3" w14:textId="77777777" w:rsidR="00FE1C37" w:rsidRDefault="00FE1C37">
            <w:pPr>
              <w:autoSpaceDE w:val="0"/>
              <w:autoSpaceDN w:val="0"/>
              <w:adjustRightInd w:val="0"/>
              <w:spacing w:after="0" w:line="240" w:lineRule="auto"/>
              <w:jc w:val="center"/>
              <w:rPr>
                <w:rFonts w:cs="Times New Roman"/>
                <w:b/>
                <w:bCs/>
                <w:color w:val="000000"/>
                <w:sz w:val="22"/>
                <w:lang w:val="en-GB"/>
              </w:rPr>
            </w:pPr>
            <w:r>
              <w:rPr>
                <w:rFonts w:cs="Times New Roman"/>
                <w:b/>
                <w:bCs/>
                <w:color w:val="000000"/>
                <w:sz w:val="22"/>
                <w:lang w:val="en-GB"/>
              </w:rPr>
              <w:t>£000</w:t>
            </w:r>
          </w:p>
        </w:tc>
      </w:tr>
      <w:tr w:rsidR="00FE1C37" w14:paraId="70989DEE" w14:textId="77777777" w:rsidTr="00FE1C37">
        <w:tblPrEx>
          <w:tblCellMar>
            <w:top w:w="0" w:type="dxa"/>
            <w:bottom w:w="0" w:type="dxa"/>
          </w:tblCellMar>
        </w:tblPrEx>
        <w:trPr>
          <w:trHeight w:val="290"/>
        </w:trPr>
        <w:tc>
          <w:tcPr>
            <w:tcW w:w="4337" w:type="dxa"/>
            <w:gridSpan w:val="4"/>
            <w:tcBorders>
              <w:top w:val="single" w:sz="6" w:space="0" w:color="auto"/>
              <w:left w:val="single" w:sz="6" w:space="0" w:color="auto"/>
              <w:bottom w:val="single" w:sz="6" w:space="0" w:color="auto"/>
              <w:right w:val="single" w:sz="6" w:space="0" w:color="auto"/>
            </w:tcBorders>
          </w:tcPr>
          <w:p w14:paraId="30C9AC25"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 xml:space="preserve">Fixed Assets (at net book value) </w:t>
            </w:r>
          </w:p>
        </w:tc>
        <w:tc>
          <w:tcPr>
            <w:tcW w:w="1032" w:type="dxa"/>
            <w:tcBorders>
              <w:top w:val="single" w:sz="6" w:space="0" w:color="auto"/>
              <w:left w:val="single" w:sz="6" w:space="0" w:color="auto"/>
              <w:bottom w:val="single" w:sz="6" w:space="0" w:color="auto"/>
              <w:right w:val="single" w:sz="6" w:space="0" w:color="auto"/>
            </w:tcBorders>
          </w:tcPr>
          <w:p w14:paraId="5FCDD771"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4500</w:t>
            </w:r>
          </w:p>
        </w:tc>
        <w:tc>
          <w:tcPr>
            <w:tcW w:w="1032" w:type="dxa"/>
            <w:tcBorders>
              <w:top w:val="single" w:sz="6" w:space="0" w:color="auto"/>
              <w:left w:val="single" w:sz="6" w:space="0" w:color="auto"/>
              <w:bottom w:val="single" w:sz="6" w:space="0" w:color="auto"/>
              <w:right w:val="single" w:sz="6" w:space="0" w:color="auto"/>
            </w:tcBorders>
          </w:tcPr>
          <w:p w14:paraId="76CEFD36"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DD507C9"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4650</w:t>
            </w:r>
          </w:p>
        </w:tc>
      </w:tr>
      <w:tr w:rsidR="00FE1C37" w14:paraId="5A61CF3E" w14:textId="77777777" w:rsidTr="00FE1C37">
        <w:tblPrEx>
          <w:tblCellMar>
            <w:top w:w="0" w:type="dxa"/>
            <w:bottom w:w="0" w:type="dxa"/>
          </w:tblCellMar>
        </w:tblPrEx>
        <w:trPr>
          <w:trHeight w:val="290"/>
        </w:trPr>
        <w:tc>
          <w:tcPr>
            <w:tcW w:w="2064" w:type="dxa"/>
            <w:gridSpan w:val="2"/>
            <w:tcBorders>
              <w:top w:val="single" w:sz="6" w:space="0" w:color="auto"/>
              <w:left w:val="single" w:sz="6" w:space="0" w:color="auto"/>
              <w:bottom w:val="single" w:sz="6" w:space="0" w:color="auto"/>
              <w:right w:val="single" w:sz="6" w:space="0" w:color="auto"/>
            </w:tcBorders>
          </w:tcPr>
          <w:p w14:paraId="29EFB3AA"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Current Assets:</w:t>
            </w:r>
          </w:p>
        </w:tc>
        <w:tc>
          <w:tcPr>
            <w:tcW w:w="1241" w:type="dxa"/>
            <w:tcBorders>
              <w:top w:val="single" w:sz="6" w:space="0" w:color="auto"/>
              <w:left w:val="single" w:sz="6" w:space="0" w:color="auto"/>
              <w:bottom w:val="single" w:sz="6" w:space="0" w:color="auto"/>
              <w:right w:val="single" w:sz="6" w:space="0" w:color="auto"/>
            </w:tcBorders>
          </w:tcPr>
          <w:p w14:paraId="1885FF39"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679CF7F5"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BE1726F"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62EFCC89"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24869729"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4145AA9C"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75586512"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5B2A64CA"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Stocks</w:t>
            </w:r>
          </w:p>
        </w:tc>
        <w:tc>
          <w:tcPr>
            <w:tcW w:w="1241" w:type="dxa"/>
            <w:tcBorders>
              <w:top w:val="single" w:sz="6" w:space="0" w:color="auto"/>
              <w:left w:val="single" w:sz="6" w:space="0" w:color="auto"/>
              <w:bottom w:val="single" w:sz="6" w:space="0" w:color="auto"/>
              <w:right w:val="single" w:sz="6" w:space="0" w:color="auto"/>
            </w:tcBorders>
          </w:tcPr>
          <w:p w14:paraId="04697FF7"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5E5ECD64"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1450</w:t>
            </w:r>
          </w:p>
        </w:tc>
        <w:tc>
          <w:tcPr>
            <w:tcW w:w="1032" w:type="dxa"/>
            <w:tcBorders>
              <w:top w:val="single" w:sz="6" w:space="0" w:color="auto"/>
              <w:left w:val="single" w:sz="6" w:space="0" w:color="auto"/>
              <w:bottom w:val="single" w:sz="6" w:space="0" w:color="auto"/>
              <w:right w:val="single" w:sz="6" w:space="0" w:color="auto"/>
            </w:tcBorders>
          </w:tcPr>
          <w:p w14:paraId="75FA6B0A"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22E94630"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1420</w:t>
            </w:r>
          </w:p>
        </w:tc>
        <w:tc>
          <w:tcPr>
            <w:tcW w:w="1032" w:type="dxa"/>
            <w:tcBorders>
              <w:top w:val="single" w:sz="6" w:space="0" w:color="auto"/>
              <w:left w:val="single" w:sz="6" w:space="0" w:color="auto"/>
              <w:bottom w:val="single" w:sz="6" w:space="0" w:color="auto"/>
              <w:right w:val="single" w:sz="6" w:space="0" w:color="auto"/>
            </w:tcBorders>
          </w:tcPr>
          <w:p w14:paraId="6A36541C"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632A889D"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28AF06DA"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5DA6AD6A"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Debtors</w:t>
            </w:r>
          </w:p>
        </w:tc>
        <w:tc>
          <w:tcPr>
            <w:tcW w:w="1241" w:type="dxa"/>
            <w:tcBorders>
              <w:top w:val="single" w:sz="6" w:space="0" w:color="auto"/>
              <w:left w:val="single" w:sz="6" w:space="0" w:color="auto"/>
              <w:bottom w:val="single" w:sz="6" w:space="0" w:color="auto"/>
              <w:right w:val="single" w:sz="6" w:space="0" w:color="auto"/>
            </w:tcBorders>
          </w:tcPr>
          <w:p w14:paraId="5E579BA4"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61FABE24"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1600</w:t>
            </w:r>
          </w:p>
        </w:tc>
        <w:tc>
          <w:tcPr>
            <w:tcW w:w="1032" w:type="dxa"/>
            <w:tcBorders>
              <w:top w:val="single" w:sz="6" w:space="0" w:color="auto"/>
              <w:left w:val="single" w:sz="6" w:space="0" w:color="auto"/>
              <w:bottom w:val="single" w:sz="6" w:space="0" w:color="auto"/>
              <w:right w:val="single" w:sz="6" w:space="0" w:color="auto"/>
            </w:tcBorders>
          </w:tcPr>
          <w:p w14:paraId="6B5D4391"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3F5FF5E"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1800</w:t>
            </w:r>
          </w:p>
        </w:tc>
        <w:tc>
          <w:tcPr>
            <w:tcW w:w="1032" w:type="dxa"/>
            <w:tcBorders>
              <w:top w:val="single" w:sz="6" w:space="0" w:color="auto"/>
              <w:left w:val="single" w:sz="6" w:space="0" w:color="auto"/>
              <w:bottom w:val="single" w:sz="6" w:space="0" w:color="auto"/>
              <w:right w:val="single" w:sz="6" w:space="0" w:color="auto"/>
            </w:tcBorders>
          </w:tcPr>
          <w:p w14:paraId="3F52B65B"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02597B63" w14:textId="77777777" w:rsidTr="00FE1C3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71C7DAC8"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2273" w:type="dxa"/>
            <w:gridSpan w:val="2"/>
            <w:tcBorders>
              <w:top w:val="single" w:sz="6" w:space="0" w:color="auto"/>
              <w:left w:val="single" w:sz="6" w:space="0" w:color="auto"/>
              <w:bottom w:val="single" w:sz="6" w:space="0" w:color="auto"/>
              <w:right w:val="single" w:sz="6" w:space="0" w:color="auto"/>
            </w:tcBorders>
          </w:tcPr>
          <w:p w14:paraId="1B210C24"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Cash at Bank</w:t>
            </w:r>
          </w:p>
        </w:tc>
        <w:tc>
          <w:tcPr>
            <w:tcW w:w="1032" w:type="dxa"/>
            <w:tcBorders>
              <w:top w:val="single" w:sz="6" w:space="0" w:color="auto"/>
              <w:left w:val="single" w:sz="6" w:space="0" w:color="auto"/>
              <w:bottom w:val="single" w:sz="6" w:space="0" w:color="auto"/>
              <w:right w:val="single" w:sz="6" w:space="0" w:color="auto"/>
            </w:tcBorders>
          </w:tcPr>
          <w:p w14:paraId="48E4E84F"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10</w:t>
            </w:r>
          </w:p>
        </w:tc>
        <w:tc>
          <w:tcPr>
            <w:tcW w:w="1032" w:type="dxa"/>
            <w:tcBorders>
              <w:top w:val="single" w:sz="6" w:space="0" w:color="auto"/>
              <w:left w:val="single" w:sz="6" w:space="0" w:color="auto"/>
              <w:bottom w:val="single" w:sz="6" w:space="0" w:color="auto"/>
              <w:right w:val="single" w:sz="6" w:space="0" w:color="auto"/>
            </w:tcBorders>
          </w:tcPr>
          <w:p w14:paraId="10B0E8A8"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6DDA3338"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15</w:t>
            </w:r>
          </w:p>
        </w:tc>
        <w:tc>
          <w:tcPr>
            <w:tcW w:w="1032" w:type="dxa"/>
            <w:tcBorders>
              <w:top w:val="single" w:sz="6" w:space="0" w:color="auto"/>
              <w:left w:val="single" w:sz="6" w:space="0" w:color="auto"/>
              <w:bottom w:val="single" w:sz="6" w:space="0" w:color="auto"/>
              <w:right w:val="single" w:sz="6" w:space="0" w:color="auto"/>
            </w:tcBorders>
          </w:tcPr>
          <w:p w14:paraId="66EBE267"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4B6F282F" w14:textId="77777777" w:rsidTr="00FE1C3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3DDF4302"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2273" w:type="dxa"/>
            <w:gridSpan w:val="2"/>
            <w:tcBorders>
              <w:top w:val="single" w:sz="6" w:space="0" w:color="auto"/>
              <w:left w:val="single" w:sz="6" w:space="0" w:color="auto"/>
              <w:bottom w:val="single" w:sz="6" w:space="0" w:color="auto"/>
              <w:right w:val="single" w:sz="6" w:space="0" w:color="auto"/>
            </w:tcBorders>
          </w:tcPr>
          <w:p w14:paraId="391A667E"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Cash in Hand</w:t>
            </w:r>
          </w:p>
        </w:tc>
        <w:tc>
          <w:tcPr>
            <w:tcW w:w="1032" w:type="dxa"/>
            <w:tcBorders>
              <w:top w:val="single" w:sz="6" w:space="0" w:color="auto"/>
              <w:left w:val="single" w:sz="6" w:space="0" w:color="auto"/>
              <w:bottom w:val="single" w:sz="6" w:space="0" w:color="auto"/>
              <w:right w:val="single" w:sz="6" w:space="0" w:color="auto"/>
            </w:tcBorders>
          </w:tcPr>
          <w:p w14:paraId="153F42B2"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5</w:t>
            </w:r>
          </w:p>
        </w:tc>
        <w:tc>
          <w:tcPr>
            <w:tcW w:w="1032" w:type="dxa"/>
            <w:tcBorders>
              <w:top w:val="single" w:sz="6" w:space="0" w:color="auto"/>
              <w:left w:val="single" w:sz="6" w:space="0" w:color="auto"/>
              <w:bottom w:val="single" w:sz="6" w:space="0" w:color="auto"/>
              <w:right w:val="single" w:sz="6" w:space="0" w:color="auto"/>
            </w:tcBorders>
          </w:tcPr>
          <w:p w14:paraId="36EE756A"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51B39AC"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5</w:t>
            </w:r>
          </w:p>
        </w:tc>
        <w:tc>
          <w:tcPr>
            <w:tcW w:w="1032" w:type="dxa"/>
            <w:tcBorders>
              <w:top w:val="single" w:sz="6" w:space="0" w:color="auto"/>
              <w:left w:val="single" w:sz="6" w:space="0" w:color="auto"/>
              <w:bottom w:val="single" w:sz="6" w:space="0" w:color="auto"/>
              <w:right w:val="single" w:sz="6" w:space="0" w:color="auto"/>
            </w:tcBorders>
          </w:tcPr>
          <w:p w14:paraId="30807758"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0665404C"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02657C47"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A5D642C"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241" w:type="dxa"/>
            <w:tcBorders>
              <w:top w:val="single" w:sz="6" w:space="0" w:color="auto"/>
              <w:left w:val="single" w:sz="6" w:space="0" w:color="auto"/>
              <w:bottom w:val="single" w:sz="6" w:space="0" w:color="auto"/>
              <w:right w:val="single" w:sz="6" w:space="0" w:color="auto"/>
            </w:tcBorders>
          </w:tcPr>
          <w:p w14:paraId="3BD89E30"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0397CBC"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3872F2AB"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3065</w:t>
            </w:r>
          </w:p>
        </w:tc>
        <w:tc>
          <w:tcPr>
            <w:tcW w:w="1032" w:type="dxa"/>
            <w:tcBorders>
              <w:top w:val="single" w:sz="6" w:space="0" w:color="auto"/>
              <w:left w:val="single" w:sz="6" w:space="0" w:color="auto"/>
              <w:bottom w:val="single" w:sz="6" w:space="0" w:color="auto"/>
              <w:right w:val="single" w:sz="6" w:space="0" w:color="auto"/>
            </w:tcBorders>
          </w:tcPr>
          <w:p w14:paraId="2CD450B5"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6828F5A9"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3240</w:t>
            </w:r>
          </w:p>
        </w:tc>
      </w:tr>
      <w:tr w:rsidR="00FE1C37" w14:paraId="29CC5340" w14:textId="77777777" w:rsidTr="00FE1C37">
        <w:tblPrEx>
          <w:tblCellMar>
            <w:top w:w="0" w:type="dxa"/>
            <w:bottom w:w="0" w:type="dxa"/>
          </w:tblCellMar>
        </w:tblPrEx>
        <w:trPr>
          <w:trHeight w:val="290"/>
        </w:trPr>
        <w:tc>
          <w:tcPr>
            <w:tcW w:w="2064" w:type="dxa"/>
            <w:gridSpan w:val="2"/>
            <w:tcBorders>
              <w:top w:val="single" w:sz="6" w:space="0" w:color="auto"/>
              <w:left w:val="single" w:sz="6" w:space="0" w:color="auto"/>
              <w:bottom w:val="single" w:sz="6" w:space="0" w:color="auto"/>
              <w:right w:val="single" w:sz="6" w:space="0" w:color="auto"/>
            </w:tcBorders>
          </w:tcPr>
          <w:p w14:paraId="7560464C"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Current Liabilities:</w:t>
            </w:r>
          </w:p>
        </w:tc>
        <w:tc>
          <w:tcPr>
            <w:tcW w:w="1241" w:type="dxa"/>
            <w:tcBorders>
              <w:top w:val="single" w:sz="6" w:space="0" w:color="auto"/>
              <w:left w:val="single" w:sz="6" w:space="0" w:color="auto"/>
              <w:bottom w:val="single" w:sz="6" w:space="0" w:color="auto"/>
              <w:right w:val="single" w:sz="6" w:space="0" w:color="auto"/>
            </w:tcBorders>
          </w:tcPr>
          <w:p w14:paraId="089183CB"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5179B15A"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4495A2C9"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3B92D1BC"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A84F58A"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42E6CDDF" w14:textId="77777777" w:rsidTr="00FE1C3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1EA286DC"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2273" w:type="dxa"/>
            <w:gridSpan w:val="2"/>
            <w:tcBorders>
              <w:top w:val="single" w:sz="6" w:space="0" w:color="auto"/>
              <w:left w:val="single" w:sz="6" w:space="0" w:color="auto"/>
              <w:bottom w:val="single" w:sz="6" w:space="0" w:color="auto"/>
              <w:right w:val="single" w:sz="6" w:space="0" w:color="auto"/>
            </w:tcBorders>
          </w:tcPr>
          <w:p w14:paraId="5C1C59C5"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Trade Creditors</w:t>
            </w:r>
          </w:p>
        </w:tc>
        <w:tc>
          <w:tcPr>
            <w:tcW w:w="1032" w:type="dxa"/>
            <w:tcBorders>
              <w:top w:val="single" w:sz="6" w:space="0" w:color="auto"/>
              <w:left w:val="single" w:sz="6" w:space="0" w:color="auto"/>
              <w:bottom w:val="single" w:sz="6" w:space="0" w:color="auto"/>
              <w:right w:val="single" w:sz="6" w:space="0" w:color="auto"/>
            </w:tcBorders>
          </w:tcPr>
          <w:p w14:paraId="6E911D69"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800</w:t>
            </w:r>
          </w:p>
        </w:tc>
        <w:tc>
          <w:tcPr>
            <w:tcW w:w="1032" w:type="dxa"/>
            <w:tcBorders>
              <w:top w:val="single" w:sz="6" w:space="0" w:color="auto"/>
              <w:left w:val="single" w:sz="6" w:space="0" w:color="auto"/>
              <w:bottom w:val="single" w:sz="6" w:space="0" w:color="auto"/>
              <w:right w:val="single" w:sz="6" w:space="0" w:color="auto"/>
            </w:tcBorders>
          </w:tcPr>
          <w:p w14:paraId="50223B9B"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4C5589E4"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870</w:t>
            </w:r>
          </w:p>
        </w:tc>
        <w:tc>
          <w:tcPr>
            <w:tcW w:w="1032" w:type="dxa"/>
            <w:tcBorders>
              <w:top w:val="single" w:sz="6" w:space="0" w:color="auto"/>
              <w:left w:val="single" w:sz="6" w:space="0" w:color="auto"/>
              <w:bottom w:val="single" w:sz="6" w:space="0" w:color="auto"/>
              <w:right w:val="single" w:sz="6" w:space="0" w:color="auto"/>
            </w:tcBorders>
          </w:tcPr>
          <w:p w14:paraId="0897CED7"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27D071FA"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2B74AD98"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363461EF"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Accruals</w:t>
            </w:r>
          </w:p>
        </w:tc>
        <w:tc>
          <w:tcPr>
            <w:tcW w:w="1241" w:type="dxa"/>
            <w:tcBorders>
              <w:top w:val="single" w:sz="6" w:space="0" w:color="auto"/>
              <w:left w:val="single" w:sz="6" w:space="0" w:color="auto"/>
              <w:bottom w:val="single" w:sz="6" w:space="0" w:color="auto"/>
              <w:right w:val="single" w:sz="6" w:space="0" w:color="auto"/>
            </w:tcBorders>
          </w:tcPr>
          <w:p w14:paraId="129DCCC4"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4AC544DB"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239</w:t>
            </w:r>
          </w:p>
        </w:tc>
        <w:tc>
          <w:tcPr>
            <w:tcW w:w="1032" w:type="dxa"/>
            <w:tcBorders>
              <w:top w:val="single" w:sz="6" w:space="0" w:color="auto"/>
              <w:left w:val="single" w:sz="6" w:space="0" w:color="auto"/>
              <w:bottom w:val="single" w:sz="6" w:space="0" w:color="auto"/>
              <w:right w:val="single" w:sz="6" w:space="0" w:color="auto"/>
            </w:tcBorders>
          </w:tcPr>
          <w:p w14:paraId="0CEF749B"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59591920"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246</w:t>
            </w:r>
          </w:p>
        </w:tc>
        <w:tc>
          <w:tcPr>
            <w:tcW w:w="1032" w:type="dxa"/>
            <w:tcBorders>
              <w:top w:val="single" w:sz="6" w:space="0" w:color="auto"/>
              <w:left w:val="single" w:sz="6" w:space="0" w:color="auto"/>
              <w:bottom w:val="single" w:sz="6" w:space="0" w:color="auto"/>
              <w:right w:val="single" w:sz="6" w:space="0" w:color="auto"/>
            </w:tcBorders>
          </w:tcPr>
          <w:p w14:paraId="4A25D104"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40EFBA29" w14:textId="77777777" w:rsidTr="00FE1C3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02B15067"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2273" w:type="dxa"/>
            <w:gridSpan w:val="2"/>
            <w:tcBorders>
              <w:top w:val="single" w:sz="6" w:space="0" w:color="auto"/>
              <w:left w:val="single" w:sz="6" w:space="0" w:color="auto"/>
              <w:bottom w:val="single" w:sz="6" w:space="0" w:color="auto"/>
              <w:right w:val="single" w:sz="6" w:space="0" w:color="auto"/>
            </w:tcBorders>
          </w:tcPr>
          <w:p w14:paraId="676624F4"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Bank Overdraft</w:t>
            </w:r>
          </w:p>
        </w:tc>
        <w:tc>
          <w:tcPr>
            <w:tcW w:w="1032" w:type="dxa"/>
            <w:tcBorders>
              <w:top w:val="single" w:sz="6" w:space="0" w:color="auto"/>
              <w:left w:val="single" w:sz="6" w:space="0" w:color="auto"/>
              <w:bottom w:val="single" w:sz="6" w:space="0" w:color="auto"/>
              <w:right w:val="single" w:sz="6" w:space="0" w:color="auto"/>
            </w:tcBorders>
          </w:tcPr>
          <w:p w14:paraId="4B57BB04"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300</w:t>
            </w:r>
          </w:p>
        </w:tc>
        <w:tc>
          <w:tcPr>
            <w:tcW w:w="1032" w:type="dxa"/>
            <w:tcBorders>
              <w:top w:val="single" w:sz="6" w:space="0" w:color="auto"/>
              <w:left w:val="single" w:sz="6" w:space="0" w:color="auto"/>
              <w:bottom w:val="single" w:sz="6" w:space="0" w:color="auto"/>
              <w:right w:val="single" w:sz="6" w:space="0" w:color="auto"/>
            </w:tcBorders>
          </w:tcPr>
          <w:p w14:paraId="7FAE54A7"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5DF28074"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500</w:t>
            </w:r>
          </w:p>
        </w:tc>
        <w:tc>
          <w:tcPr>
            <w:tcW w:w="1032" w:type="dxa"/>
            <w:tcBorders>
              <w:top w:val="single" w:sz="6" w:space="0" w:color="auto"/>
              <w:left w:val="single" w:sz="6" w:space="0" w:color="auto"/>
              <w:bottom w:val="single" w:sz="6" w:space="0" w:color="auto"/>
              <w:right w:val="single" w:sz="6" w:space="0" w:color="auto"/>
            </w:tcBorders>
          </w:tcPr>
          <w:p w14:paraId="3B36D0A9"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27FAC7B3"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47C59DC5"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3427778"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241" w:type="dxa"/>
            <w:tcBorders>
              <w:top w:val="single" w:sz="6" w:space="0" w:color="auto"/>
              <w:left w:val="single" w:sz="6" w:space="0" w:color="auto"/>
              <w:bottom w:val="single" w:sz="6" w:space="0" w:color="auto"/>
              <w:right w:val="single" w:sz="6" w:space="0" w:color="auto"/>
            </w:tcBorders>
          </w:tcPr>
          <w:p w14:paraId="27EDF576"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6EEE728E"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4CAD9564"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1339</w:t>
            </w:r>
          </w:p>
        </w:tc>
        <w:tc>
          <w:tcPr>
            <w:tcW w:w="1032" w:type="dxa"/>
            <w:tcBorders>
              <w:top w:val="single" w:sz="6" w:space="0" w:color="auto"/>
              <w:left w:val="single" w:sz="6" w:space="0" w:color="auto"/>
              <w:bottom w:val="single" w:sz="6" w:space="0" w:color="auto"/>
              <w:right w:val="single" w:sz="6" w:space="0" w:color="auto"/>
            </w:tcBorders>
          </w:tcPr>
          <w:p w14:paraId="3A48F512"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1BEE81EB"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1616</w:t>
            </w:r>
          </w:p>
        </w:tc>
      </w:tr>
      <w:tr w:rsidR="00FE1C37" w14:paraId="3C18C04D" w14:textId="77777777" w:rsidTr="00FE1C37">
        <w:tblPrEx>
          <w:tblCellMar>
            <w:top w:w="0" w:type="dxa"/>
            <w:bottom w:w="0" w:type="dxa"/>
          </w:tblCellMar>
        </w:tblPrEx>
        <w:trPr>
          <w:trHeight w:val="290"/>
        </w:trPr>
        <w:tc>
          <w:tcPr>
            <w:tcW w:w="3305" w:type="dxa"/>
            <w:gridSpan w:val="3"/>
            <w:tcBorders>
              <w:top w:val="single" w:sz="6" w:space="0" w:color="auto"/>
              <w:left w:val="single" w:sz="6" w:space="0" w:color="auto"/>
              <w:bottom w:val="single" w:sz="6" w:space="0" w:color="auto"/>
              <w:right w:val="single" w:sz="6" w:space="0" w:color="auto"/>
            </w:tcBorders>
          </w:tcPr>
          <w:p w14:paraId="5ACBE1C3"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Net Current Assets(CA-CL)</w:t>
            </w:r>
          </w:p>
        </w:tc>
        <w:tc>
          <w:tcPr>
            <w:tcW w:w="1032" w:type="dxa"/>
            <w:tcBorders>
              <w:top w:val="single" w:sz="6" w:space="0" w:color="auto"/>
              <w:left w:val="single" w:sz="6" w:space="0" w:color="auto"/>
              <w:bottom w:val="single" w:sz="6" w:space="0" w:color="auto"/>
              <w:right w:val="single" w:sz="6" w:space="0" w:color="auto"/>
            </w:tcBorders>
          </w:tcPr>
          <w:p w14:paraId="5CD8171E"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68FBCF16"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1726</w:t>
            </w:r>
          </w:p>
        </w:tc>
        <w:tc>
          <w:tcPr>
            <w:tcW w:w="1032" w:type="dxa"/>
            <w:tcBorders>
              <w:top w:val="single" w:sz="6" w:space="0" w:color="auto"/>
              <w:left w:val="single" w:sz="6" w:space="0" w:color="auto"/>
              <w:bottom w:val="single" w:sz="6" w:space="0" w:color="auto"/>
              <w:right w:val="single" w:sz="6" w:space="0" w:color="auto"/>
            </w:tcBorders>
          </w:tcPr>
          <w:p w14:paraId="1F445C21"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1C8F2F5D"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1624</w:t>
            </w:r>
          </w:p>
        </w:tc>
      </w:tr>
      <w:tr w:rsidR="00FE1C37" w14:paraId="4E4C1557" w14:textId="77777777" w:rsidTr="00FE1C37">
        <w:tblPrEx>
          <w:tblCellMar>
            <w:top w:w="0" w:type="dxa"/>
            <w:bottom w:w="0" w:type="dxa"/>
          </w:tblCellMar>
        </w:tblPrEx>
        <w:trPr>
          <w:trHeight w:val="290"/>
        </w:trPr>
        <w:tc>
          <w:tcPr>
            <w:tcW w:w="4337" w:type="dxa"/>
            <w:gridSpan w:val="4"/>
            <w:tcBorders>
              <w:top w:val="single" w:sz="6" w:space="0" w:color="auto"/>
              <w:left w:val="single" w:sz="6" w:space="0" w:color="auto"/>
              <w:bottom w:val="single" w:sz="6" w:space="0" w:color="auto"/>
              <w:right w:val="single" w:sz="6" w:space="0" w:color="auto"/>
            </w:tcBorders>
          </w:tcPr>
          <w:p w14:paraId="1C9628AF" w14:textId="77777777" w:rsidR="00FE1C37" w:rsidRDefault="00FE1C37">
            <w:pPr>
              <w:autoSpaceDE w:val="0"/>
              <w:autoSpaceDN w:val="0"/>
              <w:adjustRightInd w:val="0"/>
              <w:spacing w:after="0" w:line="240" w:lineRule="auto"/>
              <w:jc w:val="left"/>
              <w:rPr>
                <w:rFonts w:cs="Times New Roman"/>
                <w:b/>
                <w:bCs/>
                <w:color w:val="000000"/>
                <w:sz w:val="22"/>
                <w:lang w:val="en-GB"/>
              </w:rPr>
            </w:pPr>
            <w:r>
              <w:rPr>
                <w:rFonts w:cs="Times New Roman"/>
                <w:b/>
                <w:bCs/>
                <w:color w:val="000000"/>
                <w:sz w:val="22"/>
                <w:lang w:val="en-GB"/>
              </w:rPr>
              <w:lastRenderedPageBreak/>
              <w:t>Total Assets Less Current Liabilities</w:t>
            </w:r>
          </w:p>
        </w:tc>
        <w:tc>
          <w:tcPr>
            <w:tcW w:w="1032" w:type="dxa"/>
            <w:tcBorders>
              <w:top w:val="single" w:sz="6" w:space="0" w:color="auto"/>
              <w:left w:val="single" w:sz="6" w:space="0" w:color="auto"/>
              <w:bottom w:val="single" w:sz="6" w:space="0" w:color="auto"/>
              <w:right w:val="single" w:sz="6" w:space="0" w:color="auto"/>
            </w:tcBorders>
          </w:tcPr>
          <w:p w14:paraId="7026EA7E"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6226</w:t>
            </w:r>
          </w:p>
        </w:tc>
        <w:tc>
          <w:tcPr>
            <w:tcW w:w="1032" w:type="dxa"/>
            <w:tcBorders>
              <w:top w:val="single" w:sz="6" w:space="0" w:color="auto"/>
              <w:left w:val="single" w:sz="6" w:space="0" w:color="auto"/>
              <w:bottom w:val="single" w:sz="6" w:space="0" w:color="auto"/>
              <w:right w:val="single" w:sz="6" w:space="0" w:color="auto"/>
            </w:tcBorders>
          </w:tcPr>
          <w:p w14:paraId="1FFED97D"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EEA51AD"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6274</w:t>
            </w:r>
          </w:p>
        </w:tc>
      </w:tr>
      <w:tr w:rsidR="00FE1C37" w14:paraId="34CC39FE"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57DB8CFC"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1CBC8C58"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241" w:type="dxa"/>
            <w:tcBorders>
              <w:top w:val="single" w:sz="6" w:space="0" w:color="auto"/>
              <w:left w:val="single" w:sz="6" w:space="0" w:color="auto"/>
              <w:bottom w:val="single" w:sz="6" w:space="0" w:color="auto"/>
              <w:right w:val="single" w:sz="6" w:space="0" w:color="auto"/>
            </w:tcBorders>
          </w:tcPr>
          <w:p w14:paraId="0860DBEC"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6E198F2"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17B535D6"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1DDF15E1"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125728FD"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0A2FAA18" w14:textId="77777777" w:rsidTr="00FE1C37">
        <w:tblPrEx>
          <w:tblCellMar>
            <w:top w:w="0" w:type="dxa"/>
            <w:bottom w:w="0" w:type="dxa"/>
          </w:tblCellMar>
        </w:tblPrEx>
        <w:trPr>
          <w:trHeight w:val="290"/>
        </w:trPr>
        <w:tc>
          <w:tcPr>
            <w:tcW w:w="3305" w:type="dxa"/>
            <w:gridSpan w:val="3"/>
            <w:tcBorders>
              <w:top w:val="single" w:sz="6" w:space="0" w:color="auto"/>
              <w:left w:val="single" w:sz="6" w:space="0" w:color="auto"/>
              <w:bottom w:val="single" w:sz="6" w:space="0" w:color="auto"/>
              <w:right w:val="single" w:sz="6" w:space="0" w:color="auto"/>
            </w:tcBorders>
          </w:tcPr>
          <w:p w14:paraId="19D99513"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Long - Term Liabilities:</w:t>
            </w:r>
          </w:p>
        </w:tc>
        <w:tc>
          <w:tcPr>
            <w:tcW w:w="1032" w:type="dxa"/>
            <w:tcBorders>
              <w:top w:val="single" w:sz="6" w:space="0" w:color="auto"/>
              <w:left w:val="single" w:sz="6" w:space="0" w:color="auto"/>
              <w:bottom w:val="single" w:sz="6" w:space="0" w:color="auto"/>
              <w:right w:val="single" w:sz="6" w:space="0" w:color="auto"/>
            </w:tcBorders>
          </w:tcPr>
          <w:p w14:paraId="22B103FF"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BF324ED"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39DC8964"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5C8F8D61"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7C7CA931" w14:textId="77777777" w:rsidTr="00FE1C3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619D04C0"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2273" w:type="dxa"/>
            <w:gridSpan w:val="2"/>
            <w:tcBorders>
              <w:top w:val="single" w:sz="6" w:space="0" w:color="auto"/>
              <w:left w:val="single" w:sz="6" w:space="0" w:color="auto"/>
              <w:bottom w:val="single" w:sz="6" w:space="0" w:color="auto"/>
              <w:right w:val="single" w:sz="6" w:space="0" w:color="auto"/>
            </w:tcBorders>
          </w:tcPr>
          <w:p w14:paraId="5FCC3621"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Bank Loans</w:t>
            </w:r>
          </w:p>
        </w:tc>
        <w:tc>
          <w:tcPr>
            <w:tcW w:w="1032" w:type="dxa"/>
            <w:tcBorders>
              <w:top w:val="single" w:sz="6" w:space="0" w:color="auto"/>
              <w:left w:val="single" w:sz="6" w:space="0" w:color="auto"/>
              <w:bottom w:val="single" w:sz="6" w:space="0" w:color="auto"/>
              <w:right w:val="single" w:sz="6" w:space="0" w:color="auto"/>
            </w:tcBorders>
          </w:tcPr>
          <w:p w14:paraId="5CFC1907"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4E590306"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150</w:t>
            </w:r>
          </w:p>
        </w:tc>
        <w:tc>
          <w:tcPr>
            <w:tcW w:w="1032" w:type="dxa"/>
            <w:tcBorders>
              <w:top w:val="single" w:sz="6" w:space="0" w:color="auto"/>
              <w:left w:val="single" w:sz="6" w:space="0" w:color="auto"/>
              <w:bottom w:val="single" w:sz="6" w:space="0" w:color="auto"/>
              <w:right w:val="single" w:sz="6" w:space="0" w:color="auto"/>
            </w:tcBorders>
          </w:tcPr>
          <w:p w14:paraId="47D5E315"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37577AA"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145</w:t>
            </w:r>
          </w:p>
        </w:tc>
      </w:tr>
      <w:tr w:rsidR="00FE1C37" w14:paraId="44E94EE0"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5573C77E"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55B90F01"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241" w:type="dxa"/>
            <w:tcBorders>
              <w:top w:val="single" w:sz="6" w:space="0" w:color="auto"/>
              <w:left w:val="single" w:sz="6" w:space="0" w:color="auto"/>
              <w:bottom w:val="single" w:sz="6" w:space="0" w:color="auto"/>
              <w:right w:val="single" w:sz="6" w:space="0" w:color="auto"/>
            </w:tcBorders>
          </w:tcPr>
          <w:p w14:paraId="37817839"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CEDFAE5"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50BF1B60"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6076</w:t>
            </w:r>
          </w:p>
        </w:tc>
        <w:tc>
          <w:tcPr>
            <w:tcW w:w="1032" w:type="dxa"/>
            <w:tcBorders>
              <w:top w:val="single" w:sz="6" w:space="0" w:color="auto"/>
              <w:left w:val="single" w:sz="6" w:space="0" w:color="auto"/>
              <w:bottom w:val="single" w:sz="6" w:space="0" w:color="auto"/>
              <w:right w:val="single" w:sz="6" w:space="0" w:color="auto"/>
            </w:tcBorders>
          </w:tcPr>
          <w:p w14:paraId="4E8A1933"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22F5A5E0"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6129</w:t>
            </w:r>
          </w:p>
        </w:tc>
      </w:tr>
      <w:tr w:rsidR="00FE1C37" w14:paraId="5BF1E585" w14:textId="77777777" w:rsidTr="00FE1C37">
        <w:tblPrEx>
          <w:tblCellMar>
            <w:top w:w="0" w:type="dxa"/>
            <w:bottom w:w="0" w:type="dxa"/>
          </w:tblCellMar>
        </w:tblPrEx>
        <w:trPr>
          <w:trHeight w:val="290"/>
        </w:trPr>
        <w:tc>
          <w:tcPr>
            <w:tcW w:w="2064" w:type="dxa"/>
            <w:gridSpan w:val="2"/>
            <w:tcBorders>
              <w:top w:val="single" w:sz="6" w:space="0" w:color="auto"/>
              <w:left w:val="single" w:sz="6" w:space="0" w:color="auto"/>
              <w:bottom w:val="single" w:sz="6" w:space="0" w:color="auto"/>
              <w:right w:val="single" w:sz="6" w:space="0" w:color="auto"/>
            </w:tcBorders>
          </w:tcPr>
          <w:p w14:paraId="4583D2AC"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Represented by:</w:t>
            </w:r>
          </w:p>
        </w:tc>
        <w:tc>
          <w:tcPr>
            <w:tcW w:w="1241" w:type="dxa"/>
            <w:tcBorders>
              <w:top w:val="single" w:sz="6" w:space="0" w:color="auto"/>
              <w:left w:val="single" w:sz="6" w:space="0" w:color="auto"/>
              <w:bottom w:val="single" w:sz="6" w:space="0" w:color="auto"/>
              <w:right w:val="single" w:sz="6" w:space="0" w:color="auto"/>
            </w:tcBorders>
          </w:tcPr>
          <w:p w14:paraId="490C3C95"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57CF911"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566BF251"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63BF20F"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44C1DAC1" w14:textId="77777777" w:rsidR="00FE1C37" w:rsidRDefault="00FE1C37">
            <w:pPr>
              <w:autoSpaceDE w:val="0"/>
              <w:autoSpaceDN w:val="0"/>
              <w:adjustRightInd w:val="0"/>
              <w:spacing w:after="0" w:line="240" w:lineRule="auto"/>
              <w:jc w:val="right"/>
              <w:rPr>
                <w:rFonts w:cs="Times New Roman"/>
                <w:color w:val="000000"/>
                <w:sz w:val="22"/>
                <w:lang w:val="en-GB"/>
              </w:rPr>
            </w:pPr>
          </w:p>
        </w:tc>
      </w:tr>
      <w:tr w:rsidR="00FE1C37" w14:paraId="4E3E7159"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69FEFD20"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76419E59"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Capital</w:t>
            </w:r>
          </w:p>
        </w:tc>
        <w:tc>
          <w:tcPr>
            <w:tcW w:w="1241" w:type="dxa"/>
            <w:tcBorders>
              <w:top w:val="single" w:sz="6" w:space="0" w:color="auto"/>
              <w:left w:val="single" w:sz="6" w:space="0" w:color="auto"/>
              <w:bottom w:val="single" w:sz="6" w:space="0" w:color="auto"/>
              <w:right w:val="single" w:sz="6" w:space="0" w:color="auto"/>
            </w:tcBorders>
          </w:tcPr>
          <w:p w14:paraId="4E64A17C"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593F448"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180F26A8"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2068</w:t>
            </w:r>
          </w:p>
        </w:tc>
        <w:tc>
          <w:tcPr>
            <w:tcW w:w="1032" w:type="dxa"/>
            <w:tcBorders>
              <w:top w:val="single" w:sz="6" w:space="0" w:color="auto"/>
              <w:left w:val="single" w:sz="6" w:space="0" w:color="auto"/>
              <w:bottom w:val="single" w:sz="6" w:space="0" w:color="auto"/>
              <w:right w:val="single" w:sz="6" w:space="0" w:color="auto"/>
            </w:tcBorders>
          </w:tcPr>
          <w:p w14:paraId="184AACDC"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3D645BF"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2056</w:t>
            </w:r>
          </w:p>
        </w:tc>
      </w:tr>
      <w:tr w:rsidR="00FE1C37" w14:paraId="63B09E05" w14:textId="77777777" w:rsidTr="00FE1C3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4C8F4FAE"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2273" w:type="dxa"/>
            <w:gridSpan w:val="2"/>
            <w:tcBorders>
              <w:top w:val="single" w:sz="6" w:space="0" w:color="auto"/>
              <w:left w:val="single" w:sz="6" w:space="0" w:color="auto"/>
              <w:bottom w:val="single" w:sz="6" w:space="0" w:color="auto"/>
              <w:right w:val="single" w:sz="6" w:space="0" w:color="auto"/>
            </w:tcBorders>
          </w:tcPr>
          <w:p w14:paraId="30F092B7" w14:textId="77777777" w:rsidR="00FE1C37" w:rsidRDefault="00FE1C37">
            <w:pPr>
              <w:autoSpaceDE w:val="0"/>
              <w:autoSpaceDN w:val="0"/>
              <w:adjustRightInd w:val="0"/>
              <w:spacing w:after="0" w:line="240" w:lineRule="auto"/>
              <w:jc w:val="left"/>
              <w:rPr>
                <w:rFonts w:cs="Times New Roman"/>
                <w:color w:val="000000"/>
                <w:sz w:val="22"/>
                <w:lang w:val="en-GB"/>
              </w:rPr>
            </w:pPr>
            <w:r>
              <w:rPr>
                <w:rFonts w:cs="Times New Roman"/>
                <w:color w:val="000000"/>
                <w:sz w:val="22"/>
                <w:lang w:val="en-GB"/>
              </w:rPr>
              <w:t>Profit for the Year</w:t>
            </w:r>
          </w:p>
        </w:tc>
        <w:tc>
          <w:tcPr>
            <w:tcW w:w="1032" w:type="dxa"/>
            <w:tcBorders>
              <w:top w:val="single" w:sz="6" w:space="0" w:color="auto"/>
              <w:left w:val="single" w:sz="6" w:space="0" w:color="auto"/>
              <w:bottom w:val="single" w:sz="6" w:space="0" w:color="auto"/>
              <w:right w:val="single" w:sz="6" w:space="0" w:color="auto"/>
            </w:tcBorders>
          </w:tcPr>
          <w:p w14:paraId="66A92F8A"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391BFC4"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4008</w:t>
            </w:r>
          </w:p>
        </w:tc>
        <w:tc>
          <w:tcPr>
            <w:tcW w:w="1032" w:type="dxa"/>
            <w:tcBorders>
              <w:top w:val="single" w:sz="6" w:space="0" w:color="auto"/>
              <w:left w:val="single" w:sz="6" w:space="0" w:color="auto"/>
              <w:bottom w:val="single" w:sz="6" w:space="0" w:color="auto"/>
              <w:right w:val="single" w:sz="6" w:space="0" w:color="auto"/>
            </w:tcBorders>
          </w:tcPr>
          <w:p w14:paraId="097674A2"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206527B2"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4073</w:t>
            </w:r>
          </w:p>
        </w:tc>
      </w:tr>
      <w:tr w:rsidR="00FE1C37" w14:paraId="4C6EDB1E" w14:textId="77777777">
        <w:tblPrEx>
          <w:tblCellMar>
            <w:top w:w="0" w:type="dxa"/>
            <w:bottom w:w="0" w:type="dxa"/>
          </w:tblCellMar>
        </w:tblPrEx>
        <w:trPr>
          <w:trHeight w:val="290"/>
        </w:trPr>
        <w:tc>
          <w:tcPr>
            <w:tcW w:w="1032" w:type="dxa"/>
            <w:tcBorders>
              <w:top w:val="single" w:sz="6" w:space="0" w:color="auto"/>
              <w:left w:val="single" w:sz="6" w:space="0" w:color="auto"/>
              <w:bottom w:val="single" w:sz="6" w:space="0" w:color="auto"/>
              <w:right w:val="single" w:sz="6" w:space="0" w:color="auto"/>
            </w:tcBorders>
          </w:tcPr>
          <w:p w14:paraId="09AB152A"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03579C97"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241" w:type="dxa"/>
            <w:tcBorders>
              <w:top w:val="single" w:sz="6" w:space="0" w:color="auto"/>
              <w:left w:val="single" w:sz="6" w:space="0" w:color="auto"/>
              <w:bottom w:val="single" w:sz="6" w:space="0" w:color="auto"/>
              <w:right w:val="single" w:sz="6" w:space="0" w:color="auto"/>
            </w:tcBorders>
          </w:tcPr>
          <w:p w14:paraId="531F0666"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68456413"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491D11C1"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6076</w:t>
            </w:r>
          </w:p>
        </w:tc>
        <w:tc>
          <w:tcPr>
            <w:tcW w:w="1032" w:type="dxa"/>
            <w:tcBorders>
              <w:top w:val="single" w:sz="6" w:space="0" w:color="auto"/>
              <w:left w:val="single" w:sz="6" w:space="0" w:color="auto"/>
              <w:bottom w:val="single" w:sz="6" w:space="0" w:color="auto"/>
              <w:right w:val="single" w:sz="6" w:space="0" w:color="auto"/>
            </w:tcBorders>
          </w:tcPr>
          <w:p w14:paraId="7B3F05AE" w14:textId="77777777" w:rsidR="00FE1C37" w:rsidRDefault="00FE1C37">
            <w:pPr>
              <w:autoSpaceDE w:val="0"/>
              <w:autoSpaceDN w:val="0"/>
              <w:adjustRightInd w:val="0"/>
              <w:spacing w:after="0" w:line="240" w:lineRule="auto"/>
              <w:jc w:val="right"/>
              <w:rPr>
                <w:rFonts w:cs="Times New Roman"/>
                <w:color w:val="000000"/>
                <w:sz w:val="22"/>
                <w:lang w:val="en-GB"/>
              </w:rPr>
            </w:pPr>
          </w:p>
        </w:tc>
        <w:tc>
          <w:tcPr>
            <w:tcW w:w="1032" w:type="dxa"/>
            <w:tcBorders>
              <w:top w:val="single" w:sz="6" w:space="0" w:color="auto"/>
              <w:left w:val="single" w:sz="6" w:space="0" w:color="auto"/>
              <w:bottom w:val="single" w:sz="6" w:space="0" w:color="auto"/>
              <w:right w:val="single" w:sz="6" w:space="0" w:color="auto"/>
            </w:tcBorders>
          </w:tcPr>
          <w:p w14:paraId="3BC9EBFB" w14:textId="77777777" w:rsidR="00FE1C37" w:rsidRDefault="00FE1C37">
            <w:pPr>
              <w:autoSpaceDE w:val="0"/>
              <w:autoSpaceDN w:val="0"/>
              <w:adjustRightInd w:val="0"/>
              <w:spacing w:after="0" w:line="240" w:lineRule="auto"/>
              <w:jc w:val="right"/>
              <w:rPr>
                <w:rFonts w:cs="Times New Roman"/>
                <w:color w:val="000000"/>
                <w:sz w:val="22"/>
                <w:lang w:val="en-GB"/>
              </w:rPr>
            </w:pPr>
            <w:r>
              <w:rPr>
                <w:rFonts w:cs="Times New Roman"/>
                <w:color w:val="000000"/>
                <w:sz w:val="22"/>
                <w:lang w:val="en-GB"/>
              </w:rPr>
              <w:t>6129</w:t>
            </w:r>
          </w:p>
        </w:tc>
      </w:tr>
    </w:tbl>
    <w:p w14:paraId="326535C4" w14:textId="77777777" w:rsidR="00FE1C37" w:rsidRDefault="00FE1C37" w:rsidP="00F328BE"/>
    <w:p w14:paraId="7AF6322D" w14:textId="77777777" w:rsidR="000A585B" w:rsidRDefault="003F6CDE" w:rsidP="000A585B">
      <w:pPr>
        <w:pStyle w:val="Heading1"/>
      </w:pPr>
      <w:bookmarkStart w:id="7" w:name="_Toc44854736"/>
      <w:r>
        <w:t>Benefits as well as limitations of applying the aspects of ratio analysis Tourism and Hotel Industry for the purpose of decision making</w:t>
      </w:r>
      <w:bookmarkEnd w:id="7"/>
    </w:p>
    <w:p w14:paraId="51EFECE5" w14:textId="77777777" w:rsidR="000A585B" w:rsidRDefault="003F6CDE" w:rsidP="000A585B">
      <w:pPr>
        <w:pStyle w:val="Heading2"/>
      </w:pPr>
      <w:bookmarkStart w:id="8" w:name="_Toc44854737"/>
      <w:r>
        <w:t>Benefits</w:t>
      </w:r>
      <w:bookmarkEnd w:id="8"/>
    </w:p>
    <w:p w14:paraId="7C5FF377" w14:textId="77777777" w:rsidR="000A585B" w:rsidRDefault="003F6CDE" w:rsidP="000A585B">
      <w:r>
        <w:t>The use of the ratio analysis process gives assistance in determining the validity of the investment as well as a finance-related decision which is managed by the business firm. It also consists of the financial information in regards to the comparative figures by which the financial comparison can be managed without issues</w:t>
      </w:r>
      <w:sdt>
        <w:sdtPr>
          <w:id w:val="142943387"/>
          <w:citation/>
        </w:sdtPr>
        <w:sdtEndPr/>
        <w:sdtContent>
          <w:r w:rsidR="00381535">
            <w:fldChar w:fldCharType="begin"/>
          </w:r>
          <w:r>
            <w:rPr>
              <w:lang w:val="en-US"/>
            </w:rPr>
            <w:instrText xml:space="preserve"> CITATION Wil181 \l 1033 </w:instrText>
          </w:r>
          <w:r w:rsidR="00381535">
            <w:fldChar w:fldCharType="separate"/>
          </w:r>
          <w:r w:rsidRPr="00075918">
            <w:rPr>
              <w:noProof/>
              <w:lang w:val="en-US"/>
            </w:rPr>
            <w:t>(Williams Jr, et al., 2018)</w:t>
          </w:r>
          <w:r w:rsidR="00381535">
            <w:fldChar w:fldCharType="end"/>
          </w:r>
        </w:sdtContent>
      </w:sdt>
      <w:r>
        <w:t xml:space="preserve">. It also helps to support the business financial decision without issues. In the Tourism and Hotel Industry, these aspects are essential to assess the long term insolvency of the firm and avoid the negative-positive effects in rewards of the capital funding in the hospitality and the tourism operation in the business. It also asses the financial value of the firm in terms of the debts as well as a liquid investment which is done by the firm in their business. It also represents the significance of managing the long terms debts of the firm in regards </w:t>
      </w:r>
      <w:proofErr w:type="spellStart"/>
      <w:r>
        <w:t>tooperational</w:t>
      </w:r>
      <w:proofErr w:type="spellEnd"/>
      <w:r>
        <w:t xml:space="preserve"> expenditures. </w:t>
      </w:r>
    </w:p>
    <w:p w14:paraId="080C1A1D" w14:textId="77777777" w:rsidR="007A2EAA" w:rsidRPr="00805D5B" w:rsidRDefault="003F6CDE" w:rsidP="00805D5B">
      <w:r>
        <w:t xml:space="preserve">The process of ration analysis also helps to assess the issues such as the in the Tourism and Hotel Industry the main issues is the low invested capital which leads to significant issues and creates the problem. The overflow of cash, as well as high marginal operating expenditure, is also a problem which is solved through ratio analysis. </w:t>
      </w:r>
    </w:p>
    <w:p w14:paraId="53528401" w14:textId="77777777" w:rsidR="00C660DD" w:rsidRDefault="003F6CDE" w:rsidP="000A585B">
      <w:pPr>
        <w:rPr>
          <w:b/>
        </w:rPr>
      </w:pPr>
      <w:r w:rsidRPr="00C660DD">
        <w:rPr>
          <w:b/>
        </w:rPr>
        <w:t>Limitations</w:t>
      </w:r>
    </w:p>
    <w:p w14:paraId="1F9F006B" w14:textId="77777777" w:rsidR="00C660DD" w:rsidRDefault="003F6CDE" w:rsidP="000A585B">
      <w:r w:rsidRPr="007A2EAA">
        <w:t>It only make</w:t>
      </w:r>
      <w:r>
        <w:t>s</w:t>
      </w:r>
      <w:r w:rsidRPr="007A2EAA">
        <w:t xml:space="preserve"> the consideration of the monetary as well as </w:t>
      </w:r>
      <w:r>
        <w:t xml:space="preserve">a </w:t>
      </w:r>
      <w:r w:rsidRPr="007A2EAA">
        <w:t>financial value which create the assessment issues and the cover-up the financial aspects of the business firm</w:t>
      </w:r>
      <w:sdt>
        <w:sdtPr>
          <w:id w:val="-776640709"/>
          <w:citation/>
        </w:sdtPr>
        <w:sdtEndPr/>
        <w:sdtContent>
          <w:r w:rsidR="00381535">
            <w:fldChar w:fldCharType="begin"/>
          </w:r>
          <w:r>
            <w:rPr>
              <w:lang w:val="en-US"/>
            </w:rPr>
            <w:instrText xml:space="preserve"> CITATION Gai18 \l 1033 </w:instrText>
          </w:r>
          <w:r w:rsidR="00381535">
            <w:fldChar w:fldCharType="separate"/>
          </w:r>
          <w:r w:rsidRPr="003452A6">
            <w:rPr>
              <w:noProof/>
              <w:lang w:val="en-US"/>
            </w:rPr>
            <w:t>(Gaikwad, 2018)</w:t>
          </w:r>
          <w:r w:rsidR="00381535">
            <w:fldChar w:fldCharType="end"/>
          </w:r>
        </w:sdtContent>
      </w:sdt>
      <w:r w:rsidRPr="007A2EAA">
        <w:t xml:space="preserve">. </w:t>
      </w:r>
      <w:r>
        <w:t xml:space="preserve">In the situation of Hotel or Tourism Industry, </w:t>
      </w:r>
      <w:proofErr w:type="gramStart"/>
      <w:r>
        <w:t>this aspects</w:t>
      </w:r>
      <w:proofErr w:type="gramEnd"/>
      <w:r>
        <w:t xml:space="preserve"> only calculate the change which takes place in the financial aspects, not the overall improvement which is required in the </w:t>
      </w:r>
      <w:r>
        <w:lastRenderedPageBreak/>
        <w:t xml:space="preserve">operational procedures as well as other business financial heads. In the case of the Gatsby Grange, the ratio analysis process only considers the financial aspects which show the investment issues, but it does not focus over the operation as well as service infrastructure challenge which is needed to improve. It is also based on the historical information which may create issues and problem in the work process. </w:t>
      </w:r>
    </w:p>
    <w:p w14:paraId="31DFCB7C" w14:textId="77777777" w:rsidR="005F4D4A" w:rsidRDefault="003F6CDE" w:rsidP="005F4D4A">
      <w:pPr>
        <w:pStyle w:val="Heading1"/>
      </w:pPr>
      <w:bookmarkStart w:id="9" w:name="_Toc44854738"/>
      <w:r>
        <w:t>Conclusion</w:t>
      </w:r>
      <w:bookmarkEnd w:id="9"/>
    </w:p>
    <w:p w14:paraId="718E19E1" w14:textId="77777777" w:rsidR="00F26E53" w:rsidRDefault="003F6CDE" w:rsidP="00F90E44">
      <w:r>
        <w:t xml:space="preserve">The method of the ratio analysis is an important process through which the business firm can access the financial gaps in the business. From the ratio analysis of the Gatsby Grange, it is found that they make the only investment in the fixed assets instead of the other operation </w:t>
      </w:r>
      <w:proofErr w:type="spellStart"/>
      <w:r>
        <w:t>aswell</w:t>
      </w:r>
      <w:proofErr w:type="spellEnd"/>
      <w:r>
        <w:t xml:space="preserve"> as infrastructure. Based on the current </w:t>
      </w:r>
      <w:proofErr w:type="spellStart"/>
      <w:r>
        <w:t>trend,a</w:t>
      </w:r>
      <w:proofErr w:type="spellEnd"/>
      <w:r>
        <w:t xml:space="preserve"> business firm can </w:t>
      </w:r>
      <w:proofErr w:type="spellStart"/>
      <w:r>
        <w:t>makea</w:t>
      </w:r>
      <w:proofErr w:type="spellEnd"/>
      <w:r>
        <w:t xml:space="preserve"> </w:t>
      </w:r>
      <w:proofErr w:type="spellStart"/>
      <w:r>
        <w:t>positiveinvestment</w:t>
      </w:r>
      <w:proofErr w:type="spellEnd"/>
      <w:r>
        <w:t xml:space="preserve"> in the marketable securities and inventories by which they </w:t>
      </w:r>
      <w:proofErr w:type="gramStart"/>
      <w:r>
        <w:t>can</w:t>
      </w:r>
      <w:proofErr w:type="gramEnd"/>
      <w:r>
        <w:t xml:space="preserve"> able to maintain the financial balance and avoid the negative affect. They also face a decline in the quick business </w:t>
      </w:r>
      <w:proofErr w:type="spellStart"/>
      <w:r>
        <w:t>ratioto</w:t>
      </w:r>
      <w:proofErr w:type="spellEnd"/>
      <w:r>
        <w:t xml:space="preserve"> 2.005:1 and 1.13:1 in 2019 due to the investment issues as well as declining in the overall profitability. </w:t>
      </w:r>
    </w:p>
    <w:bookmarkStart w:id="10" w:name="_Toc44854739" w:displacedByCustomXml="next"/>
    <w:sdt>
      <w:sdtPr>
        <w:rPr>
          <w:rFonts w:eastAsiaTheme="minorHAnsi" w:cstheme="minorBidi"/>
          <w:color w:val="auto"/>
          <w:sz w:val="24"/>
          <w:szCs w:val="22"/>
        </w:rPr>
        <w:id w:val="-1555774653"/>
        <w:docPartObj>
          <w:docPartGallery w:val="Bibliographies"/>
          <w:docPartUnique/>
        </w:docPartObj>
      </w:sdtPr>
      <w:sdtEndPr/>
      <w:sdtContent>
        <w:p w14:paraId="7383B1AA" w14:textId="77777777" w:rsidR="00EB0A5F" w:rsidRDefault="003F6CDE">
          <w:pPr>
            <w:pStyle w:val="Heading1"/>
          </w:pPr>
          <w:r>
            <w:t>References</w:t>
          </w:r>
          <w:bookmarkEnd w:id="10"/>
        </w:p>
        <w:sdt>
          <w:sdtPr>
            <w:id w:val="-573587230"/>
            <w:bibliography/>
          </w:sdtPr>
          <w:sdtEndPr/>
          <w:sdtContent>
            <w:p w14:paraId="1E43BA60" w14:textId="77777777" w:rsidR="00EB0A5F" w:rsidRDefault="00381535" w:rsidP="00EB0A5F">
              <w:pPr>
                <w:pStyle w:val="Bibliography"/>
                <w:rPr>
                  <w:noProof/>
                  <w:szCs w:val="24"/>
                </w:rPr>
              </w:pPr>
              <w:r>
                <w:fldChar w:fldCharType="begin"/>
              </w:r>
              <w:r w:rsidR="003F6CDE">
                <w:instrText xml:space="preserve"> BIBLIOGRAPHY </w:instrText>
              </w:r>
              <w:r>
                <w:fldChar w:fldCharType="separate"/>
              </w:r>
              <w:r w:rsidR="003F6CDE">
                <w:rPr>
                  <w:noProof/>
                </w:rPr>
                <w:t xml:space="preserve">Chalu, H. &amp; Lubawa, G., 2018. Using financial statements to analyze the effects of multiple Borrowings on SMEs financial performance in Tanzania. </w:t>
              </w:r>
              <w:r w:rsidR="003F6CDE">
                <w:rPr>
                  <w:i/>
                  <w:iCs/>
                  <w:noProof/>
                </w:rPr>
                <w:t xml:space="preserve">Inter. J. Res. Methodol. Soc. Sci, </w:t>
              </w:r>
              <w:r w:rsidR="003F6CDE">
                <w:rPr>
                  <w:noProof/>
                </w:rPr>
                <w:t>1(4), pp. 87-107.</w:t>
              </w:r>
            </w:p>
            <w:p w14:paraId="2751B2D8" w14:textId="77777777" w:rsidR="00EB0A5F" w:rsidRDefault="003F6CDE" w:rsidP="00EB0A5F">
              <w:pPr>
                <w:pStyle w:val="Bibliography"/>
                <w:rPr>
                  <w:noProof/>
                </w:rPr>
              </w:pPr>
              <w:r>
                <w:rPr>
                  <w:noProof/>
                </w:rPr>
                <w:t xml:space="preserve">Eltaief, A. et al., 2019. Comparison between CAD models using modification ratio calculation. </w:t>
              </w:r>
              <w:r>
                <w:rPr>
                  <w:i/>
                  <w:iCs/>
                  <w:noProof/>
                </w:rPr>
                <w:t xml:space="preserve">International Journal of Computer Integrated Manufacturing, </w:t>
              </w:r>
              <w:r>
                <w:rPr>
                  <w:noProof/>
                </w:rPr>
                <w:t>32(10), pp. 996-1008, DOI: 10.1080/0951192X.2019.1667030.</w:t>
              </w:r>
            </w:p>
            <w:p w14:paraId="0446C444" w14:textId="77777777" w:rsidR="00EB0A5F" w:rsidRDefault="003F6CDE" w:rsidP="00EB0A5F">
              <w:pPr>
                <w:pStyle w:val="Bibliography"/>
                <w:rPr>
                  <w:noProof/>
                </w:rPr>
              </w:pPr>
              <w:r>
                <w:rPr>
                  <w:noProof/>
                </w:rPr>
                <w:t xml:space="preserve">Gabric, D., 2018. Determination of Accounting Manipulations in the Financial Statements Using Accrual Based Investment Ratios. </w:t>
              </w:r>
              <w:r>
                <w:rPr>
                  <w:i/>
                  <w:iCs/>
                  <w:noProof/>
                </w:rPr>
                <w:t xml:space="preserve">Economic Review: Journal of Economics and Business, </w:t>
              </w:r>
              <w:r>
                <w:rPr>
                  <w:noProof/>
                </w:rPr>
                <w:t>16(1), pp. 71-81, ISSN: 5464-6556 .</w:t>
              </w:r>
            </w:p>
            <w:p w14:paraId="29E4163B" w14:textId="77777777" w:rsidR="00EB0A5F" w:rsidRDefault="003F6CDE" w:rsidP="00EB0A5F">
              <w:pPr>
                <w:pStyle w:val="Bibliography"/>
                <w:rPr>
                  <w:noProof/>
                </w:rPr>
              </w:pPr>
              <w:r>
                <w:rPr>
                  <w:noProof/>
                </w:rPr>
                <w:t xml:space="preserve">Gaikwad, A., 2018. Ratio Analysis of Employees Credit Cooperative Societies. </w:t>
              </w:r>
              <w:r>
                <w:rPr>
                  <w:i/>
                  <w:iCs/>
                  <w:noProof/>
                </w:rPr>
                <w:t xml:space="preserve">Splint International Journal of Professionals, </w:t>
              </w:r>
              <w:r>
                <w:rPr>
                  <w:noProof/>
                </w:rPr>
                <w:t>5(2), pp. 38-43.</w:t>
              </w:r>
            </w:p>
            <w:p w14:paraId="2E35B1BF" w14:textId="77777777" w:rsidR="00EB0A5F" w:rsidRDefault="003F6CDE" w:rsidP="00EB0A5F">
              <w:pPr>
                <w:pStyle w:val="Bibliography"/>
                <w:rPr>
                  <w:noProof/>
                </w:rPr>
              </w:pPr>
              <w:r>
                <w:rPr>
                  <w:noProof/>
                </w:rPr>
                <w:t xml:space="preserve">Hosaka, T., 2019. Bankruptcy prediction using imaged financial ratios and convolutional neural networks. </w:t>
              </w:r>
              <w:r>
                <w:rPr>
                  <w:i/>
                  <w:iCs/>
                  <w:noProof/>
                </w:rPr>
                <w:t xml:space="preserve">Expert systems with applications, </w:t>
              </w:r>
              <w:r>
                <w:rPr>
                  <w:noProof/>
                </w:rPr>
                <w:t>117(1), pp. 287-299, DOI: 10.1016/j.eswa.2018.09.039.</w:t>
              </w:r>
            </w:p>
            <w:p w14:paraId="5CF0BDD5" w14:textId="77777777" w:rsidR="00EB0A5F" w:rsidRDefault="003F6CDE" w:rsidP="00EB0A5F">
              <w:pPr>
                <w:pStyle w:val="Bibliography"/>
                <w:rPr>
                  <w:noProof/>
                </w:rPr>
              </w:pPr>
              <w:r>
                <w:rPr>
                  <w:noProof/>
                </w:rPr>
                <w:lastRenderedPageBreak/>
                <w:t xml:space="preserve">Khamis, M., Che Yahya, N., Jaafar, N. &amp; Abdullah, Z., 2019. Comparative and trend analysis of financial management practices in Southeast Asia Higher Education Institutions (HEIS). </w:t>
              </w:r>
              <w:r>
                <w:rPr>
                  <w:i/>
                  <w:iCs/>
                  <w:noProof/>
                </w:rPr>
                <w:t xml:space="preserve">Social and Management Research Journal, </w:t>
              </w:r>
              <w:r>
                <w:rPr>
                  <w:noProof/>
                </w:rPr>
                <w:t>16(2), pp. 153-166, ISSN: 1675-7017.</w:t>
              </w:r>
            </w:p>
            <w:p w14:paraId="1AAF7F3B" w14:textId="77777777" w:rsidR="00EB0A5F" w:rsidRDefault="003F6CDE" w:rsidP="00EB0A5F">
              <w:pPr>
                <w:pStyle w:val="Bibliography"/>
                <w:rPr>
                  <w:noProof/>
                </w:rPr>
              </w:pPr>
              <w:r>
                <w:rPr>
                  <w:noProof/>
                </w:rPr>
                <w:t xml:space="preserve">Steiner-Khamsi, G., Appleton, M. &amp; Vellani, S., 2018. Understanding business interests in international large-scale student assessments: a media analysis of The Economist, Financial Times, and Wall Street Journal. </w:t>
              </w:r>
              <w:r>
                <w:rPr>
                  <w:i/>
                  <w:iCs/>
                  <w:noProof/>
                </w:rPr>
                <w:t xml:space="preserve">Oxford Review of Education, </w:t>
              </w:r>
              <w:r>
                <w:rPr>
                  <w:noProof/>
                </w:rPr>
                <w:t>44(2), pp. 1, DOI: 10.1080/03054985.2017.1379383 .</w:t>
              </w:r>
            </w:p>
            <w:p w14:paraId="59B0AEA8" w14:textId="77777777" w:rsidR="00EB0A5F" w:rsidRDefault="003F6CDE" w:rsidP="00EB0A5F">
              <w:pPr>
                <w:pStyle w:val="Bibliography"/>
                <w:rPr>
                  <w:noProof/>
                </w:rPr>
              </w:pPr>
              <w:r>
                <w:rPr>
                  <w:noProof/>
                </w:rPr>
                <w:t xml:space="preserve">Williams Jr, R., Manley, S., Aaron, J. &amp; Daniel, F., 2018. The Interactive Effects of a Comprehensive Strategic Approach and Entrepreneurial Orientation on Small Business Performance. </w:t>
              </w:r>
              <w:r>
                <w:rPr>
                  <w:i/>
                  <w:iCs/>
                  <w:noProof/>
                </w:rPr>
                <w:t xml:space="preserve">American Journal of Entrepreneurship, </w:t>
              </w:r>
              <w:r>
                <w:rPr>
                  <w:noProof/>
                </w:rPr>
                <w:t>11(2), pp. 52-81, ISSN: 4566-5465 .</w:t>
              </w:r>
            </w:p>
            <w:p w14:paraId="6A295405" w14:textId="77777777" w:rsidR="00EB0A5F" w:rsidRDefault="003F6CDE" w:rsidP="00EB0A5F">
              <w:pPr>
                <w:pStyle w:val="Bibliography"/>
                <w:rPr>
                  <w:noProof/>
                </w:rPr>
              </w:pPr>
              <w:r>
                <w:rPr>
                  <w:noProof/>
                </w:rPr>
                <w:t xml:space="preserve">Williams Jr, R., Manley, S., Aaron, J. &amp; Daniel, F., 2018. The relationship between a comprehensive strategic approach and small business performance. </w:t>
              </w:r>
              <w:r>
                <w:rPr>
                  <w:i/>
                  <w:iCs/>
                  <w:noProof/>
                </w:rPr>
                <w:t xml:space="preserve">Journal of Small Business Strategy, </w:t>
              </w:r>
              <w:r>
                <w:rPr>
                  <w:noProof/>
                </w:rPr>
                <w:t>24(2), pp. 33-48, ISSN: 4566-5645 .</w:t>
              </w:r>
            </w:p>
            <w:p w14:paraId="4E8940B9" w14:textId="77777777" w:rsidR="00EB0A5F" w:rsidRDefault="00381535" w:rsidP="00EB0A5F">
              <w:r>
                <w:rPr>
                  <w:b/>
                  <w:bCs/>
                  <w:noProof/>
                </w:rPr>
                <w:fldChar w:fldCharType="end"/>
              </w:r>
            </w:p>
          </w:sdtContent>
        </w:sdt>
      </w:sdtContent>
    </w:sdt>
    <w:p w14:paraId="0284CB2F" w14:textId="77777777" w:rsidR="00F26E53" w:rsidRDefault="003F6CDE" w:rsidP="00F26E53">
      <w:r>
        <w:br w:type="page"/>
      </w:r>
    </w:p>
    <w:p w14:paraId="3B73729C" w14:textId="77777777" w:rsidR="004451E2" w:rsidRDefault="00FE1C37" w:rsidP="00BD76EC"/>
    <w:p w14:paraId="5700AEC7" w14:textId="77777777" w:rsidR="00E8044E" w:rsidRDefault="00FE1C37" w:rsidP="00E8044E"/>
    <w:p w14:paraId="503DEC8C" w14:textId="77777777" w:rsidR="00C33581" w:rsidRDefault="00FE1C37" w:rsidP="00C33581"/>
    <w:p w14:paraId="72A8920B" w14:textId="77777777" w:rsidR="00CA7328" w:rsidRPr="00237A86" w:rsidRDefault="00FE1C37" w:rsidP="00237A86"/>
    <w:p w14:paraId="47F7B25F" w14:textId="77777777" w:rsidR="00336FDC" w:rsidRPr="000A585B" w:rsidRDefault="00FE1C37" w:rsidP="000A585B"/>
    <w:p w14:paraId="0482C274" w14:textId="77777777" w:rsidR="00D360B5" w:rsidRPr="00D360B5" w:rsidRDefault="00FE1C37" w:rsidP="00D360B5"/>
    <w:p w14:paraId="276A8ABF" w14:textId="77777777" w:rsidR="00056D65" w:rsidRPr="00040A4C" w:rsidRDefault="00FE1C37" w:rsidP="00FD2E2E"/>
    <w:p w14:paraId="3D599A7A" w14:textId="77777777" w:rsidR="009F5FE1" w:rsidRPr="009F5FE1" w:rsidRDefault="00FE1C37" w:rsidP="009F5FE1"/>
    <w:p w14:paraId="31881309" w14:textId="77777777" w:rsidR="00142308" w:rsidRPr="00602076" w:rsidRDefault="00FE1C37" w:rsidP="005B2E9B"/>
    <w:sectPr w:rsidR="00142308" w:rsidRPr="00602076" w:rsidSect="000158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9EDE4A52"/>
    <w:multiLevelType w:val="hybridMultilevel"/>
    <w:tmpl w:val="870E72FB"/>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8510AB3"/>
    <w:multiLevelType w:val="hybridMultilevel"/>
    <w:tmpl w:val="61F6A5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1A66618"/>
    <w:multiLevelType w:val="hybridMultilevel"/>
    <w:tmpl w:val="C556E9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4E44522"/>
    <w:multiLevelType w:val="hybridMultilevel"/>
    <w:tmpl w:val="EE70C1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7053F6B"/>
    <w:multiLevelType w:val="hybridMultilevel"/>
    <w:tmpl w:val="3C2490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930021D"/>
    <w:multiLevelType w:val="hybridMultilevel"/>
    <w:tmpl w:val="65829C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E8B70F4"/>
    <w:multiLevelType w:val="hybridMultilevel"/>
    <w:tmpl w:val="2F8A08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1"/>
  </w:num>
  <w:num w:numId="5">
    <w:abstractNumId w:val="2"/>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1584E"/>
    <w:rsid w:val="0001584E"/>
    <w:rsid w:val="00381535"/>
    <w:rsid w:val="003F6CDE"/>
    <w:rsid w:val="00F07F0E"/>
    <w:rsid w:val="00FE1C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CA4A2"/>
  <w15:docId w15:val="{27340424-B98B-46AB-9D8E-161BAFC78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95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E1764"/>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1764"/>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764"/>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9E1764"/>
    <w:rPr>
      <w:rFonts w:ascii="Times New Roman" w:eastAsiaTheme="majorEastAsia" w:hAnsi="Times New Roman" w:cstheme="majorBidi"/>
      <w:color w:val="2E74B5" w:themeColor="accent1" w:themeShade="BF"/>
      <w:sz w:val="26"/>
      <w:szCs w:val="26"/>
    </w:rPr>
  </w:style>
  <w:style w:type="paragraph" w:customStyle="1" w:styleId="Default">
    <w:name w:val="Default"/>
    <w:rsid w:val="00DF4813"/>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E10A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3F24"/>
    <w:pPr>
      <w:ind w:left="720"/>
      <w:contextualSpacing/>
    </w:pPr>
  </w:style>
  <w:style w:type="paragraph" w:styleId="Bibliography">
    <w:name w:val="Bibliography"/>
    <w:basedOn w:val="Normal"/>
    <w:next w:val="Normal"/>
    <w:uiPriority w:val="37"/>
    <w:unhideWhenUsed/>
    <w:rsid w:val="00EB0A5F"/>
  </w:style>
  <w:style w:type="paragraph" w:styleId="TOCHeading">
    <w:name w:val="TOC Heading"/>
    <w:basedOn w:val="Heading1"/>
    <w:next w:val="Normal"/>
    <w:uiPriority w:val="39"/>
    <w:unhideWhenUsed/>
    <w:qFormat/>
    <w:rsid w:val="00EB0A5F"/>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EB0A5F"/>
    <w:pPr>
      <w:spacing w:after="100"/>
    </w:pPr>
  </w:style>
  <w:style w:type="paragraph" w:styleId="TOC2">
    <w:name w:val="toc 2"/>
    <w:basedOn w:val="Normal"/>
    <w:next w:val="Normal"/>
    <w:autoRedefine/>
    <w:uiPriority w:val="39"/>
    <w:unhideWhenUsed/>
    <w:rsid w:val="00EB0A5F"/>
    <w:pPr>
      <w:spacing w:after="100"/>
      <w:ind w:left="240"/>
    </w:pPr>
  </w:style>
  <w:style w:type="character" w:styleId="Hyperlink">
    <w:name w:val="Hyperlink"/>
    <w:basedOn w:val="DefaultParagraphFont"/>
    <w:uiPriority w:val="99"/>
    <w:unhideWhenUsed/>
    <w:rsid w:val="00EB0A5F"/>
    <w:rPr>
      <w:color w:val="0563C1" w:themeColor="hyperlink"/>
      <w:u w:val="single"/>
    </w:rPr>
  </w:style>
  <w:style w:type="paragraph" w:styleId="Title">
    <w:name w:val="Title"/>
    <w:basedOn w:val="Normal"/>
    <w:next w:val="Normal"/>
    <w:link w:val="TitleChar"/>
    <w:uiPriority w:val="10"/>
    <w:qFormat/>
    <w:rsid w:val="00EB0A5F"/>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EB0A5F"/>
    <w:rPr>
      <w:rFonts w:asciiTheme="majorHAnsi" w:eastAsiaTheme="majorEastAsia" w:hAnsiTheme="majorHAnsi" w:cstheme="majorBidi"/>
      <w:spacing w:val="-10"/>
      <w:kern w:val="28"/>
      <w:sz w:val="56"/>
      <w:szCs w:val="56"/>
      <w:lang w:val="en-US"/>
    </w:rPr>
  </w:style>
  <w:style w:type="paragraph" w:styleId="BalloonText">
    <w:name w:val="Balloon Text"/>
    <w:basedOn w:val="Normal"/>
    <w:link w:val="BalloonTextChar"/>
    <w:uiPriority w:val="99"/>
    <w:semiHidden/>
    <w:unhideWhenUsed/>
    <w:rsid w:val="003F6C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6C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529255">
      <w:bodyDiv w:val="1"/>
      <w:marLeft w:val="0"/>
      <w:marRight w:val="0"/>
      <w:marTop w:val="0"/>
      <w:marBottom w:val="0"/>
      <w:divBdr>
        <w:top w:val="none" w:sz="0" w:space="0" w:color="auto"/>
        <w:left w:val="none" w:sz="0" w:space="0" w:color="auto"/>
        <w:bottom w:val="none" w:sz="0" w:space="0" w:color="auto"/>
        <w:right w:val="none" w:sz="0" w:space="0" w:color="auto"/>
      </w:divBdr>
    </w:div>
    <w:div w:id="629478129">
      <w:bodyDiv w:val="1"/>
      <w:marLeft w:val="0"/>
      <w:marRight w:val="0"/>
      <w:marTop w:val="0"/>
      <w:marBottom w:val="0"/>
      <w:divBdr>
        <w:top w:val="none" w:sz="0" w:space="0" w:color="auto"/>
        <w:left w:val="none" w:sz="0" w:space="0" w:color="auto"/>
        <w:bottom w:val="none" w:sz="0" w:space="0" w:color="auto"/>
        <w:right w:val="none" w:sz="0" w:space="0" w:color="auto"/>
      </w:divBdr>
    </w:div>
    <w:div w:id="749619134">
      <w:bodyDiv w:val="1"/>
      <w:marLeft w:val="0"/>
      <w:marRight w:val="0"/>
      <w:marTop w:val="0"/>
      <w:marBottom w:val="0"/>
      <w:divBdr>
        <w:top w:val="none" w:sz="0" w:space="0" w:color="auto"/>
        <w:left w:val="none" w:sz="0" w:space="0" w:color="auto"/>
        <w:bottom w:val="none" w:sz="0" w:space="0" w:color="auto"/>
        <w:right w:val="none" w:sz="0" w:space="0" w:color="auto"/>
      </w:divBdr>
    </w:div>
    <w:div w:id="1028677324">
      <w:bodyDiv w:val="1"/>
      <w:marLeft w:val="0"/>
      <w:marRight w:val="0"/>
      <w:marTop w:val="0"/>
      <w:marBottom w:val="0"/>
      <w:divBdr>
        <w:top w:val="none" w:sz="0" w:space="0" w:color="auto"/>
        <w:left w:val="none" w:sz="0" w:space="0" w:color="auto"/>
        <w:bottom w:val="none" w:sz="0" w:space="0" w:color="auto"/>
        <w:right w:val="none" w:sz="0" w:space="0" w:color="auto"/>
      </w:divBdr>
    </w:div>
    <w:div w:id="1189875455">
      <w:bodyDiv w:val="1"/>
      <w:marLeft w:val="0"/>
      <w:marRight w:val="0"/>
      <w:marTop w:val="0"/>
      <w:marBottom w:val="0"/>
      <w:divBdr>
        <w:top w:val="none" w:sz="0" w:space="0" w:color="auto"/>
        <w:left w:val="none" w:sz="0" w:space="0" w:color="auto"/>
        <w:bottom w:val="none" w:sz="0" w:space="0" w:color="auto"/>
        <w:right w:val="none" w:sz="0" w:space="0" w:color="auto"/>
      </w:divBdr>
    </w:div>
    <w:div w:id="1242253393">
      <w:bodyDiv w:val="1"/>
      <w:marLeft w:val="0"/>
      <w:marRight w:val="0"/>
      <w:marTop w:val="0"/>
      <w:marBottom w:val="0"/>
      <w:divBdr>
        <w:top w:val="none" w:sz="0" w:space="0" w:color="auto"/>
        <w:left w:val="none" w:sz="0" w:space="0" w:color="auto"/>
        <w:bottom w:val="none" w:sz="0" w:space="0" w:color="auto"/>
        <w:right w:val="none" w:sz="0" w:space="0" w:color="auto"/>
      </w:divBdr>
    </w:div>
    <w:div w:id="1358966531">
      <w:bodyDiv w:val="1"/>
      <w:marLeft w:val="0"/>
      <w:marRight w:val="0"/>
      <w:marTop w:val="0"/>
      <w:marBottom w:val="0"/>
      <w:divBdr>
        <w:top w:val="none" w:sz="0" w:space="0" w:color="auto"/>
        <w:left w:val="none" w:sz="0" w:space="0" w:color="auto"/>
        <w:bottom w:val="none" w:sz="0" w:space="0" w:color="auto"/>
        <w:right w:val="none" w:sz="0" w:space="0" w:color="auto"/>
      </w:divBdr>
    </w:div>
    <w:div w:id="1376661519">
      <w:bodyDiv w:val="1"/>
      <w:marLeft w:val="0"/>
      <w:marRight w:val="0"/>
      <w:marTop w:val="0"/>
      <w:marBottom w:val="0"/>
      <w:divBdr>
        <w:top w:val="none" w:sz="0" w:space="0" w:color="auto"/>
        <w:left w:val="none" w:sz="0" w:space="0" w:color="auto"/>
        <w:bottom w:val="none" w:sz="0" w:space="0" w:color="auto"/>
        <w:right w:val="none" w:sz="0" w:space="0" w:color="auto"/>
      </w:divBdr>
    </w:div>
    <w:div w:id="1453283987">
      <w:bodyDiv w:val="1"/>
      <w:marLeft w:val="0"/>
      <w:marRight w:val="0"/>
      <w:marTop w:val="0"/>
      <w:marBottom w:val="0"/>
      <w:divBdr>
        <w:top w:val="none" w:sz="0" w:space="0" w:color="auto"/>
        <w:left w:val="none" w:sz="0" w:space="0" w:color="auto"/>
        <w:bottom w:val="none" w:sz="0" w:space="0" w:color="auto"/>
        <w:right w:val="none" w:sz="0" w:space="0" w:color="auto"/>
      </w:divBdr>
    </w:div>
    <w:div w:id="1522819975">
      <w:bodyDiv w:val="1"/>
      <w:marLeft w:val="0"/>
      <w:marRight w:val="0"/>
      <w:marTop w:val="0"/>
      <w:marBottom w:val="0"/>
      <w:divBdr>
        <w:top w:val="none" w:sz="0" w:space="0" w:color="auto"/>
        <w:left w:val="none" w:sz="0" w:space="0" w:color="auto"/>
        <w:bottom w:val="none" w:sz="0" w:space="0" w:color="auto"/>
        <w:right w:val="none" w:sz="0" w:space="0" w:color="auto"/>
      </w:divBdr>
    </w:div>
    <w:div w:id="1524057682">
      <w:bodyDiv w:val="1"/>
      <w:marLeft w:val="0"/>
      <w:marRight w:val="0"/>
      <w:marTop w:val="0"/>
      <w:marBottom w:val="0"/>
      <w:divBdr>
        <w:top w:val="none" w:sz="0" w:space="0" w:color="auto"/>
        <w:left w:val="none" w:sz="0" w:space="0" w:color="auto"/>
        <w:bottom w:val="none" w:sz="0" w:space="0" w:color="auto"/>
        <w:right w:val="none" w:sz="0" w:space="0" w:color="auto"/>
      </w:divBdr>
    </w:div>
    <w:div w:id="1646659294">
      <w:bodyDiv w:val="1"/>
      <w:marLeft w:val="0"/>
      <w:marRight w:val="0"/>
      <w:marTop w:val="0"/>
      <w:marBottom w:val="0"/>
      <w:divBdr>
        <w:top w:val="none" w:sz="0" w:space="0" w:color="auto"/>
        <w:left w:val="none" w:sz="0" w:space="0" w:color="auto"/>
        <w:bottom w:val="none" w:sz="0" w:space="0" w:color="auto"/>
        <w:right w:val="none" w:sz="0" w:space="0" w:color="auto"/>
      </w:divBdr>
    </w:div>
    <w:div w:id="2108653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Ste18</b:Tag>
    <b:SourceType>JournalArticle</b:SourceType>
    <b:Guid>{75C9E17F-73A4-4B23-9EDC-4C186E25C3F6}</b:Guid>
    <b:Author>
      <b:Author>
        <b:NameList>
          <b:Person>
            <b:Last>Steiner-Khamsi</b:Last>
            <b:First>G.</b:First>
          </b:Person>
          <b:Person>
            <b:Last>Appleton</b:Last>
            <b:First>M.</b:First>
          </b:Person>
          <b:Person>
            <b:Last>Vellani</b:Last>
            <b:First>S.</b:First>
          </b:Person>
        </b:NameList>
      </b:Author>
    </b:Author>
    <b:Title>Understanding business interests in international large-scale student assessments: a media analysis of The Economist, Financial Times, and Wall Street Journal</b:Title>
    <b:JournalName>Oxford Review of Education</b:JournalName>
    <b:Year>2018</b:Year>
    <b:Pages>1, DOI: 10.1080/03054985.2017.1379383 </b:Pages>
    <b:Volume>44</b:Volume>
    <b:Issue>2</b:Issue>
    <b:RefOrder>1</b:RefOrder>
  </b:Source>
  <b:Source>
    <b:Tag>Elt19</b:Tag>
    <b:SourceType>JournalArticle</b:SourceType>
    <b:Guid>{E75723D9-D590-4FBE-86A8-74CED3E8AC67}</b:Guid>
    <b:Author>
      <b:Author>
        <b:NameList>
          <b:Person>
            <b:Last>Eltaief</b:Last>
            <b:First>A.</b:First>
          </b:Person>
          <b:Person>
            <b:Last>Remy</b:Last>
            <b:First>S.</b:First>
          </b:Person>
          <b:Person>
            <b:Last>Louhichi</b:Last>
            <b:First>B.</b:First>
          </b:Person>
          <b:Person>
            <b:Last>Ducellier</b:Last>
            <b:First>G.</b:First>
          </b:Person>
          <b:Person>
            <b:Last>Eynard</b:Last>
            <b:First>B.</b:First>
          </b:Person>
        </b:NameList>
      </b:Author>
    </b:Author>
    <b:Title>Comparison between CAD models using modification ratio calculation</b:Title>
    <b:JournalName>International Journal of Computer Integrated Manufacturing</b:JournalName>
    <b:Year>2019</b:Year>
    <b:Pages>996-1008, DOI:  10.1080/0951192X.2019.1667030</b:Pages>
    <b:Volume>32</b:Volume>
    <b:Issue>10</b:Issue>
    <b:RefOrder>2</b:RefOrder>
  </b:Source>
  <b:Source>
    <b:Tag>Gab18</b:Tag>
    <b:SourceType>JournalArticle</b:SourceType>
    <b:Guid>{93B2EA71-F4E2-421C-89C9-3B7FC071C328}</b:Guid>
    <b:Author>
      <b:Author>
        <b:NameList>
          <b:Person>
            <b:Last>Gabric</b:Last>
            <b:First>D.</b:First>
          </b:Person>
        </b:NameList>
      </b:Author>
    </b:Author>
    <b:Title>Determination of Accounting Manipulations in the Financial Statements Using Accrual Based Investment Ratios</b:Title>
    <b:JournalName>Economic Review: Journal of Economics and Business</b:JournalName>
    <b:Year>2018</b:Year>
    <b:Pages>71-81, ISSN: 5464-6556 </b:Pages>
    <b:Volume>16</b:Volume>
    <b:Issue>1</b:Issue>
    <b:RefOrder>3</b:RefOrder>
  </b:Source>
  <b:Source>
    <b:Tag>Cha181</b:Tag>
    <b:SourceType>JournalArticle</b:SourceType>
    <b:Guid>{3856CCBB-BB92-4C6D-9BDA-4067A45151F3}</b:Guid>
    <b:Author>
      <b:Author>
        <b:NameList>
          <b:Person>
            <b:Last>Chalu</b:Last>
            <b:First>H.</b:First>
          </b:Person>
          <b:Person>
            <b:Last>Lubawa</b:Last>
            <b:First>G.</b:First>
          </b:Person>
        </b:NameList>
      </b:Author>
    </b:Author>
    <b:Title> Using financial statements to analyze the effects of multiple Borrowings on SMEs financial performance in Tanzania</b:Title>
    <b:JournalName>Inter. J. Res. Methodol. Soc. Sci</b:JournalName>
    <b:Year>2018</b:Year>
    <b:Pages>87-107</b:Pages>
    <b:Volume>1</b:Volume>
    <b:Issue>4</b:Issue>
    <b:RefOrder>4</b:RefOrder>
  </b:Source>
  <b:Source>
    <b:Tag>Hos19</b:Tag>
    <b:SourceType>JournalArticle</b:SourceType>
    <b:Guid>{FC46BC5B-EE0D-4067-89DD-6D5D4D336D91}</b:Guid>
    <b:Author>
      <b:Author>
        <b:NameList>
          <b:Person>
            <b:Last>Hosaka</b:Last>
            <b:First>T.</b:First>
          </b:Person>
        </b:NameList>
      </b:Author>
    </b:Author>
    <b:Title>Bankruptcy prediction using imaged financial ratios and convolutional neural networks</b:Title>
    <b:JournalName>Expert systems with applications</b:JournalName>
    <b:Year>2019</b:Year>
    <b:Pages>287-299, DOI: 10.1016/j.eswa.2018.09.039</b:Pages>
    <b:Volume>117</b:Volume>
    <b:Issue>1</b:Issue>
    <b:RefOrder>5</b:RefOrder>
  </b:Source>
  <b:Source>
    <b:Tag>Kha19</b:Tag>
    <b:SourceType>JournalArticle</b:SourceType>
    <b:Guid>{001D8FEF-3B42-4503-B073-5D1B2153C67F}</b:Guid>
    <b:Author>
      <b:Author>
        <b:NameList>
          <b:Person>
            <b:Last>Khamis</b:Last>
            <b:First>M.R.</b:First>
          </b:Person>
          <b:Person>
            <b:Last>Che Yahya</b:Last>
            <b:First>N.</b:First>
          </b:Person>
          <b:Person>
            <b:Last>Jaafar</b:Last>
            <b:First>N.</b:First>
          </b:Person>
          <b:Person>
            <b:Last>Abdullah</b:Last>
            <b:First>Z.</b:First>
          </b:Person>
        </b:NameList>
      </b:Author>
    </b:Author>
    <b:Title>Comparative and trend analysis of financial management practices in Southeast Asia Higher Education Institutions (HEIS) </b:Title>
    <b:JournalName>Social and Management Research Journal</b:JournalName>
    <b:Year>2019</b:Year>
    <b:Pages>153-166, ISSN: 1675-7017</b:Pages>
    <b:Volume>16</b:Volume>
    <b:Issue>2</b:Issue>
    <b:RefOrder>6</b:RefOrder>
  </b:Source>
  <b:Source>
    <b:Tag>Wil18</b:Tag>
    <b:SourceType>JournalArticle</b:SourceType>
    <b:Guid>{F8902C14-552C-43A0-9C3F-AD1B5BD4F51F}</b:Guid>
    <b:Author>
      <b:Author>
        <b:NameList>
          <b:Person>
            <b:Last>Williams Jr</b:Last>
            <b:First>R.I.</b:First>
          </b:Person>
          <b:Person>
            <b:Last>Manley</b:Last>
            <b:First>S.C.</b:First>
          </b:Person>
          <b:Person>
            <b:Last>Aaron</b:Last>
            <b:First>J.R.</b:First>
          </b:Person>
          <b:Person>
            <b:Last>Daniel</b:Last>
            <b:First>F.</b:First>
          </b:Person>
        </b:NameList>
      </b:Author>
    </b:Author>
    <b:Title> The Interactive Effects of a Comprehensive Strategic Approach and Entrepreneurial Orientation on Small Business Performance</b:Title>
    <b:JournalName>American Journal of Entrepreneurship</b:JournalName>
    <b:Year>2018</b:Year>
    <b:Pages>52-81, ISSN: 4566-5465 </b:Pages>
    <b:Volume>11</b:Volume>
    <b:Issue>2</b:Issue>
    <b:RefOrder>7</b:RefOrder>
  </b:Source>
  <b:Source>
    <b:Tag>Wil181</b:Tag>
    <b:SourceType>JournalArticle</b:SourceType>
    <b:Guid>{0A472E83-0402-4F8F-ACB9-979EA4C7F024}</b:Guid>
    <b:Author>
      <b:Author>
        <b:NameList>
          <b:Person>
            <b:Last>Williams Jr</b:Last>
            <b:First>R.I.</b:First>
          </b:Person>
          <b:Person>
            <b:Last>Manley</b:Last>
            <b:First>S.C.</b:First>
          </b:Person>
          <b:Person>
            <b:Last>Aaron</b:Last>
            <b:First>J.R.</b:First>
          </b:Person>
          <b:Person>
            <b:Last>Daniel</b:Last>
            <b:First>F.</b:First>
          </b:Person>
        </b:NameList>
      </b:Author>
    </b:Author>
    <b:Title>The relationship between a comprehensive strategic approach and small business performance</b:Title>
    <b:JournalName>Journal of Small Business Strategy</b:JournalName>
    <b:Year>2018</b:Year>
    <b:Pages> 33-48, ISSN: 4566-5645 </b:Pages>
    <b:Volume>24</b:Volume>
    <b:Issue>2</b:Issue>
    <b:RefOrder>8</b:RefOrder>
  </b:Source>
  <b:Source>
    <b:Tag>Gai18</b:Tag>
    <b:SourceType>JournalArticle</b:SourceType>
    <b:Guid>{DF153E7F-6C62-4A4D-9268-01073026A590}</b:Guid>
    <b:Author>
      <b:Author>
        <b:NameList>
          <b:Person>
            <b:Last>Gaikwad</b:Last>
            <b:First>A.H.</b:First>
          </b:Person>
        </b:NameList>
      </b:Author>
    </b:Author>
    <b:Title>Ratio Analysis of Employees Credit Cooperative Societies</b:Title>
    <b:JournalName>Splint International Journal of Professionals</b:JournalName>
    <b:Year>2018</b:Year>
    <b:Pages>38-43</b:Pages>
    <b:Volume>5</b:Volume>
    <b:Issue>2</b:Issue>
    <b:RefOrder>9</b:RefOrder>
  </b:Source>
</b:Sources>
</file>

<file path=customXml/itemProps1.xml><?xml version="1.0" encoding="utf-8"?>
<ds:datastoreItem xmlns:ds="http://schemas.openxmlformats.org/officeDocument/2006/customXml" ds:itemID="{9B162AEC-D036-4286-9E72-6781DC1B5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1</Pages>
  <Words>2591</Words>
  <Characters>14775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Policica Dansatoarea</cp:lastModifiedBy>
  <cp:revision>4</cp:revision>
  <dcterms:created xsi:type="dcterms:W3CDTF">2020-03-19T04:40:00Z</dcterms:created>
  <dcterms:modified xsi:type="dcterms:W3CDTF">2020-07-05T21:44:00Z</dcterms:modified>
</cp:coreProperties>
</file>