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w16du="http://schemas.microsoft.com/office/word/2023/wordml/word16du" mc:Ignorable="w14 w15 wp14 w16se w16cid w16 w16cex w16sdtdh w16sdtfl">
  <w:body>
    <w:p xmlns:wp14="http://schemas.microsoft.com/office/word/2010/wordml" w:rsidP="11F02093" wp14:paraId="0E808414" wp14:textId="66EFA0E3">
      <w:pPr>
        <w:pStyle w:val="NoSpacing"/>
        <w:spacing w:before="1540" w:beforeAutospacing="off" w:after="240" w:afterAutospacing="off"/>
        <w:jc w:val="center"/>
        <w:rPr>
          <w:rFonts w:ascii="Aptos" w:hAnsi="Aptos" w:eastAsia="Aptos" w:cs="Aptos"/>
          <w:noProof w:val="0"/>
          <w:color w:val="156082" w:themeColor="accent1" w:themeTint="FF" w:themeShade="FF"/>
          <w:sz w:val="22"/>
          <w:szCs w:val="22"/>
          <w:lang w:val="en-US"/>
        </w:rPr>
      </w:pPr>
    </w:p>
    <w:p xmlns:wp14="http://schemas.microsoft.com/office/word/2010/wordml" w:rsidP="11F02093" wp14:paraId="15F2A797" wp14:textId="26909A61">
      <w:pPr>
        <w:pStyle w:val="NoSpacing"/>
        <w:pBdr>
          <w:top w:val="single" w:color="156082" w:sz="8" w:space="6"/>
          <w:bottom w:val="single" w:color="156082" w:sz="8" w:space="6"/>
        </w:pBdr>
        <w:spacing w:before="0" w:beforeAutospacing="off" w:after="240" w:afterAutospacing="off"/>
        <w:jc w:val="center"/>
      </w:pPr>
      <w:r w:rsidRPr="11F02093" w:rsidR="7206FA0D">
        <w:rPr>
          <w:rFonts w:ascii="Aptos Display" w:hAnsi="Aptos Display" w:eastAsia="Aptos Display" w:cs="Aptos Display"/>
          <w:caps w:val="1"/>
          <w:noProof w:val="0"/>
          <w:color w:val="156082" w:themeColor="accent1" w:themeTint="FF" w:themeShade="FF"/>
          <w:sz w:val="32"/>
          <w:szCs w:val="32"/>
          <w:lang w:val="en-US"/>
        </w:rPr>
        <w:t>report: the professional role of a paediatric nurse</w:t>
      </w:r>
    </w:p>
    <w:p xmlns:wp14="http://schemas.microsoft.com/office/word/2010/wordml" w:rsidP="11F02093" wp14:paraId="10B07003" wp14:textId="7FA3F6D7">
      <w:pPr>
        <w:pStyle w:val="NoSpacing"/>
        <w:spacing w:before="0" w:beforeAutospacing="off" w:after="0" w:afterAutospacing="off"/>
        <w:jc w:val="center"/>
      </w:pPr>
      <w:r w:rsidRPr="11F02093" w:rsidR="7206FA0D">
        <w:rPr>
          <w:rFonts w:ascii="Aptos" w:hAnsi="Aptos" w:eastAsia="Aptos" w:cs="Aptos"/>
          <w:noProof w:val="0"/>
          <w:color w:val="156082" w:themeColor="accent1" w:themeTint="FF" w:themeShade="FF"/>
          <w:sz w:val="28"/>
          <w:szCs w:val="28"/>
          <w:lang w:val="en-US"/>
        </w:rPr>
        <w:t xml:space="preserve"> </w:t>
      </w:r>
    </w:p>
    <w:tbl>
      <w:tblPr>
        <w:tblStyle w:val="TableNormal"/>
        <w:bidiVisual w:val="0"/>
        <w:tblW w:w="0" w:type="auto"/>
        <w:tblLook w:val="06A0" w:firstRow="1" w:lastRow="0" w:firstColumn="1" w:lastColumn="0" w:noHBand="1" w:noVBand="1"/>
      </w:tblPr>
      <w:tblGrid>
        <w:gridCol w:w="4508"/>
        <w:gridCol w:w="4508"/>
      </w:tblGrid>
      <w:tr w:rsidR="11F02093" w:rsidTr="11F02093" w14:paraId="64553F17">
        <w:trPr>
          <w:trHeight w:val="1995"/>
        </w:trPr>
        <w:tc>
          <w:tcPr>
            <w:tcW w:w="4508" w:type="dxa"/>
            <w:tcMar/>
            <w:vAlign w:val="center"/>
          </w:tcPr>
          <w:p w:rsidR="11F02093" w:rsidRDefault="11F02093" w14:paraId="5F2760D9" w14:textId="4410E09A"/>
        </w:tc>
        <w:tc>
          <w:tcPr>
            <w:tcW w:w="4508" w:type="dxa"/>
            <w:tcBorders>
              <w:top w:sz="0"/>
              <w:left w:sz="0"/>
              <w:bottom w:sz="0"/>
              <w:right w:sz="0"/>
            </w:tcBorders>
            <w:tcMar/>
            <w:vAlign w:val="center"/>
          </w:tcPr>
          <w:p w:rsidR="11F02093" w:rsidRDefault="11F02093" w14:paraId="734BC8F9" w14:textId="43193EF8"/>
        </w:tc>
      </w:tr>
      <w:tr w:rsidR="11F02093" w:rsidTr="11F02093" w14:paraId="4FF71916">
        <w:trPr>
          <w:trHeight w:val="1500"/>
        </w:trPr>
        <w:tc>
          <w:tcPr>
            <w:tcW w:w="4508" w:type="dxa"/>
            <w:tcMar/>
            <w:vAlign w:val="center"/>
          </w:tcPr>
          <w:p w:rsidR="11F02093" w:rsidRDefault="11F02093" w14:paraId="233E26A8" w14:textId="00196C27"/>
        </w:tc>
        <w:tc>
          <w:tcPr>
            <w:tcW w:w="4508" w:type="dxa"/>
            <w:tcMar/>
            <w:vAlign w:val="top"/>
          </w:tcPr>
          <w:tbl>
            <w:tblPr>
              <w:tblStyle w:val="TableNormal"/>
              <w:bidiVisual w:val="0"/>
              <w:tblW w:w="0" w:type="auto"/>
              <w:tblLook w:val="06A0" w:firstRow="1" w:lastRow="0" w:firstColumn="1" w:lastColumn="0" w:noHBand="1" w:noVBand="1"/>
            </w:tblPr>
            <w:tblGrid>
              <w:gridCol w:w="4298"/>
            </w:tblGrid>
            <w:tr w:rsidR="11F02093" w:rsidTr="11F02093" w14:paraId="68B2C2FD">
              <w:trPr>
                <w:trHeight w:val="300"/>
              </w:trPr>
              <w:tc>
                <w:tcPr>
                  <w:tcW w:w="4298" w:type="dxa"/>
                  <w:tcMar/>
                  <w:vAlign w:val="center"/>
                </w:tcPr>
                <w:p w:rsidR="11F02093" w:rsidP="11F02093" w:rsidRDefault="11F02093" w14:paraId="38FF3254" w14:textId="2AD18342">
                  <w:pPr>
                    <w:pStyle w:val="NoSpacing"/>
                    <w:bidi w:val="0"/>
                    <w:spacing w:before="0" w:beforeAutospacing="off" w:after="40" w:afterAutospacing="off"/>
                    <w:jc w:val="center"/>
                    <w:rPr>
                      <w:rFonts w:ascii="Aptos" w:hAnsi="Aptos" w:eastAsia="Aptos" w:cs="Aptos"/>
                      <w:caps w:val="1"/>
                      <w:color w:val="156082" w:themeColor="accent1" w:themeTint="FF" w:themeShade="FF"/>
                      <w:sz w:val="28"/>
                      <w:szCs w:val="28"/>
                      <w:lang w:val="en-US"/>
                    </w:rPr>
                  </w:pPr>
                </w:p>
              </w:tc>
            </w:tr>
          </w:tbl>
          <w:p w:rsidR="11F02093" w:rsidP="11F02093" w:rsidRDefault="11F02093" w14:paraId="66307AF6" w14:textId="45310CE1">
            <w:pPr>
              <w:pStyle w:val="NoSpacing"/>
              <w:bidi w:val="0"/>
              <w:spacing w:before="0" w:beforeAutospacing="off" w:after="0" w:afterAutospacing="off"/>
            </w:pPr>
            <w:r w:rsidR="11F02093">
              <w:rPr/>
              <w:t xml:space="preserve"> </w:t>
            </w:r>
          </w:p>
        </w:tc>
      </w:tr>
    </w:tbl>
    <w:p xmlns:wp14="http://schemas.microsoft.com/office/word/2010/wordml" w:rsidP="11F02093" wp14:paraId="75F58E23" wp14:textId="01462E08">
      <w:pPr>
        <w:pStyle w:val="NoSpacing"/>
        <w:bidi w:val="0"/>
        <w:spacing w:before="480" w:beforeAutospacing="off" w:after="0" w:afterAutospacing="off"/>
        <w:jc w:val="center"/>
      </w:pPr>
      <w:r w:rsidRPr="11F02093" w:rsidR="7206FA0D">
        <w:rPr>
          <w:rFonts w:ascii="Aptos" w:hAnsi="Aptos" w:eastAsia="Aptos" w:cs="Aptos"/>
          <w:noProof w:val="0"/>
          <w:color w:val="156082" w:themeColor="accent1" w:themeTint="FF" w:themeShade="FF"/>
          <w:sz w:val="22"/>
          <w:szCs w:val="22"/>
          <w:lang w:val="en-US"/>
        </w:rPr>
        <w:t xml:space="preserve"> </w:t>
      </w:r>
    </w:p>
    <w:p xmlns:wp14="http://schemas.microsoft.com/office/word/2010/wordml" w:rsidP="11F02093" wp14:paraId="362C75C2" wp14:textId="13744764">
      <w:pPr>
        <w:pStyle w:val="NoSpacing"/>
        <w:tabs>
          <w:tab w:val="left" w:leader="none" w:pos="3140"/>
        </w:tabs>
        <w:bidi w:val="0"/>
        <w:spacing w:before="480" w:beforeAutospacing="off" w:after="0" w:afterAutospacing="off"/>
      </w:pPr>
      <w:r w:rsidRPr="11F02093" w:rsidR="7206FA0D">
        <w:rPr>
          <w:rFonts w:ascii="Aptos" w:hAnsi="Aptos" w:eastAsia="Aptos" w:cs="Aptos"/>
          <w:noProof w:val="0"/>
          <w:color w:val="156082" w:themeColor="accent1" w:themeTint="FF" w:themeShade="FF"/>
          <w:sz w:val="22"/>
          <w:szCs w:val="22"/>
          <w:lang w:val="en-US"/>
        </w:rPr>
        <w:t xml:space="preserve"> </w:t>
      </w:r>
    </w:p>
    <w:p xmlns:wp14="http://schemas.microsoft.com/office/word/2010/wordml" wp14:paraId="5652A29C" wp14:textId="11006BF9"/>
    <w:p xmlns:wp14="http://schemas.microsoft.com/office/word/2010/wordml" w:rsidP="11F02093" wp14:paraId="59A63449" wp14:textId="7506A5ED">
      <w:pPr>
        <w:pStyle w:val="NoSpacing"/>
        <w:tabs>
          <w:tab w:val="left" w:leader="none" w:pos="3140"/>
        </w:tabs>
        <w:bidi w:val="0"/>
        <w:spacing w:before="480" w:beforeAutospacing="off" w:after="0" w:afterAutospacing="off"/>
      </w:pPr>
      <w:r w:rsidRPr="11F02093" w:rsidR="7206FA0D">
        <w:rPr>
          <w:rFonts w:ascii="Aptos" w:hAnsi="Aptos" w:eastAsia="Aptos" w:cs="Aptos"/>
          <w:noProof w:val="0"/>
          <w:color w:val="156082" w:themeColor="accent1" w:themeTint="FF" w:themeShade="FF"/>
          <w:sz w:val="22"/>
          <w:szCs w:val="22"/>
          <w:lang w:val="en-US"/>
        </w:rPr>
        <w:t>STUDENT NAME</w:t>
      </w:r>
      <w:r w:rsidRPr="11F02093" w:rsidR="2AA283F2">
        <w:rPr>
          <w:rFonts w:ascii="Aptos" w:hAnsi="Aptos" w:eastAsia="Aptos" w:cs="Aptos"/>
          <w:noProof w:val="0"/>
          <w:color w:val="156082" w:themeColor="accent1" w:themeTint="FF" w:themeShade="FF"/>
          <w:sz w:val="22"/>
          <w:szCs w:val="22"/>
          <w:lang w:val="en-US"/>
        </w:rPr>
        <w:t xml:space="preserve"> GILDA NGONGA MATUVANGUA</w:t>
      </w:r>
    </w:p>
    <w:p xmlns:wp14="http://schemas.microsoft.com/office/word/2010/wordml" w:rsidP="11F02093" wp14:paraId="54D893BA" wp14:textId="38A144E1">
      <w:pPr>
        <w:pStyle w:val="NoSpacing"/>
        <w:tabs>
          <w:tab w:val="left" w:leader="none" w:pos="3140"/>
        </w:tabs>
        <w:bidi w:val="0"/>
        <w:spacing w:before="480" w:beforeAutospacing="off" w:after="0" w:afterAutospacing="off"/>
      </w:pPr>
      <w:r w:rsidRPr="11F02093" w:rsidR="7206FA0D">
        <w:rPr>
          <w:rFonts w:ascii="Aptos" w:hAnsi="Aptos" w:eastAsia="Aptos" w:cs="Aptos"/>
          <w:noProof w:val="0"/>
          <w:color w:val="156082" w:themeColor="accent1" w:themeTint="FF" w:themeShade="FF"/>
          <w:sz w:val="22"/>
          <w:szCs w:val="22"/>
          <w:lang w:val="en-US"/>
        </w:rPr>
        <w:t>MODULE NAME</w:t>
      </w:r>
      <w:r w:rsidRPr="11F02093" w:rsidR="0A7542A6">
        <w:rPr>
          <w:rFonts w:ascii="Aptos" w:hAnsi="Aptos" w:eastAsia="Aptos" w:cs="Aptos"/>
          <w:noProof w:val="0"/>
          <w:color w:val="156082" w:themeColor="accent1" w:themeTint="FF" w:themeShade="FF"/>
          <w:sz w:val="22"/>
          <w:szCs w:val="22"/>
          <w:lang w:val="en-US"/>
        </w:rPr>
        <w:t xml:space="preserve"> ACADEMIC AND EMPLOYABILITY SKILLS </w:t>
      </w:r>
    </w:p>
    <w:p xmlns:wp14="http://schemas.microsoft.com/office/word/2010/wordml" w:rsidP="11F02093" wp14:paraId="31F7EF69" wp14:textId="0822E5C3">
      <w:pPr>
        <w:pStyle w:val="NoSpacing"/>
        <w:tabs>
          <w:tab w:val="left" w:leader="none" w:pos="3140"/>
        </w:tabs>
        <w:bidi w:val="0"/>
        <w:spacing w:before="480" w:beforeAutospacing="off" w:after="0" w:afterAutospacing="off"/>
        <w:rPr>
          <w:rFonts w:ascii="Aptos" w:hAnsi="Aptos" w:eastAsia="Aptos" w:cs="Aptos"/>
          <w:noProof w:val="0"/>
          <w:color w:val="156082" w:themeColor="accent1" w:themeTint="FF" w:themeShade="FF"/>
          <w:sz w:val="22"/>
          <w:szCs w:val="22"/>
          <w:lang w:val="en-US"/>
        </w:rPr>
      </w:pPr>
      <w:r w:rsidRPr="11F02093" w:rsidR="0A7542A6">
        <w:rPr>
          <w:rFonts w:ascii="Aptos" w:hAnsi="Aptos" w:eastAsia="Aptos" w:cs="Aptos"/>
          <w:noProof w:val="0"/>
          <w:color w:val="156082" w:themeColor="accent1" w:themeTint="FF" w:themeShade="FF"/>
          <w:sz w:val="22"/>
          <w:szCs w:val="22"/>
          <w:lang w:val="en-US"/>
        </w:rPr>
        <w:t>MODULE CODE: LCHS 4001</w:t>
      </w:r>
    </w:p>
    <w:p xmlns:wp14="http://schemas.microsoft.com/office/word/2010/wordml" w:rsidP="11F02093" wp14:paraId="03A83E2A" wp14:textId="2B77F5B9">
      <w:pPr>
        <w:pStyle w:val="NoSpacing"/>
        <w:tabs>
          <w:tab w:val="left" w:leader="none" w:pos="3140"/>
        </w:tabs>
        <w:bidi w:val="0"/>
        <w:spacing w:before="480" w:beforeAutospacing="off" w:after="0" w:afterAutospacing="off"/>
      </w:pPr>
      <w:r w:rsidRPr="11F02093" w:rsidR="7206FA0D">
        <w:rPr>
          <w:rFonts w:ascii="Aptos" w:hAnsi="Aptos" w:eastAsia="Aptos" w:cs="Aptos"/>
          <w:noProof w:val="0"/>
          <w:color w:val="156082" w:themeColor="accent1" w:themeTint="FF" w:themeShade="FF"/>
          <w:sz w:val="22"/>
          <w:szCs w:val="22"/>
          <w:lang w:val="en-US"/>
        </w:rPr>
        <w:t>LECTURER NAME</w:t>
      </w:r>
      <w:r w:rsidRPr="11F02093" w:rsidR="3329CA74">
        <w:rPr>
          <w:rFonts w:ascii="Aptos" w:hAnsi="Aptos" w:eastAsia="Aptos" w:cs="Aptos"/>
          <w:noProof w:val="0"/>
          <w:color w:val="156082" w:themeColor="accent1" w:themeTint="FF" w:themeShade="FF"/>
          <w:sz w:val="22"/>
          <w:szCs w:val="22"/>
          <w:lang w:val="en-US"/>
        </w:rPr>
        <w:t xml:space="preserve">: NAOMI DOEGER </w:t>
      </w:r>
    </w:p>
    <w:p xmlns:wp14="http://schemas.microsoft.com/office/word/2010/wordml" w:rsidP="11F02093" wp14:paraId="223C9AB4" wp14:textId="5793CC9C">
      <w:pPr>
        <w:pStyle w:val="NoSpacing"/>
        <w:tabs>
          <w:tab w:val="left" w:leader="none" w:pos="3140"/>
        </w:tabs>
        <w:bidi w:val="0"/>
        <w:spacing w:before="480" w:beforeAutospacing="off" w:after="0" w:afterAutospacing="off"/>
      </w:pPr>
      <w:r w:rsidRPr="11F02093" w:rsidR="7206FA0D">
        <w:rPr>
          <w:rFonts w:ascii="Aptos" w:hAnsi="Aptos" w:eastAsia="Aptos" w:cs="Aptos"/>
          <w:noProof w:val="0"/>
          <w:color w:val="156082" w:themeColor="accent1" w:themeTint="FF" w:themeShade="FF"/>
          <w:sz w:val="22"/>
          <w:szCs w:val="22"/>
          <w:lang w:val="en-US"/>
        </w:rPr>
        <w:t xml:space="preserve"> </w:t>
      </w:r>
    </w:p>
    <w:p xmlns:wp14="http://schemas.microsoft.com/office/word/2010/wordml" w:rsidP="11F02093" wp14:paraId="67DF045B" wp14:textId="547D4878">
      <w:pPr>
        <w:bidi w:val="0"/>
        <w:spacing w:line="276" w:lineRule="auto"/>
      </w:pPr>
    </w:p>
    <w:p xmlns:wp14="http://schemas.microsoft.com/office/word/2010/wordml" w:rsidP="11F02093" wp14:paraId="5F15D7D0" wp14:textId="250D8814">
      <w:pPr>
        <w:bidi w:val="0"/>
        <w:spacing w:before="0" w:beforeAutospacing="off" w:after="160" w:afterAutospacing="off" w:line="276" w:lineRule="auto"/>
      </w:pPr>
      <w:r w:rsidRPr="11F02093" w:rsidR="7206FA0D">
        <w:rPr>
          <w:rFonts w:ascii="Aptos" w:hAnsi="Aptos" w:eastAsia="Aptos" w:cs="Aptos"/>
          <w:noProof w:val="0"/>
          <w:sz w:val="24"/>
          <w:szCs w:val="24"/>
          <w:lang w:val="en-GB"/>
        </w:rPr>
        <w:t xml:space="preserve"> </w:t>
      </w:r>
    </w:p>
    <w:p xmlns:wp14="http://schemas.microsoft.com/office/word/2010/wordml" w:rsidP="11F02093" wp14:paraId="0A1D2BE7" wp14:textId="78B5659A">
      <w:pPr>
        <w:shd w:val="clear" w:color="auto" w:fill="FFFFFF" w:themeFill="background1"/>
        <w:bidi w:val="0"/>
        <w:spacing w:before="0" w:beforeAutospacing="off" w:after="0" w:afterAutospacing="off" w:line="360" w:lineRule="auto"/>
      </w:pPr>
      <w:r w:rsidRPr="11F02093" w:rsidR="7206FA0D">
        <w:rPr>
          <w:rFonts w:ascii="Arial" w:hAnsi="Arial" w:eastAsia="Arial" w:cs="Arial"/>
          <w:noProof w:val="0"/>
          <w:color w:val="000000" w:themeColor="text1" w:themeTint="FF" w:themeShade="FF"/>
          <w:sz w:val="22"/>
          <w:szCs w:val="22"/>
          <w:lang w:val="en-GB"/>
        </w:rPr>
        <w:t xml:space="preserve"> </w:t>
      </w:r>
    </w:p>
    <w:p xmlns:wp14="http://schemas.microsoft.com/office/word/2010/wordml" w:rsidP="11F02093" wp14:paraId="0DC25FDA" wp14:textId="57F402AD">
      <w:pPr>
        <w:shd w:val="clear" w:color="auto" w:fill="FFFFFF" w:themeFill="background1"/>
        <w:bidi w:val="0"/>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p>
    <w:p xmlns:wp14="http://schemas.microsoft.com/office/word/2010/wordml" w:rsidP="11F02093" wp14:paraId="046DD436" wp14:textId="51EC164D">
      <w:pPr>
        <w:shd w:val="clear" w:color="auto" w:fill="FFFFFF" w:themeFill="background1"/>
        <w:bidi w:val="0"/>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p>
    <w:p xmlns:wp14="http://schemas.microsoft.com/office/word/2010/wordml" w:rsidP="11F02093" wp14:paraId="04FB23C3" wp14:textId="4C7E9409">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xmlns:wp14="http://schemas.microsoft.com/office/word/2010/wordml" w:rsidP="11F02093" wp14:paraId="20D0CBF5" wp14:textId="2A1CD2A7">
      <w:pPr>
        <w:shd w:val="clear" w:color="auto" w:fill="FFFFFF" w:themeFill="background1"/>
        <w:bidi w:val="0"/>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p>
    <w:p xmlns:wp14="http://schemas.microsoft.com/office/word/2010/wordml" w:rsidP="11F02093" wp14:paraId="683289DB" wp14:textId="292A2820">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xmlns:wp14="http://schemas.microsoft.com/office/word/2010/wordml" w:rsidP="11F02093" wp14:paraId="494B2829" wp14:textId="3EE692E2">
      <w:pPr>
        <w:pStyle w:val="ListParagraph"/>
        <w:numPr>
          <w:ilvl w:val="0"/>
          <w:numId w:val="1"/>
        </w:numPr>
        <w:shd w:val="clear" w:color="auto" w:fill="FFFFFF" w:themeFill="background1"/>
        <w:bidi w:val="0"/>
        <w:spacing w:before="0" w:beforeAutospacing="off" w:after="0" w:afterAutospacing="off" w:line="360" w:lineRule="auto"/>
        <w:ind w:left="720" w:right="0" w:hanging="360"/>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Introduction:</w:t>
      </w:r>
    </w:p>
    <w:p xmlns:wp14="http://schemas.microsoft.com/office/word/2010/wordml" w:rsidP="11F02093" wp14:paraId="769B21C8" wp14:textId="74471CF4">
      <w:pPr>
        <w:shd w:val="clear" w:color="auto" w:fill="FFFFFF" w:themeFill="background1"/>
        <w:bidi w:val="0"/>
        <w:spacing w:before="0" w:beforeAutospacing="off" w:after="0" w:afterAutospacing="off" w:line="360" w:lineRule="auto"/>
        <w:ind w:left="720" w:right="0"/>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This report critically examines the role of a paediatric nurse, focusing on the core skills, professional responsibilities and the legal and ethical framework that shapes paediatric nursing practice. It considers the significance of family-centred care, multidisciplinary </w:t>
      </w: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teamwork</w:t>
      </w: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and safeguarding principles in ensuring safe, </w:t>
      </w: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effective</w:t>
      </w: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and holistic care for children and their families </w:t>
      </w:r>
    </w:p>
    <w:p xmlns:wp14="http://schemas.microsoft.com/office/word/2010/wordml" w:rsidP="11F02093" wp14:paraId="7D259A93" wp14:textId="44A9953E">
      <w:pPr>
        <w:shd w:val="clear" w:color="auto" w:fill="FFFFFF" w:themeFill="background1"/>
        <w:bidi w:val="0"/>
        <w:spacing w:before="0" w:beforeAutospacing="off" w:after="0" w:afterAutospacing="off" w:line="360" w:lineRule="auto"/>
        <w:ind w:left="720" w:right="0"/>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p>
    <w:p xmlns:wp14="http://schemas.microsoft.com/office/word/2010/wordml" w:rsidP="11F02093" wp14:paraId="3825E137" wp14:textId="0749ACD8">
      <w:pPr>
        <w:shd w:val="clear" w:color="auto" w:fill="FFFFFF" w:themeFill="background1"/>
        <w:bidi w:val="0"/>
        <w:spacing w:before="0" w:beforeAutospacing="off" w:after="0" w:afterAutospacing="off" w:line="360" w:lineRule="auto"/>
        <w:ind w:left="720" w:right="0"/>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p>
    <w:p xmlns:wp14="http://schemas.microsoft.com/office/word/2010/wordml" w:rsidP="11F02093" wp14:paraId="4C372F6E" wp14:textId="5BF1D162">
      <w:pPr>
        <w:pStyle w:val="ListParagraph"/>
        <w:numPr>
          <w:ilvl w:val="0"/>
          <w:numId w:val="1"/>
        </w:numPr>
        <w:shd w:val="clear" w:color="auto" w:fill="FFFFFF" w:themeFill="background1"/>
        <w:bidi w:val="0"/>
        <w:spacing w:before="0" w:beforeAutospacing="off" w:after="0" w:afterAutospacing="off" w:line="360" w:lineRule="auto"/>
        <w:ind w:left="720" w:right="0" w:hanging="360"/>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The Core Principles of Paediatric Practice</w:t>
      </w:r>
    </w:p>
    <w:p xmlns:wp14="http://schemas.microsoft.com/office/word/2010/wordml" w:rsidP="11F02093" wp14:paraId="24156965" wp14:textId="7A8649C5">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11F02093" w:rsidR="7206FA0D">
        <w:rPr>
          <w:rFonts w:ascii="Arial" w:hAnsi="Arial" w:eastAsia="Arial" w:cs="Arial" w:asciiTheme="minorAscii" w:hAnsiTheme="minorAscii" w:eastAsiaTheme="minorAscii" w:cstheme="minorAscii"/>
          <w:noProof w:val="0"/>
          <w:sz w:val="22"/>
          <w:szCs w:val="22"/>
          <w:lang w:val="en-GB"/>
        </w:rPr>
        <w:t xml:space="preserve"> </w:t>
      </w:r>
    </w:p>
    <w:p xmlns:wp14="http://schemas.microsoft.com/office/word/2010/wordml" w:rsidP="11F02093" wp14:paraId="14326BB3" wp14:textId="15147F34">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4"/>
          <w:szCs w:val="24"/>
          <w:lang w:val="en-GB"/>
        </w:rPr>
      </w:pPr>
      <w:r w:rsidRPr="11F02093" w:rsidR="7206FA0D">
        <w:rPr>
          <w:rFonts w:ascii="Arial" w:hAnsi="Arial" w:eastAsia="Arial" w:cs="Arial" w:asciiTheme="minorAscii" w:hAnsiTheme="minorAscii" w:eastAsiaTheme="minorAscii" w:cstheme="minorAscii"/>
          <w:noProof w:val="0"/>
          <w:sz w:val="24"/>
          <w:szCs w:val="24"/>
          <w:lang w:val="en-GB"/>
        </w:rPr>
        <w:t xml:space="preserve"> </w:t>
      </w:r>
    </w:p>
    <w:p xmlns:wp14="http://schemas.microsoft.com/office/word/2010/wordml" w:rsidP="11F02093" wp14:paraId="423039AD" wp14:textId="785C6EC7">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In the specialised field of children’s nursing, professional identity is primarily defined by the framework of Family-Centred Care (FCC). Unlike clinical models designed for adults, paediatric care recognizes that a child’s health outcomes are inextricably tied to their family’s wellbeing (Glasper and Richardson, 2020). As noted in the core UWTSD text by Price and McAlinden (2023), the involvement of the family is a fundamental clinical requirement, not an optional extra.</w:t>
      </w:r>
    </w:p>
    <w:p xmlns:wp14="http://schemas.microsoft.com/office/word/2010/wordml" w:rsidP="11F02093" wp14:paraId="4E25B55D" wp14:textId="07FEC216">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4"/>
          <w:szCs w:val="24"/>
          <w:lang w:val="en-GB"/>
        </w:rPr>
      </w:pPr>
      <w:r w:rsidRPr="11F02093" w:rsidR="7206FA0D">
        <w:rPr>
          <w:rFonts w:ascii="Arial" w:hAnsi="Arial" w:eastAsia="Arial" w:cs="Arial" w:asciiTheme="minorAscii" w:hAnsiTheme="minorAscii" w:eastAsiaTheme="minorAscii" w:cstheme="minorAscii"/>
          <w:noProof w:val="0"/>
          <w:sz w:val="24"/>
          <w:szCs w:val="24"/>
          <w:lang w:val="en-GB"/>
        </w:rPr>
        <w:t xml:space="preserve"> </w:t>
      </w:r>
    </w:p>
    <w:p xmlns:wp14="http://schemas.microsoft.com/office/word/2010/wordml" w:rsidP="11F02093" wp14:paraId="35E9262F" wp14:textId="1C017871">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4"/>
          <w:szCs w:val="24"/>
          <w:lang w:val="en-GB"/>
        </w:rPr>
      </w:pP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This approach aligns with the NHS 6Cs, particularly the values of Compassion and Commitment. By forming a transparent partnership with parents, the nurse recognises their unique </w:t>
      </w: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proficiency</w:t>
      </w: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11F02093" w:rsidR="7206FA0D">
        <w:rPr>
          <w:rFonts w:ascii="Arial" w:hAnsi="Arial" w:eastAsia="Arial" w:cs="Arial" w:asciiTheme="minorAscii" w:hAnsiTheme="minorAscii" w:eastAsiaTheme="minorAscii" w:cstheme="minorAscii"/>
          <w:noProof w:val="0"/>
          <w:sz w:val="24"/>
          <w:szCs w:val="24"/>
          <w:lang w:val="en-GB"/>
        </w:rPr>
        <w:t>regarding</w:t>
      </w:r>
      <w:r w:rsidRPr="11F02093" w:rsidR="7206FA0D">
        <w:rPr>
          <w:rFonts w:ascii="Arial" w:hAnsi="Arial" w:eastAsia="Arial" w:cs="Arial" w:asciiTheme="minorAscii" w:hAnsiTheme="minorAscii" w:eastAsiaTheme="minorAscii" w:cstheme="minorAscii"/>
          <w:noProof w:val="0"/>
          <w:sz w:val="24"/>
          <w:szCs w:val="24"/>
          <w:lang w:val="en-GB"/>
        </w:rPr>
        <w:t xml:space="preserve"> the child’s baseline behaviour. This collaboration significantly lowers "separation anxiety" and stress for the young patient, which Peate (2022) identifies as a key factor in improving physiological recovery. Thus, the paediatric nurse’s role is to </w:t>
      </w:r>
      <w:r w:rsidRPr="11F02093" w:rsidR="7206FA0D">
        <w:rPr>
          <w:rFonts w:ascii="Arial" w:hAnsi="Arial" w:eastAsia="Arial" w:cs="Arial" w:asciiTheme="minorAscii" w:hAnsiTheme="minorAscii" w:eastAsiaTheme="minorAscii" w:cstheme="minorAscii"/>
          <w:noProof w:val="0"/>
          <w:sz w:val="24"/>
          <w:szCs w:val="24"/>
          <w:lang w:val="en-GB"/>
        </w:rPr>
        <w:t>facilitate</w:t>
      </w:r>
      <w:r w:rsidRPr="11F02093" w:rsidR="7206FA0D">
        <w:rPr>
          <w:rFonts w:ascii="Arial" w:hAnsi="Arial" w:eastAsia="Arial" w:cs="Arial" w:asciiTheme="minorAscii" w:hAnsiTheme="minorAscii" w:eastAsiaTheme="minorAscii" w:cstheme="minorAscii"/>
          <w:noProof w:val="0"/>
          <w:sz w:val="24"/>
          <w:szCs w:val="24"/>
          <w:lang w:val="en-GB"/>
        </w:rPr>
        <w:t xml:space="preserve"> a holistic environment that meets the standards set by the Nursing and Midwifery Council (NMC, 2018).</w:t>
      </w:r>
    </w:p>
    <w:p xmlns:wp14="http://schemas.microsoft.com/office/word/2010/wordml" w:rsidP="11F02093" wp14:paraId="0F3AAC3E" wp14:textId="5F3068B7">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4"/>
          <w:szCs w:val="24"/>
          <w:lang w:val="en-GB"/>
        </w:rPr>
      </w:pPr>
      <w:r w:rsidRPr="11F02093" w:rsidR="7206FA0D">
        <w:rPr>
          <w:rFonts w:ascii="Arial" w:hAnsi="Arial" w:eastAsia="Arial" w:cs="Arial" w:asciiTheme="minorAscii" w:hAnsiTheme="minorAscii" w:eastAsiaTheme="minorAscii" w:cstheme="minorAscii"/>
          <w:noProof w:val="0"/>
          <w:sz w:val="24"/>
          <w:szCs w:val="24"/>
          <w:lang w:val="en-GB"/>
        </w:rPr>
        <w:t xml:space="preserve"> </w:t>
      </w:r>
    </w:p>
    <w:p xmlns:wp14="http://schemas.microsoft.com/office/word/2010/wordml" w:rsidP="11F02093" wp14:paraId="316FC55E" wp14:textId="6AB79B0C">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4"/>
          <w:szCs w:val="24"/>
          <w:lang w:val="en-GB"/>
        </w:rPr>
      </w:pPr>
      <w:r w:rsidRPr="11F02093" w:rsidR="7206FA0D">
        <w:rPr>
          <w:rFonts w:ascii="Arial" w:hAnsi="Arial" w:eastAsia="Arial" w:cs="Arial" w:asciiTheme="minorAscii" w:hAnsiTheme="minorAscii" w:eastAsiaTheme="minorAscii" w:cstheme="minorAscii"/>
          <w:noProof w:val="0"/>
          <w:sz w:val="24"/>
          <w:szCs w:val="24"/>
          <w:lang w:val="en-GB"/>
        </w:rPr>
        <w:t xml:space="preserve"> </w:t>
      </w:r>
    </w:p>
    <w:p xmlns:wp14="http://schemas.microsoft.com/office/word/2010/wordml" w:rsidP="11F02093" wp14:paraId="6A34092A" wp14:textId="25368F18">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del w:author="Gilda Ngonga Matuvangua (2525521)" w:date="2026-04-15T13:21:18.042Z" w16du:dateUtc="2026-04-15T13:21:18.042Z" w:id="1730896581">
        <w:r w:rsidRPr="11F02093" w:rsidDel="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delText>2.</w:delText>
        </w:r>
      </w:del>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Legal Responsibility, Safeguarding, and the Voice of the Child</w:t>
      </w:r>
    </w:p>
    <w:p xmlns:wp14="http://schemas.microsoft.com/office/word/2010/wordml" w:rsidP="11F02093" wp14:paraId="37677B4E" wp14:textId="6BD4AAFE">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4"/>
          <w:szCs w:val="24"/>
          <w:lang w:val="en-GB"/>
        </w:rPr>
      </w:pPr>
      <w:r w:rsidRPr="11F02093" w:rsidR="7206FA0D">
        <w:rPr>
          <w:rFonts w:ascii="Arial" w:hAnsi="Arial" w:eastAsia="Arial" w:cs="Arial" w:asciiTheme="minorAscii" w:hAnsiTheme="minorAscii" w:eastAsiaTheme="minorAscii" w:cstheme="minorAscii"/>
          <w:noProof w:val="0"/>
          <w:sz w:val="24"/>
          <w:szCs w:val="24"/>
          <w:lang w:val="en-GB"/>
        </w:rPr>
        <w:t xml:space="preserve"> </w:t>
      </w:r>
    </w:p>
    <w:p xmlns:wp14="http://schemas.microsoft.com/office/word/2010/wordml" w:rsidP="11F02093" wp14:paraId="224B753A" wp14:textId="0644DCAE">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4"/>
          <w:szCs w:val="24"/>
          <w:lang w:val="en-GB"/>
        </w:rPr>
      </w:pP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Working with minors involves navigating a sophisticated legal landscape, </w:t>
      </w:r>
      <w:r w:rsidRPr="11F02093" w:rsidR="7206FA0D">
        <w:rPr>
          <w:rFonts w:ascii="Arial" w:hAnsi="Arial" w:eastAsia="Arial" w:cs="Arial" w:asciiTheme="minorAscii" w:hAnsiTheme="minorAscii" w:eastAsiaTheme="minorAscii" w:cstheme="minorAscii"/>
          <w:noProof w:val="0"/>
          <w:sz w:val="24"/>
          <w:szCs w:val="24"/>
          <w:lang w:val="en-GB"/>
        </w:rPr>
        <w:t xml:space="preserve">governed </w:t>
      </w:r>
      <w:r w:rsidRPr="11F02093" w:rsidR="7206FA0D">
        <w:rPr>
          <w:rFonts w:ascii="Arial" w:hAnsi="Arial" w:eastAsia="Arial" w:cs="Arial" w:asciiTheme="minorAscii" w:hAnsiTheme="minorAscii" w:eastAsiaTheme="minorAscii" w:cstheme="minorAscii"/>
          <w:noProof w:val="0"/>
          <w:sz w:val="24"/>
          <w:szCs w:val="24"/>
          <w:lang w:val="en-GB"/>
        </w:rPr>
        <w:t>largely by</w:t>
      </w:r>
      <w:r w:rsidRPr="11F02093" w:rsidR="7206FA0D">
        <w:rPr>
          <w:rFonts w:ascii="Arial" w:hAnsi="Arial" w:eastAsia="Arial" w:cs="Arial" w:asciiTheme="minorAscii" w:hAnsiTheme="minorAscii" w:eastAsiaTheme="minorAscii" w:cstheme="minorAscii"/>
          <w:noProof w:val="0"/>
          <w:sz w:val="24"/>
          <w:szCs w:val="24"/>
          <w:lang w:val="en-GB"/>
        </w:rPr>
        <w:t xml:space="preserve"> the Children’s Act (1989/2004). The nurse acts as a legal advocate, ensuring that every clinical decision is centred on the child’s safety and rights.</w:t>
      </w:r>
    </w:p>
    <w:p xmlns:wp14="http://schemas.microsoft.com/office/word/2010/wordml" w:rsidP="11F02093" wp14:paraId="182DC3C7" wp14:textId="3EABF746">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4"/>
          <w:szCs w:val="24"/>
          <w:lang w:val="en-GB"/>
        </w:rPr>
      </w:pPr>
      <w:r w:rsidRPr="11F02093" w:rsidR="7206FA0D">
        <w:rPr>
          <w:rFonts w:ascii="Arial" w:hAnsi="Arial" w:eastAsia="Arial" w:cs="Arial" w:asciiTheme="minorAscii" w:hAnsiTheme="minorAscii" w:eastAsiaTheme="minorAscii" w:cstheme="minorAscii"/>
          <w:noProof w:val="0"/>
          <w:sz w:val="24"/>
          <w:szCs w:val="24"/>
          <w:lang w:val="en-GB"/>
        </w:rPr>
        <w:t xml:space="preserve"> </w:t>
      </w:r>
    </w:p>
    <w:p xmlns:wp14="http://schemas.microsoft.com/office/word/2010/wordml" w:rsidP="11F02093" wp14:paraId="0B9DCC06" wp14:textId="0B811CD8">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4"/>
          <w:szCs w:val="24"/>
          <w:lang w:val="en-GB"/>
        </w:rPr>
      </w:pP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The Best Interests Standard: The Children Act (2004) </w:t>
      </w:r>
      <w:r w:rsidRPr="11F02093" w:rsidR="7206FA0D">
        <w:rPr>
          <w:rFonts w:ascii="Arial" w:hAnsi="Arial" w:eastAsia="Arial" w:cs="Arial" w:asciiTheme="minorAscii" w:hAnsiTheme="minorAscii" w:eastAsiaTheme="minorAscii" w:cstheme="minorAscii"/>
          <w:noProof w:val="0"/>
          <w:sz w:val="24"/>
          <w:szCs w:val="24"/>
          <w:lang w:val="en-GB"/>
        </w:rPr>
        <w:t>establishes</w:t>
      </w:r>
      <w:r w:rsidRPr="11F02093" w:rsidR="7206FA0D">
        <w:rPr>
          <w:rFonts w:ascii="Arial" w:hAnsi="Arial" w:eastAsia="Arial" w:cs="Arial" w:asciiTheme="minorAscii" w:hAnsiTheme="minorAscii" w:eastAsiaTheme="minorAscii" w:cstheme="minorAscii"/>
          <w:noProof w:val="0"/>
          <w:sz w:val="24"/>
          <w:szCs w:val="24"/>
          <w:lang w:val="en-GB"/>
        </w:rPr>
        <w:t xml:space="preserve"> the "Paramountcy Principle," which dictates that the child's welfare must always outweigh other considerations. In practice, the nurse must ensure that clinical interventions serve the minor's long-term health, even if parental perspectives differ.</w:t>
      </w:r>
    </w:p>
    <w:p xmlns:wp14="http://schemas.microsoft.com/office/word/2010/wordml" w:rsidP="11F02093" wp14:paraId="58433194" wp14:textId="4963B185">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4"/>
          <w:szCs w:val="24"/>
          <w:lang w:val="en-GB"/>
        </w:rPr>
      </w:pPr>
      <w:r w:rsidRPr="11F02093" w:rsidR="7206FA0D">
        <w:rPr>
          <w:rFonts w:ascii="Arial" w:hAnsi="Arial" w:eastAsia="Arial" w:cs="Arial" w:asciiTheme="minorAscii" w:hAnsiTheme="minorAscii" w:eastAsiaTheme="minorAscii" w:cstheme="minorAscii"/>
          <w:noProof w:val="0"/>
          <w:sz w:val="24"/>
          <w:szCs w:val="24"/>
          <w:lang w:val="en-GB"/>
        </w:rPr>
        <w:t xml:space="preserve"> </w:t>
      </w:r>
    </w:p>
    <w:p xmlns:wp14="http://schemas.microsoft.com/office/word/2010/wordml" w:rsidP="11F02093" wp14:paraId="6AFE894C" wp14:textId="3EC8286F">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4"/>
          <w:szCs w:val="24"/>
          <w:lang w:val="en-GB"/>
        </w:rPr>
      </w:pP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The Concept of Professional Curiosity: Safeguarding is a primary duty under the NMC (2018, Section 17). This requires "Professional Curiosity"—the ability to look beneath the surface of a clinical presentation. Moule (2021) suggests a state of "respectful uncertainty," where the nurse </w:t>
      </w:r>
      <w:r w:rsidRPr="11F02093" w:rsidR="7206FA0D">
        <w:rPr>
          <w:rFonts w:ascii="Arial" w:hAnsi="Arial" w:eastAsia="Arial" w:cs="Arial" w:asciiTheme="minorAscii" w:hAnsiTheme="minorAscii" w:eastAsiaTheme="minorAscii" w:cstheme="minorAscii"/>
          <w:noProof w:val="0"/>
          <w:sz w:val="24"/>
          <w:szCs w:val="24"/>
          <w:lang w:val="en-GB"/>
        </w:rPr>
        <w:t>maintains</w:t>
      </w:r>
      <w:r w:rsidRPr="11F02093" w:rsidR="7206FA0D">
        <w:rPr>
          <w:rFonts w:ascii="Arial" w:hAnsi="Arial" w:eastAsia="Arial" w:cs="Arial" w:asciiTheme="minorAscii" w:hAnsiTheme="minorAscii" w:eastAsiaTheme="minorAscii" w:cstheme="minorAscii"/>
          <w:noProof w:val="0"/>
          <w:sz w:val="24"/>
          <w:szCs w:val="24"/>
          <w:lang w:val="en-GB"/>
        </w:rPr>
        <w:t xml:space="preserve"> a professional bond with the family while critically assessing if the history provided matches the child's physical symptoms.</w:t>
      </w:r>
    </w:p>
    <w:p xmlns:wp14="http://schemas.microsoft.com/office/word/2010/wordml" w:rsidP="11F02093" wp14:paraId="44293086" wp14:textId="5CF62E7F">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4"/>
          <w:szCs w:val="24"/>
          <w:lang w:val="en-GB"/>
        </w:rPr>
      </w:pPr>
      <w:r w:rsidRPr="11F02093" w:rsidR="7206FA0D">
        <w:rPr>
          <w:rFonts w:ascii="Arial" w:hAnsi="Arial" w:eastAsia="Arial" w:cs="Arial" w:asciiTheme="minorAscii" w:hAnsiTheme="minorAscii" w:eastAsiaTheme="minorAscii" w:cstheme="minorAscii"/>
          <w:noProof w:val="0"/>
          <w:sz w:val="24"/>
          <w:szCs w:val="24"/>
          <w:lang w:val="en-GB"/>
        </w:rPr>
        <w:t xml:space="preserve"> </w:t>
      </w:r>
    </w:p>
    <w:p xmlns:wp14="http://schemas.microsoft.com/office/word/2010/wordml" w:rsidP="11F02093" wp14:paraId="6C1D1834" wp14:textId="143CE109">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4"/>
          <w:szCs w:val="24"/>
          <w:lang w:val="en-GB"/>
        </w:rPr>
      </w:pP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Autonomy and Gillick Competence: Consent in this field is a fluid process. While Parental Responsibility (PR) is standard, the Gillick v West Norfolk and Wisbech AHA [1985] ruling allows mature minors to consent to their own treatment if they </w:t>
      </w:r>
      <w:r w:rsidRPr="11F02093" w:rsidR="7206FA0D">
        <w:rPr>
          <w:rFonts w:ascii="Arial" w:hAnsi="Arial" w:eastAsia="Arial" w:cs="Arial" w:asciiTheme="minorAscii" w:hAnsiTheme="minorAscii" w:eastAsiaTheme="minorAscii" w:cstheme="minorAscii"/>
          <w:noProof w:val="0"/>
          <w:sz w:val="24"/>
          <w:szCs w:val="24"/>
          <w:lang w:val="en-GB"/>
        </w:rPr>
        <w:t>possess</w:t>
      </w:r>
      <w:r w:rsidRPr="11F02093" w:rsidR="7206FA0D">
        <w:rPr>
          <w:rFonts w:ascii="Arial" w:hAnsi="Arial" w:eastAsia="Arial" w:cs="Arial" w:asciiTheme="minorAscii" w:hAnsiTheme="minorAscii" w:eastAsiaTheme="minorAscii" w:cstheme="minorAscii"/>
          <w:noProof w:val="0"/>
          <w:sz w:val="24"/>
          <w:szCs w:val="24"/>
          <w:lang w:val="en-GB"/>
        </w:rPr>
        <w:t xml:space="preserve"> sufficient understanding. The nurse’s role is to assess this capacity, ensuring the young person's growing agency is respected without compromising their safety (Price and McAlinden, 2023).</w:t>
      </w:r>
    </w:p>
    <w:p xmlns:wp14="http://schemas.microsoft.com/office/word/2010/wordml" w:rsidP="11F02093" wp14:paraId="4B6A900F" wp14:textId="4452F27C">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4"/>
          <w:szCs w:val="24"/>
          <w:lang w:val="en-GB"/>
        </w:rPr>
      </w:pPr>
      <w:r w:rsidRPr="11F02093" w:rsidR="7206FA0D">
        <w:rPr>
          <w:rFonts w:ascii="Arial" w:hAnsi="Arial" w:eastAsia="Arial" w:cs="Arial" w:asciiTheme="minorAscii" w:hAnsiTheme="minorAscii" w:eastAsiaTheme="minorAscii" w:cstheme="minorAscii"/>
          <w:noProof w:val="0"/>
          <w:sz w:val="24"/>
          <w:szCs w:val="24"/>
          <w:lang w:val="en-GB"/>
        </w:rPr>
        <w:t xml:space="preserve"> </w:t>
      </w:r>
    </w:p>
    <w:p xmlns:wp14="http://schemas.microsoft.com/office/word/2010/wordml" w:rsidP="11F02093" wp14:paraId="5C414086" wp14:textId="1AD139EB">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4"/>
          <w:szCs w:val="24"/>
          <w:lang w:val="en-GB"/>
        </w:rPr>
      </w:pPr>
      <w:r w:rsidRPr="11F02093" w:rsidR="7206FA0D">
        <w:rPr>
          <w:rFonts w:ascii="Arial" w:hAnsi="Arial" w:eastAsia="Arial" w:cs="Arial" w:asciiTheme="minorAscii" w:hAnsiTheme="minorAscii" w:eastAsiaTheme="minorAscii" w:cstheme="minorAscii"/>
          <w:noProof w:val="0"/>
          <w:sz w:val="24"/>
          <w:szCs w:val="24"/>
          <w:lang w:val="en-GB"/>
        </w:rPr>
        <w:t xml:space="preserve"> </w:t>
      </w:r>
    </w:p>
    <w:p xmlns:wp14="http://schemas.microsoft.com/office/word/2010/wordml" w:rsidP="11F02093" wp14:paraId="1ACEEF97" wp14:textId="193435ED">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3. Collaborative Excellence in the Multidisciplinary Team (MDT)</w:t>
      </w:r>
    </w:p>
    <w:p xmlns:wp14="http://schemas.microsoft.com/office/word/2010/wordml" w:rsidP="11F02093" wp14:paraId="21316BAE" wp14:textId="5C501075">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4"/>
          <w:szCs w:val="24"/>
          <w:lang w:val="en-GB"/>
        </w:rPr>
      </w:pPr>
      <w:r w:rsidRPr="11F02093" w:rsidR="7206FA0D">
        <w:rPr>
          <w:rFonts w:ascii="Arial" w:hAnsi="Arial" w:eastAsia="Arial" w:cs="Arial" w:asciiTheme="minorAscii" w:hAnsiTheme="minorAscii" w:eastAsiaTheme="minorAscii" w:cstheme="minorAscii"/>
          <w:noProof w:val="0"/>
          <w:sz w:val="24"/>
          <w:szCs w:val="24"/>
          <w:lang w:val="en-GB"/>
        </w:rPr>
        <w:t xml:space="preserve"> </w:t>
      </w:r>
    </w:p>
    <w:p xmlns:wp14="http://schemas.microsoft.com/office/word/2010/wordml" w:rsidP="11F02093" wp14:paraId="5398E67B" wp14:textId="7F91602E">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4"/>
          <w:szCs w:val="24"/>
          <w:lang w:val="en-GB"/>
        </w:rPr>
      </w:pP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During my clinical experience at Chelsea and Westminster Hospital, I </w:t>
      </w:r>
      <w:r w:rsidRPr="11F02093" w:rsidR="7206FA0D">
        <w:rPr>
          <w:rFonts w:ascii="Arial" w:hAnsi="Arial" w:eastAsia="Arial" w:cs="Arial" w:asciiTheme="minorAscii" w:hAnsiTheme="minorAscii" w:eastAsiaTheme="minorAscii" w:cstheme="minorAscii"/>
          <w:noProof w:val="0"/>
          <w:sz w:val="24"/>
          <w:szCs w:val="24"/>
          <w:lang w:val="en-GB"/>
        </w:rPr>
        <w:t>observed</w:t>
      </w:r>
      <w:r w:rsidRPr="11F02093" w:rsidR="7206FA0D">
        <w:rPr>
          <w:rFonts w:ascii="Arial" w:hAnsi="Arial" w:eastAsia="Arial" w:cs="Arial" w:asciiTheme="minorAscii" w:hAnsiTheme="minorAscii" w:eastAsiaTheme="minorAscii" w:cstheme="minorAscii"/>
          <w:noProof w:val="0"/>
          <w:sz w:val="24"/>
          <w:szCs w:val="24"/>
          <w:lang w:val="en-GB"/>
        </w:rPr>
        <w:t xml:space="preserve"> that the paediatric nurse serves as the central "coordinator" for the Multidisciplinary Team (MDT). Effective teamwork is essential for reducing clinical errors and is a core requirement of Section 8 of The Code (NMC, 2018).</w:t>
      </w:r>
    </w:p>
    <w:p xmlns:wp14="http://schemas.microsoft.com/office/word/2010/wordml" w:rsidP="11F02093" wp14:paraId="51205261" wp14:textId="11D582F9">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4"/>
          <w:szCs w:val="24"/>
          <w:lang w:val="en-GB"/>
        </w:rPr>
      </w:pPr>
      <w:r w:rsidRPr="11F02093" w:rsidR="7206FA0D">
        <w:rPr>
          <w:rFonts w:ascii="Arial" w:hAnsi="Arial" w:eastAsia="Arial" w:cs="Arial" w:asciiTheme="minorAscii" w:hAnsiTheme="minorAscii" w:eastAsiaTheme="minorAscii" w:cstheme="minorAscii"/>
          <w:noProof w:val="0"/>
          <w:sz w:val="24"/>
          <w:szCs w:val="24"/>
          <w:lang w:val="en-GB"/>
        </w:rPr>
        <w:t xml:space="preserve"> </w:t>
      </w:r>
    </w:p>
    <w:p xmlns:wp14="http://schemas.microsoft.com/office/word/2010/wordml" w:rsidP="11F02093" wp14:paraId="6F01FB61" wp14:textId="310FC7F2">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Therapeutic Play Specialists: These professionals are vital for helping children process the trauma of hospital life through "medical play," which helps desensitize the child to clinical equipment (RCN, 2021).</w:t>
      </w:r>
    </w:p>
    <w:p xmlns:wp14="http://schemas.microsoft.com/office/word/2010/wordml" w:rsidP="11F02093" wp14:paraId="44BC837F" wp14:textId="7BB808CA">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4"/>
          <w:szCs w:val="24"/>
          <w:lang w:val="en-GB"/>
        </w:rPr>
      </w:pPr>
      <w:r w:rsidRPr="11F02093" w:rsidR="7206FA0D">
        <w:rPr>
          <w:rFonts w:ascii="Arial" w:hAnsi="Arial" w:eastAsia="Arial" w:cs="Arial" w:asciiTheme="minorAscii" w:hAnsiTheme="minorAscii" w:eastAsiaTheme="minorAscii" w:cstheme="minorAscii"/>
          <w:noProof w:val="0"/>
          <w:sz w:val="24"/>
          <w:szCs w:val="24"/>
          <w:lang w:val="en-GB"/>
        </w:rPr>
        <w:t xml:space="preserve"> </w:t>
      </w:r>
    </w:p>
    <w:p xmlns:wp14="http://schemas.microsoft.com/office/word/2010/wordml" w:rsidP="11F02093" wp14:paraId="5D41F0A5" wp14:textId="3B5FDAE7">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4"/>
          <w:szCs w:val="24"/>
          <w:lang w:val="en-GB"/>
        </w:rPr>
      </w:pP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Social Care Services: When domestic factors </w:t>
      </w:r>
      <w:r w:rsidRPr="11F02093" w:rsidR="7206FA0D">
        <w:rPr>
          <w:rFonts w:ascii="Arial" w:hAnsi="Arial" w:eastAsia="Arial" w:cs="Arial" w:asciiTheme="minorAscii" w:hAnsiTheme="minorAscii" w:eastAsiaTheme="minorAscii" w:cstheme="minorAscii"/>
          <w:noProof w:val="0"/>
          <w:sz w:val="24"/>
          <w:szCs w:val="24"/>
          <w:lang w:val="en-GB"/>
        </w:rPr>
        <w:t>impact</w:t>
      </w:r>
      <w:r w:rsidRPr="11F02093" w:rsidR="7206FA0D">
        <w:rPr>
          <w:rFonts w:ascii="Arial" w:hAnsi="Arial" w:eastAsia="Arial" w:cs="Arial" w:asciiTheme="minorAscii" w:hAnsiTheme="minorAscii" w:eastAsiaTheme="minorAscii" w:cstheme="minorAscii"/>
          <w:noProof w:val="0"/>
          <w:sz w:val="24"/>
          <w:szCs w:val="24"/>
          <w:lang w:val="en-GB"/>
        </w:rPr>
        <w:t xml:space="preserve"> a child's health, the nurse works alongside social workers to implement safeguarding plans under the Children Act (2004).</w:t>
      </w:r>
    </w:p>
    <w:p xmlns:wp14="http://schemas.microsoft.com/office/word/2010/wordml" w:rsidP="11F02093" wp14:paraId="33B3B639" wp14:textId="691B1867">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4"/>
          <w:szCs w:val="24"/>
          <w:lang w:val="en-GB"/>
        </w:rPr>
      </w:pPr>
      <w:r w:rsidRPr="11F02093" w:rsidR="7206FA0D">
        <w:rPr>
          <w:rFonts w:ascii="Arial" w:hAnsi="Arial" w:eastAsia="Arial" w:cs="Arial" w:asciiTheme="minorAscii" w:hAnsiTheme="minorAscii" w:eastAsiaTheme="minorAscii" w:cstheme="minorAscii"/>
          <w:noProof w:val="0"/>
          <w:sz w:val="24"/>
          <w:szCs w:val="24"/>
          <w:lang w:val="en-GB"/>
        </w:rPr>
        <w:t xml:space="preserve"> </w:t>
      </w:r>
    </w:p>
    <w:p xmlns:wp14="http://schemas.microsoft.com/office/word/2010/wordml" w:rsidP="11F02093" wp14:paraId="6DADF3DA" wp14:textId="38B20D99">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Pharmacists and Safety: Because paediatric medication is strictly weight-dependent (mg/kg), the nurse-pharmacist relationship is a critical safety barrier. At Chelsea and Westminster, this prevents "ten-fold" dosing errors which can occur due to small decimal mistakes (Glasper and Richardson, 2020).</w:t>
      </w:r>
    </w:p>
    <w:p xmlns:wp14="http://schemas.microsoft.com/office/word/2010/wordml" w:rsidP="11F02093" wp14:paraId="09A622F4" wp14:textId="13253D11">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4"/>
          <w:szCs w:val="24"/>
          <w:lang w:val="en-GB"/>
        </w:rPr>
      </w:pPr>
      <w:r w:rsidRPr="11F02093" w:rsidR="7206FA0D">
        <w:rPr>
          <w:rFonts w:ascii="Arial" w:hAnsi="Arial" w:eastAsia="Arial" w:cs="Arial" w:asciiTheme="minorAscii" w:hAnsiTheme="minorAscii" w:eastAsiaTheme="minorAscii" w:cstheme="minorAscii"/>
          <w:noProof w:val="0"/>
          <w:sz w:val="24"/>
          <w:szCs w:val="24"/>
          <w:lang w:val="en-GB"/>
        </w:rPr>
        <w:t xml:space="preserve"> </w:t>
      </w:r>
    </w:p>
    <w:p xmlns:wp14="http://schemas.microsoft.com/office/word/2010/wordml" w:rsidP="11F02093" wp14:paraId="7B94D523" wp14:textId="43C4D617">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Community Health Visitors: Post-discharge, the nurse ensures a "seamless transition" by communicating with community health visitors, supporting the child’s continued development at home.</w:t>
      </w:r>
    </w:p>
    <w:p xmlns:wp14="http://schemas.microsoft.com/office/word/2010/wordml" w:rsidP="11F02093" wp14:paraId="1BF180CD" wp14:textId="40182C62">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4"/>
          <w:szCs w:val="24"/>
          <w:lang w:val="en-GB"/>
        </w:rPr>
      </w:pPr>
      <w:r w:rsidRPr="11F02093" w:rsidR="7206FA0D">
        <w:rPr>
          <w:rFonts w:ascii="Arial" w:hAnsi="Arial" w:eastAsia="Arial" w:cs="Arial" w:asciiTheme="minorAscii" w:hAnsiTheme="minorAscii" w:eastAsiaTheme="minorAscii" w:cstheme="minorAscii"/>
          <w:noProof w:val="0"/>
          <w:sz w:val="24"/>
          <w:szCs w:val="24"/>
          <w:lang w:val="en-GB"/>
        </w:rPr>
        <w:t xml:space="preserve"> </w:t>
      </w:r>
    </w:p>
    <w:p xmlns:wp14="http://schemas.microsoft.com/office/word/2010/wordml" w:rsidP="11F02093" wp14:paraId="31B0C518" wp14:textId="070F76A3">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4. Critical Skill 1: Developmental Communication Strategies</w:t>
      </w:r>
    </w:p>
    <w:p xmlns:wp14="http://schemas.microsoft.com/office/word/2010/wordml" w:rsidP="11F02093" wp14:paraId="77C3AAB4" wp14:textId="4F6B51D4">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4"/>
          <w:szCs w:val="24"/>
          <w:lang w:val="en-GB"/>
        </w:rPr>
      </w:pPr>
      <w:r w:rsidRPr="11F02093" w:rsidR="7206FA0D">
        <w:rPr>
          <w:rFonts w:ascii="Arial" w:hAnsi="Arial" w:eastAsia="Arial" w:cs="Arial" w:asciiTheme="minorAscii" w:hAnsiTheme="minorAscii" w:eastAsiaTheme="minorAscii" w:cstheme="minorAscii"/>
          <w:noProof w:val="0"/>
          <w:sz w:val="24"/>
          <w:szCs w:val="24"/>
          <w:lang w:val="en-GB"/>
        </w:rPr>
        <w:t xml:space="preserve"> </w:t>
      </w:r>
    </w:p>
    <w:p xmlns:wp14="http://schemas.microsoft.com/office/word/2010/wordml" w:rsidP="11F02093" wp14:paraId="1BF48AC8" wp14:textId="33CD9270">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Justification: Communication is a safety-critical clinical tool. Drawing on Piaget’s Theory of Cognitive Development, we understand that a child’s comprehension changes as they mature (Peate, 2022). A nurse must adapt their language from symbolic "storytelling" for toddlers to evidence-based, factual discussions for teenagers. Price and McAlinden (2023) argue that "developmentally appropriate" communication is the only way to meet the NMC (2018) requirement for inclusive care. By tailoring information to the child's cognitive </w:t>
      </w: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vel</w:t>
      </w: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the nurse minimizes fear and builds the trust necessary for successful treatment. </w:t>
      </w:r>
    </w:p>
    <w:p xmlns:wp14="http://schemas.microsoft.com/office/word/2010/wordml" w:rsidP="11F02093" wp14:paraId="2595CE6A" wp14:textId="57EFDF1E">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4"/>
          <w:szCs w:val="24"/>
          <w:lang w:val="en-GB"/>
        </w:rPr>
      </w:pPr>
      <w:r w:rsidRPr="11F02093" w:rsidR="7206FA0D">
        <w:rPr>
          <w:rFonts w:ascii="Arial" w:hAnsi="Arial" w:eastAsia="Arial" w:cs="Arial" w:asciiTheme="minorAscii" w:hAnsiTheme="minorAscii" w:eastAsiaTheme="minorAscii" w:cstheme="minorAscii"/>
          <w:noProof w:val="0"/>
          <w:sz w:val="24"/>
          <w:szCs w:val="24"/>
          <w:lang w:val="en-GB"/>
        </w:rPr>
        <w:t xml:space="preserve"> </w:t>
      </w:r>
    </w:p>
    <w:p xmlns:wp14="http://schemas.microsoft.com/office/word/2010/wordml" w:rsidP="11F02093" wp14:paraId="6AAB99E6" wp14:textId="0FE7CECB">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4"/>
          <w:szCs w:val="24"/>
          <w:lang w:val="en-GB"/>
        </w:rPr>
      </w:pP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Professional Development Strategy: I will </w:t>
      </w:r>
      <w:r w:rsidRPr="11F02093" w:rsidR="7206FA0D">
        <w:rPr>
          <w:rFonts w:ascii="Arial" w:hAnsi="Arial" w:eastAsia="Arial" w:cs="Arial" w:asciiTheme="minorAscii" w:hAnsiTheme="minorAscii" w:eastAsiaTheme="minorAscii" w:cstheme="minorAscii"/>
          <w:noProof w:val="0"/>
          <w:sz w:val="24"/>
          <w:szCs w:val="24"/>
          <w:lang w:val="en-GB"/>
        </w:rPr>
        <w:t>utilize</w:t>
      </w:r>
      <w:r w:rsidRPr="11F02093" w:rsidR="7206FA0D">
        <w:rPr>
          <w:rFonts w:ascii="Arial" w:hAnsi="Arial" w:eastAsia="Arial" w:cs="Arial" w:asciiTheme="minorAscii" w:hAnsiTheme="minorAscii" w:eastAsiaTheme="minorAscii" w:cstheme="minorAscii"/>
          <w:noProof w:val="0"/>
          <w:sz w:val="24"/>
          <w:szCs w:val="24"/>
          <w:lang w:val="en-GB"/>
        </w:rPr>
        <w:t xml:space="preserve"> the "Show-Tell-Do" framework on the paediatric wards at Chelsea and Westminster to reduce patient anxiety during procedures. To enhance my communication skills, I plan to attend an introductory Makaton workshop by the end of the year. This will allow me to provide more </w:t>
      </w:r>
      <w:r w:rsidRPr="11F02093" w:rsidR="7206FA0D">
        <w:rPr>
          <w:rFonts w:ascii="Arial" w:hAnsi="Arial" w:eastAsia="Arial" w:cs="Arial" w:asciiTheme="minorAscii" w:hAnsiTheme="minorAscii" w:eastAsiaTheme="minorAscii" w:cstheme="minorAscii"/>
          <w:noProof w:val="0"/>
          <w:sz w:val="24"/>
          <w:szCs w:val="24"/>
          <w:lang w:val="en-GB"/>
        </w:rPr>
        <w:t>equitable</w:t>
      </w:r>
      <w:r w:rsidRPr="11F02093" w:rsidR="7206FA0D">
        <w:rPr>
          <w:rFonts w:ascii="Arial" w:hAnsi="Arial" w:eastAsia="Arial" w:cs="Arial" w:asciiTheme="minorAscii" w:hAnsiTheme="minorAscii" w:eastAsiaTheme="minorAscii" w:cstheme="minorAscii"/>
          <w:noProof w:val="0"/>
          <w:sz w:val="24"/>
          <w:szCs w:val="24"/>
          <w:lang w:val="en-GB"/>
        </w:rPr>
        <w:t xml:space="preserve"> care for non-verbal or neurodivergent children, fulfilling the standards of NHS England (2023) and the Equality Act (2010).</w:t>
      </w:r>
    </w:p>
    <w:p xmlns:wp14="http://schemas.microsoft.com/office/word/2010/wordml" w:rsidP="11F02093" wp14:paraId="1E54FA03" wp14:textId="63A12716">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4"/>
          <w:szCs w:val="24"/>
          <w:lang w:val="en-GB"/>
        </w:rPr>
      </w:pPr>
      <w:r w:rsidRPr="11F02093" w:rsidR="7206FA0D">
        <w:rPr>
          <w:rFonts w:ascii="Arial" w:hAnsi="Arial" w:eastAsia="Arial" w:cs="Arial" w:asciiTheme="minorAscii" w:hAnsiTheme="minorAscii" w:eastAsiaTheme="minorAscii" w:cstheme="minorAscii"/>
          <w:noProof w:val="0"/>
          <w:sz w:val="24"/>
          <w:szCs w:val="24"/>
          <w:lang w:val="en-GB"/>
        </w:rPr>
        <w:t xml:space="preserve"> </w:t>
      </w:r>
    </w:p>
    <w:p xmlns:wp14="http://schemas.microsoft.com/office/word/2010/wordml" w:rsidP="11F02093" wp14:paraId="127B5224" wp14:textId="682D72A5">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4"/>
          <w:szCs w:val="24"/>
          <w:lang w:val="en-GB"/>
        </w:rPr>
      </w:pPr>
      <w:r w:rsidRPr="11F02093" w:rsidR="7206FA0D">
        <w:rPr>
          <w:rFonts w:ascii="Arial" w:hAnsi="Arial" w:eastAsia="Arial" w:cs="Arial" w:asciiTheme="minorAscii" w:hAnsiTheme="minorAscii" w:eastAsiaTheme="minorAscii" w:cstheme="minorAscii"/>
          <w:noProof w:val="0"/>
          <w:sz w:val="24"/>
          <w:szCs w:val="24"/>
          <w:lang w:val="en-GB"/>
        </w:rPr>
        <w:t xml:space="preserve"> </w:t>
      </w:r>
    </w:p>
    <w:p xmlns:wp14="http://schemas.microsoft.com/office/word/2010/wordml" w:rsidP="11F02093" wp14:paraId="31C650F9" wp14:textId="7B438683">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4"/>
          <w:szCs w:val="24"/>
          <w:lang w:val="en-GB"/>
        </w:rPr>
      </w:pPr>
      <w:r w:rsidRPr="11F02093" w:rsidR="7206FA0D">
        <w:rPr>
          <w:rFonts w:ascii="Arial" w:hAnsi="Arial" w:eastAsia="Arial" w:cs="Arial" w:asciiTheme="minorAscii" w:hAnsiTheme="minorAscii" w:eastAsiaTheme="minorAscii" w:cstheme="minorAscii"/>
          <w:noProof w:val="0"/>
          <w:sz w:val="24"/>
          <w:szCs w:val="24"/>
          <w:lang w:val="en-GB"/>
        </w:rPr>
        <w:t xml:space="preserve"> </w:t>
      </w:r>
    </w:p>
    <w:p xmlns:wp14="http://schemas.microsoft.com/office/word/2010/wordml" w:rsidP="11F02093" wp14:paraId="4BC88D83" wp14:textId="7FB3155E">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5. Critical Skill 2: Technical Precision and Physiological Monitoring </w:t>
      </w:r>
    </w:p>
    <w:p xmlns:wp14="http://schemas.microsoft.com/office/word/2010/wordml" w:rsidP="11F02093" wp14:paraId="4C6AAC7E" wp14:textId="2EB21CB4">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4"/>
          <w:szCs w:val="24"/>
          <w:lang w:val="en-GB"/>
        </w:rPr>
      </w:pPr>
      <w:r w:rsidRPr="11F02093" w:rsidR="7206FA0D">
        <w:rPr>
          <w:rFonts w:ascii="Arial" w:hAnsi="Arial" w:eastAsia="Arial" w:cs="Arial" w:asciiTheme="minorAscii" w:hAnsiTheme="minorAscii" w:eastAsiaTheme="minorAscii" w:cstheme="minorAscii"/>
          <w:noProof w:val="0"/>
          <w:sz w:val="24"/>
          <w:szCs w:val="24"/>
          <w:lang w:val="en-GB"/>
        </w:rPr>
        <w:t xml:space="preserve"> </w:t>
      </w:r>
    </w:p>
    <w:p xmlns:wp14="http://schemas.microsoft.com/office/word/2010/wordml" w:rsidP="11F02093" wp14:paraId="1D3F5046" wp14:textId="3B099591">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4"/>
          <w:szCs w:val="24"/>
          <w:lang w:val="en-GB"/>
        </w:rPr>
      </w:pP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Justification: Children are excellent "physiological compensators." They can appear stable while working </w:t>
      </w:r>
      <w:r w:rsidRPr="11F02093" w:rsidR="7206FA0D">
        <w:rPr>
          <w:rFonts w:ascii="Arial" w:hAnsi="Arial" w:eastAsia="Arial" w:cs="Arial" w:asciiTheme="minorAscii" w:hAnsiTheme="minorAscii" w:eastAsiaTheme="minorAscii" w:cstheme="minorAscii"/>
          <w:noProof w:val="0"/>
          <w:sz w:val="24"/>
          <w:szCs w:val="24"/>
          <w:lang w:val="en-GB"/>
        </w:rPr>
        <w:t xml:space="preserve">extremely hard to </w:t>
      </w:r>
      <w:r w:rsidRPr="11F02093" w:rsidR="7206FA0D">
        <w:rPr>
          <w:rFonts w:ascii="Arial" w:hAnsi="Arial" w:eastAsia="Arial" w:cs="Arial" w:asciiTheme="minorAscii" w:hAnsiTheme="minorAscii" w:eastAsiaTheme="minorAscii" w:cstheme="minorAscii"/>
          <w:noProof w:val="0"/>
          <w:sz w:val="24"/>
          <w:szCs w:val="24"/>
          <w:lang w:val="en-GB"/>
        </w:rPr>
        <w:t>maintain</w:t>
      </w:r>
      <w:r w:rsidRPr="11F02093" w:rsidR="7206FA0D">
        <w:rPr>
          <w:rFonts w:ascii="Arial" w:hAnsi="Arial" w:eastAsia="Arial" w:cs="Arial" w:asciiTheme="minorAscii" w:hAnsiTheme="minorAscii" w:eastAsiaTheme="minorAscii" w:cstheme="minorAscii"/>
          <w:noProof w:val="0"/>
          <w:sz w:val="24"/>
          <w:szCs w:val="24"/>
          <w:lang w:val="en-GB"/>
        </w:rPr>
        <w:t xml:space="preserve"> their vital signs, only to collapse suddenly when they reach their limit (Peate, 2022). Consequently, the paediatric nurse must be highly skilled at </w:t>
      </w:r>
      <w:r w:rsidRPr="11F02093" w:rsidR="7206FA0D">
        <w:rPr>
          <w:rFonts w:ascii="Arial" w:hAnsi="Arial" w:eastAsia="Arial" w:cs="Arial" w:asciiTheme="minorAscii" w:hAnsiTheme="minorAscii" w:eastAsiaTheme="minorAscii" w:cstheme="minorAscii"/>
          <w:noProof w:val="0"/>
          <w:sz w:val="24"/>
          <w:szCs w:val="24"/>
          <w:lang w:val="en-GB"/>
        </w:rPr>
        <w:t>identifying</w:t>
      </w:r>
      <w:r w:rsidRPr="11F02093" w:rsidR="7206FA0D">
        <w:rPr>
          <w:rFonts w:ascii="Arial" w:hAnsi="Arial" w:eastAsia="Arial" w:cs="Arial" w:asciiTheme="minorAscii" w:hAnsiTheme="minorAscii" w:eastAsiaTheme="minorAscii" w:cstheme="minorAscii"/>
          <w:noProof w:val="0"/>
          <w:sz w:val="24"/>
          <w:szCs w:val="24"/>
          <w:lang w:val="en-GB"/>
        </w:rPr>
        <w:t xml:space="preserve"> subtle "red flags," such as nasal flaring or intercostal recession, even before the Paediatric Early Warning Score (PEWS) triggers an alarm (Glasper and Richardson, 2020). Furthermore, because doses are weight-based, mathematical accuracy is a life-saving competency. The NMC (2018) demands that all practitioners </w:t>
      </w:r>
      <w:r w:rsidRPr="11F02093" w:rsidR="7206FA0D">
        <w:rPr>
          <w:rFonts w:ascii="Arial" w:hAnsi="Arial" w:eastAsia="Arial" w:cs="Arial" w:asciiTheme="minorAscii" w:hAnsiTheme="minorAscii" w:eastAsiaTheme="minorAscii" w:cstheme="minorAscii"/>
          <w:noProof w:val="0"/>
          <w:sz w:val="24"/>
          <w:szCs w:val="24"/>
          <w:lang w:val="en-GB"/>
        </w:rPr>
        <w:t>maintain</w:t>
      </w:r>
      <w:r w:rsidRPr="11F02093" w:rsidR="7206FA0D">
        <w:rPr>
          <w:rFonts w:ascii="Arial" w:hAnsi="Arial" w:eastAsia="Arial" w:cs="Arial" w:asciiTheme="minorAscii" w:hAnsiTheme="minorAscii" w:eastAsiaTheme="minorAscii" w:cstheme="minorAscii"/>
          <w:noProof w:val="0"/>
          <w:sz w:val="24"/>
          <w:szCs w:val="24"/>
          <w:lang w:val="en-GB"/>
        </w:rPr>
        <w:t xml:space="preserve"> a "zero-error" standard in medication management.</w:t>
      </w:r>
    </w:p>
    <w:p xmlns:wp14="http://schemas.microsoft.com/office/word/2010/wordml" w:rsidP="11F02093" wp14:paraId="14EDDCC9" wp14:textId="4F4598BD">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4"/>
          <w:szCs w:val="24"/>
          <w:lang w:val="en-GB"/>
        </w:rPr>
      </w:pPr>
      <w:r w:rsidRPr="11F02093" w:rsidR="7206FA0D">
        <w:rPr>
          <w:rFonts w:ascii="Arial" w:hAnsi="Arial" w:eastAsia="Arial" w:cs="Arial" w:asciiTheme="minorAscii" w:hAnsiTheme="minorAscii" w:eastAsiaTheme="minorAscii" w:cstheme="minorAscii"/>
          <w:noProof w:val="0"/>
          <w:sz w:val="24"/>
          <w:szCs w:val="24"/>
          <w:lang w:val="en-GB"/>
        </w:rPr>
        <w:t xml:space="preserve"> </w:t>
      </w:r>
    </w:p>
    <w:p xmlns:wp14="http://schemas.microsoft.com/office/word/2010/wordml" w:rsidP="11F02093" wp14:paraId="74E338F8" wp14:textId="00C2631D">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4"/>
          <w:szCs w:val="24"/>
          <w:lang w:val="en-GB"/>
        </w:rPr>
      </w:pP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Professional Development Strategy: I will continue to practice high-fidelity ABCDE assessments in university simulation labs to improve my recognition of the "collapsing child." To ensure mathematical safety, I will use the SN@P digital platform and always verify weight-based calculations with the BNF for Children (</w:t>
      </w:r>
      <w:r w:rsidRPr="11F02093" w:rsidR="7206FA0D">
        <w:rPr>
          <w:rFonts w:ascii="Arial" w:hAnsi="Arial" w:eastAsia="Arial" w:cs="Arial" w:asciiTheme="minorAscii" w:hAnsiTheme="minorAscii" w:eastAsiaTheme="minorAscii" w:cstheme="minorAscii"/>
          <w:noProof w:val="0"/>
          <w:sz w:val="24"/>
          <w:szCs w:val="24"/>
          <w:lang w:val="en-GB"/>
        </w:rPr>
        <w:t>BNFc</w:t>
      </w:r>
      <w:r w:rsidRPr="11F02093" w:rsidR="7206FA0D">
        <w:rPr>
          <w:rFonts w:ascii="Arial" w:hAnsi="Arial" w:eastAsia="Arial" w:cs="Arial" w:asciiTheme="minorAscii" w:hAnsiTheme="minorAscii" w:eastAsiaTheme="minorAscii" w:cstheme="minorAscii"/>
          <w:noProof w:val="0"/>
          <w:sz w:val="24"/>
          <w:szCs w:val="24"/>
          <w:lang w:val="en-GB"/>
        </w:rPr>
        <w:t>) during my HCA duties on the ward.</w:t>
      </w:r>
    </w:p>
    <w:p xmlns:wp14="http://schemas.microsoft.com/office/word/2010/wordml" w:rsidP="11F02093" wp14:paraId="4A1A7BDF" wp14:textId="7D58944E">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4"/>
          <w:szCs w:val="24"/>
          <w:lang w:val="en-GB"/>
        </w:rPr>
      </w:pPr>
      <w:r w:rsidRPr="11F02093" w:rsidR="7206FA0D">
        <w:rPr>
          <w:rFonts w:ascii="Arial" w:hAnsi="Arial" w:eastAsia="Arial" w:cs="Arial" w:asciiTheme="minorAscii" w:hAnsiTheme="minorAscii" w:eastAsiaTheme="minorAscii" w:cstheme="minorAscii"/>
          <w:noProof w:val="0"/>
          <w:sz w:val="24"/>
          <w:szCs w:val="24"/>
          <w:lang w:val="en-GB"/>
        </w:rPr>
        <w:t xml:space="preserve"> </w:t>
      </w:r>
    </w:p>
    <w:p xmlns:wp14="http://schemas.microsoft.com/office/word/2010/wordml" w:rsidP="11F02093" wp14:paraId="408D39FB" wp14:textId="29C0EA1C">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6. Critical Skill 3: Professional Resilience and Emotional Intelligence </w:t>
      </w:r>
    </w:p>
    <w:p xmlns:wp14="http://schemas.microsoft.com/office/word/2010/wordml" w:rsidP="11F02093" wp14:paraId="37E887D3" wp14:textId="2B0A9575">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4"/>
          <w:szCs w:val="24"/>
          <w:lang w:val="en-GB"/>
        </w:rPr>
      </w:pPr>
      <w:r w:rsidRPr="11F02093" w:rsidR="7206FA0D">
        <w:rPr>
          <w:rFonts w:ascii="Arial" w:hAnsi="Arial" w:eastAsia="Arial" w:cs="Arial" w:asciiTheme="minorAscii" w:hAnsiTheme="minorAscii" w:eastAsiaTheme="minorAscii" w:cstheme="minorAscii"/>
          <w:noProof w:val="0"/>
          <w:sz w:val="24"/>
          <w:szCs w:val="24"/>
          <w:lang w:val="en-GB"/>
        </w:rPr>
        <w:t xml:space="preserve"> </w:t>
      </w:r>
    </w:p>
    <w:p xmlns:wp14="http://schemas.microsoft.com/office/word/2010/wordml" w:rsidP="11F02093" wp14:paraId="7EC15151" wp14:textId="277C4C64">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4"/>
          <w:szCs w:val="24"/>
          <w:lang w:val="en-GB"/>
        </w:rPr>
      </w:pP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Justification: The high emotional stakes of paediatric nursing can lead to "Compassion Fatigue." To remain effective, a nurse must </w:t>
      </w:r>
      <w:r w:rsidRPr="11F02093" w:rsidR="7206FA0D">
        <w:rPr>
          <w:rFonts w:ascii="Arial" w:hAnsi="Arial" w:eastAsia="Arial" w:cs="Arial" w:asciiTheme="minorAscii" w:hAnsiTheme="minorAscii" w:eastAsiaTheme="minorAscii" w:cstheme="minorAscii"/>
          <w:noProof w:val="0"/>
          <w:sz w:val="24"/>
          <w:szCs w:val="24"/>
          <w:lang w:val="en-GB"/>
        </w:rPr>
        <w:t>possess</w:t>
      </w:r>
      <w:r w:rsidRPr="11F02093" w:rsidR="7206FA0D">
        <w:rPr>
          <w:rFonts w:ascii="Arial" w:hAnsi="Arial" w:eastAsia="Arial" w:cs="Arial" w:asciiTheme="minorAscii" w:hAnsiTheme="minorAscii" w:eastAsiaTheme="minorAscii" w:cstheme="minorAscii"/>
          <w:noProof w:val="0"/>
          <w:sz w:val="24"/>
          <w:szCs w:val="24"/>
          <w:lang w:val="en-GB"/>
        </w:rPr>
        <w:t xml:space="preserve"> high Emotional Intelligence (EI), enabling them to show empathy while </w:t>
      </w:r>
      <w:r w:rsidRPr="11F02093" w:rsidR="7206FA0D">
        <w:rPr>
          <w:rFonts w:ascii="Arial" w:hAnsi="Arial" w:eastAsia="Arial" w:cs="Arial" w:asciiTheme="minorAscii" w:hAnsiTheme="minorAscii" w:eastAsiaTheme="minorAscii" w:cstheme="minorAscii"/>
          <w:noProof w:val="0"/>
          <w:sz w:val="24"/>
          <w:szCs w:val="24"/>
          <w:lang w:val="en-GB"/>
        </w:rPr>
        <w:t>maintaining</w:t>
      </w:r>
      <w:r w:rsidRPr="11F02093" w:rsidR="7206FA0D">
        <w:rPr>
          <w:rFonts w:ascii="Arial" w:hAnsi="Arial" w:eastAsia="Arial" w:cs="Arial" w:asciiTheme="minorAscii" w:hAnsiTheme="minorAscii" w:eastAsiaTheme="minorAscii" w:cstheme="minorAscii"/>
          <w:noProof w:val="0"/>
          <w:sz w:val="24"/>
          <w:szCs w:val="24"/>
          <w:lang w:val="en-GB"/>
        </w:rPr>
        <w:t xml:space="preserve"> the professional boundaries set by the NMC (2018). Moule (2021) argues that resilience is not about emotional distance, but about using "clinical supervision" to process stress. </w:t>
      </w:r>
      <w:r w:rsidRPr="11F02093" w:rsidR="7206FA0D">
        <w:rPr>
          <w:rFonts w:ascii="Arial" w:hAnsi="Arial" w:eastAsia="Arial" w:cs="Arial" w:asciiTheme="minorAscii" w:hAnsiTheme="minorAscii" w:eastAsiaTheme="minorAscii" w:cstheme="minorAscii"/>
          <w:noProof w:val="0"/>
          <w:sz w:val="24"/>
          <w:szCs w:val="24"/>
          <w:lang w:val="en-GB"/>
        </w:rPr>
        <w:t>Maintaining</w:t>
      </w:r>
      <w:r w:rsidRPr="11F02093" w:rsidR="7206FA0D">
        <w:rPr>
          <w:rFonts w:ascii="Arial" w:hAnsi="Arial" w:eastAsia="Arial" w:cs="Arial" w:asciiTheme="minorAscii" w:hAnsiTheme="minorAscii" w:eastAsiaTheme="minorAscii" w:cstheme="minorAscii"/>
          <w:noProof w:val="0"/>
          <w:sz w:val="24"/>
          <w:szCs w:val="24"/>
          <w:lang w:val="en-GB"/>
        </w:rPr>
        <w:t xml:space="preserve"> a professional boundary ensures that the nurse </w:t>
      </w:r>
      <w:r w:rsidRPr="11F02093" w:rsidR="7206FA0D">
        <w:rPr>
          <w:rFonts w:ascii="Arial" w:hAnsi="Arial" w:eastAsia="Arial" w:cs="Arial" w:asciiTheme="minorAscii" w:hAnsiTheme="minorAscii" w:eastAsiaTheme="minorAscii" w:cstheme="minorAscii"/>
          <w:noProof w:val="0"/>
          <w:sz w:val="24"/>
          <w:szCs w:val="24"/>
          <w:lang w:val="en-GB"/>
        </w:rPr>
        <w:t>remains</w:t>
      </w:r>
      <w:r w:rsidRPr="11F02093" w:rsidR="7206FA0D">
        <w:rPr>
          <w:rFonts w:ascii="Arial" w:hAnsi="Arial" w:eastAsia="Arial" w:cs="Arial" w:asciiTheme="minorAscii" w:hAnsiTheme="minorAscii" w:eastAsiaTheme="minorAscii" w:cstheme="minorAscii"/>
          <w:noProof w:val="0"/>
          <w:sz w:val="24"/>
          <w:szCs w:val="24"/>
          <w:lang w:val="en-GB"/>
        </w:rPr>
        <w:t xml:space="preserve"> objective and capable of providing high-quality care to all patients without burning out (Price and McAlinden, 2023).</w:t>
      </w:r>
    </w:p>
    <w:p xmlns:wp14="http://schemas.microsoft.com/office/word/2010/wordml" w:rsidP="11F02093" wp14:paraId="0949BF1C" wp14:textId="66FFAF1E">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4"/>
          <w:szCs w:val="24"/>
          <w:lang w:val="en-GB"/>
        </w:rPr>
      </w:pPr>
      <w:r w:rsidRPr="11F02093" w:rsidR="7206FA0D">
        <w:rPr>
          <w:rFonts w:ascii="Arial" w:hAnsi="Arial" w:eastAsia="Arial" w:cs="Arial" w:asciiTheme="minorAscii" w:hAnsiTheme="minorAscii" w:eastAsiaTheme="minorAscii" w:cstheme="minorAscii"/>
          <w:noProof w:val="0"/>
          <w:sz w:val="24"/>
          <w:szCs w:val="24"/>
          <w:lang w:val="en-GB"/>
        </w:rPr>
        <w:t xml:space="preserve"> </w:t>
      </w:r>
    </w:p>
    <w:p xmlns:wp14="http://schemas.microsoft.com/office/word/2010/wordml" w:rsidP="11F02093" wp14:paraId="140458D1" wp14:textId="605F8079">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4"/>
          <w:szCs w:val="24"/>
          <w:lang w:val="en-GB"/>
        </w:rPr>
      </w:pP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Professional Development Strategy: I will use the Gibbs (1988) Reflective Model to </w:t>
      </w:r>
      <w:r w:rsidRPr="11F02093" w:rsidR="7206FA0D">
        <w:rPr>
          <w:rFonts w:ascii="Arial" w:hAnsi="Arial" w:eastAsia="Arial" w:cs="Arial" w:asciiTheme="minorAscii" w:hAnsiTheme="minorAscii" w:eastAsiaTheme="minorAscii" w:cstheme="minorAscii"/>
          <w:noProof w:val="0"/>
          <w:sz w:val="24"/>
          <w:szCs w:val="24"/>
          <w:lang w:val="en-GB"/>
        </w:rPr>
        <w:t xml:space="preserve">analyse emotional challenges I </w:t>
      </w:r>
      <w:r w:rsidRPr="11F02093" w:rsidR="7206FA0D">
        <w:rPr>
          <w:rFonts w:ascii="Arial" w:hAnsi="Arial" w:eastAsia="Arial" w:cs="Arial" w:asciiTheme="minorAscii" w:hAnsiTheme="minorAscii" w:eastAsiaTheme="minorAscii" w:cstheme="minorAscii"/>
          <w:noProof w:val="0"/>
          <w:sz w:val="24"/>
          <w:szCs w:val="24"/>
          <w:lang w:val="en-GB"/>
        </w:rPr>
        <w:t>encounter</w:t>
      </w:r>
      <w:r w:rsidRPr="11F02093" w:rsidR="7206FA0D">
        <w:rPr>
          <w:rFonts w:ascii="Arial" w:hAnsi="Arial" w:eastAsia="Arial" w:cs="Arial" w:asciiTheme="minorAscii" w:hAnsiTheme="minorAscii" w:eastAsiaTheme="minorAscii" w:cstheme="minorAscii"/>
          <w:noProof w:val="0"/>
          <w:sz w:val="24"/>
          <w:szCs w:val="24"/>
          <w:lang w:val="en-GB"/>
        </w:rPr>
        <w:t xml:space="preserve"> at Chelsea and Westminster Hospital. Additionally, I will </w:t>
      </w:r>
      <w:r w:rsidRPr="11F02093" w:rsidR="7206FA0D">
        <w:rPr>
          <w:rFonts w:ascii="Arial" w:hAnsi="Arial" w:eastAsia="Arial" w:cs="Arial" w:asciiTheme="minorAscii" w:hAnsiTheme="minorAscii" w:eastAsiaTheme="minorAscii" w:cstheme="minorAscii"/>
          <w:noProof w:val="0"/>
          <w:sz w:val="24"/>
          <w:szCs w:val="24"/>
          <w:lang w:val="en-GB"/>
        </w:rPr>
        <w:t>participate</w:t>
      </w:r>
      <w:r w:rsidRPr="11F02093" w:rsidR="7206FA0D">
        <w:rPr>
          <w:rFonts w:ascii="Arial" w:hAnsi="Arial" w:eastAsia="Arial" w:cs="Arial" w:asciiTheme="minorAscii" w:hAnsiTheme="minorAscii" w:eastAsiaTheme="minorAscii" w:cstheme="minorAscii"/>
          <w:noProof w:val="0"/>
          <w:sz w:val="24"/>
          <w:szCs w:val="24"/>
          <w:lang w:val="en-GB"/>
        </w:rPr>
        <w:t xml:space="preserve"> in Schwartz Rounds at the hospital to learn from the experiences of senior staff. This proactive focus on my mental wellbeing will ensure I remain "fit to practice" under the NMC (2018) guidelines.</w:t>
      </w:r>
    </w:p>
    <w:p xmlns:wp14="http://schemas.microsoft.com/office/word/2010/wordml" w:rsidP="11F02093" wp14:paraId="71CC7538" wp14:textId="7359083D">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4"/>
          <w:szCs w:val="24"/>
          <w:lang w:val="en-GB"/>
        </w:rPr>
      </w:pPr>
      <w:r w:rsidRPr="11F02093" w:rsidR="7206FA0D">
        <w:rPr>
          <w:rFonts w:ascii="Arial" w:hAnsi="Arial" w:eastAsia="Arial" w:cs="Arial" w:asciiTheme="minorAscii" w:hAnsiTheme="minorAscii" w:eastAsiaTheme="minorAscii" w:cstheme="minorAscii"/>
          <w:noProof w:val="0"/>
          <w:sz w:val="24"/>
          <w:szCs w:val="24"/>
          <w:lang w:val="en-GB"/>
        </w:rPr>
        <w:t xml:space="preserve"> </w:t>
      </w:r>
    </w:p>
    <w:p xmlns:wp14="http://schemas.microsoft.com/office/word/2010/wordml" w:rsidP="11F02093" wp14:paraId="6C7077C3" wp14:textId="220AA7DC">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7. Conclusion</w:t>
      </w:r>
    </w:p>
    <w:p xmlns:wp14="http://schemas.microsoft.com/office/word/2010/wordml" w:rsidP="11F02093" wp14:paraId="52BF5F6C" wp14:textId="2ABF47A9">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4"/>
          <w:szCs w:val="24"/>
          <w:lang w:val="en-GB"/>
        </w:rPr>
      </w:pPr>
      <w:r w:rsidRPr="11F02093" w:rsidR="7206FA0D">
        <w:rPr>
          <w:rFonts w:ascii="Arial" w:hAnsi="Arial" w:eastAsia="Arial" w:cs="Arial" w:asciiTheme="minorAscii" w:hAnsiTheme="minorAscii" w:eastAsiaTheme="minorAscii" w:cstheme="minorAscii"/>
          <w:noProof w:val="0"/>
          <w:sz w:val="24"/>
          <w:szCs w:val="24"/>
          <w:lang w:val="en-GB"/>
        </w:rPr>
        <w:t xml:space="preserve"> </w:t>
      </w:r>
    </w:p>
    <w:p xmlns:wp14="http://schemas.microsoft.com/office/word/2010/wordml" w:rsidP="11F02093" wp14:paraId="400F1A6E" wp14:textId="71F225FB">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The role of the paediatric nurse is a unique combination of clinical skill, legal advocacy, and human empathy. For a Level 4 student to achieve excellence, they must understand the complex interplay between a child's developmental stage, the legal protections of the Children Act, and the ethical standards of the NMC. By mastering adaptive communication and physiological vigilance, and by fostering strong interprofessional relationships, the nurse ensures that the child and their family receive the highest standard of holistic care. </w:t>
      </w:r>
      <w:r w:rsidRPr="11F02093" w:rsidR="7206FA0D">
        <w:rPr>
          <w:rFonts w:ascii="Arial" w:hAnsi="Arial" w:eastAsia="Arial" w:cs="Arial" w:asciiTheme="minorAscii" w:hAnsiTheme="minorAscii" w:eastAsiaTheme="minorAscii" w:cstheme="minorAscii"/>
          <w:noProof w:val="0"/>
          <w:sz w:val="24"/>
          <w:szCs w:val="24"/>
          <w:lang w:val="en-GB"/>
        </w:rPr>
        <w:t>Ultimately, the</w:t>
      </w:r>
      <w:r w:rsidRPr="11F02093" w:rsidR="7206FA0D">
        <w:rPr>
          <w:rFonts w:ascii="Arial" w:hAnsi="Arial" w:eastAsia="Arial" w:cs="Arial" w:asciiTheme="minorAscii" w:hAnsiTheme="minorAscii" w:eastAsiaTheme="minorAscii" w:cstheme="minorAscii"/>
          <w:noProof w:val="0"/>
          <w:sz w:val="24"/>
          <w:szCs w:val="24"/>
          <w:lang w:val="en-GB"/>
        </w:rPr>
        <w:t xml:space="preserve"> paediatric nurse is the guardian of the child's health and a vital partner to the family unit, upholding the core values of the nursing </w:t>
      </w: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and Midwifery Council (2018).</w:t>
      </w:r>
    </w:p>
    <w:p xmlns:wp14="http://schemas.microsoft.com/office/word/2010/wordml" w:rsidP="11F02093" wp14:paraId="3660A431" wp14:textId="3CFDFCF1">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Additionally, adherence to the values of care, compassion competence communication, </w:t>
      </w: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courage</w:t>
      </w: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and commitment ensures that practice </w:t>
      </w: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remains</w:t>
      </w: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person-centred and ethically grounded, reflecting the vision </w:t>
      </w: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established</w:t>
      </w: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by NHS England (2012).</w:t>
      </w:r>
    </w:p>
    <w:p xmlns:wp14="http://schemas.microsoft.com/office/word/2010/wordml" w:rsidP="11F02093" wp14:paraId="2CCBA61F" wp14:textId="1E394D20">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11F02093" w:rsidR="7206FA0D">
        <w:rPr>
          <w:rFonts w:ascii="Arial" w:hAnsi="Arial" w:eastAsia="Arial" w:cs="Arial" w:asciiTheme="minorAscii" w:hAnsiTheme="minorAscii" w:eastAsiaTheme="minorAscii" w:cstheme="minorAscii"/>
          <w:noProof w:val="0"/>
          <w:sz w:val="22"/>
          <w:szCs w:val="22"/>
          <w:lang w:val="en-GB"/>
        </w:rPr>
        <w:t xml:space="preserve"> </w:t>
      </w:r>
    </w:p>
    <w:p xmlns:wp14="http://schemas.microsoft.com/office/word/2010/wordml" w:rsidP="11F02093" wp14:paraId="2B8BB918" wp14:textId="5D2E98E3">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11F02093" w:rsidR="7206FA0D">
        <w:rPr>
          <w:rFonts w:ascii="Arial" w:hAnsi="Arial" w:eastAsia="Arial" w:cs="Arial" w:asciiTheme="minorAscii" w:hAnsiTheme="minorAscii" w:eastAsiaTheme="minorAscii" w:cstheme="minorAscii"/>
          <w:noProof w:val="0"/>
          <w:sz w:val="22"/>
          <w:szCs w:val="22"/>
          <w:lang w:val="en-GB"/>
        </w:rPr>
        <w:t xml:space="preserve"> </w:t>
      </w:r>
    </w:p>
    <w:p xmlns:wp14="http://schemas.microsoft.com/office/word/2010/wordml" w:rsidP="11F02093" wp14:paraId="0C50FF00" wp14:textId="00F96F8A">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11F02093" w:rsidR="7206FA0D">
        <w:rPr>
          <w:rFonts w:ascii="Arial" w:hAnsi="Arial" w:eastAsia="Arial" w:cs="Arial" w:asciiTheme="minorAscii" w:hAnsiTheme="minorAscii" w:eastAsiaTheme="minorAscii" w:cstheme="minorAscii"/>
          <w:noProof w:val="0"/>
          <w:sz w:val="22"/>
          <w:szCs w:val="22"/>
          <w:lang w:val="en-GB"/>
        </w:rPr>
        <w:t xml:space="preserve"> </w:t>
      </w:r>
    </w:p>
    <w:p xmlns:wp14="http://schemas.microsoft.com/office/word/2010/wordml" w:rsidP="11F02093" wp14:paraId="711809C4" wp14:textId="7C918E77">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11F02093" w:rsidR="7206FA0D">
        <w:rPr>
          <w:rFonts w:ascii="Arial" w:hAnsi="Arial" w:eastAsia="Arial" w:cs="Arial" w:asciiTheme="minorAscii" w:hAnsiTheme="minorAscii" w:eastAsiaTheme="minorAscii" w:cstheme="minorAscii"/>
          <w:noProof w:val="0"/>
          <w:sz w:val="22"/>
          <w:szCs w:val="22"/>
          <w:lang w:val="en-GB"/>
        </w:rPr>
        <w:t xml:space="preserve"> </w:t>
      </w:r>
    </w:p>
    <w:p xmlns:wp14="http://schemas.microsoft.com/office/word/2010/wordml" w:rsidP="11F02093" wp14:paraId="79E41C17" wp14:textId="159C3382">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11F02093" w:rsidR="7206FA0D">
        <w:rPr>
          <w:rFonts w:ascii="Arial" w:hAnsi="Arial" w:eastAsia="Arial" w:cs="Arial" w:asciiTheme="minorAscii" w:hAnsiTheme="minorAscii" w:eastAsiaTheme="minorAscii" w:cstheme="minorAscii"/>
          <w:noProof w:val="0"/>
          <w:sz w:val="22"/>
          <w:szCs w:val="22"/>
          <w:lang w:val="en-GB"/>
        </w:rPr>
        <w:t xml:space="preserve"> </w:t>
      </w:r>
    </w:p>
    <w:p xmlns:wp14="http://schemas.microsoft.com/office/word/2010/wordml" w:rsidP="11F02093" wp14:paraId="76191CF9" wp14:textId="439E7F6E">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11F02093" w:rsidR="7206FA0D">
        <w:rPr>
          <w:rFonts w:ascii="Arial" w:hAnsi="Arial" w:eastAsia="Arial" w:cs="Arial" w:asciiTheme="minorAscii" w:hAnsiTheme="minorAscii" w:eastAsiaTheme="minorAscii" w:cstheme="minorAscii"/>
          <w:noProof w:val="0"/>
          <w:sz w:val="22"/>
          <w:szCs w:val="22"/>
          <w:lang w:val="en-GB"/>
        </w:rPr>
        <w:t xml:space="preserve"> </w:t>
      </w:r>
    </w:p>
    <w:p xmlns:wp14="http://schemas.microsoft.com/office/word/2010/wordml" w:rsidP="11F02093" wp14:paraId="6DC8FE30" wp14:textId="4E0F4FF6">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11F02093" w:rsidR="7206FA0D">
        <w:rPr>
          <w:rFonts w:ascii="Arial" w:hAnsi="Arial" w:eastAsia="Arial" w:cs="Arial" w:asciiTheme="minorAscii" w:hAnsiTheme="minorAscii" w:eastAsiaTheme="minorAscii" w:cstheme="minorAscii"/>
          <w:noProof w:val="0"/>
          <w:sz w:val="22"/>
          <w:szCs w:val="22"/>
          <w:lang w:val="en-GB"/>
        </w:rPr>
        <w:t xml:space="preserve"> </w:t>
      </w:r>
    </w:p>
    <w:p xmlns:wp14="http://schemas.microsoft.com/office/word/2010/wordml" w:rsidP="11F02093" wp14:paraId="58B42696" wp14:textId="075EE592">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11F02093" w:rsidR="7206FA0D">
        <w:rPr>
          <w:rFonts w:ascii="Arial" w:hAnsi="Arial" w:eastAsia="Arial" w:cs="Arial" w:asciiTheme="minorAscii" w:hAnsiTheme="minorAscii" w:eastAsiaTheme="minorAscii" w:cstheme="minorAscii"/>
          <w:noProof w:val="0"/>
          <w:sz w:val="22"/>
          <w:szCs w:val="22"/>
          <w:lang w:val="en-GB"/>
        </w:rPr>
        <w:t xml:space="preserve"> </w:t>
      </w:r>
    </w:p>
    <w:p xmlns:wp14="http://schemas.microsoft.com/office/word/2010/wordml" w:rsidP="11F02093" wp14:paraId="550D0FC7" wp14:textId="6295F064">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11F02093" w:rsidR="7206FA0D">
        <w:rPr>
          <w:rFonts w:ascii="Arial" w:hAnsi="Arial" w:eastAsia="Arial" w:cs="Arial" w:asciiTheme="minorAscii" w:hAnsiTheme="minorAscii" w:eastAsiaTheme="minorAscii" w:cstheme="minorAscii"/>
          <w:noProof w:val="0"/>
          <w:sz w:val="22"/>
          <w:szCs w:val="22"/>
          <w:lang w:val="en-GB"/>
        </w:rPr>
        <w:t xml:space="preserve"> </w:t>
      </w:r>
    </w:p>
    <w:p xmlns:wp14="http://schemas.microsoft.com/office/word/2010/wordml" w:rsidP="11F02093" wp14:paraId="3F5736F8" wp14:textId="247303D2">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11F02093" w:rsidR="7206FA0D">
        <w:rPr>
          <w:rFonts w:ascii="Arial" w:hAnsi="Arial" w:eastAsia="Arial" w:cs="Arial" w:asciiTheme="minorAscii" w:hAnsiTheme="minorAscii" w:eastAsiaTheme="minorAscii" w:cstheme="minorAscii"/>
          <w:noProof w:val="0"/>
          <w:sz w:val="22"/>
          <w:szCs w:val="22"/>
          <w:lang w:val="en-GB"/>
        </w:rPr>
        <w:t xml:space="preserve"> </w:t>
      </w:r>
    </w:p>
    <w:p xmlns:wp14="http://schemas.microsoft.com/office/word/2010/wordml" w:rsidP="11F02093" wp14:paraId="113D6312" wp14:textId="12B4F4C2">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11F02093" w:rsidR="7206FA0D">
        <w:rPr>
          <w:rFonts w:ascii="Arial" w:hAnsi="Arial" w:eastAsia="Arial" w:cs="Arial" w:asciiTheme="minorAscii" w:hAnsiTheme="minorAscii" w:eastAsiaTheme="minorAscii" w:cstheme="minorAscii"/>
          <w:noProof w:val="0"/>
          <w:sz w:val="22"/>
          <w:szCs w:val="22"/>
          <w:lang w:val="en-GB"/>
        </w:rPr>
        <w:t xml:space="preserve"> </w:t>
      </w:r>
    </w:p>
    <w:p xmlns:wp14="http://schemas.microsoft.com/office/word/2010/wordml" w:rsidP="11F02093" wp14:paraId="11FBB3F9" wp14:textId="0BA3684A">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11F02093" w:rsidR="7206FA0D">
        <w:rPr>
          <w:rFonts w:ascii="Arial" w:hAnsi="Arial" w:eastAsia="Arial" w:cs="Arial" w:asciiTheme="minorAscii" w:hAnsiTheme="minorAscii" w:eastAsiaTheme="minorAscii" w:cstheme="minorAscii"/>
          <w:noProof w:val="0"/>
          <w:sz w:val="22"/>
          <w:szCs w:val="22"/>
          <w:lang w:val="en-GB"/>
        </w:rPr>
        <w:t xml:space="preserve"> </w:t>
      </w:r>
    </w:p>
    <w:p xmlns:wp14="http://schemas.microsoft.com/office/word/2010/wordml" w:rsidP="11F02093" wp14:paraId="7C4D4C86" wp14:textId="44A3AF17">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11F02093" w:rsidR="7206FA0D">
        <w:rPr>
          <w:rFonts w:ascii="Arial" w:hAnsi="Arial" w:eastAsia="Arial" w:cs="Arial" w:asciiTheme="minorAscii" w:hAnsiTheme="minorAscii" w:eastAsiaTheme="minorAscii" w:cstheme="minorAscii"/>
          <w:noProof w:val="0"/>
          <w:sz w:val="22"/>
          <w:szCs w:val="22"/>
          <w:lang w:val="en-GB"/>
        </w:rPr>
        <w:t xml:space="preserve"> </w:t>
      </w:r>
    </w:p>
    <w:p xmlns:wp14="http://schemas.microsoft.com/office/word/2010/wordml" w:rsidP="11F02093" wp14:paraId="4E327AFC" wp14:textId="61142514">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11F02093" w:rsidR="7206FA0D">
        <w:rPr>
          <w:rFonts w:ascii="Arial" w:hAnsi="Arial" w:eastAsia="Arial" w:cs="Arial" w:asciiTheme="minorAscii" w:hAnsiTheme="minorAscii" w:eastAsiaTheme="minorAscii" w:cstheme="minorAscii"/>
          <w:noProof w:val="0"/>
          <w:sz w:val="22"/>
          <w:szCs w:val="22"/>
          <w:lang w:val="en-GB"/>
        </w:rPr>
        <w:t xml:space="preserve"> </w:t>
      </w:r>
    </w:p>
    <w:p xmlns:wp14="http://schemas.microsoft.com/office/word/2010/wordml" w:rsidP="11F02093" wp14:paraId="0E8C76ED" wp14:textId="146E8806">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11F02093" w:rsidR="7206FA0D">
        <w:rPr>
          <w:rFonts w:ascii="Arial" w:hAnsi="Arial" w:eastAsia="Arial" w:cs="Arial" w:asciiTheme="minorAscii" w:hAnsiTheme="minorAscii" w:eastAsiaTheme="minorAscii" w:cstheme="minorAscii"/>
          <w:noProof w:val="0"/>
          <w:sz w:val="22"/>
          <w:szCs w:val="22"/>
          <w:lang w:val="en-GB"/>
        </w:rPr>
        <w:t xml:space="preserve"> </w:t>
      </w:r>
    </w:p>
    <w:p xmlns:wp14="http://schemas.microsoft.com/office/word/2010/wordml" w:rsidP="11F02093" wp14:paraId="070CD114" wp14:textId="56A72F57">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11F02093" w:rsidR="7206FA0D">
        <w:rPr>
          <w:rFonts w:ascii="Arial" w:hAnsi="Arial" w:eastAsia="Arial" w:cs="Arial" w:asciiTheme="minorAscii" w:hAnsiTheme="minorAscii" w:eastAsiaTheme="minorAscii" w:cstheme="minorAscii"/>
          <w:noProof w:val="0"/>
          <w:sz w:val="22"/>
          <w:szCs w:val="22"/>
          <w:lang w:val="en-GB"/>
        </w:rPr>
        <w:t xml:space="preserve"> </w:t>
      </w:r>
    </w:p>
    <w:p xmlns:wp14="http://schemas.microsoft.com/office/word/2010/wordml" w:rsidP="11F02093" wp14:paraId="05B82DCE" wp14:textId="0C5A2086">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11F02093" w:rsidR="7206FA0D">
        <w:rPr>
          <w:rFonts w:ascii="Arial" w:hAnsi="Arial" w:eastAsia="Arial" w:cs="Arial" w:asciiTheme="minorAscii" w:hAnsiTheme="minorAscii" w:eastAsiaTheme="minorAscii" w:cstheme="minorAscii"/>
          <w:noProof w:val="0"/>
          <w:sz w:val="22"/>
          <w:szCs w:val="22"/>
          <w:lang w:val="en-GB"/>
        </w:rPr>
        <w:t xml:space="preserve"> </w:t>
      </w:r>
    </w:p>
    <w:p xmlns:wp14="http://schemas.microsoft.com/office/word/2010/wordml" w:rsidP="11F02093" wp14:paraId="38E66794" wp14:textId="09F54846">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11F02093" w:rsidR="7206FA0D">
        <w:rPr>
          <w:rFonts w:ascii="Arial" w:hAnsi="Arial" w:eastAsia="Arial" w:cs="Arial" w:asciiTheme="minorAscii" w:hAnsiTheme="minorAscii" w:eastAsiaTheme="minorAscii" w:cstheme="minorAscii"/>
          <w:noProof w:val="0"/>
          <w:sz w:val="22"/>
          <w:szCs w:val="22"/>
          <w:lang w:val="en-GB"/>
        </w:rPr>
        <w:t xml:space="preserve"> </w:t>
      </w:r>
    </w:p>
    <w:p xmlns:wp14="http://schemas.microsoft.com/office/word/2010/wordml" w:rsidP="11F02093" wp14:paraId="4213D044" wp14:textId="556419FA">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REFERENCES </w:t>
      </w:r>
    </w:p>
    <w:p xmlns:wp14="http://schemas.microsoft.com/office/word/2010/wordml" w:rsidP="11F02093" wp14:paraId="0C3F9D7D" wp14:textId="382E05F1">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British National Formulary for Children (</w:t>
      </w: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BNFc</w:t>
      </w: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(2024) BNF for Children. London. BMJ Group and Pharmaceutical press.</w:t>
      </w:r>
    </w:p>
    <w:p xmlns:wp14="http://schemas.microsoft.com/office/word/2010/wordml" w:rsidP="11F02093" wp14:paraId="42DDA288" wp14:textId="2E3D0819">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Children’s Act 2010 c. 15. London: The stationary Office.</w:t>
      </w:r>
    </w:p>
    <w:p xmlns:wp14="http://schemas.microsoft.com/office/word/2010/wordml" w:rsidP="11F02093" wp14:paraId="25983C4F" wp14:textId="4BC81FA5">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Gibb, G. (1988) Learning </w:t>
      </w: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By</w:t>
      </w: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Doing: </w:t>
      </w:r>
      <w:r w:rsidRPr="11F02093" w:rsidR="7206FA0D">
        <w:rPr>
          <w:rFonts w:ascii="Arial" w:hAnsi="Arial" w:eastAsia="Arial" w:cs="Arial" w:asciiTheme="minorAscii" w:hAnsiTheme="minorAscii" w:eastAsiaTheme="minorAscii" w:cstheme="minorAscii"/>
          <w:i w:val="1"/>
          <w:iCs w:val="1"/>
          <w:noProof w:val="0"/>
          <w:color w:val="000000" w:themeColor="text1" w:themeTint="FF" w:themeShade="FF"/>
          <w:sz w:val="22"/>
          <w:szCs w:val="22"/>
          <w:lang w:val="en-GB"/>
        </w:rPr>
        <w:t>A Guide to Teaching and Learning Methods</w:t>
      </w: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Oxford: Further Education Unit, Oxford Polytechnic.</w:t>
      </w:r>
    </w:p>
    <w:p xmlns:wp14="http://schemas.microsoft.com/office/word/2010/wordml" w:rsidP="11F02093" wp14:paraId="24EDFD0F" wp14:textId="4B315592">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HM Government (2004) Children’s Act 2004. London: The stationary office </w:t>
      </w:r>
    </w:p>
    <w:p xmlns:wp14="http://schemas.microsoft.com/office/word/2010/wordml" w:rsidP="11F02093" wp14:paraId="7385341C" wp14:textId="0C839F24">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Gillick v West Norfolk and Wisbech AHA [1985] UKHL7</w:t>
      </w:r>
    </w:p>
    <w:p xmlns:wp14="http://schemas.microsoft.com/office/word/2010/wordml" w:rsidP="11F02093" wp14:paraId="6080C004" wp14:textId="7F3423A1">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Glasper, A. and Richardson, J. (eds</w:t>
      </w: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w:t>
      </w: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2020) </w:t>
      </w:r>
      <w:r w:rsidRPr="11F02093" w:rsidR="7206FA0D">
        <w:rPr>
          <w:rFonts w:ascii="Arial" w:hAnsi="Arial" w:eastAsia="Arial" w:cs="Arial" w:asciiTheme="minorAscii" w:hAnsiTheme="minorAscii" w:eastAsiaTheme="minorAscii" w:cstheme="minorAscii"/>
          <w:i w:val="1"/>
          <w:iCs w:val="1"/>
          <w:noProof w:val="0"/>
          <w:color w:val="000000" w:themeColor="text1" w:themeTint="FF" w:themeShade="FF"/>
          <w:sz w:val="22"/>
          <w:szCs w:val="22"/>
          <w:lang w:val="en-GB"/>
        </w:rPr>
        <w:t>A Textbook of Children’s and Young People’s Nursing.</w:t>
      </w: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3</w:t>
      </w: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vertAlign w:val="superscript"/>
          <w:lang w:val="en-GB"/>
        </w:rPr>
        <w:t>rd</w:t>
      </w: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edn</w:t>
      </w: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London. Elsevier</w:t>
      </w:r>
    </w:p>
    <w:p xmlns:wp14="http://schemas.microsoft.com/office/word/2010/wordml" w:rsidP="11F02093" wp14:paraId="08EA2BF1" wp14:textId="0129CC01">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Mental Capacity Act 2005 c.9. London: HMSO.</w:t>
      </w:r>
    </w:p>
    <w:p xmlns:wp14="http://schemas.microsoft.com/office/word/2010/wordml" w:rsidP="11F02093" wp14:paraId="6F51156D" wp14:textId="0C468D4B">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Moule, P. (2021) </w:t>
      </w:r>
      <w:r w:rsidRPr="11F02093" w:rsidR="7206FA0D">
        <w:rPr>
          <w:rFonts w:ascii="Arial" w:hAnsi="Arial" w:eastAsia="Arial" w:cs="Arial" w:asciiTheme="minorAscii" w:hAnsiTheme="minorAscii" w:eastAsiaTheme="minorAscii" w:cstheme="minorAscii"/>
          <w:i w:val="1"/>
          <w:iCs w:val="1"/>
          <w:noProof w:val="0"/>
          <w:color w:val="000000" w:themeColor="text1" w:themeTint="FF" w:themeShade="FF"/>
          <w:sz w:val="22"/>
          <w:szCs w:val="22"/>
          <w:lang w:val="en-GB"/>
        </w:rPr>
        <w:t>Making Use of interprofessional Education and Healthcare</w:t>
      </w: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2</w:t>
      </w: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vertAlign w:val="superscript"/>
          <w:lang w:val="en-GB"/>
        </w:rPr>
        <w:t>nd</w:t>
      </w: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edn</w:t>
      </w: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London: Sage.</w:t>
      </w:r>
    </w:p>
    <w:p xmlns:wp14="http://schemas.microsoft.com/office/word/2010/wordml" w:rsidP="11F02093" wp14:paraId="1DDBD52A" wp14:textId="6DABAE99">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NHS England (2012) </w:t>
      </w:r>
      <w:r w:rsidRPr="11F02093" w:rsidR="7206FA0D">
        <w:rPr>
          <w:rFonts w:ascii="Arial" w:hAnsi="Arial" w:eastAsia="Arial" w:cs="Arial" w:asciiTheme="minorAscii" w:hAnsiTheme="minorAscii" w:eastAsiaTheme="minorAscii" w:cstheme="minorAscii"/>
          <w:i w:val="1"/>
          <w:iCs w:val="1"/>
          <w:noProof w:val="0"/>
          <w:color w:val="000000" w:themeColor="text1" w:themeTint="FF" w:themeShade="FF"/>
          <w:sz w:val="22"/>
          <w:szCs w:val="22"/>
          <w:lang w:val="en-GB"/>
        </w:rPr>
        <w:t xml:space="preserve">Compassion in practice: Nursing, </w:t>
      </w:r>
      <w:r w:rsidRPr="11F02093" w:rsidR="7206FA0D">
        <w:rPr>
          <w:rFonts w:ascii="Arial" w:hAnsi="Arial" w:eastAsia="Arial" w:cs="Arial" w:asciiTheme="minorAscii" w:hAnsiTheme="minorAscii" w:eastAsiaTheme="minorAscii" w:cstheme="minorAscii"/>
          <w:i w:val="1"/>
          <w:iCs w:val="1"/>
          <w:noProof w:val="0"/>
          <w:color w:val="000000" w:themeColor="text1" w:themeTint="FF" w:themeShade="FF"/>
          <w:sz w:val="22"/>
          <w:szCs w:val="22"/>
          <w:lang w:val="en-GB"/>
        </w:rPr>
        <w:t>midwifery</w:t>
      </w:r>
      <w:r w:rsidRPr="11F02093" w:rsidR="7206FA0D">
        <w:rPr>
          <w:rFonts w:ascii="Arial" w:hAnsi="Arial" w:eastAsia="Arial" w:cs="Arial" w:asciiTheme="minorAscii" w:hAnsiTheme="minorAscii" w:eastAsiaTheme="minorAscii" w:cstheme="minorAscii"/>
          <w:i w:val="1"/>
          <w:iCs w:val="1"/>
          <w:noProof w:val="0"/>
          <w:color w:val="000000" w:themeColor="text1" w:themeTint="FF" w:themeShade="FF"/>
          <w:sz w:val="22"/>
          <w:szCs w:val="22"/>
          <w:lang w:val="en-GB"/>
        </w:rPr>
        <w:t xml:space="preserve"> and care staff-our vision and strategy.</w:t>
      </w: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Available at: </w:t>
      </w:r>
      <w:hyperlink r:id="R3c07d4af320d422e">
        <w:r w:rsidRPr="11F02093" w:rsidR="7206FA0D">
          <w:rPr>
            <w:rStyle w:val="Hyperlink"/>
            <w:rFonts w:ascii="Arial" w:hAnsi="Arial" w:eastAsia="Arial" w:cs="Arial" w:asciiTheme="minorAscii" w:hAnsiTheme="minorAscii" w:eastAsiaTheme="minorAscii" w:cstheme="minorAscii"/>
            <w:strike w:val="0"/>
            <w:dstrike w:val="0"/>
            <w:noProof w:val="0"/>
            <w:color w:val="467886"/>
            <w:sz w:val="22"/>
            <w:szCs w:val="22"/>
            <w:u w:val="single"/>
            <w:lang w:val="en-GB"/>
          </w:rPr>
          <w:t>https://www.england.nhs.uk/wp-content/uploads/2012/compassion-in-practice.pdf</w:t>
        </w:r>
      </w:hyperlink>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11F02093" w:rsidR="08D7FECC">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Accessed 12/04/2026</w:t>
      </w:r>
    </w:p>
    <w:p xmlns:wp14="http://schemas.microsoft.com/office/word/2010/wordml" w:rsidP="11F02093" wp14:paraId="41A15B1D" wp14:textId="0A1B6233">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NHS England (2023) Children’s nursing. Available at: </w:t>
      </w:r>
      <w:hyperlink r:id="Rf3dcac267d124634">
        <w:r w:rsidRPr="11F02093" w:rsidR="7206FA0D">
          <w:rPr>
            <w:rStyle w:val="Hyperlink"/>
            <w:rFonts w:ascii="Arial" w:hAnsi="Arial" w:eastAsia="Arial" w:cs="Arial" w:asciiTheme="minorAscii" w:hAnsiTheme="minorAscii" w:eastAsiaTheme="minorAscii" w:cstheme="minorAscii"/>
            <w:strike w:val="0"/>
            <w:dstrike w:val="0"/>
            <w:noProof w:val="0"/>
            <w:color w:val="467886"/>
            <w:sz w:val="22"/>
            <w:szCs w:val="22"/>
            <w:u w:val="single"/>
            <w:lang w:val="en-GB"/>
          </w:rPr>
          <w:t>https://www.heathcareers.nhs.uk/explore-roles/nursing/roles-nursing/childrens-nurse</w:t>
        </w:r>
      </w:hyperlink>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p>
    <w:p xmlns:wp14="http://schemas.microsoft.com/office/word/2010/wordml" w:rsidP="11F02093" wp14:paraId="16224DD0" wp14:textId="52AFDE25">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(Acceded 13 April (2026)</w:t>
      </w:r>
    </w:p>
    <w:p xmlns:wp14="http://schemas.microsoft.com/office/word/2010/wordml" w:rsidP="11F02093" wp14:paraId="6DC85959" wp14:textId="1C501C30">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Nursing and Midwifery Council (NMC) (2018) </w:t>
      </w:r>
      <w:r w:rsidRPr="11F02093" w:rsidR="7206FA0D">
        <w:rPr>
          <w:rFonts w:ascii="Arial" w:hAnsi="Arial" w:eastAsia="Arial" w:cs="Arial" w:asciiTheme="minorAscii" w:hAnsiTheme="minorAscii" w:eastAsiaTheme="minorAscii" w:cstheme="minorAscii"/>
          <w:i w:val="1"/>
          <w:iCs w:val="1"/>
          <w:noProof w:val="0"/>
          <w:color w:val="000000" w:themeColor="text1" w:themeTint="FF" w:themeShade="FF"/>
          <w:sz w:val="22"/>
          <w:szCs w:val="22"/>
          <w:lang w:val="en-GB"/>
        </w:rPr>
        <w:t>The Code: Professional Standards of Practice. Behaviour for Nurses Midwifes and Nursing Associates</w:t>
      </w: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London: NMC</w:t>
      </w:r>
    </w:p>
    <w:p xmlns:wp14="http://schemas.microsoft.com/office/word/2010/wordml" w:rsidP="11F02093" wp14:paraId="053D467F" wp14:textId="435AFD30">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Peate, I. (ed) (2022) </w:t>
      </w:r>
      <w:r w:rsidRPr="11F02093" w:rsidR="7206FA0D">
        <w:rPr>
          <w:rFonts w:ascii="Arial" w:hAnsi="Arial" w:eastAsia="Arial" w:cs="Arial" w:asciiTheme="minorAscii" w:hAnsiTheme="minorAscii" w:eastAsiaTheme="minorAscii" w:cstheme="minorAscii"/>
          <w:i w:val="1"/>
          <w:iCs w:val="1"/>
          <w:noProof w:val="0"/>
          <w:color w:val="000000" w:themeColor="text1" w:themeTint="FF" w:themeShade="FF"/>
          <w:sz w:val="22"/>
          <w:szCs w:val="22"/>
          <w:lang w:val="en-GB"/>
        </w:rPr>
        <w:t>Fundamentals of Children and Young People’s Anatomy and Physiology</w:t>
      </w: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2</w:t>
      </w: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vertAlign w:val="superscript"/>
          <w:lang w:val="en-GB"/>
        </w:rPr>
        <w:t>nd</w:t>
      </w: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end. Oxford: Wiley-Blackwell</w:t>
      </w:r>
    </w:p>
    <w:p xmlns:wp14="http://schemas.microsoft.com/office/word/2010/wordml" w:rsidP="11F02093" wp14:paraId="47156B8F" wp14:textId="66A12E7F">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Prince, J. and McAlinden, O. (eds) (2023) </w:t>
      </w:r>
      <w:r w:rsidRPr="11F02093" w:rsidR="7206FA0D">
        <w:rPr>
          <w:rFonts w:ascii="Arial" w:hAnsi="Arial" w:eastAsia="Arial" w:cs="Arial" w:asciiTheme="minorAscii" w:hAnsiTheme="minorAscii" w:eastAsiaTheme="minorAscii" w:cstheme="minorAscii"/>
          <w:i w:val="1"/>
          <w:iCs w:val="1"/>
          <w:noProof w:val="0"/>
          <w:color w:val="000000" w:themeColor="text1" w:themeTint="FF" w:themeShade="FF"/>
          <w:sz w:val="22"/>
          <w:szCs w:val="22"/>
          <w:lang w:val="en-GB"/>
        </w:rPr>
        <w:t>Essentials of nursing Children and Young People</w:t>
      </w: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2</w:t>
      </w: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vertAlign w:val="superscript"/>
          <w:lang w:val="en-GB"/>
        </w:rPr>
        <w:t>nd</w:t>
      </w: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edn</w:t>
      </w: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London: Sage.</w:t>
      </w:r>
    </w:p>
    <w:p xmlns:wp14="http://schemas.microsoft.com/office/word/2010/wordml" w:rsidP="11F02093" wp14:paraId="37EC0801" wp14:textId="02AC35D9">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Royal College of Nursing (RCN) (2021) </w:t>
      </w:r>
      <w:r w:rsidRPr="11F02093" w:rsidR="7206FA0D">
        <w:rPr>
          <w:rFonts w:ascii="Arial" w:hAnsi="Arial" w:eastAsia="Arial" w:cs="Arial" w:asciiTheme="minorAscii" w:hAnsiTheme="minorAscii" w:eastAsiaTheme="minorAscii" w:cstheme="minorAscii"/>
          <w:i w:val="1"/>
          <w:iCs w:val="1"/>
          <w:noProof w:val="0"/>
          <w:color w:val="000000" w:themeColor="text1" w:themeTint="FF" w:themeShade="FF"/>
          <w:sz w:val="22"/>
          <w:szCs w:val="22"/>
          <w:lang w:val="en-GB"/>
        </w:rPr>
        <w:t xml:space="preserve">The Recognition and Assessment of Acute Illness’ in Children and Young People. </w:t>
      </w:r>
      <w:r w:rsidRPr="11F02093" w:rsidR="7206FA0D">
        <w:rPr>
          <w:rFonts w:ascii="Arial" w:hAnsi="Arial" w:eastAsia="Arial" w:cs="Arial" w:asciiTheme="minorAscii" w:hAnsiTheme="minorAscii" w:eastAsiaTheme="minorAscii" w:cstheme="minorAscii"/>
          <w:noProof w:val="0"/>
          <w:color w:val="000000" w:themeColor="text1" w:themeTint="FF" w:themeShade="FF"/>
          <w:sz w:val="22"/>
          <w:szCs w:val="22"/>
          <w:lang w:val="en-GB"/>
        </w:rPr>
        <w:t>London: RCN.</w:t>
      </w:r>
    </w:p>
    <w:p xmlns:wp14="http://schemas.microsoft.com/office/word/2010/wordml" w:rsidP="11F02093" wp14:paraId="5ADA798F" wp14:textId="4FD00C78">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11F02093" w:rsidR="7206FA0D">
        <w:rPr>
          <w:rFonts w:ascii="Arial" w:hAnsi="Arial" w:eastAsia="Arial" w:cs="Arial" w:asciiTheme="minorAscii" w:hAnsiTheme="minorAscii" w:eastAsiaTheme="minorAscii" w:cstheme="minorAscii"/>
          <w:noProof w:val="0"/>
          <w:sz w:val="22"/>
          <w:szCs w:val="22"/>
          <w:lang w:val="en-GB"/>
        </w:rPr>
        <w:t xml:space="preserve"> </w:t>
      </w:r>
    </w:p>
    <w:p xmlns:wp14="http://schemas.microsoft.com/office/word/2010/wordml" w:rsidP="11F02093" wp14:paraId="250F544C" wp14:textId="14BEA9CD">
      <w:pPr>
        <w:shd w:val="clear" w:color="auto" w:fill="FFFFFF" w:themeFill="background1"/>
        <w:bidi w:val="0"/>
        <w:spacing w:before="0" w:beforeAutospacing="off" w:after="0" w:afterAutospacing="off" w:line="360" w:lineRule="auto"/>
        <w:rPr>
          <w:rFonts w:ascii="Arial" w:hAnsi="Arial" w:eastAsia="Arial" w:cs="Arial" w:asciiTheme="minorAscii" w:hAnsiTheme="minorAscii" w:eastAsiaTheme="minorAscii" w:cstheme="minorAscii"/>
          <w:noProof w:val="0"/>
          <w:sz w:val="24"/>
          <w:szCs w:val="24"/>
          <w:lang w:val="en-GB"/>
        </w:rPr>
      </w:pPr>
      <w:r w:rsidRPr="11F02093" w:rsidR="7206FA0D">
        <w:rPr>
          <w:rFonts w:ascii="Arial" w:hAnsi="Arial" w:eastAsia="Arial" w:cs="Arial" w:asciiTheme="minorAscii" w:hAnsiTheme="minorAscii" w:eastAsiaTheme="minorAscii" w:cstheme="minorAscii"/>
          <w:noProof w:val="0"/>
          <w:sz w:val="24"/>
          <w:szCs w:val="24"/>
          <w:lang w:val="en-GB"/>
        </w:rPr>
        <w:t xml:space="preserve"> </w:t>
      </w:r>
    </w:p>
    <w:p xmlns:wp14="http://schemas.microsoft.com/office/word/2010/wordml" w:rsidP="11F02093" wp14:paraId="0ED0E3FE" wp14:textId="6129AB36">
      <w:pPr>
        <w:bidi w:val="0"/>
        <w:spacing w:before="0" w:beforeAutospacing="off" w:after="160" w:afterAutospacing="off" w:line="360" w:lineRule="auto"/>
        <w:rPr>
          <w:rFonts w:ascii="Arial" w:hAnsi="Arial" w:eastAsia="Arial" w:cs="Arial" w:asciiTheme="minorAscii" w:hAnsiTheme="minorAscii" w:eastAsiaTheme="minorAscii" w:cstheme="minorAscii"/>
          <w:noProof w:val="0"/>
          <w:sz w:val="22"/>
          <w:szCs w:val="22"/>
          <w:lang w:val="en-GB"/>
        </w:rPr>
      </w:pPr>
    </w:p>
    <w:p xmlns:wp14="http://schemas.microsoft.com/office/word/2010/wordml" wp14:paraId="5E5787A5" wp14:textId="27F3706B"/>
    <w:sectPr>
      <w:pgSz w:w="11906" w:h="16838" w:orient="portrait"/>
      <w:pgMar w:top="1440" w:right="1440" w:bottom="1440" w:left="1440" w:header="720" w:footer="720" w:gutter="0"/>
      <w:cols w:space="720"/>
      <w:docGrid w:linePitch="360"/>
      <w:headerReference w:type="default" r:id="Rc6cfbb7b4c5f4cc8"/>
      <w:footerReference w:type="default" r:id="R0ae498b7fb8a4bf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1F02093" w:rsidTr="11F02093" w14:paraId="33CE4C14">
      <w:trPr>
        <w:trHeight w:val="300"/>
      </w:trPr>
      <w:tc>
        <w:tcPr>
          <w:tcW w:w="3005" w:type="dxa"/>
          <w:tcMar/>
        </w:tcPr>
        <w:p w:rsidR="11F02093" w:rsidP="11F02093" w:rsidRDefault="11F02093" w14:paraId="2B365F36" w14:textId="07B28F21">
          <w:pPr>
            <w:pStyle w:val="Header"/>
            <w:bidi w:val="0"/>
            <w:ind w:left="-115"/>
            <w:jc w:val="left"/>
          </w:pPr>
        </w:p>
      </w:tc>
      <w:tc>
        <w:tcPr>
          <w:tcW w:w="3005" w:type="dxa"/>
          <w:tcMar/>
        </w:tcPr>
        <w:p w:rsidR="11F02093" w:rsidP="11F02093" w:rsidRDefault="11F02093" w14:paraId="17484C6D" w14:textId="7F68F368">
          <w:pPr>
            <w:pStyle w:val="Header"/>
            <w:bidi w:val="0"/>
            <w:jc w:val="center"/>
          </w:pPr>
        </w:p>
      </w:tc>
      <w:tc>
        <w:tcPr>
          <w:tcW w:w="3005" w:type="dxa"/>
          <w:tcMar/>
        </w:tcPr>
        <w:p w:rsidR="11F02093" w:rsidP="11F02093" w:rsidRDefault="11F02093" w14:paraId="3D829ACB" w14:textId="1738607A">
          <w:pPr>
            <w:pStyle w:val="Header"/>
            <w:bidi w:val="0"/>
            <w:ind w:right="-115"/>
            <w:jc w:val="right"/>
          </w:pPr>
        </w:p>
      </w:tc>
    </w:tr>
  </w:tbl>
  <w:p w:rsidR="11F02093" w:rsidP="11F02093" w:rsidRDefault="11F02093" w14:paraId="2A5340C9" w14:textId="4D4BD9B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1F02093" w:rsidTr="11F02093" w14:paraId="0D25C989">
      <w:trPr>
        <w:trHeight w:val="300"/>
      </w:trPr>
      <w:tc>
        <w:tcPr>
          <w:tcW w:w="3005" w:type="dxa"/>
          <w:tcMar/>
        </w:tcPr>
        <w:p w:rsidR="11F02093" w:rsidP="11F02093" w:rsidRDefault="11F02093" w14:paraId="4127A556" w14:textId="4E5623CB">
          <w:pPr>
            <w:pStyle w:val="Header"/>
            <w:bidi w:val="0"/>
            <w:ind w:left="-115"/>
            <w:jc w:val="left"/>
          </w:pPr>
        </w:p>
      </w:tc>
      <w:tc>
        <w:tcPr>
          <w:tcW w:w="3005" w:type="dxa"/>
          <w:tcMar/>
        </w:tcPr>
        <w:p w:rsidR="11F02093" w:rsidP="11F02093" w:rsidRDefault="11F02093" w14:paraId="2AAA993A" w14:textId="723A521E">
          <w:pPr>
            <w:pStyle w:val="Header"/>
            <w:bidi w:val="0"/>
            <w:jc w:val="center"/>
          </w:pPr>
        </w:p>
      </w:tc>
      <w:tc>
        <w:tcPr>
          <w:tcW w:w="3005" w:type="dxa"/>
          <w:tcMar/>
        </w:tcPr>
        <w:p w:rsidR="11F02093" w:rsidP="11F02093" w:rsidRDefault="11F02093" w14:paraId="304B4D31" w14:textId="52E798BB">
          <w:pPr>
            <w:pStyle w:val="Header"/>
            <w:bidi w:val="0"/>
            <w:ind w:right="-115"/>
            <w:jc w:val="right"/>
          </w:pPr>
        </w:p>
      </w:tc>
    </w:tr>
  </w:tbl>
  <w:p w:rsidR="11F02093" w:rsidP="11F02093" w:rsidRDefault="11F02093" w14:paraId="00D8D0BD" w14:textId="3C1ED79B">
    <w:pPr>
      <w:pStyle w:val="Header"/>
      <w:bidi w:val="0"/>
    </w:pPr>
  </w:p>
</w:hdr>
</file>

<file path=word/numbering.xml><?xml version="1.0" encoding="utf-8"?>
<w:numbering xmlns:w="http://schemas.openxmlformats.org/wordprocessingml/2006/main">
  <w:abstractNum xmlns:w="http://schemas.openxmlformats.org/wordprocessingml/2006/main" w:abstractNumId="1">
    <w:nsid w:val="58ec865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56C381"/>
    <w:rsid w:val="01858A59"/>
    <w:rsid w:val="08D7FECC"/>
    <w:rsid w:val="0A7542A6"/>
    <w:rsid w:val="0B3BCB11"/>
    <w:rsid w:val="0C254E69"/>
    <w:rsid w:val="0E340211"/>
    <w:rsid w:val="11F02093"/>
    <w:rsid w:val="203279DF"/>
    <w:rsid w:val="203279DF"/>
    <w:rsid w:val="2AA283F2"/>
    <w:rsid w:val="2EC7CAB7"/>
    <w:rsid w:val="3329CA74"/>
    <w:rsid w:val="40EF3EEB"/>
    <w:rsid w:val="59DFDF8D"/>
    <w:rsid w:val="5A56C381"/>
    <w:rsid w:val="63727CD9"/>
    <w:rsid w:val="64E3CDF2"/>
    <w:rsid w:val="66569DFD"/>
    <w:rsid w:val="6F01ABE4"/>
    <w:rsid w:val="6F74A881"/>
    <w:rsid w:val="6F74A881"/>
    <w:rsid w:val="71E1B814"/>
    <w:rsid w:val="7206FA0D"/>
    <w:rsid w:val="7B71F369"/>
    <w:rsid w:val="7F046DC9"/>
    <w:rsid w:val="7F046D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E3CDF2"/>
  <w15:chartTrackingRefBased/>
  <w15:docId w15:val="{085B3D99-D225-483C-86A9-01A918EE20E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11F02093"/>
    <w:pPr>
      <w:spacing/>
      <w:ind w:left="720"/>
      <w:contextualSpacing/>
    </w:pPr>
  </w:style>
  <w:style w:type="character" w:styleId="Hyperlink">
    <w:uiPriority w:val="99"/>
    <w:name w:val="Hyperlink"/>
    <w:basedOn w:val="DefaultParagraphFont"/>
    <w:unhideWhenUsed/>
    <w:rsid w:val="11F02093"/>
    <w:rPr>
      <w:color w:val="467886"/>
      <w:u w:val="single"/>
    </w:rPr>
  </w:style>
  <w:style w:type="paragraph" w:styleId="NoSpacing">
    <w:uiPriority w:val="1"/>
    <w:name w:val="No Spacing"/>
    <w:qFormat/>
    <w:rsid w:val="11F02093"/>
    <w:pPr>
      <w:spacing w:after="0"/>
    </w:pPr>
  </w:style>
  <w:style w:type="paragraph" w:styleId="Header">
    <w:uiPriority w:val="99"/>
    <w:name w:val="header"/>
    <w:basedOn w:val="Normal"/>
    <w:unhideWhenUsed/>
    <w:rsid w:val="11F02093"/>
    <w:pPr>
      <w:tabs>
        <w:tab w:val="center" w:leader="none" w:pos="4680"/>
        <w:tab w:val="right" w:leader="none" w:pos="9360"/>
      </w:tabs>
      <w:spacing w:after="0" w:line="240" w:lineRule="auto"/>
    </w:pPr>
  </w:style>
  <w:style w:type="paragraph" w:styleId="Footer">
    <w:uiPriority w:val="99"/>
    <w:name w:val="footer"/>
    <w:basedOn w:val="Normal"/>
    <w:unhideWhenUsed/>
    <w:rsid w:val="11F02093"/>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england.nhs.uk/wp-content/uploads/2012/compassion-in-practice.pdf" TargetMode="External" Id="R3c07d4af320d422e" /><Relationship Type="http://schemas.openxmlformats.org/officeDocument/2006/relationships/hyperlink" Target="https://www.heathcareers.nhs.uk/explore-roles/nursing/roles-nursing/childrens-nurse" TargetMode="External" Id="Rf3dcac267d124634" /><Relationship Type="http://schemas.openxmlformats.org/officeDocument/2006/relationships/header" Target="/word/header.xml" Id="Rc6cfbb7b4c5f4cc8" /><Relationship Type="http://schemas.openxmlformats.org/officeDocument/2006/relationships/footer" Target="/word/footer.xml" Id="R0ae498b7fb8a4bf8" /><Relationship Type="http://schemas.openxmlformats.org/officeDocument/2006/relationships/numbering" Target="/word/numbering.xml" Id="R817815b1433f4d3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Gilda Ngonga Matuvangua (2525521)</dc:creator>
  <keywords/>
  <dc:description/>
  <lastModifiedBy>Gilda Ngonga Matuvangua (2525521)</lastModifiedBy>
  <revision>3</revision>
  <dcterms:created xsi:type="dcterms:W3CDTF">2026-04-14T13:28:49.2250630Z</dcterms:created>
  <dcterms:modified xsi:type="dcterms:W3CDTF">2026-04-17T08:47:21.7799668Z</dcterms:modified>
</coreProperties>
</file>