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F7E18" w14:textId="77777777" w:rsidR="0061109A" w:rsidRDefault="00DB1186">
      <w:pPr>
        <w:spacing w:after="106" w:line="259" w:lineRule="auto"/>
        <w:jc w:val="center"/>
      </w:pPr>
      <w:r>
        <w:rPr>
          <w:rFonts w:cs="Arial"/>
          <w:b/>
          <w:color w:val="660099"/>
        </w:rPr>
        <w:t xml:space="preserve">LCHS4003: Introduction to Health and Social Care </w:t>
      </w:r>
    </w:p>
    <w:p w14:paraId="61A4FCD7" w14:textId="77777777" w:rsidR="0061109A" w:rsidRDefault="00DB1186">
      <w:pPr>
        <w:spacing w:after="201" w:line="359" w:lineRule="auto"/>
        <w:ind w:left="2203" w:right="2128"/>
        <w:jc w:val="center"/>
      </w:pPr>
      <w:r>
        <w:rPr>
          <w:rFonts w:cs="Arial"/>
          <w:b/>
          <w:color w:val="660099"/>
        </w:rPr>
        <w:t>Component 2 – Written Assignment Case Study: Mrs. Mann</w:t>
      </w:r>
      <w:r>
        <w:t xml:space="preserve"> </w:t>
      </w:r>
    </w:p>
    <w:p w14:paraId="11849EB3" w14:textId="77777777" w:rsidR="0061109A" w:rsidRDefault="00DB1186">
      <w:pPr>
        <w:spacing w:after="105" w:line="259" w:lineRule="auto"/>
        <w:ind w:left="0" w:firstLine="0"/>
      </w:pPr>
      <w:r>
        <w:t xml:space="preserve"> </w:t>
      </w:r>
    </w:p>
    <w:p w14:paraId="27C8E8C2" w14:textId="6B5D80FE" w:rsidR="0061109A" w:rsidRDefault="00DB1186">
      <w:pPr>
        <w:spacing w:after="105" w:line="259" w:lineRule="auto"/>
        <w:ind w:left="-5"/>
      </w:pPr>
      <w:r>
        <w:t xml:space="preserve">Student: </w:t>
      </w:r>
      <w:r w:rsidR="000B5BD8">
        <w:t xml:space="preserve">Olivia botfield </w:t>
      </w:r>
    </w:p>
    <w:p w14:paraId="61962900" w14:textId="77777777" w:rsidR="0061109A" w:rsidRDefault="00DB1186">
      <w:pPr>
        <w:spacing w:after="105" w:line="259" w:lineRule="auto"/>
        <w:ind w:left="-5"/>
      </w:pPr>
      <w:r>
        <w:t xml:space="preserve">Lecturer: Dr </w:t>
      </w:r>
      <w:proofErr w:type="spellStart"/>
      <w:r>
        <w:t>Raheela</w:t>
      </w:r>
      <w:proofErr w:type="spellEnd"/>
      <w:r>
        <w:t xml:space="preserve"> Sheikh </w:t>
      </w:r>
    </w:p>
    <w:p w14:paraId="58AFCCA0" w14:textId="77777777" w:rsidR="0061109A" w:rsidRDefault="00DB1186">
      <w:pPr>
        <w:spacing w:after="304" w:line="259" w:lineRule="auto"/>
        <w:ind w:left="-5"/>
      </w:pPr>
      <w:r>
        <w:t xml:space="preserve">Date: 21st November 2025 </w:t>
      </w:r>
    </w:p>
    <w:p w14:paraId="6B49F7FB" w14:textId="77777777" w:rsidR="0061109A" w:rsidRDefault="00DB1186">
      <w:pPr>
        <w:pStyle w:val="Heading1"/>
        <w:numPr>
          <w:ilvl w:val="0"/>
          <w:numId w:val="0"/>
        </w:numPr>
        <w:ind w:left="-5"/>
      </w:pPr>
      <w:r>
        <w:t xml:space="preserve">Introduction </w:t>
      </w:r>
      <w:r>
        <w:rPr>
          <w:color w:val="4F81BD"/>
        </w:rPr>
        <w:t xml:space="preserve"> </w:t>
      </w:r>
    </w:p>
    <w:p w14:paraId="0FBB3A91" w14:textId="77777777" w:rsidR="0061109A" w:rsidRDefault="00DB1186">
      <w:pPr>
        <w:spacing w:after="193"/>
        <w:ind w:left="-5"/>
      </w:pPr>
      <w:r>
        <w:t xml:space="preserve">Effective communication, accurate record keeping, and collaborative working are fundamental pillars of high-quality care in the health and social care sector. This report explores these core principles using the case study of Mrs. Mann, a 72-year-old woman recovering from hip replacement surgery who faces communication challenges due to language barriers. The report will critically discuss three main areas: the importance of effective communication with service users and family members; the significance of </w:t>
      </w:r>
      <w:r>
        <w:t>sound administrative practices within professional settings, especially in relation to the Data Protection Act 2018; and the value of collaborative working among multidisciplinary professionals to ensure positive outcomes for Mrs. Mann. Through this analysis, the report highlights how applying legislative frameworks, ethical principles, and professional standards can prevent miscommunication, promote equality, protect sensitive data, and enhance coordinated care delivery within the health and social care en</w:t>
      </w:r>
      <w:r>
        <w:t xml:space="preserve">vironment. </w:t>
      </w:r>
    </w:p>
    <w:p w14:paraId="1CC29330" w14:textId="77777777" w:rsidR="0061109A" w:rsidRDefault="00DB1186">
      <w:pPr>
        <w:pStyle w:val="Heading1"/>
        <w:ind w:left="230" w:hanging="245"/>
      </w:pPr>
      <w:r>
        <w:t xml:space="preserve">Importance of Effective Communication </w:t>
      </w:r>
      <w:r>
        <w:rPr>
          <w:color w:val="4F81BD"/>
        </w:rPr>
        <w:t xml:space="preserve"> </w:t>
      </w:r>
    </w:p>
    <w:p w14:paraId="6F9548FD" w14:textId="77777777" w:rsidR="0061109A" w:rsidRDefault="00DB1186">
      <w:pPr>
        <w:ind w:left="-5"/>
      </w:pPr>
      <w:r>
        <w:t xml:space="preserve">Effective communication is the cornerstone of quality care provision, particularly in complex cases such as Mrs. Mann’s, where language and cultural barriers pose significant challenges. According to the Equality Act 2010, service providers must make reasonable adjustments to ensure equal access to care and prevent discrimination based on protected characteristics, including race and language (Gov.uk, 2010). Mrs. </w:t>
      </w:r>
    </w:p>
    <w:p w14:paraId="4D1E06B9" w14:textId="77777777" w:rsidR="0061109A" w:rsidRDefault="00DB1186">
      <w:pPr>
        <w:ind w:left="-5"/>
      </w:pPr>
      <w:r>
        <w:t xml:space="preserve">Mann’s first language is Urdu, which necessitates culturally sensitive communication strategies to ensure she understands her care plan and treatment decisions. </w:t>
      </w:r>
    </w:p>
    <w:p w14:paraId="13F4C7F1" w14:textId="77777777" w:rsidR="0061109A" w:rsidRDefault="00DB1186">
      <w:pPr>
        <w:spacing w:after="105" w:line="259" w:lineRule="auto"/>
        <w:ind w:left="0" w:firstLine="0"/>
      </w:pPr>
      <w:r>
        <w:t xml:space="preserve"> </w:t>
      </w:r>
    </w:p>
    <w:p w14:paraId="30A72F22" w14:textId="77777777" w:rsidR="0061109A" w:rsidRDefault="00DB1186">
      <w:pPr>
        <w:ind w:left="-5"/>
      </w:pPr>
      <w:r>
        <w:t xml:space="preserve">One of the most suitable approaches in this context is the Transactional Model of Communication developed by </w:t>
      </w:r>
      <w:proofErr w:type="spellStart"/>
      <w:r>
        <w:t>Barnlund</w:t>
      </w:r>
      <w:proofErr w:type="spellEnd"/>
      <w:r>
        <w:t xml:space="preserve"> (2008), which </w:t>
      </w:r>
      <w:proofErr w:type="spellStart"/>
      <w:r>
        <w:t>emphasises</w:t>
      </w:r>
      <w:proofErr w:type="spellEnd"/>
      <w:r>
        <w:t xml:space="preserve"> two-way, dynamic interactions between the sender and receiver. This model promotes active feedback, </w:t>
      </w:r>
      <w:r>
        <w:lastRenderedPageBreak/>
        <w:t xml:space="preserve">ensuring that the care worker not only conveys information clearly but also confirms the service user’s understanding. For Mrs. Mann, this means using an interpreter where possible, employing simple and non-technical language, and verifying comprehension through feedback loops. </w:t>
      </w:r>
    </w:p>
    <w:p w14:paraId="18C8093D" w14:textId="77777777" w:rsidR="0061109A" w:rsidRDefault="00DB1186">
      <w:pPr>
        <w:spacing w:after="107" w:line="259" w:lineRule="auto"/>
        <w:ind w:left="0" w:firstLine="0"/>
      </w:pPr>
      <w:r>
        <w:t xml:space="preserve"> </w:t>
      </w:r>
    </w:p>
    <w:p w14:paraId="4D17337D" w14:textId="77777777" w:rsidR="0061109A" w:rsidRDefault="00DB1186">
      <w:pPr>
        <w:ind w:left="-5"/>
      </w:pPr>
      <w:r>
        <w:t xml:space="preserve">Involving Mrs. Mann’s daughter as an interpreter can improve mutual understanding, but professionals must remain aware of confidentiality issues and avoid over-reliance on family interpreters. Instead, the use of professional interpreters or bilingual staff aligns with NHS England’s Accessible Information Standard (2016), which requires healthcare providers to meet the communication needs of all service users. This ensures respect for patient dignity, privacy, and autonomy. </w:t>
      </w:r>
    </w:p>
    <w:p w14:paraId="0E1F2372" w14:textId="77777777" w:rsidR="0061109A" w:rsidRDefault="00DB1186">
      <w:pPr>
        <w:spacing w:after="105" w:line="259" w:lineRule="auto"/>
        <w:ind w:left="0" w:firstLine="0"/>
      </w:pPr>
      <w:r>
        <w:t xml:space="preserve"> </w:t>
      </w:r>
    </w:p>
    <w:p w14:paraId="5B9F8881" w14:textId="77777777" w:rsidR="0061109A" w:rsidRDefault="00DB1186">
      <w:pPr>
        <w:ind w:left="-5"/>
      </w:pPr>
      <w:r>
        <w:t xml:space="preserve">Furthermore, emotional intelligence and empathy are essential communication attributes in healthcare. As proposed by </w:t>
      </w:r>
      <w:proofErr w:type="spellStart"/>
      <w:r>
        <w:t>Goleman</w:t>
      </w:r>
      <w:proofErr w:type="spellEnd"/>
      <w:r>
        <w:t xml:space="preserve"> (2018), emotional intelligence enhances caregivers’ ability to respond sensitively to patients’ emotional states. By demonstrating active listening and empathy, care staff can build trust and rapport, reducing anxiety for service users like Mrs. Mann. </w:t>
      </w:r>
    </w:p>
    <w:p w14:paraId="1244B0A1" w14:textId="77777777" w:rsidR="0061109A" w:rsidRDefault="00DB1186">
      <w:pPr>
        <w:spacing w:after="105" w:line="259" w:lineRule="auto"/>
        <w:ind w:left="0" w:firstLine="0"/>
      </w:pPr>
      <w:r>
        <w:t xml:space="preserve"> </w:t>
      </w:r>
    </w:p>
    <w:p w14:paraId="7038DC50" w14:textId="77777777" w:rsidR="0061109A" w:rsidRDefault="00DB1186">
      <w:pPr>
        <w:ind w:left="-5"/>
      </w:pPr>
      <w:r>
        <w:t xml:space="preserve">In practice, the care team should adopt </w:t>
      </w:r>
      <w:proofErr w:type="spellStart"/>
      <w:r>
        <w:t>person-centred</w:t>
      </w:r>
      <w:proofErr w:type="spellEnd"/>
      <w:r>
        <w:t xml:space="preserve"> communication strategies as advocated by the Health and Social Care Act 2012, which </w:t>
      </w:r>
      <w:proofErr w:type="spellStart"/>
      <w:r>
        <w:t>emphasises</w:t>
      </w:r>
      <w:proofErr w:type="spellEnd"/>
      <w:r>
        <w:t xml:space="preserve"> </w:t>
      </w:r>
      <w:proofErr w:type="spellStart"/>
      <w:r>
        <w:t>personalisation</w:t>
      </w:r>
      <w:proofErr w:type="spellEnd"/>
      <w:r>
        <w:t xml:space="preserve"> and involvement of service users in decision-making. For instance, using visual aids, written translations, and clear verbal explanations can help Mrs. Mann engage more confidently in her care. </w:t>
      </w:r>
    </w:p>
    <w:p w14:paraId="5068E25F" w14:textId="77777777" w:rsidR="0061109A" w:rsidRDefault="00DB1186">
      <w:pPr>
        <w:spacing w:after="105" w:line="259" w:lineRule="auto"/>
        <w:ind w:left="0" w:firstLine="0"/>
      </w:pPr>
      <w:r>
        <w:t xml:space="preserve"> </w:t>
      </w:r>
    </w:p>
    <w:p w14:paraId="62C13359" w14:textId="77777777" w:rsidR="0061109A" w:rsidRDefault="00DB1186">
      <w:pPr>
        <w:spacing w:after="196"/>
        <w:ind w:left="-5"/>
      </w:pPr>
      <w:r>
        <w:t xml:space="preserve">Ultimately, effective communication prevents errors, improves satisfaction, and ensures adherence to treatment. The miscommunication that led to the delayed medication adjustment in Mrs. Mann’s case highlights the potential consequences of poor communication. Therefore, applying inclusive and legally compliant communication practices not only </w:t>
      </w:r>
      <w:proofErr w:type="spellStart"/>
      <w:r>
        <w:t>fulfils</w:t>
      </w:r>
      <w:proofErr w:type="spellEnd"/>
      <w:r>
        <w:t xml:space="preserve"> professional and ethical obligations but also safeguards patient well-being and promotes equality in healthcare delivery. </w:t>
      </w:r>
    </w:p>
    <w:p w14:paraId="28DBB932" w14:textId="77777777" w:rsidR="0061109A" w:rsidRDefault="00DB1186">
      <w:pPr>
        <w:pStyle w:val="Heading1"/>
        <w:ind w:left="230" w:hanging="245"/>
      </w:pPr>
      <w:r>
        <w:t xml:space="preserve">Importance of Administrative Skills and Record Keeping </w:t>
      </w:r>
      <w:r>
        <w:rPr>
          <w:color w:val="4F81BD"/>
        </w:rPr>
        <w:t xml:space="preserve"> </w:t>
      </w:r>
    </w:p>
    <w:p w14:paraId="105C812B" w14:textId="77777777" w:rsidR="0061109A" w:rsidRDefault="00DB1186">
      <w:pPr>
        <w:ind w:left="-5"/>
      </w:pPr>
      <w:r>
        <w:t xml:space="preserve">Good administrative and record-keeping skills are critical within professional practice to ensure continuity, accountability, and safety in healthcare delivery. In Mrs. Mann’s case, </w:t>
      </w:r>
      <w:r>
        <w:lastRenderedPageBreak/>
        <w:t xml:space="preserve">inconsistent documentation contributed to a missed medication adjustment, underscoring the direct impact of poor record keeping on patient outcomes. </w:t>
      </w:r>
    </w:p>
    <w:p w14:paraId="47D40578" w14:textId="77777777" w:rsidR="0061109A" w:rsidRDefault="00DB1186">
      <w:pPr>
        <w:spacing w:after="105" w:line="259" w:lineRule="auto"/>
        <w:ind w:left="0" w:firstLine="0"/>
      </w:pPr>
      <w:r>
        <w:t xml:space="preserve"> </w:t>
      </w:r>
    </w:p>
    <w:p w14:paraId="2BE2A4F0" w14:textId="77777777" w:rsidR="0061109A" w:rsidRDefault="00DB1186">
      <w:pPr>
        <w:ind w:left="-5"/>
      </w:pPr>
      <w:r>
        <w:t xml:space="preserve">According to the Data Protection Act 2018, health and social care professionals are legally required to process and store personal data lawfully, fairly, and transparently. This Act incorporates the principles of the General Data Protection Regulation (GDPR), ensuring that patient records are accurate, up to date, and accessible only to </w:t>
      </w:r>
      <w:proofErr w:type="spellStart"/>
      <w:r>
        <w:t>authorised</w:t>
      </w:r>
      <w:proofErr w:type="spellEnd"/>
      <w:r>
        <w:t xml:space="preserve"> personnel (ICO, 2023). The care team managing Mrs. Mann’s records must ensure that all entries are clear, dated, signed, and securely stored to maintain confidentiality and compliance. </w:t>
      </w:r>
    </w:p>
    <w:p w14:paraId="30DE4495" w14:textId="77777777" w:rsidR="0061109A" w:rsidRDefault="00DB1186">
      <w:pPr>
        <w:spacing w:after="105" w:line="259" w:lineRule="auto"/>
        <w:ind w:left="0" w:firstLine="0"/>
      </w:pPr>
      <w:r>
        <w:t xml:space="preserve"> </w:t>
      </w:r>
    </w:p>
    <w:p w14:paraId="59F9E736" w14:textId="77777777" w:rsidR="0061109A" w:rsidRDefault="00DB1186">
      <w:pPr>
        <w:ind w:left="-5"/>
      </w:pPr>
      <w:r>
        <w:t xml:space="preserve">The Nursing and Midwifery Council (NMC, 2018) Code of Professional Conduct also outlines that accurate record keeping is a professional duty, vital for demonstrating accountability and supporting safe practice. Proper documentation allows for the coordination of care among professionals such as GPs, physiotherapists, and care workers. It also provides evidence in case of clinical review or legal inquiry. </w:t>
      </w:r>
    </w:p>
    <w:p w14:paraId="6327EFB6" w14:textId="77777777" w:rsidR="0061109A" w:rsidRDefault="00DB1186">
      <w:pPr>
        <w:spacing w:after="106" w:line="259" w:lineRule="auto"/>
        <w:ind w:left="0" w:firstLine="0"/>
      </w:pPr>
      <w:r>
        <w:t xml:space="preserve"> </w:t>
      </w:r>
    </w:p>
    <w:p w14:paraId="0E2404F1" w14:textId="77777777" w:rsidR="0061109A" w:rsidRDefault="00DB1186">
      <w:pPr>
        <w:ind w:left="-5"/>
      </w:pPr>
      <w:r>
        <w:t xml:space="preserve">Administrative competence extends beyond record keeping—it involves time management, </w:t>
      </w:r>
      <w:proofErr w:type="spellStart"/>
      <w:r>
        <w:t>prioritisation</w:t>
      </w:r>
      <w:proofErr w:type="spellEnd"/>
      <w:r>
        <w:t xml:space="preserve">, and information accuracy. Poor administrative skills can result in communication breakdowns, delayed interventions, and breaches of data security. Implementing electronic health record systems can improve accessibility and consistency, provided that staff receive adequate training on information governance protocols. </w:t>
      </w:r>
    </w:p>
    <w:p w14:paraId="16DE53A4" w14:textId="77777777" w:rsidR="0061109A" w:rsidRDefault="00DB1186">
      <w:pPr>
        <w:spacing w:after="105" w:line="259" w:lineRule="auto"/>
        <w:ind w:left="0" w:firstLine="0"/>
      </w:pPr>
      <w:r>
        <w:t xml:space="preserve"> </w:t>
      </w:r>
    </w:p>
    <w:p w14:paraId="6A3B75FE" w14:textId="77777777" w:rsidR="0061109A" w:rsidRDefault="00DB1186">
      <w:pPr>
        <w:ind w:left="-5"/>
      </w:pPr>
      <w:r>
        <w:t xml:space="preserve">Furthermore, records must be written objectively and respectfully, avoiding personal opinions. The </w:t>
      </w:r>
      <w:proofErr w:type="spellStart"/>
      <w:r>
        <w:t>Caldicott</w:t>
      </w:r>
      <w:proofErr w:type="spellEnd"/>
      <w:r>
        <w:t xml:space="preserve"> Principles (1997, updated 2013) </w:t>
      </w:r>
      <w:proofErr w:type="spellStart"/>
      <w:r>
        <w:t>emphasise</w:t>
      </w:r>
      <w:proofErr w:type="spellEnd"/>
      <w:r>
        <w:t xml:space="preserve"> that identifiable patient information should only be shared on a “need-to-know” basis, reinforcing data </w:t>
      </w:r>
      <w:proofErr w:type="spellStart"/>
      <w:r>
        <w:t>minimisation</w:t>
      </w:r>
      <w:proofErr w:type="spellEnd"/>
      <w:r>
        <w:t xml:space="preserve"> and confidentiality. In Mrs. Mann’s case, ensuring that her information is appropriately shared with relevant professionals, such as the physiotherapist or GP, supports integrated care without compromising privacy. </w:t>
      </w:r>
    </w:p>
    <w:p w14:paraId="062A930E" w14:textId="77777777" w:rsidR="0061109A" w:rsidRDefault="00DB1186">
      <w:pPr>
        <w:spacing w:after="105" w:line="259" w:lineRule="auto"/>
        <w:ind w:left="0" w:firstLine="0"/>
      </w:pPr>
      <w:r>
        <w:t xml:space="preserve"> </w:t>
      </w:r>
    </w:p>
    <w:p w14:paraId="2A582447" w14:textId="77777777" w:rsidR="0061109A" w:rsidRDefault="00DB1186">
      <w:pPr>
        <w:spacing w:after="197"/>
        <w:ind w:left="-5"/>
      </w:pPr>
      <w:r>
        <w:t xml:space="preserve">In summary, good administrative practice protects both the service user and the professional. It underpins ethical, legal, and clinical standards by ensuring accuracy, transparency, and accountability. Strengthening administrative systems and adherence </w:t>
      </w:r>
      <w:r>
        <w:lastRenderedPageBreak/>
        <w:t xml:space="preserve">to data protection legislation is essential to prevent incidents like those experienced by Mrs. Mann, thereby enhancing the safety and quality of health and social care services. </w:t>
      </w:r>
    </w:p>
    <w:p w14:paraId="1274875F" w14:textId="77777777" w:rsidR="0061109A" w:rsidRDefault="00DB1186">
      <w:pPr>
        <w:pStyle w:val="Heading1"/>
        <w:ind w:left="230" w:hanging="245"/>
      </w:pPr>
      <w:r>
        <w:t xml:space="preserve">Importance of Collaborative Working </w:t>
      </w:r>
      <w:r>
        <w:rPr>
          <w:color w:val="4F81BD"/>
        </w:rPr>
        <w:t xml:space="preserve"> </w:t>
      </w:r>
    </w:p>
    <w:p w14:paraId="1B79F73E" w14:textId="77777777" w:rsidR="0061109A" w:rsidRDefault="00DB1186">
      <w:pPr>
        <w:ind w:left="-5"/>
      </w:pPr>
      <w:r>
        <w:t xml:space="preserve">Collaboration among health and social care professionals is vital for holistic, </w:t>
      </w:r>
      <w:proofErr w:type="spellStart"/>
      <w:r>
        <w:t>personcentred</w:t>
      </w:r>
      <w:proofErr w:type="spellEnd"/>
      <w:r>
        <w:t xml:space="preserve"> support, especially for individuals with complex needs like Mrs. Mann. Her rehabilitation involves coordinated input from care workers, physiotherapists, and GPs. Effective multi-agency collaboration ensures that all professionals share relevant information, align treatment goals, and provide consistent care. </w:t>
      </w:r>
    </w:p>
    <w:p w14:paraId="310ED40D" w14:textId="77777777" w:rsidR="0061109A" w:rsidRDefault="00DB1186">
      <w:pPr>
        <w:spacing w:after="106" w:line="259" w:lineRule="auto"/>
        <w:ind w:left="0" w:firstLine="0"/>
      </w:pPr>
      <w:r>
        <w:t xml:space="preserve"> </w:t>
      </w:r>
    </w:p>
    <w:p w14:paraId="20E9B7FD" w14:textId="77777777" w:rsidR="0061109A" w:rsidRDefault="00DB1186">
      <w:pPr>
        <w:ind w:left="-5"/>
      </w:pPr>
      <w:r>
        <w:t>The Care Act 2014 promotes integration and cooperation between local authorities, NHS bodies, and care providers to improve well-being and prevent fragmented care. Collaborative working enhances decision-making by pooling expertise from various disciplines, leading to more comprehensive and effective outcomes (</w:t>
      </w:r>
      <w:proofErr w:type="spellStart"/>
      <w:r>
        <w:t>Glasby</w:t>
      </w:r>
      <w:proofErr w:type="spellEnd"/>
      <w:r>
        <w:t xml:space="preserve"> &amp; Dickinson, 2022). </w:t>
      </w:r>
    </w:p>
    <w:p w14:paraId="41442067" w14:textId="77777777" w:rsidR="0061109A" w:rsidRDefault="00DB1186">
      <w:pPr>
        <w:spacing w:after="105" w:line="259" w:lineRule="auto"/>
        <w:ind w:left="0" w:firstLine="0"/>
      </w:pPr>
      <w:r>
        <w:t xml:space="preserve"> </w:t>
      </w:r>
    </w:p>
    <w:p w14:paraId="6D9BF1CC" w14:textId="77777777" w:rsidR="0061109A" w:rsidRDefault="00DB1186">
      <w:pPr>
        <w:ind w:left="-5"/>
      </w:pPr>
      <w:r>
        <w:t xml:space="preserve">However, </w:t>
      </w:r>
      <w:proofErr w:type="spellStart"/>
      <w:r>
        <w:t>interprofessional</w:t>
      </w:r>
      <w:proofErr w:type="spellEnd"/>
      <w:r>
        <w:t xml:space="preserve"> collaboration is not without challenges. Differences in </w:t>
      </w:r>
      <w:proofErr w:type="spellStart"/>
      <w:r>
        <w:t>organisational</w:t>
      </w:r>
      <w:proofErr w:type="spellEnd"/>
      <w:r>
        <w:t xml:space="preserve"> culture, communication styles, and hierarchical barriers can impede teamwork. To overcome these issues, professionals should adopt structured communication tools like SBAR (Situation, Background, Assessment, Recommendation) and hold regular multidisciplinary team (MDT) meetings. </w:t>
      </w:r>
    </w:p>
    <w:p w14:paraId="12980BE9" w14:textId="77777777" w:rsidR="0061109A" w:rsidRDefault="00DB1186">
      <w:pPr>
        <w:spacing w:after="106" w:line="259" w:lineRule="auto"/>
        <w:ind w:left="0" w:firstLine="0"/>
      </w:pPr>
      <w:r>
        <w:t xml:space="preserve"> </w:t>
      </w:r>
    </w:p>
    <w:p w14:paraId="6E0D933A" w14:textId="77777777" w:rsidR="0061109A" w:rsidRDefault="00DB1186">
      <w:pPr>
        <w:ind w:left="-5"/>
      </w:pPr>
      <w:r>
        <w:t xml:space="preserve">The </w:t>
      </w:r>
      <w:proofErr w:type="spellStart"/>
      <w:r>
        <w:t>Tuckman</w:t>
      </w:r>
      <w:proofErr w:type="spellEnd"/>
      <w:r>
        <w:t xml:space="preserve"> (1965) model of team development—forming, storming, norming, and performing—illustrates the stages through which teams must progress to achieve effective collaboration. In Mrs. Mann’s case, clear role definition, mutual respect, and shared responsibility can foster trust and cooperation between care agencies and healthcare providers. </w:t>
      </w:r>
    </w:p>
    <w:p w14:paraId="19D61102" w14:textId="77777777" w:rsidR="0061109A" w:rsidRDefault="00DB1186">
      <w:pPr>
        <w:spacing w:after="105" w:line="259" w:lineRule="auto"/>
        <w:ind w:left="0" w:firstLine="0"/>
      </w:pPr>
      <w:r>
        <w:t xml:space="preserve"> </w:t>
      </w:r>
    </w:p>
    <w:p w14:paraId="445733A5" w14:textId="77777777" w:rsidR="0061109A" w:rsidRDefault="00DB1186">
      <w:pPr>
        <w:ind w:left="-5"/>
      </w:pPr>
      <w:r>
        <w:t xml:space="preserve">Furthermore, collaboration is strengthened by reflective practice and supervision, allowing professionals to evaluate teamwork effectiveness and identify areas for improvement. The NHS Long Term Plan (2019) </w:t>
      </w:r>
      <w:proofErr w:type="spellStart"/>
      <w:r>
        <w:t>emphasises</w:t>
      </w:r>
      <w:proofErr w:type="spellEnd"/>
      <w:r>
        <w:t xml:space="preserve"> partnership working across health and social care boundaries to ensure continuity and coordination in patient care. </w:t>
      </w:r>
    </w:p>
    <w:p w14:paraId="60652A70" w14:textId="77777777" w:rsidR="0061109A" w:rsidRDefault="00DB1186">
      <w:pPr>
        <w:spacing w:after="105" w:line="259" w:lineRule="auto"/>
        <w:ind w:left="0" w:firstLine="0"/>
      </w:pPr>
      <w:r>
        <w:t xml:space="preserve"> </w:t>
      </w:r>
    </w:p>
    <w:p w14:paraId="241A014D" w14:textId="77777777" w:rsidR="0061109A" w:rsidRDefault="00DB1186">
      <w:pPr>
        <w:spacing w:after="196"/>
        <w:ind w:left="-5"/>
      </w:pPr>
      <w:r>
        <w:lastRenderedPageBreak/>
        <w:t xml:space="preserve">In conclusion, effective collaborative practice supports safer and more efficient service </w:t>
      </w:r>
      <w:r>
        <w:t xml:space="preserve">delivery. For Mrs. Mann, successful teamwork between her GP, physiotherapist, and domiciliary care team ensures consistent rehabilitation progress, timely medication reviews, and improved quality of life. </w:t>
      </w:r>
    </w:p>
    <w:p w14:paraId="14B0AF0F" w14:textId="77777777" w:rsidR="0061109A" w:rsidRDefault="00DB1186">
      <w:pPr>
        <w:pStyle w:val="Heading1"/>
        <w:numPr>
          <w:ilvl w:val="0"/>
          <w:numId w:val="0"/>
        </w:numPr>
        <w:ind w:left="-5"/>
      </w:pPr>
      <w:r>
        <w:t xml:space="preserve">Conclusion </w:t>
      </w:r>
      <w:r>
        <w:rPr>
          <w:color w:val="4F81BD"/>
        </w:rPr>
        <w:t xml:space="preserve"> </w:t>
      </w:r>
    </w:p>
    <w:p w14:paraId="59387BE2" w14:textId="77777777" w:rsidR="0061109A" w:rsidRDefault="00DB1186">
      <w:pPr>
        <w:spacing w:after="196"/>
        <w:ind w:left="-5"/>
      </w:pPr>
      <w:r>
        <w:t xml:space="preserve">This report has examined the case of Mrs. Mann to highlight the essential role of communication, record keeping, and collaborative working in health and social care. Effective communication promotes equality, </w:t>
      </w:r>
      <w:proofErr w:type="spellStart"/>
      <w:r>
        <w:t>person-centredness</w:t>
      </w:r>
      <w:proofErr w:type="spellEnd"/>
      <w:r>
        <w:t>, and trust, particularly when language or cultural barriers exist. Accurate record keeping and strong administrative practices are fundamental to safeguarding confidentiality, maintaining professional standards, and ensuring continuity of care. Collaborative working, supported by clear communication and data sharing, enables professionals to coordinate effectively and achieve holistic outcomes. When these principles are applied in accordance with legislative frameworks such as the Equalit</w:t>
      </w:r>
      <w:r>
        <w:t xml:space="preserve">y Act 2010, Data Protection Act 2018, and Care Act 2014, service users receive safe, equitable, and high-quality care. Strengthening these areas will not only prevent incidents like those in Mrs. Mann’s case but also contribute to a more integrated and compassionate health and social care system. </w:t>
      </w:r>
    </w:p>
    <w:p w14:paraId="66F57819" w14:textId="77777777" w:rsidR="0061109A" w:rsidRDefault="00DB1186">
      <w:pPr>
        <w:spacing w:after="120" w:line="259" w:lineRule="auto"/>
        <w:ind w:left="0" w:firstLine="0"/>
      </w:pPr>
      <w:r>
        <w:rPr>
          <w:rFonts w:cs="Arial"/>
          <w:b/>
          <w:color w:val="4F81BD"/>
        </w:rPr>
        <w:t xml:space="preserve">References (Harvard Style) </w:t>
      </w:r>
    </w:p>
    <w:p w14:paraId="720D3F9B" w14:textId="77777777" w:rsidR="0061109A" w:rsidRDefault="00DB1186">
      <w:pPr>
        <w:numPr>
          <w:ilvl w:val="0"/>
          <w:numId w:val="1"/>
        </w:numPr>
        <w:spacing w:after="69" w:line="259" w:lineRule="auto"/>
        <w:ind w:hanging="360"/>
      </w:pPr>
      <w:proofErr w:type="spellStart"/>
      <w:r>
        <w:t>Barnlund</w:t>
      </w:r>
      <w:proofErr w:type="spellEnd"/>
      <w:r>
        <w:t xml:space="preserve">, D.C. (2008) A transactional model of communication. In: Mortensen, C. </w:t>
      </w:r>
    </w:p>
    <w:p w14:paraId="014E0610" w14:textId="77777777" w:rsidR="0061109A" w:rsidRDefault="00DB1186">
      <w:pPr>
        <w:spacing w:after="120" w:line="259" w:lineRule="auto"/>
        <w:ind w:left="370"/>
      </w:pPr>
      <w:r>
        <w:t xml:space="preserve">(ed.) Communication theory. New York: </w:t>
      </w:r>
      <w:proofErr w:type="spellStart"/>
      <w:r>
        <w:t>Routledge</w:t>
      </w:r>
      <w:proofErr w:type="spellEnd"/>
      <w:r>
        <w:t xml:space="preserve">. </w:t>
      </w:r>
    </w:p>
    <w:p w14:paraId="294B44BE" w14:textId="77777777" w:rsidR="0061109A" w:rsidRDefault="00DB1186">
      <w:pPr>
        <w:numPr>
          <w:ilvl w:val="0"/>
          <w:numId w:val="1"/>
        </w:numPr>
        <w:spacing w:after="85" w:line="259" w:lineRule="auto"/>
        <w:ind w:hanging="360"/>
      </w:pPr>
      <w:proofErr w:type="spellStart"/>
      <w:r>
        <w:t>Caldicott</w:t>
      </w:r>
      <w:proofErr w:type="spellEnd"/>
      <w:r>
        <w:t xml:space="preserve">, F. (2013) Information Governance Review. Department of Health. </w:t>
      </w:r>
    </w:p>
    <w:p w14:paraId="4798F7F4" w14:textId="77777777" w:rsidR="0061109A" w:rsidRDefault="00DB1186">
      <w:pPr>
        <w:numPr>
          <w:ilvl w:val="0"/>
          <w:numId w:val="1"/>
        </w:numPr>
        <w:spacing w:after="87" w:line="259" w:lineRule="auto"/>
        <w:ind w:hanging="360"/>
      </w:pPr>
      <w:r>
        <w:t xml:space="preserve">Equality Act (2010) Equality Act 2010. London: HMSO. </w:t>
      </w:r>
    </w:p>
    <w:p w14:paraId="526D2332" w14:textId="77777777" w:rsidR="0061109A" w:rsidRDefault="00DB1186">
      <w:pPr>
        <w:numPr>
          <w:ilvl w:val="0"/>
          <w:numId w:val="1"/>
        </w:numPr>
        <w:spacing w:after="69" w:line="259" w:lineRule="auto"/>
        <w:ind w:hanging="360"/>
      </w:pPr>
      <w:proofErr w:type="spellStart"/>
      <w:r>
        <w:t>Glasby</w:t>
      </w:r>
      <w:proofErr w:type="spellEnd"/>
      <w:r>
        <w:t xml:space="preserve">, J. and Dickinson, H. (2022) Partnership working in health and social care: </w:t>
      </w:r>
    </w:p>
    <w:p w14:paraId="3FEC0556" w14:textId="77777777" w:rsidR="0061109A" w:rsidRDefault="00DB1186">
      <w:pPr>
        <w:spacing w:after="120" w:line="259" w:lineRule="auto"/>
        <w:ind w:left="370"/>
      </w:pPr>
      <w:r>
        <w:t xml:space="preserve">What is integrated care and how can we deliver it? 3rd ed. Bristol: Policy Press. </w:t>
      </w:r>
    </w:p>
    <w:p w14:paraId="5C959BB7" w14:textId="77777777" w:rsidR="0061109A" w:rsidRDefault="00DB1186">
      <w:pPr>
        <w:numPr>
          <w:ilvl w:val="0"/>
          <w:numId w:val="1"/>
        </w:numPr>
        <w:spacing w:after="123" w:line="259" w:lineRule="auto"/>
        <w:ind w:hanging="360"/>
      </w:pPr>
      <w:proofErr w:type="spellStart"/>
      <w:r>
        <w:t>Goleman</w:t>
      </w:r>
      <w:proofErr w:type="spellEnd"/>
      <w:r>
        <w:t xml:space="preserve">, D. (2018) Working with emotional intelligence. London: Bloomsbury. </w:t>
      </w:r>
    </w:p>
    <w:p w14:paraId="7283B5C3" w14:textId="77777777" w:rsidR="0061109A" w:rsidRDefault="00DB1186">
      <w:pPr>
        <w:numPr>
          <w:ilvl w:val="0"/>
          <w:numId w:val="1"/>
        </w:numPr>
        <w:ind w:hanging="360"/>
      </w:pPr>
      <w:r>
        <w:t xml:space="preserve">Information Commissioner’s Office (2023) Guide to the Data Protection Act 2018. Available at: www.ico.org.uk </w:t>
      </w:r>
    </w:p>
    <w:p w14:paraId="41E0E477" w14:textId="77777777" w:rsidR="0061109A" w:rsidRDefault="00DB1186">
      <w:pPr>
        <w:numPr>
          <w:ilvl w:val="0"/>
          <w:numId w:val="1"/>
        </w:numPr>
        <w:spacing w:after="85" w:line="259" w:lineRule="auto"/>
        <w:ind w:hanging="360"/>
      </w:pPr>
      <w:r>
        <w:t xml:space="preserve">NHS England (2016) Accessible Information Standard. London: NHS England. </w:t>
      </w:r>
    </w:p>
    <w:p w14:paraId="6BA96EFD" w14:textId="77777777" w:rsidR="0061109A" w:rsidRDefault="00DB1186">
      <w:pPr>
        <w:numPr>
          <w:ilvl w:val="0"/>
          <w:numId w:val="1"/>
        </w:numPr>
        <w:spacing w:after="84" w:line="259" w:lineRule="auto"/>
        <w:ind w:hanging="360"/>
      </w:pPr>
      <w:r>
        <w:t xml:space="preserve">NHS (2019) The NHS Long Term Plan. London: NHS. </w:t>
      </w:r>
    </w:p>
    <w:p w14:paraId="5E13BDDE" w14:textId="77777777" w:rsidR="0061109A" w:rsidRDefault="00DB1186">
      <w:pPr>
        <w:numPr>
          <w:ilvl w:val="0"/>
          <w:numId w:val="1"/>
        </w:numPr>
        <w:ind w:hanging="360"/>
      </w:pPr>
      <w:r>
        <w:t xml:space="preserve">NMC (2018) The Code: Professional standards of practice and </w:t>
      </w:r>
      <w:proofErr w:type="spellStart"/>
      <w:r>
        <w:t>behaviour</w:t>
      </w:r>
      <w:proofErr w:type="spellEnd"/>
      <w:r>
        <w:t xml:space="preserve"> for nurses, midwives and nursing associates. London: Nursing and Midwifery Council. </w:t>
      </w:r>
    </w:p>
    <w:p w14:paraId="3667E54F" w14:textId="77777777" w:rsidR="0061109A" w:rsidRDefault="00DB1186">
      <w:pPr>
        <w:numPr>
          <w:ilvl w:val="0"/>
          <w:numId w:val="1"/>
        </w:numPr>
        <w:ind w:hanging="360"/>
      </w:pPr>
      <w:proofErr w:type="spellStart"/>
      <w:r>
        <w:lastRenderedPageBreak/>
        <w:t>Tuckman</w:t>
      </w:r>
      <w:proofErr w:type="spellEnd"/>
      <w:r>
        <w:t xml:space="preserve">, B.W. (1965) Developmental sequence in small groups. Psychological Bulletin, 63(6), pp.384–399. </w:t>
      </w:r>
    </w:p>
    <w:p w14:paraId="4AD4E49C" w14:textId="77777777" w:rsidR="0061109A" w:rsidRDefault="00DB1186">
      <w:pPr>
        <w:numPr>
          <w:ilvl w:val="0"/>
          <w:numId w:val="1"/>
        </w:numPr>
        <w:spacing w:line="259" w:lineRule="auto"/>
        <w:ind w:hanging="360"/>
      </w:pPr>
      <w:r>
        <w:t xml:space="preserve">UK Government (2014) Care Act 2014. London: The Stationery Office. </w:t>
      </w:r>
    </w:p>
    <w:sectPr w:rsidR="0061109A">
      <w:pgSz w:w="12240" w:h="15840"/>
      <w:pgMar w:top="1447" w:right="1804" w:bottom="1454"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roman"/>
    <w:pitch w:val="default"/>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27B08"/>
    <w:multiLevelType w:val="hybridMultilevel"/>
    <w:tmpl w:val="FFFFFFFF"/>
    <w:lvl w:ilvl="0" w:tplc="786E88E2">
      <w:start w:val="1"/>
      <w:numFmt w:val="decimal"/>
      <w:pStyle w:val="Heading1"/>
      <w:lvlText w:val="%1."/>
      <w:lvlJc w:val="left"/>
      <w:pPr>
        <w:ind w:left="0"/>
      </w:pPr>
      <w:rPr>
        <w:rFonts w:ascii="Arial" w:eastAsia="Arial" w:hAnsi="Arial" w:cs="Arial"/>
        <w:b/>
        <w:bCs/>
        <w:i w:val="0"/>
        <w:strike w:val="0"/>
        <w:dstrike w:val="0"/>
        <w:color w:val="660099"/>
        <w:sz w:val="22"/>
        <w:szCs w:val="22"/>
        <w:u w:val="none" w:color="000000"/>
        <w:bdr w:val="none" w:sz="0" w:space="0" w:color="auto"/>
        <w:shd w:val="clear" w:color="auto" w:fill="auto"/>
        <w:vertAlign w:val="baseline"/>
      </w:rPr>
    </w:lvl>
    <w:lvl w:ilvl="1" w:tplc="BA12C6CC">
      <w:start w:val="1"/>
      <w:numFmt w:val="lowerLetter"/>
      <w:lvlText w:val="%2"/>
      <w:lvlJc w:val="left"/>
      <w:pPr>
        <w:ind w:left="1080"/>
      </w:pPr>
      <w:rPr>
        <w:rFonts w:ascii="Arial" w:eastAsia="Arial" w:hAnsi="Arial" w:cs="Arial"/>
        <w:b/>
        <w:bCs/>
        <w:i w:val="0"/>
        <w:strike w:val="0"/>
        <w:dstrike w:val="0"/>
        <w:color w:val="660099"/>
        <w:sz w:val="22"/>
        <w:szCs w:val="22"/>
        <w:u w:val="none" w:color="000000"/>
        <w:bdr w:val="none" w:sz="0" w:space="0" w:color="auto"/>
        <w:shd w:val="clear" w:color="auto" w:fill="auto"/>
        <w:vertAlign w:val="baseline"/>
      </w:rPr>
    </w:lvl>
    <w:lvl w:ilvl="2" w:tplc="F8C6629A">
      <w:start w:val="1"/>
      <w:numFmt w:val="lowerRoman"/>
      <w:lvlText w:val="%3"/>
      <w:lvlJc w:val="left"/>
      <w:pPr>
        <w:ind w:left="1800"/>
      </w:pPr>
      <w:rPr>
        <w:rFonts w:ascii="Arial" w:eastAsia="Arial" w:hAnsi="Arial" w:cs="Arial"/>
        <w:b/>
        <w:bCs/>
        <w:i w:val="0"/>
        <w:strike w:val="0"/>
        <w:dstrike w:val="0"/>
        <w:color w:val="660099"/>
        <w:sz w:val="22"/>
        <w:szCs w:val="22"/>
        <w:u w:val="none" w:color="000000"/>
        <w:bdr w:val="none" w:sz="0" w:space="0" w:color="auto"/>
        <w:shd w:val="clear" w:color="auto" w:fill="auto"/>
        <w:vertAlign w:val="baseline"/>
      </w:rPr>
    </w:lvl>
    <w:lvl w:ilvl="3" w:tplc="1652CD46">
      <w:start w:val="1"/>
      <w:numFmt w:val="decimal"/>
      <w:lvlText w:val="%4"/>
      <w:lvlJc w:val="left"/>
      <w:pPr>
        <w:ind w:left="2520"/>
      </w:pPr>
      <w:rPr>
        <w:rFonts w:ascii="Arial" w:eastAsia="Arial" w:hAnsi="Arial" w:cs="Arial"/>
        <w:b/>
        <w:bCs/>
        <w:i w:val="0"/>
        <w:strike w:val="0"/>
        <w:dstrike w:val="0"/>
        <w:color w:val="660099"/>
        <w:sz w:val="22"/>
        <w:szCs w:val="22"/>
        <w:u w:val="none" w:color="000000"/>
        <w:bdr w:val="none" w:sz="0" w:space="0" w:color="auto"/>
        <w:shd w:val="clear" w:color="auto" w:fill="auto"/>
        <w:vertAlign w:val="baseline"/>
      </w:rPr>
    </w:lvl>
    <w:lvl w:ilvl="4" w:tplc="A3382FC4">
      <w:start w:val="1"/>
      <w:numFmt w:val="lowerLetter"/>
      <w:lvlText w:val="%5"/>
      <w:lvlJc w:val="left"/>
      <w:pPr>
        <w:ind w:left="3240"/>
      </w:pPr>
      <w:rPr>
        <w:rFonts w:ascii="Arial" w:eastAsia="Arial" w:hAnsi="Arial" w:cs="Arial"/>
        <w:b/>
        <w:bCs/>
        <w:i w:val="0"/>
        <w:strike w:val="0"/>
        <w:dstrike w:val="0"/>
        <w:color w:val="660099"/>
        <w:sz w:val="22"/>
        <w:szCs w:val="22"/>
        <w:u w:val="none" w:color="000000"/>
        <w:bdr w:val="none" w:sz="0" w:space="0" w:color="auto"/>
        <w:shd w:val="clear" w:color="auto" w:fill="auto"/>
        <w:vertAlign w:val="baseline"/>
      </w:rPr>
    </w:lvl>
    <w:lvl w:ilvl="5" w:tplc="C88ACB3A">
      <w:start w:val="1"/>
      <w:numFmt w:val="lowerRoman"/>
      <w:lvlText w:val="%6"/>
      <w:lvlJc w:val="left"/>
      <w:pPr>
        <w:ind w:left="3960"/>
      </w:pPr>
      <w:rPr>
        <w:rFonts w:ascii="Arial" w:eastAsia="Arial" w:hAnsi="Arial" w:cs="Arial"/>
        <w:b/>
        <w:bCs/>
        <w:i w:val="0"/>
        <w:strike w:val="0"/>
        <w:dstrike w:val="0"/>
        <w:color w:val="660099"/>
        <w:sz w:val="22"/>
        <w:szCs w:val="22"/>
        <w:u w:val="none" w:color="000000"/>
        <w:bdr w:val="none" w:sz="0" w:space="0" w:color="auto"/>
        <w:shd w:val="clear" w:color="auto" w:fill="auto"/>
        <w:vertAlign w:val="baseline"/>
      </w:rPr>
    </w:lvl>
    <w:lvl w:ilvl="6" w:tplc="2B9678BE">
      <w:start w:val="1"/>
      <w:numFmt w:val="decimal"/>
      <w:lvlText w:val="%7"/>
      <w:lvlJc w:val="left"/>
      <w:pPr>
        <w:ind w:left="4680"/>
      </w:pPr>
      <w:rPr>
        <w:rFonts w:ascii="Arial" w:eastAsia="Arial" w:hAnsi="Arial" w:cs="Arial"/>
        <w:b/>
        <w:bCs/>
        <w:i w:val="0"/>
        <w:strike w:val="0"/>
        <w:dstrike w:val="0"/>
        <w:color w:val="660099"/>
        <w:sz w:val="22"/>
        <w:szCs w:val="22"/>
        <w:u w:val="none" w:color="000000"/>
        <w:bdr w:val="none" w:sz="0" w:space="0" w:color="auto"/>
        <w:shd w:val="clear" w:color="auto" w:fill="auto"/>
        <w:vertAlign w:val="baseline"/>
      </w:rPr>
    </w:lvl>
    <w:lvl w:ilvl="7" w:tplc="7650663C">
      <w:start w:val="1"/>
      <w:numFmt w:val="lowerLetter"/>
      <w:lvlText w:val="%8"/>
      <w:lvlJc w:val="left"/>
      <w:pPr>
        <w:ind w:left="5400"/>
      </w:pPr>
      <w:rPr>
        <w:rFonts w:ascii="Arial" w:eastAsia="Arial" w:hAnsi="Arial" w:cs="Arial"/>
        <w:b/>
        <w:bCs/>
        <w:i w:val="0"/>
        <w:strike w:val="0"/>
        <w:dstrike w:val="0"/>
        <w:color w:val="660099"/>
        <w:sz w:val="22"/>
        <w:szCs w:val="22"/>
        <w:u w:val="none" w:color="000000"/>
        <w:bdr w:val="none" w:sz="0" w:space="0" w:color="auto"/>
        <w:shd w:val="clear" w:color="auto" w:fill="auto"/>
        <w:vertAlign w:val="baseline"/>
      </w:rPr>
    </w:lvl>
    <w:lvl w:ilvl="8" w:tplc="9CFC0B5C">
      <w:start w:val="1"/>
      <w:numFmt w:val="lowerRoman"/>
      <w:lvlText w:val="%9"/>
      <w:lvlJc w:val="left"/>
      <w:pPr>
        <w:ind w:left="6120"/>
      </w:pPr>
      <w:rPr>
        <w:rFonts w:ascii="Arial" w:eastAsia="Arial" w:hAnsi="Arial" w:cs="Arial"/>
        <w:b/>
        <w:bCs/>
        <w:i w:val="0"/>
        <w:strike w:val="0"/>
        <w:dstrike w:val="0"/>
        <w:color w:val="660099"/>
        <w:sz w:val="22"/>
        <w:szCs w:val="22"/>
        <w:u w:val="none" w:color="000000"/>
        <w:bdr w:val="none" w:sz="0" w:space="0" w:color="auto"/>
        <w:shd w:val="clear" w:color="auto" w:fill="auto"/>
        <w:vertAlign w:val="baseline"/>
      </w:rPr>
    </w:lvl>
  </w:abstractNum>
  <w:abstractNum w:abstractNumId="1" w15:restartNumberingAfterBreak="0">
    <w:nsid w:val="1FF11F0B"/>
    <w:multiLevelType w:val="hybridMultilevel"/>
    <w:tmpl w:val="FFFFFFFF"/>
    <w:lvl w:ilvl="0" w:tplc="39329D42">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16CCF54">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874EEC8">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D206E62">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23E955E">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C5CDA5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C3637A8">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9D27D64">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B028FE4">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772895652">
    <w:abstractNumId w:val="1"/>
  </w:num>
  <w:num w:numId="2" w16cid:durableId="1781950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109A"/>
    <w:rsid w:val="000B5BD8"/>
    <w:rsid w:val="0061109A"/>
    <w:rsid w:val="00DB1186"/>
    <w:rsid w:val="00DC2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804B9D"/>
  <w15:docId w15:val="{F110BEF1-BE3A-7849-A0CC-292EDBEE2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365" w:lineRule="auto"/>
      <w:ind w:left="10" w:hanging="10"/>
    </w:pPr>
    <w:rPr>
      <w:rFonts w:ascii="Arial" w:eastAsia="Arial" w:hAnsi="Arial" w:cs="Times New Roman"/>
      <w:color w:val="000000"/>
      <w:sz w:val="22"/>
      <w:lang w:val="en" w:eastAsia="en"/>
    </w:rPr>
  </w:style>
  <w:style w:type="paragraph" w:styleId="Heading1">
    <w:name w:val="heading 1"/>
    <w:next w:val="Normal"/>
    <w:link w:val="Heading1Char"/>
    <w:uiPriority w:val="9"/>
    <w:qFormat/>
    <w:pPr>
      <w:keepNext/>
      <w:keepLines/>
      <w:numPr>
        <w:numId w:val="2"/>
      </w:numPr>
      <w:spacing w:after="106" w:line="259" w:lineRule="auto"/>
      <w:ind w:left="10" w:hanging="10"/>
      <w:outlineLvl w:val="0"/>
    </w:pPr>
    <w:rPr>
      <w:rFonts w:ascii="Arial" w:eastAsia="Arial" w:hAnsi="Arial" w:cs="Arial"/>
      <w:b/>
      <w:color w:val="660099"/>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660099"/>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1649</Words>
  <Characters>9400</Characters>
  <Application>Microsoft Office Word</Application>
  <DocSecurity>0</DocSecurity>
  <Lines>78</Lines>
  <Paragraphs>22</Paragraphs>
  <ScaleCrop>false</ScaleCrop>
  <Company/>
  <LinksUpToDate>false</LinksUpToDate>
  <CharactersWithSpaces>11027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cp:lastModifiedBy>Sara Botfield (2116845)</cp:lastModifiedBy>
  <cp:revision>2</cp:revision>
  <dcterms:created xsi:type="dcterms:W3CDTF">2025-10-22T10:14:00Z</dcterms:created>
  <dcterms:modified xsi:type="dcterms:W3CDTF">2025-10-22T10:14:00Z</dcterms:modified>
</cp:coreProperties>
</file>