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C6840" w:rsidRPr="003C6840" w:rsidRDefault="003C6840" w:rsidP="003C6840">
      <w:pPr>
        <w:spacing w:before="100" w:beforeAutospacing="1" w:after="100" w:afterAutospacing="1" w:line="240" w:lineRule="auto"/>
        <w:outlineLvl w:val="1"/>
        <w:rPr>
          <w:rFonts w:ascii="Arial" w:eastAsia="Times New Roman" w:hAnsi="Arial" w:cs="Arial"/>
          <w:b/>
          <w:bCs/>
          <w:color w:val="0865A8"/>
          <w:kern w:val="36"/>
          <w:lang w:val="en" w:eastAsia="en-GB"/>
        </w:rPr>
      </w:pPr>
      <w:bookmarkStart w:id="0" w:name="_GoBack"/>
      <w:bookmarkEnd w:id="0"/>
      <w:r w:rsidRPr="003C6840">
        <w:rPr>
          <w:rFonts w:ascii="Arial" w:eastAsia="Times New Roman" w:hAnsi="Arial" w:cs="Arial"/>
          <w:b/>
          <w:bCs/>
          <w:color w:val="0865A8"/>
          <w:kern w:val="36"/>
          <w:lang w:val="en" w:eastAsia="en-GB"/>
        </w:rPr>
        <w:t>Ivey v Genting Casinos (UK) Ltd (trading as Crockfords) 2017 The test for dishonesty should be objective; the subjective element of the test for dishonesty in R v Ghosh 1982 did not correctly represent the law.</w:t>
      </w:r>
      <w:r w:rsidRPr="003C6840">
        <w:rPr>
          <w:rFonts w:ascii="Arial" w:eastAsia="Times New Roman" w:hAnsi="Arial" w:cs="Arial"/>
          <w:b/>
          <w:bCs/>
          <w:noProof/>
          <w:color w:val="0000FF"/>
          <w:kern w:val="36"/>
          <w:lang w:eastAsia="en-GB"/>
        </w:rPr>
        <w:drawing>
          <wp:inline distT="0" distB="0" distL="0" distR="0" wp14:anchorId="2671E1E6" wp14:editId="6F0B243D">
            <wp:extent cx="304800" cy="304800"/>
            <wp:effectExtent l="0" t="0" r="0" b="0"/>
            <wp:docPr id="1" name="Picture 1" descr="https://docmanager.pnld.co.uk/images/3.0/smalldocument.png">
              <a:hlinkClick xmlns:a="http://schemas.openxmlformats.org/drawingml/2006/main" r:id="rId6" tooltip="&quot;Collaps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ocmanager.pnld.co.uk/images/3.0/smalldocument.png">
                      <a:hlinkClick r:id="rId6" tooltip="&quot;Collapse&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800" cy="304800"/>
                    </a:xfrm>
                    <a:prstGeom prst="rect">
                      <a:avLst/>
                    </a:prstGeom>
                    <a:noFill/>
                    <a:ln>
                      <a:noFill/>
                    </a:ln>
                  </pic:spPr>
                </pic:pic>
              </a:graphicData>
            </a:graphic>
          </wp:inline>
        </w:drawing>
      </w:r>
    </w:p>
    <w:tbl>
      <w:tblPr>
        <w:tblW w:w="5000" w:type="pct"/>
        <w:tblCellSpacing w:w="15" w:type="dxa"/>
        <w:tblInd w:w="150" w:type="dxa"/>
        <w:tblCellMar>
          <w:top w:w="15" w:type="dxa"/>
          <w:left w:w="15" w:type="dxa"/>
          <w:bottom w:w="15" w:type="dxa"/>
          <w:right w:w="15" w:type="dxa"/>
        </w:tblCellMar>
        <w:tblLook w:val="04A0" w:firstRow="1" w:lastRow="0" w:firstColumn="1" w:lastColumn="0" w:noHBand="0" w:noVBand="1"/>
        <w:tblDescription w:val="Document Details"/>
      </w:tblPr>
      <w:tblGrid>
        <w:gridCol w:w="9010"/>
      </w:tblGrid>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2CBCEE"/>
            <w:tcMar>
              <w:top w:w="150" w:type="dxa"/>
              <w:left w:w="150" w:type="dxa"/>
              <w:bottom w:w="150" w:type="dxa"/>
              <w:right w:w="150" w:type="dxa"/>
            </w:tcMar>
            <w:vAlign w:val="center"/>
            <w:hideMark/>
          </w:tcPr>
          <w:p w:rsidR="003C6840" w:rsidRPr="003C6840" w:rsidRDefault="003C6840" w:rsidP="003C6840">
            <w:pPr>
              <w:spacing w:before="45" w:after="375" w:line="240" w:lineRule="auto"/>
              <w:rPr>
                <w:rFonts w:ascii="Arial" w:eastAsia="Times New Roman" w:hAnsi="Arial" w:cs="Arial"/>
                <w:b/>
                <w:bCs/>
                <w:color w:val="FFFFFF"/>
                <w:lang w:eastAsia="en-GB"/>
              </w:rPr>
            </w:pPr>
            <w:r w:rsidRPr="003C6840">
              <w:rPr>
                <w:rFonts w:ascii="Arial" w:eastAsia="Times New Roman" w:hAnsi="Arial" w:cs="Arial"/>
                <w:b/>
                <w:bCs/>
                <w:color w:val="FFFFFF"/>
                <w:lang w:eastAsia="en-GB"/>
              </w:rPr>
              <w:t>YEAR OF CASE</w:t>
            </w:r>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FFFFFF"/>
            <w:tcMar>
              <w:top w:w="150" w:type="dxa"/>
              <w:left w:w="150" w:type="dxa"/>
              <w:bottom w:w="150" w:type="dxa"/>
              <w:right w:w="150" w:type="dxa"/>
            </w:tcMar>
            <w:vAlign w:val="center"/>
            <w:hideMark/>
          </w:tcPr>
          <w:p w:rsidR="003C6840" w:rsidRPr="003C6840" w:rsidRDefault="003C6840" w:rsidP="003C6840">
            <w:pPr>
              <w:spacing w:before="45" w:after="375" w:line="240" w:lineRule="auto"/>
              <w:rPr>
                <w:rFonts w:ascii="Arial" w:eastAsia="Times New Roman" w:hAnsi="Arial" w:cs="Arial"/>
                <w:lang w:eastAsia="en-GB"/>
              </w:rPr>
            </w:pPr>
            <w:r>
              <w:rPr>
                <w:rFonts w:ascii="Arial" w:eastAsia="Times New Roman" w:hAnsi="Arial" w:cs="Arial"/>
                <w:lang w:eastAsia="en-GB"/>
              </w:rPr>
              <w:t>2017</w:t>
            </w:r>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2CBCEE"/>
            <w:tcMar>
              <w:top w:w="150" w:type="dxa"/>
              <w:left w:w="150" w:type="dxa"/>
              <w:bottom w:w="150" w:type="dxa"/>
              <w:right w:w="150" w:type="dxa"/>
            </w:tcMar>
            <w:vAlign w:val="center"/>
            <w:hideMark/>
          </w:tcPr>
          <w:p w:rsidR="003C6840" w:rsidRPr="003C6840" w:rsidRDefault="003C6840" w:rsidP="003C6840">
            <w:pPr>
              <w:spacing w:before="45" w:after="375" w:line="240" w:lineRule="auto"/>
              <w:rPr>
                <w:rFonts w:ascii="Arial" w:eastAsia="Times New Roman" w:hAnsi="Arial" w:cs="Arial"/>
                <w:b/>
                <w:bCs/>
                <w:color w:val="FFFFFF"/>
                <w:lang w:eastAsia="en-GB"/>
              </w:rPr>
            </w:pPr>
            <w:r w:rsidRPr="003C6840">
              <w:rPr>
                <w:rFonts w:ascii="Arial" w:eastAsia="Times New Roman" w:hAnsi="Arial" w:cs="Arial"/>
                <w:b/>
                <w:bCs/>
                <w:color w:val="FFFFFF"/>
                <w:lang w:eastAsia="en-GB"/>
              </w:rPr>
              <w:t>CITATION</w:t>
            </w:r>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FFFFFF"/>
            <w:tcMar>
              <w:top w:w="150" w:type="dxa"/>
              <w:left w:w="150" w:type="dxa"/>
              <w:bottom w:w="150" w:type="dxa"/>
              <w:right w:w="150" w:type="dxa"/>
            </w:tcMar>
            <w:vAlign w:val="center"/>
            <w:hideMark/>
          </w:tcPr>
          <w:p w:rsidR="003C6840" w:rsidRPr="003C6840" w:rsidRDefault="003C6840" w:rsidP="003C6840">
            <w:pPr>
              <w:spacing w:before="45" w:after="375" w:line="240" w:lineRule="auto"/>
              <w:rPr>
                <w:rFonts w:ascii="Arial" w:eastAsia="Times New Roman" w:hAnsi="Arial" w:cs="Arial"/>
                <w:lang w:eastAsia="en-GB"/>
              </w:rPr>
            </w:pPr>
            <w:r w:rsidRPr="003C6840">
              <w:rPr>
                <w:rFonts w:ascii="Arial" w:eastAsia="Times New Roman" w:hAnsi="Arial" w:cs="Arial"/>
                <w:lang w:eastAsia="en-GB"/>
              </w:rPr>
              <w:t>[2017] UKSC 67</w:t>
            </w:r>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2CBCEE"/>
            <w:tcMar>
              <w:top w:w="150" w:type="dxa"/>
              <w:left w:w="150" w:type="dxa"/>
              <w:bottom w:w="150" w:type="dxa"/>
              <w:right w:w="150" w:type="dxa"/>
            </w:tcMar>
            <w:vAlign w:val="center"/>
            <w:hideMark/>
          </w:tcPr>
          <w:p w:rsidR="003C6840" w:rsidRPr="003C6840" w:rsidRDefault="003C6840" w:rsidP="003C6840">
            <w:pPr>
              <w:spacing w:before="45" w:after="375" w:line="240" w:lineRule="auto"/>
              <w:rPr>
                <w:rFonts w:ascii="Arial" w:eastAsia="Times New Roman" w:hAnsi="Arial" w:cs="Arial"/>
                <w:b/>
                <w:bCs/>
                <w:color w:val="FFFFFF"/>
                <w:lang w:eastAsia="en-GB"/>
              </w:rPr>
            </w:pPr>
            <w:r w:rsidRPr="003C6840">
              <w:rPr>
                <w:rFonts w:ascii="Arial" w:eastAsia="Times New Roman" w:hAnsi="Arial" w:cs="Arial"/>
                <w:b/>
                <w:bCs/>
                <w:color w:val="FFFFFF"/>
                <w:lang w:eastAsia="en-GB"/>
              </w:rPr>
              <w:t>COURT</w:t>
            </w:r>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FFFFFF"/>
            <w:tcMar>
              <w:top w:w="150" w:type="dxa"/>
              <w:left w:w="150" w:type="dxa"/>
              <w:bottom w:w="150" w:type="dxa"/>
              <w:right w:w="150" w:type="dxa"/>
            </w:tcMar>
            <w:vAlign w:val="center"/>
            <w:hideMark/>
          </w:tcPr>
          <w:p w:rsidR="003C6840" w:rsidRPr="003C6840" w:rsidRDefault="003C6840" w:rsidP="003C6840">
            <w:pPr>
              <w:spacing w:before="45" w:after="375" w:line="240" w:lineRule="auto"/>
              <w:rPr>
                <w:rFonts w:ascii="Arial" w:eastAsia="Times New Roman" w:hAnsi="Arial" w:cs="Arial"/>
                <w:lang w:eastAsia="en-GB"/>
              </w:rPr>
            </w:pPr>
            <w:r w:rsidRPr="003C6840">
              <w:rPr>
                <w:rFonts w:ascii="Arial" w:eastAsia="Times New Roman" w:hAnsi="Arial" w:cs="Arial"/>
                <w:lang w:eastAsia="en-GB"/>
              </w:rPr>
              <w:t>United Kingdom Supreme Court</w:t>
            </w:r>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2CBCEE"/>
            <w:tcMar>
              <w:top w:w="150" w:type="dxa"/>
              <w:left w:w="150" w:type="dxa"/>
              <w:bottom w:w="150" w:type="dxa"/>
              <w:right w:w="150" w:type="dxa"/>
            </w:tcMar>
            <w:vAlign w:val="center"/>
            <w:hideMark/>
          </w:tcPr>
          <w:p w:rsidR="003C6840" w:rsidRPr="003C6840" w:rsidRDefault="003C6840" w:rsidP="003C6840">
            <w:pPr>
              <w:spacing w:before="45" w:after="375" w:line="240" w:lineRule="auto"/>
              <w:rPr>
                <w:rFonts w:ascii="Arial" w:eastAsia="Times New Roman" w:hAnsi="Arial" w:cs="Arial"/>
                <w:b/>
                <w:bCs/>
                <w:color w:val="FFFFFF"/>
                <w:lang w:eastAsia="en-GB"/>
              </w:rPr>
            </w:pPr>
            <w:r w:rsidRPr="003C6840">
              <w:rPr>
                <w:rFonts w:ascii="Arial" w:eastAsia="Times New Roman" w:hAnsi="Arial" w:cs="Arial"/>
                <w:b/>
                <w:bCs/>
                <w:color w:val="FFFFFF"/>
                <w:lang w:eastAsia="en-GB"/>
              </w:rPr>
              <w:t>SUMMARY</w:t>
            </w:r>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FFFFFF"/>
            <w:tcMar>
              <w:top w:w="150" w:type="dxa"/>
              <w:left w:w="150" w:type="dxa"/>
              <w:bottom w:w="150" w:type="dxa"/>
              <w:right w:w="150" w:type="dxa"/>
            </w:tcMar>
            <w:vAlign w:val="center"/>
            <w:hideMark/>
          </w:tcPr>
          <w:p w:rsidR="003C6840" w:rsidRPr="003C6840" w:rsidRDefault="003C6840" w:rsidP="003C6840">
            <w:pPr>
              <w:spacing w:before="100" w:beforeAutospacing="1" w:after="100" w:afterAutospacing="1" w:line="240" w:lineRule="auto"/>
              <w:rPr>
                <w:rFonts w:ascii="Arial" w:eastAsia="Times New Roman" w:hAnsi="Arial" w:cs="Arial"/>
                <w:lang w:eastAsia="en-GB"/>
              </w:rPr>
            </w:pPr>
            <w:r w:rsidRPr="003C6840">
              <w:rPr>
                <w:rFonts w:ascii="Arial" w:eastAsia="Times New Roman" w:hAnsi="Arial" w:cs="Arial"/>
                <w:lang w:eastAsia="en-GB"/>
              </w:rPr>
              <w:t>V was a professional gambler. Over two days in August 2012, he used a highly specialist technique called 'edge-sorting' at the respondent casino (the casino) while playing a card game known as 'Punto Banco Baccarat', which had the effect of greatly improving his chances of winning. He had also had the help of another professional gambler, C. Over the two days, V won a total of approximately £7.7m. The casino considered that what V had done amounted to cheating and it declined to pay him his winnings. V contended that he had not cheated, but had deployed a perfectly legitimate advantage.</w:t>
            </w:r>
          </w:p>
          <w:p w:rsidR="003C6840" w:rsidRPr="003C6840" w:rsidRDefault="003C6840" w:rsidP="003C6840">
            <w:pPr>
              <w:spacing w:before="100" w:beforeAutospacing="1" w:after="100" w:afterAutospacing="1" w:line="240" w:lineRule="auto"/>
              <w:rPr>
                <w:rFonts w:ascii="Arial" w:eastAsia="Times New Roman" w:hAnsi="Arial" w:cs="Arial"/>
                <w:lang w:eastAsia="en-GB"/>
              </w:rPr>
            </w:pPr>
            <w:r w:rsidRPr="003C6840">
              <w:rPr>
                <w:rFonts w:ascii="Arial" w:eastAsia="Times New Roman" w:hAnsi="Arial" w:cs="Arial"/>
                <w:lang w:eastAsia="en-GB"/>
              </w:rPr>
              <w:t>The High Court held that V's use of edge-sorting amounted to cheating. The Court of Appeal, Civil Division, upheld that finding.</w:t>
            </w:r>
          </w:p>
          <w:p w:rsidR="003C6840" w:rsidRPr="003C6840" w:rsidRDefault="003C6840" w:rsidP="003C6840">
            <w:pPr>
              <w:spacing w:before="100" w:beforeAutospacing="1" w:after="100" w:afterAutospacing="1" w:line="240" w:lineRule="auto"/>
              <w:rPr>
                <w:rFonts w:ascii="Arial" w:eastAsia="Times New Roman" w:hAnsi="Arial" w:cs="Arial"/>
                <w:lang w:eastAsia="en-GB"/>
              </w:rPr>
            </w:pPr>
            <w:r w:rsidRPr="003C6840">
              <w:rPr>
                <w:rFonts w:ascii="Arial" w:eastAsia="Times New Roman" w:hAnsi="Arial" w:cs="Arial"/>
                <w:lang w:eastAsia="en-GB"/>
              </w:rPr>
              <w:t>V appealed.</w:t>
            </w:r>
          </w:p>
          <w:p w:rsidR="003C6840" w:rsidRPr="003C6840" w:rsidRDefault="003C6840" w:rsidP="003C6840">
            <w:pPr>
              <w:spacing w:before="100" w:beforeAutospacing="1" w:after="100" w:afterAutospacing="1" w:line="240" w:lineRule="auto"/>
              <w:rPr>
                <w:rFonts w:ascii="Arial" w:eastAsia="Times New Roman" w:hAnsi="Arial" w:cs="Arial"/>
                <w:lang w:eastAsia="en-GB"/>
              </w:rPr>
            </w:pPr>
            <w:r w:rsidRPr="003C6840">
              <w:rPr>
                <w:rFonts w:ascii="Arial" w:eastAsia="Times New Roman" w:hAnsi="Arial" w:cs="Arial"/>
                <w:b/>
                <w:bCs/>
                <w:lang w:eastAsia="en-GB"/>
              </w:rPr>
              <w:t>Held</w:t>
            </w:r>
          </w:p>
          <w:p w:rsidR="003C6840" w:rsidRPr="003C6840" w:rsidRDefault="003C6840" w:rsidP="003C6840">
            <w:pPr>
              <w:spacing w:before="100" w:beforeAutospacing="1" w:after="100" w:afterAutospacing="1" w:line="240" w:lineRule="auto"/>
              <w:rPr>
                <w:rFonts w:ascii="Arial" w:eastAsia="Times New Roman" w:hAnsi="Arial" w:cs="Arial"/>
                <w:lang w:eastAsia="en-GB"/>
              </w:rPr>
            </w:pPr>
            <w:r w:rsidRPr="003C6840">
              <w:rPr>
                <w:rFonts w:ascii="Arial" w:eastAsia="Times New Roman" w:hAnsi="Arial" w:cs="Arial"/>
                <w:lang w:eastAsia="en-GB"/>
              </w:rPr>
              <w:t>Appeal dismissed.</w:t>
            </w:r>
          </w:p>
          <w:p w:rsidR="003C6840" w:rsidRPr="003C6840" w:rsidRDefault="003C6840" w:rsidP="003C6840">
            <w:pPr>
              <w:spacing w:before="100" w:beforeAutospacing="1" w:after="100" w:afterAutospacing="1" w:line="240" w:lineRule="auto"/>
              <w:rPr>
                <w:rFonts w:ascii="Arial" w:eastAsia="Times New Roman" w:hAnsi="Arial" w:cs="Arial"/>
                <w:lang w:eastAsia="en-GB"/>
              </w:rPr>
            </w:pPr>
            <w:r w:rsidRPr="003C6840">
              <w:rPr>
                <w:rFonts w:ascii="Arial" w:eastAsia="Times New Roman" w:hAnsi="Arial" w:cs="Arial"/>
                <w:lang w:eastAsia="en-GB"/>
              </w:rPr>
              <w:lastRenderedPageBreak/>
              <w:t>The appeal raised questions about the meaning of the concept of 'cheating' at gambling and the relevance of dishonesty to that concept. The court considered whether the concept of cheating at gambling included an additional legal element of dishonesty. The casino submitted that V had committed an offence, under section 42 of the Gambling Act 2005, and that, consequently, he could not recover the proceeds of his alleged criminal offence. It was common ground that the contact for betting into which the parties entered, was subject to an implied term, namely that neither party will cheat. V submitted that the test for cheating was the same for the implied term as for section 42 of the Gambling Act 2005, namely that cheating necessarily involved dishonesty.</w:t>
            </w:r>
          </w:p>
          <w:p w:rsidR="003C6840" w:rsidRPr="003C6840" w:rsidRDefault="003C6840" w:rsidP="003C6840">
            <w:pPr>
              <w:spacing w:before="100" w:beforeAutospacing="1" w:after="0" w:afterAutospacing="1" w:line="240" w:lineRule="auto"/>
              <w:rPr>
                <w:rFonts w:ascii="Arial" w:eastAsia="Times New Roman" w:hAnsi="Arial" w:cs="Arial"/>
                <w:lang w:eastAsia="en-GB"/>
              </w:rPr>
            </w:pPr>
            <w:r w:rsidRPr="003C6840">
              <w:rPr>
                <w:rFonts w:ascii="Arial" w:eastAsia="Times New Roman" w:hAnsi="Arial" w:cs="Arial"/>
                <w:lang w:eastAsia="en-GB"/>
              </w:rPr>
              <w:t xml:space="preserve">The court considered the correct test for dishonesty, if such was an essential element of cheating. In particular, it considered the second stage of the two-stage test set out in </w:t>
            </w:r>
            <w:hyperlink r:id="rId8" w:history="1">
              <w:r w:rsidRPr="003C6840">
                <w:rPr>
                  <w:rFonts w:ascii="Arial" w:eastAsia="Times New Roman" w:hAnsi="Arial" w:cs="Arial"/>
                  <w:color w:val="2EBCEC"/>
                  <w:lang w:eastAsia="en-GB"/>
                </w:rPr>
                <w:t>R v Ghosh 1982</w:t>
              </w:r>
            </w:hyperlink>
            <w:r w:rsidRPr="003C6840">
              <w:rPr>
                <w:rFonts w:ascii="Arial" w:eastAsia="Times New Roman" w:hAnsi="Arial" w:cs="Arial"/>
                <w:lang w:eastAsia="en-GB"/>
              </w:rPr>
              <w:t xml:space="preserve"> (Ghosh), which asked whether the defendant must have realised that ordinary honest people would regard his behaviour as being dishonest. The cases of Barlow Clowes International Ltd (in liq) v Eurotrust International Ltd [2006] 1 All ER 333 and Royal Brunei Airlines Sdn Bhd v Tan [1995] 3 All ER 97 were also considered, along with section 2 of the Theft Act 1968.</w:t>
            </w:r>
          </w:p>
          <w:p w:rsidR="003C6840" w:rsidRPr="003C6840" w:rsidRDefault="003C6840" w:rsidP="003C6840">
            <w:pPr>
              <w:spacing w:before="100" w:beforeAutospacing="1" w:after="100" w:afterAutospacing="1" w:line="240" w:lineRule="auto"/>
              <w:rPr>
                <w:rFonts w:ascii="Arial" w:eastAsia="Times New Roman" w:hAnsi="Arial" w:cs="Arial"/>
                <w:lang w:eastAsia="en-GB"/>
              </w:rPr>
            </w:pPr>
            <w:r w:rsidRPr="003C6840">
              <w:rPr>
                <w:rFonts w:ascii="Arial" w:eastAsia="Times New Roman" w:hAnsi="Arial" w:cs="Arial"/>
                <w:lang w:eastAsia="en-GB"/>
              </w:rPr>
              <w:t>The second leg of the test propounded in Ghosh did not correctly represent the law and directions based upon it ought no longer to be given. There were a number of serious problems about the second leg of the rule adopted in Ghosh. The principal objection was that the less the defendant's standards conformed to what society in general expected, the less likely he was to be held criminally responsible for his behaviour. There was no reason why the law should excuse those who made a mistake about what contemporary standards of honesty were. On the contrary, it was an important, even crucial, function of the criminal law to determine what was criminal and what was not; its purpose was to set the standards of behaviour which were acceptable.</w:t>
            </w:r>
          </w:p>
          <w:p w:rsidR="003C6840" w:rsidRPr="003C6840" w:rsidRDefault="003C6840" w:rsidP="003C6840">
            <w:pPr>
              <w:spacing w:before="100" w:beforeAutospacing="1" w:after="100" w:afterAutospacing="1" w:line="240" w:lineRule="auto"/>
              <w:rPr>
                <w:rFonts w:ascii="Arial" w:eastAsia="Times New Roman" w:hAnsi="Arial" w:cs="Arial"/>
                <w:lang w:eastAsia="en-GB"/>
              </w:rPr>
            </w:pPr>
            <w:r w:rsidRPr="003C6840">
              <w:rPr>
                <w:rFonts w:ascii="Arial" w:eastAsia="Times New Roman" w:hAnsi="Arial" w:cs="Arial"/>
                <w:lang w:eastAsia="en-GB"/>
              </w:rPr>
              <w:t>The test of dishonesty was as set out by Lord Nicholls in Royal Brunei Airlines and by Lord Hoffmann in Barlow Clowes. When dishonesty was in question, the fact-finding tribunal had to first ascertain (subjectively) the actual state of the individual's knowledge or belief as to the facts. The reasonableness or otherwise of his belief was a matter of evidence (often in practice determinative) going to whether he had held the belief, but it was not an additional requirement that his belief had to be reasonable. The question was whether it had been genuinely held. Once his actual state of mind as to knowledge or belief as to facts was established, the question whether his conduct had been honest or dishonest was to be determined by the fact-finder by applying the (objective) standards of ordinary decent people. There was no requirement that the defendant had to appreciate that what he had done was, by those standards, dishonest.</w:t>
            </w:r>
          </w:p>
          <w:p w:rsidR="003C6840" w:rsidRPr="003C6840" w:rsidRDefault="003C6840" w:rsidP="003C6840">
            <w:pPr>
              <w:spacing w:before="100" w:beforeAutospacing="1" w:after="100" w:afterAutospacing="1" w:line="240" w:lineRule="auto"/>
              <w:rPr>
                <w:rFonts w:ascii="Arial" w:eastAsia="Times New Roman" w:hAnsi="Arial" w:cs="Arial"/>
                <w:lang w:eastAsia="en-GB"/>
              </w:rPr>
            </w:pPr>
            <w:r w:rsidRPr="003C6840">
              <w:rPr>
                <w:rFonts w:ascii="Arial" w:eastAsia="Times New Roman" w:hAnsi="Arial" w:cs="Arial"/>
                <w:lang w:eastAsia="en-GB"/>
              </w:rPr>
              <w:t xml:space="preserve">In the present case, the judge's conclusion that V's actions had amounted to cheating was unassailable. It was an essential element of Punto Banco that the game was one of pure chance, with cards delivered entirely at random and unknowable by the punters or the house. What V had done had been to execute a carefully planned and executed sting. It might be that it would not be cheating if a player had spotted that some cards had a detectably different back from others, and had taken advantage of that observation. However, V had done much more than observe; he had taken positive steps to fix the deck. That, in a game which depended on random delivery of unknown cards, was inevitably cheating. The issue of whether what had been done amounted to cheating, given the nature and rules of the game concerned, had been a jury question. The judge had applied himself to the question of whether there had been cheating in exactly that jury manner. He had directed himself that it was ultimately for the court to decide whether the conduct amounted to cheating and that the standard was objective. </w:t>
            </w:r>
            <w:r w:rsidRPr="003C6840">
              <w:rPr>
                <w:rFonts w:ascii="Arial" w:eastAsia="Times New Roman" w:hAnsi="Arial" w:cs="Arial"/>
                <w:lang w:eastAsia="en-GB"/>
              </w:rPr>
              <w:lastRenderedPageBreak/>
              <w:t>In so directing himself he had been right. In any event, the facts which the judge had found amounted to a deception of the croupier. Accordingly, if, contrary to the conclusions arrived at, there were, in cheating at gambling, an additional legal element of dishonesty, it would have been satisfied by the application of the test set out above.</w:t>
            </w:r>
          </w:p>
          <w:p w:rsidR="003C6840" w:rsidRPr="003C6840" w:rsidRDefault="003C6840" w:rsidP="003C6840">
            <w:pPr>
              <w:spacing w:before="100" w:beforeAutospacing="1" w:after="100" w:afterAutospacing="1" w:line="240" w:lineRule="auto"/>
              <w:jc w:val="center"/>
              <w:rPr>
                <w:rFonts w:ascii="Arial" w:eastAsia="Times New Roman" w:hAnsi="Arial" w:cs="Arial"/>
                <w:lang w:eastAsia="en-GB"/>
              </w:rPr>
            </w:pPr>
            <w:r w:rsidRPr="003C6840">
              <w:rPr>
                <w:rFonts w:ascii="Arial" w:eastAsia="Times New Roman" w:hAnsi="Arial" w:cs="Arial"/>
                <w:b/>
                <w:bCs/>
                <w:lang w:eastAsia="en-GB"/>
              </w:rPr>
              <w:t>Reproduced with permission of Reed Elsevier (UK) Limited, trading as LexisNexis</w:t>
            </w:r>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2CBCEE"/>
            <w:tcMar>
              <w:top w:w="150" w:type="dxa"/>
              <w:left w:w="150" w:type="dxa"/>
              <w:bottom w:w="150" w:type="dxa"/>
              <w:right w:w="150" w:type="dxa"/>
            </w:tcMar>
            <w:vAlign w:val="center"/>
            <w:hideMark/>
          </w:tcPr>
          <w:p w:rsidR="003C6840" w:rsidRPr="003C6840" w:rsidRDefault="003C6840" w:rsidP="003C6840">
            <w:pPr>
              <w:spacing w:after="0" w:line="240" w:lineRule="auto"/>
              <w:rPr>
                <w:rFonts w:ascii="Arial" w:eastAsia="Times New Roman" w:hAnsi="Arial" w:cs="Arial"/>
                <w:b/>
                <w:bCs/>
                <w:color w:val="FFFFFF"/>
                <w:lang w:eastAsia="en-GB"/>
              </w:rPr>
            </w:pPr>
            <w:r w:rsidRPr="003C6840">
              <w:rPr>
                <w:rFonts w:ascii="Arial" w:eastAsia="Times New Roman" w:hAnsi="Arial" w:cs="Arial"/>
                <w:b/>
                <w:bCs/>
                <w:color w:val="FFFFFF"/>
                <w:lang w:eastAsia="en-GB"/>
              </w:rPr>
              <w:lastRenderedPageBreak/>
              <w:t>RELEVANT LEGAL TOPICS</w:t>
            </w:r>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FFFFFF"/>
            <w:tcMar>
              <w:top w:w="150" w:type="dxa"/>
              <w:left w:w="150" w:type="dxa"/>
              <w:bottom w:w="150" w:type="dxa"/>
              <w:right w:w="150" w:type="dxa"/>
            </w:tcMar>
            <w:vAlign w:val="center"/>
            <w:hideMark/>
          </w:tcPr>
          <w:p w:rsidR="003C6840" w:rsidRPr="003C6840" w:rsidRDefault="009C19A5" w:rsidP="003C6840">
            <w:pPr>
              <w:spacing w:after="0" w:line="240" w:lineRule="auto"/>
              <w:rPr>
                <w:rFonts w:ascii="Arial" w:eastAsia="Times New Roman" w:hAnsi="Arial" w:cs="Arial"/>
                <w:lang w:eastAsia="en-GB"/>
              </w:rPr>
            </w:pPr>
            <w:hyperlink r:id="rId9" w:history="1">
              <w:r w:rsidR="003C6840" w:rsidRPr="003C6840">
                <w:rPr>
                  <w:rFonts w:ascii="Arial" w:eastAsia="Times New Roman" w:hAnsi="Arial" w:cs="Arial"/>
                  <w:color w:val="2EBCEC"/>
                  <w:lang w:eastAsia="en-GB"/>
                </w:rPr>
                <w:t>Theft Act 1968 - dishonesty</w:t>
              </w:r>
            </w:hyperlink>
            <w:r w:rsidR="003C6840" w:rsidRPr="003C6840">
              <w:rPr>
                <w:rFonts w:ascii="Arial" w:eastAsia="Times New Roman" w:hAnsi="Arial" w:cs="Arial"/>
                <w:lang w:eastAsia="en-GB"/>
              </w:rPr>
              <w:br/>
            </w:r>
            <w:hyperlink r:id="rId10" w:history="1">
              <w:r w:rsidR="003C6840" w:rsidRPr="003C6840">
                <w:rPr>
                  <w:rFonts w:ascii="Arial" w:eastAsia="Times New Roman" w:hAnsi="Arial" w:cs="Arial"/>
                  <w:color w:val="2EBCEC"/>
                  <w:lang w:eastAsia="en-GB"/>
                </w:rPr>
                <w:t>Gambling Act 2005 - Cheating</w:t>
              </w:r>
            </w:hyperlink>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2CBCEE"/>
            <w:tcMar>
              <w:top w:w="150" w:type="dxa"/>
              <w:left w:w="150" w:type="dxa"/>
              <w:bottom w:w="150" w:type="dxa"/>
              <w:right w:w="150" w:type="dxa"/>
            </w:tcMar>
            <w:vAlign w:val="center"/>
            <w:hideMark/>
          </w:tcPr>
          <w:p w:rsidR="003C6840" w:rsidRPr="003C6840" w:rsidRDefault="003C6840" w:rsidP="003C6840">
            <w:pPr>
              <w:spacing w:after="0" w:line="240" w:lineRule="auto"/>
              <w:rPr>
                <w:rFonts w:ascii="Arial" w:eastAsia="Times New Roman" w:hAnsi="Arial" w:cs="Arial"/>
                <w:b/>
                <w:bCs/>
                <w:color w:val="FFFFFF"/>
                <w:lang w:eastAsia="en-GB"/>
              </w:rPr>
            </w:pPr>
            <w:r w:rsidRPr="003C6840">
              <w:rPr>
                <w:rFonts w:ascii="Arial" w:eastAsia="Times New Roman" w:hAnsi="Arial" w:cs="Arial"/>
                <w:b/>
                <w:bCs/>
                <w:color w:val="FFFFFF"/>
                <w:lang w:eastAsia="en-GB"/>
              </w:rPr>
              <w:t>RELATED MATERIAL</w:t>
            </w:r>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FFFFFF"/>
            <w:tcMar>
              <w:top w:w="150" w:type="dxa"/>
              <w:left w:w="150" w:type="dxa"/>
              <w:bottom w:w="150" w:type="dxa"/>
              <w:right w:w="150" w:type="dxa"/>
            </w:tcMar>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26"/>
            </w:tblGrid>
            <w:tr w:rsidR="003C6840" w:rsidRPr="003C6840">
              <w:trPr>
                <w:tblCellSpacing w:w="15" w:type="dxa"/>
              </w:trPr>
              <w:tc>
                <w:tcPr>
                  <w:tcW w:w="0" w:type="auto"/>
                  <w:tcBorders>
                    <w:top w:val="nil"/>
                    <w:left w:val="nil"/>
                    <w:bottom w:val="nil"/>
                    <w:right w:val="nil"/>
                  </w:tcBorders>
                  <w:shd w:val="clear" w:color="auto" w:fill="FFFFFF"/>
                  <w:vAlign w:val="center"/>
                  <w:hideMark/>
                </w:tcPr>
                <w:p w:rsidR="003C6840" w:rsidRPr="003C6840" w:rsidRDefault="009C19A5" w:rsidP="003C6840">
                  <w:pPr>
                    <w:spacing w:after="0" w:line="240" w:lineRule="auto"/>
                    <w:rPr>
                      <w:rFonts w:ascii="Arial" w:eastAsia="Times New Roman" w:hAnsi="Arial" w:cs="Arial"/>
                      <w:lang w:eastAsia="en-GB"/>
                    </w:rPr>
                  </w:pPr>
                  <w:hyperlink r:id="rId11" w:history="1">
                    <w:r w:rsidR="003C6840" w:rsidRPr="003C6840">
                      <w:rPr>
                        <w:rFonts w:ascii="Arial" w:eastAsia="Times New Roman" w:hAnsi="Arial" w:cs="Arial"/>
                        <w:color w:val="2EBCEC"/>
                        <w:lang w:eastAsia="en-GB"/>
                      </w:rPr>
                      <w:t>2 dishonesty</w:t>
                    </w:r>
                  </w:hyperlink>
                </w:p>
              </w:tc>
            </w:tr>
            <w:tr w:rsidR="003C6840" w:rsidRPr="003C6840">
              <w:trPr>
                <w:tblCellSpacing w:w="15" w:type="dxa"/>
              </w:trPr>
              <w:tc>
                <w:tcPr>
                  <w:tcW w:w="0" w:type="auto"/>
                  <w:tcBorders>
                    <w:top w:val="nil"/>
                    <w:left w:val="nil"/>
                    <w:bottom w:val="nil"/>
                    <w:right w:val="nil"/>
                  </w:tcBorders>
                  <w:shd w:val="clear" w:color="auto" w:fill="FFFFFF"/>
                  <w:vAlign w:val="center"/>
                  <w:hideMark/>
                </w:tcPr>
                <w:p w:rsidR="003C6840" w:rsidRPr="003C6840" w:rsidRDefault="009C19A5" w:rsidP="003C6840">
                  <w:pPr>
                    <w:spacing w:after="0" w:line="240" w:lineRule="auto"/>
                    <w:rPr>
                      <w:rFonts w:ascii="Arial" w:eastAsia="Times New Roman" w:hAnsi="Arial" w:cs="Arial"/>
                      <w:lang w:eastAsia="en-GB"/>
                    </w:rPr>
                  </w:pPr>
                  <w:hyperlink r:id="rId12" w:history="1">
                    <w:r w:rsidR="003C6840" w:rsidRPr="003C6840">
                      <w:rPr>
                        <w:rFonts w:ascii="Arial" w:eastAsia="Times New Roman" w:hAnsi="Arial" w:cs="Arial"/>
                        <w:color w:val="2EBCEC"/>
                        <w:lang w:eastAsia="en-GB"/>
                      </w:rPr>
                      <w:t>42 Cheating</w:t>
                    </w:r>
                  </w:hyperlink>
                </w:p>
              </w:tc>
            </w:tr>
          </w:tbl>
          <w:p w:rsidR="003C6840" w:rsidRPr="003C6840" w:rsidRDefault="003C6840" w:rsidP="003C6840">
            <w:pPr>
              <w:spacing w:after="0" w:line="240" w:lineRule="auto"/>
              <w:rPr>
                <w:rFonts w:ascii="Arial" w:eastAsia="Times New Roman" w:hAnsi="Arial" w:cs="Arial"/>
                <w:lang w:eastAsia="en-GB"/>
              </w:rPr>
            </w:pPr>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2CBCEE"/>
            <w:tcMar>
              <w:top w:w="150" w:type="dxa"/>
              <w:left w:w="150" w:type="dxa"/>
              <w:bottom w:w="150" w:type="dxa"/>
              <w:right w:w="150" w:type="dxa"/>
            </w:tcMar>
            <w:vAlign w:val="center"/>
            <w:hideMark/>
          </w:tcPr>
          <w:p w:rsidR="003C6840" w:rsidRPr="003C6840" w:rsidRDefault="003C6840" w:rsidP="003C6840">
            <w:pPr>
              <w:spacing w:after="0" w:line="240" w:lineRule="auto"/>
              <w:rPr>
                <w:rFonts w:ascii="Arial" w:eastAsia="Times New Roman" w:hAnsi="Arial" w:cs="Arial"/>
                <w:b/>
                <w:bCs/>
                <w:color w:val="FFFFFF"/>
                <w:lang w:eastAsia="en-GB"/>
              </w:rPr>
            </w:pPr>
            <w:r w:rsidRPr="003C6840">
              <w:rPr>
                <w:rFonts w:ascii="Arial" w:eastAsia="Times New Roman" w:hAnsi="Arial" w:cs="Arial"/>
                <w:b/>
                <w:bCs/>
                <w:color w:val="FFFFFF"/>
                <w:lang w:eastAsia="en-GB"/>
              </w:rPr>
              <w:t>NATIONAL REGION</w:t>
            </w:r>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FFFFFF"/>
            <w:tcMar>
              <w:top w:w="150" w:type="dxa"/>
              <w:left w:w="150" w:type="dxa"/>
              <w:bottom w:w="150" w:type="dxa"/>
              <w:right w:w="150" w:type="dxa"/>
            </w:tcMar>
            <w:vAlign w:val="center"/>
            <w:hideMark/>
          </w:tcPr>
          <w:p w:rsidR="003C6840" w:rsidRPr="003C6840" w:rsidRDefault="003C6840" w:rsidP="003C6840">
            <w:pPr>
              <w:spacing w:after="0" w:line="240" w:lineRule="auto"/>
              <w:rPr>
                <w:rFonts w:ascii="Arial" w:eastAsia="Times New Roman" w:hAnsi="Arial" w:cs="Arial"/>
                <w:lang w:eastAsia="en-GB"/>
              </w:rPr>
            </w:pPr>
            <w:r w:rsidRPr="003C6840">
              <w:rPr>
                <w:rFonts w:ascii="Arial" w:eastAsia="Times New Roman" w:hAnsi="Arial" w:cs="Arial"/>
                <w:lang w:eastAsia="en-GB"/>
              </w:rPr>
              <w:t>England and Wales</w:t>
            </w:r>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2CBCEE"/>
            <w:tcMar>
              <w:top w:w="150" w:type="dxa"/>
              <w:left w:w="150" w:type="dxa"/>
              <w:bottom w:w="150" w:type="dxa"/>
              <w:right w:w="150" w:type="dxa"/>
            </w:tcMar>
            <w:vAlign w:val="center"/>
            <w:hideMark/>
          </w:tcPr>
          <w:p w:rsidR="003C6840" w:rsidRPr="003C6840" w:rsidRDefault="003C6840" w:rsidP="003C6840">
            <w:pPr>
              <w:spacing w:after="0" w:line="240" w:lineRule="auto"/>
              <w:rPr>
                <w:rFonts w:ascii="Arial" w:eastAsia="Times New Roman" w:hAnsi="Arial" w:cs="Arial"/>
                <w:b/>
                <w:bCs/>
                <w:color w:val="FFFFFF"/>
                <w:lang w:eastAsia="en-GB"/>
              </w:rPr>
            </w:pPr>
            <w:r w:rsidRPr="003C6840">
              <w:rPr>
                <w:rFonts w:ascii="Arial" w:eastAsia="Times New Roman" w:hAnsi="Arial" w:cs="Arial"/>
                <w:b/>
                <w:bCs/>
                <w:color w:val="FFFFFF"/>
                <w:lang w:eastAsia="en-GB"/>
              </w:rPr>
              <w:t xml:space="preserve">Date Of Last Update </w:t>
            </w:r>
          </w:p>
        </w:tc>
      </w:tr>
      <w:tr w:rsidR="003C6840" w:rsidRPr="003C6840" w:rsidTr="003C6840">
        <w:trPr>
          <w:tblCellSpacing w:w="15" w:type="dxa"/>
        </w:trPr>
        <w:tc>
          <w:tcPr>
            <w:tcW w:w="0" w:type="auto"/>
            <w:tcBorders>
              <w:top w:val="single" w:sz="6" w:space="0" w:color="2CBCEE"/>
              <w:left w:val="single" w:sz="6" w:space="0" w:color="2CBCEE"/>
              <w:bottom w:val="single" w:sz="6" w:space="0" w:color="2CBCEE"/>
              <w:right w:val="single" w:sz="6" w:space="0" w:color="2CBCEE"/>
            </w:tcBorders>
            <w:shd w:val="clear" w:color="auto" w:fill="FFFFFF"/>
            <w:tcMar>
              <w:top w:w="150" w:type="dxa"/>
              <w:left w:w="150" w:type="dxa"/>
              <w:bottom w:w="150" w:type="dxa"/>
              <w:right w:w="150" w:type="dxa"/>
            </w:tcMar>
            <w:vAlign w:val="center"/>
            <w:hideMark/>
          </w:tcPr>
          <w:p w:rsidR="003C6840" w:rsidRPr="003C6840" w:rsidRDefault="003C6840" w:rsidP="003C6840">
            <w:pPr>
              <w:spacing w:after="0" w:line="240" w:lineRule="auto"/>
              <w:rPr>
                <w:rFonts w:ascii="Arial" w:eastAsia="Times New Roman" w:hAnsi="Arial" w:cs="Arial"/>
                <w:lang w:eastAsia="en-GB"/>
              </w:rPr>
            </w:pPr>
            <w:r w:rsidRPr="003C6840">
              <w:rPr>
                <w:rFonts w:ascii="Arial" w:eastAsia="Times New Roman" w:hAnsi="Arial" w:cs="Arial"/>
                <w:lang w:eastAsia="en-GB"/>
              </w:rPr>
              <w:t>30 October 2017</w:t>
            </w:r>
          </w:p>
        </w:tc>
      </w:tr>
    </w:tbl>
    <w:p w:rsidR="00B42F2E" w:rsidRPr="003C6840" w:rsidRDefault="009C19A5">
      <w:pPr>
        <w:rPr>
          <w:rFonts w:ascii="Arial" w:hAnsi="Arial" w:cs="Arial"/>
        </w:rPr>
      </w:pPr>
    </w:p>
    <w:sectPr w:rsidR="00B42F2E" w:rsidRPr="003C6840" w:rsidSect="003C6840">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6840" w:rsidRDefault="003C6840" w:rsidP="003C6840">
      <w:pPr>
        <w:spacing w:after="0" w:line="240" w:lineRule="auto"/>
      </w:pPr>
      <w:r>
        <w:separator/>
      </w:r>
    </w:p>
  </w:endnote>
  <w:endnote w:type="continuationSeparator" w:id="0">
    <w:p w:rsidR="003C6840" w:rsidRDefault="003C6840" w:rsidP="003C6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17D7" w:rsidRDefault="00ED17D7" w:rsidP="00ED17D7">
    <w:pPr>
      <w:pStyle w:val="Footer"/>
      <w:rPr>
        <w:color w:val="000000"/>
        <w:sz w:val="17"/>
      </w:rPr>
    </w:pPr>
    <w:bookmarkStart w:id="3" w:name="TITUS1FooterEvenPages"/>
    <w:r w:rsidRPr="00ED17D7">
      <w:rPr>
        <w:color w:val="000000"/>
        <w:sz w:val="17"/>
      </w:rPr>
      <w:t> </w:t>
    </w:r>
  </w:p>
  <w:bookmarkEnd w:id="3"/>
  <w:p w:rsidR="00ED17D7" w:rsidRDefault="00ED17D7" w:rsidP="00ED17D7">
    <w:pPr>
      <w:pStyle w:val="Footer"/>
    </w:pPr>
  </w:p>
  <w:p w:rsidR="003C6840" w:rsidRDefault="003C68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6840" w:rsidRDefault="00ED17D7" w:rsidP="00ED17D7">
    <w:pPr>
      <w:pStyle w:val="Footer"/>
      <w:rPr>
        <w:color w:val="000000"/>
        <w:sz w:val="17"/>
      </w:rPr>
    </w:pPr>
    <w:bookmarkStart w:id="4" w:name="TITUS1FooterPrimary"/>
    <w:r>
      <w:rPr>
        <w:color w:val="000000"/>
        <w:sz w:val="17"/>
      </w:rPr>
      <w:t> </w:t>
    </w:r>
  </w:p>
  <w:bookmarkEnd w:id="4"/>
  <w:p w:rsidR="003C6840" w:rsidRDefault="003C68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6840" w:rsidRDefault="00ED17D7" w:rsidP="00ED17D7">
    <w:pPr>
      <w:pStyle w:val="Footer"/>
      <w:rPr>
        <w:color w:val="000000"/>
        <w:sz w:val="17"/>
      </w:rPr>
    </w:pPr>
    <w:bookmarkStart w:id="6" w:name="TITUS1FooterFirstPage"/>
    <w:r>
      <w:rPr>
        <w:color w:val="000000"/>
        <w:sz w:val="17"/>
      </w:rPr>
      <w:t> </w:t>
    </w:r>
  </w:p>
  <w:bookmarkEnd w:id="6"/>
  <w:p w:rsidR="003C6840" w:rsidRDefault="003C6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6840" w:rsidRDefault="003C6840" w:rsidP="003C6840">
      <w:pPr>
        <w:spacing w:after="0" w:line="240" w:lineRule="auto"/>
      </w:pPr>
      <w:r>
        <w:separator/>
      </w:r>
    </w:p>
  </w:footnote>
  <w:footnote w:type="continuationSeparator" w:id="0">
    <w:p w:rsidR="003C6840" w:rsidRDefault="003C6840" w:rsidP="003C68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17D7" w:rsidRDefault="00ED17D7" w:rsidP="00ED17D7">
    <w:pPr>
      <w:pStyle w:val="Header"/>
      <w:rPr>
        <w:color w:val="000000"/>
        <w:sz w:val="17"/>
      </w:rPr>
    </w:pPr>
    <w:bookmarkStart w:id="1" w:name="TITUS1HeaderEvenPages"/>
    <w:r w:rsidRPr="00ED17D7">
      <w:rPr>
        <w:color w:val="000000"/>
        <w:sz w:val="17"/>
      </w:rPr>
      <w:t> </w:t>
    </w:r>
  </w:p>
  <w:bookmarkEnd w:id="1"/>
  <w:p w:rsidR="00ED17D7" w:rsidRDefault="00ED17D7" w:rsidP="00ED17D7">
    <w:pPr>
      <w:pStyle w:val="Header"/>
    </w:pPr>
  </w:p>
  <w:p w:rsidR="003C6840" w:rsidRDefault="003C68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6840" w:rsidRDefault="00ED17D7" w:rsidP="00ED17D7">
    <w:pPr>
      <w:pStyle w:val="Header"/>
      <w:rPr>
        <w:color w:val="000000"/>
        <w:sz w:val="17"/>
      </w:rPr>
    </w:pPr>
    <w:bookmarkStart w:id="2" w:name="TITUS1HeaderPrimary"/>
    <w:r>
      <w:rPr>
        <w:color w:val="000000"/>
        <w:sz w:val="17"/>
      </w:rPr>
      <w:t> </w:t>
    </w:r>
  </w:p>
  <w:bookmarkEnd w:id="2"/>
  <w:p w:rsidR="003C6840" w:rsidRDefault="003C68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6840" w:rsidRDefault="00ED17D7" w:rsidP="00ED17D7">
    <w:pPr>
      <w:pStyle w:val="Header"/>
      <w:rPr>
        <w:color w:val="000000"/>
        <w:sz w:val="17"/>
      </w:rPr>
    </w:pPr>
    <w:bookmarkStart w:id="5" w:name="TITUS1HeaderFirstPage"/>
    <w:r>
      <w:rPr>
        <w:color w:val="000000"/>
        <w:sz w:val="17"/>
      </w:rPr>
      <w:t> </w:t>
    </w:r>
  </w:p>
  <w:bookmarkEnd w:id="5"/>
  <w:p w:rsidR="003C6840" w:rsidRDefault="003C68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aOS8uZtJKNAWmIrszA8BE1eF+0H6scBUhIAu76Ku9iJIBY23ONCv7qx4crRr/ih8ILR4LAslZxWJRjXfgjgnkw==" w:salt="ueuPS+QrijqkC6iOh+T5fg=="/>
  <w:zoom w:percent="100"/>
  <w:documentProtection w:edit="readOnly" w:enforcement="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6840"/>
    <w:rsid w:val="003C6840"/>
    <w:rsid w:val="00862F62"/>
    <w:rsid w:val="009C19A5"/>
    <w:rsid w:val="00A21DB1"/>
    <w:rsid w:val="00ED1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5DDAF7CB-9802-47EC-B7D5-3CA359F73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6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840"/>
  </w:style>
  <w:style w:type="paragraph" w:styleId="Footer">
    <w:name w:val="footer"/>
    <w:basedOn w:val="Normal"/>
    <w:link w:val="FooterChar"/>
    <w:uiPriority w:val="99"/>
    <w:unhideWhenUsed/>
    <w:rsid w:val="003C6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8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0988530">
      <w:bodyDiv w:val="1"/>
      <w:marLeft w:val="0"/>
      <w:marRight w:val="0"/>
      <w:marTop w:val="0"/>
      <w:marBottom w:val="1500"/>
      <w:divBdr>
        <w:top w:val="none" w:sz="0" w:space="0" w:color="auto"/>
        <w:left w:val="none" w:sz="0" w:space="0" w:color="auto"/>
        <w:bottom w:val="none" w:sz="0" w:space="0" w:color="auto"/>
        <w:right w:val="none" w:sz="0" w:space="0" w:color="auto"/>
      </w:divBdr>
      <w:divsChild>
        <w:div w:id="1204292367">
          <w:marLeft w:val="0"/>
          <w:marRight w:val="0"/>
          <w:marTop w:val="0"/>
          <w:marBottom w:val="0"/>
          <w:divBdr>
            <w:top w:val="none" w:sz="0" w:space="0" w:color="auto"/>
            <w:left w:val="none" w:sz="0" w:space="0" w:color="auto"/>
            <w:bottom w:val="none" w:sz="0" w:space="0" w:color="auto"/>
            <w:right w:val="none" w:sz="0" w:space="0" w:color="auto"/>
          </w:divBdr>
          <w:divsChild>
            <w:div w:id="1434280221">
              <w:marLeft w:val="0"/>
              <w:marRight w:val="0"/>
              <w:marTop w:val="0"/>
              <w:marBottom w:val="0"/>
              <w:divBdr>
                <w:top w:val="none" w:sz="0" w:space="0" w:color="auto"/>
                <w:left w:val="none" w:sz="0" w:space="0" w:color="auto"/>
                <w:bottom w:val="none" w:sz="0" w:space="0" w:color="auto"/>
                <w:right w:val="none" w:sz="0" w:space="0" w:color="auto"/>
              </w:divBdr>
              <w:divsChild>
                <w:div w:id="498739462">
                  <w:marLeft w:val="0"/>
                  <w:marRight w:val="0"/>
                  <w:marTop w:val="0"/>
                  <w:marBottom w:val="0"/>
                  <w:divBdr>
                    <w:top w:val="none" w:sz="0" w:space="0" w:color="auto"/>
                    <w:left w:val="none" w:sz="0" w:space="0" w:color="auto"/>
                    <w:bottom w:val="none" w:sz="0" w:space="0" w:color="auto"/>
                    <w:right w:val="none" w:sz="0" w:space="0" w:color="auto"/>
                  </w:divBdr>
                  <w:divsChild>
                    <w:div w:id="821241626">
                      <w:marLeft w:val="0"/>
                      <w:marRight w:val="0"/>
                      <w:marTop w:val="0"/>
                      <w:marBottom w:val="0"/>
                      <w:divBdr>
                        <w:top w:val="none" w:sz="0" w:space="0" w:color="auto"/>
                        <w:left w:val="none" w:sz="0" w:space="0" w:color="auto"/>
                        <w:bottom w:val="none" w:sz="0" w:space="0" w:color="auto"/>
                        <w:right w:val="none" w:sz="0" w:space="0" w:color="auto"/>
                      </w:divBdr>
                      <w:divsChild>
                        <w:div w:id="1060978930">
                          <w:marLeft w:val="0"/>
                          <w:marRight w:val="0"/>
                          <w:marTop w:val="0"/>
                          <w:marBottom w:val="0"/>
                          <w:divBdr>
                            <w:top w:val="none" w:sz="0" w:space="0" w:color="auto"/>
                            <w:left w:val="none" w:sz="0" w:space="0" w:color="auto"/>
                            <w:bottom w:val="none" w:sz="0" w:space="0" w:color="auto"/>
                            <w:right w:val="none" w:sz="0" w:space="0" w:color="auto"/>
                          </w:divBdr>
                          <w:divsChild>
                            <w:div w:id="1292781828">
                              <w:marLeft w:val="0"/>
                              <w:marRight w:val="0"/>
                              <w:marTop w:val="0"/>
                              <w:marBottom w:val="0"/>
                              <w:divBdr>
                                <w:top w:val="none" w:sz="0" w:space="0" w:color="auto"/>
                                <w:left w:val="none" w:sz="0" w:space="0" w:color="auto"/>
                                <w:bottom w:val="none" w:sz="0" w:space="0" w:color="auto"/>
                                <w:right w:val="none" w:sz="0" w:space="0" w:color="auto"/>
                              </w:divBdr>
                              <w:divsChild>
                                <w:div w:id="827598561">
                                  <w:marLeft w:val="75"/>
                                  <w:marRight w:val="0"/>
                                  <w:marTop w:val="0"/>
                                  <w:marBottom w:val="0"/>
                                  <w:divBdr>
                                    <w:top w:val="none" w:sz="0" w:space="0" w:color="auto"/>
                                    <w:left w:val="none" w:sz="0" w:space="0" w:color="auto"/>
                                    <w:bottom w:val="none" w:sz="0" w:space="0" w:color="auto"/>
                                    <w:right w:val="none" w:sz="0" w:space="0" w:color="auto"/>
                                  </w:divBdr>
                                </w:div>
                                <w:div w:id="1173380258">
                                  <w:marLeft w:val="0"/>
                                  <w:marRight w:val="0"/>
                                  <w:marTop w:val="0"/>
                                  <w:marBottom w:val="16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C2.htm"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hyperlink" Target="https://docmanager.pnld.co.uk/content/XM0016825.htm"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cmanager.pnld.co.uk/content/C3577.htm" TargetMode="External"/><Relationship Id="rId11" Type="http://schemas.openxmlformats.org/officeDocument/2006/relationships/hyperlink" Target="https://docmanager.pnld.co.uk/content/xm0000680.htm"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docmanager.pnld.co.uk/content/D16168.htm"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cmanager.pnld.co.uk/content/D2.htm"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914</Words>
  <Characters>5210</Characters>
  <Application>Microsoft Office Word</Application>
  <DocSecurity>4</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Jones,Sarah swp5354</dc:creator>
  <cp:keywords/>
  <dc:description/>
  <cp:lastModifiedBy>Jones,Sarah swp5354</cp:lastModifiedBy>
  <cp:revision>2</cp:revision>
  <dcterms:created xsi:type="dcterms:W3CDTF">2019-02-20T14:44:00Z</dcterms:created>
  <dcterms:modified xsi:type="dcterms:W3CDTF">2019-02-20T14:44:00Z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0a7cdf64-d69a-479e-81ee-9fd045c14944</vt:lpwstr>
  </property>
  <property fmtid="{D5CDD505-2E9C-101B-9397-08002B2CF9AE}" pid="3" name="Classification">
    <vt:lpwstr>OFFICIAL</vt:lpwstr>
  </property>
  <property fmtid="{D5CDD505-2E9C-101B-9397-08002B2CF9AE}" pid="4" name="Visibility">
    <vt:lpwstr>NOT VISIBLE</vt:lpwstr>
  </property>
</Properties>
</file>