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51495" w14:textId="77777777" w:rsidR="00925B43" w:rsidRDefault="00B323E2" w:rsidP="00B323E2">
      <w:pPr>
        <w:jc w:val="center"/>
        <w:rPr>
          <w:b/>
          <w:sz w:val="32"/>
          <w:szCs w:val="32"/>
          <w:u w:val="single"/>
        </w:rPr>
      </w:pPr>
      <w:r>
        <w:rPr>
          <w:b/>
          <w:sz w:val="32"/>
          <w:szCs w:val="32"/>
          <w:u w:val="single"/>
        </w:rPr>
        <w:t>An Analysis of Alexander’s Relationship with his Army</w:t>
      </w:r>
    </w:p>
    <w:p w14:paraId="6684AC51" w14:textId="77777777" w:rsidR="007A6C02" w:rsidRDefault="007A6C02" w:rsidP="00B323E2">
      <w:pPr>
        <w:jc w:val="center"/>
        <w:rPr>
          <w:b/>
          <w:sz w:val="32"/>
          <w:szCs w:val="32"/>
          <w:u w:val="single"/>
        </w:rPr>
      </w:pPr>
    </w:p>
    <w:p w14:paraId="0AD3924B" w14:textId="77777777" w:rsidR="007A6C02" w:rsidRDefault="007A6C02" w:rsidP="00B323E2">
      <w:pPr>
        <w:jc w:val="center"/>
        <w:rPr>
          <w:b/>
          <w:sz w:val="32"/>
          <w:szCs w:val="32"/>
          <w:u w:val="single"/>
        </w:rPr>
      </w:pPr>
    </w:p>
    <w:p w14:paraId="71A00C2D" w14:textId="7A2CC692" w:rsidR="007A6C02" w:rsidRDefault="002615EE" w:rsidP="007A6C02">
      <w:r>
        <w:tab/>
      </w:r>
      <w:r w:rsidR="001F441A">
        <w:t>While it is not necessarily possible to directly</w:t>
      </w:r>
      <w:r>
        <w:t xml:space="preserve"> correlate the relationship of a commander and </w:t>
      </w:r>
      <w:r w:rsidR="00811FEE">
        <w:t>his</w:t>
      </w:r>
      <w:r>
        <w:t xml:space="preserve"> army to their work ethic, it is interesting to investigate the varying degrees of </w:t>
      </w:r>
      <w:r w:rsidR="00300F94">
        <w:t>comradery</w:t>
      </w:r>
      <w:r w:rsidR="005558E0">
        <w:t xml:space="preserve"> amongst his people</w:t>
      </w:r>
      <w:r w:rsidR="00300F94">
        <w:t xml:space="preserve">. </w:t>
      </w:r>
      <w:r w:rsidR="00D76C9D">
        <w:t>Given the nature of Greek soldiers and their tendency to be more free-spoken, Alexander the Great did not have a drama-free army. His army did not share the same propensity for absolute obedience and respect for their commanders as modern soldiers do.</w:t>
      </w:r>
      <w:r w:rsidR="00D76C9D">
        <w:rPr>
          <w:rStyle w:val="FootnoteReference"/>
        </w:rPr>
        <w:footnoteReference w:id="1"/>
      </w:r>
      <w:r w:rsidR="00BD2265">
        <w:t xml:space="preserve"> This led to the need to deploy varying tactics to ensure loyalty, hard work, </w:t>
      </w:r>
      <w:r w:rsidR="00A10EA9">
        <w:t xml:space="preserve">and willingness to follow Alexander on his long, arduous campaigns. </w:t>
      </w:r>
      <w:r w:rsidR="00107F27">
        <w:t xml:space="preserve">Delving into topics such as these are pivotal to attempting to understand the </w:t>
      </w:r>
      <w:r w:rsidR="00DD79DC">
        <w:t>mind-set</w:t>
      </w:r>
      <w:r w:rsidR="00107F27">
        <w:t xml:space="preserve"> of soldiers while carrying out extreme orders</w:t>
      </w:r>
      <w:r w:rsidR="00BB75D3">
        <w:t xml:space="preserve">. Additionally, </w:t>
      </w:r>
      <w:r w:rsidR="001F78E8">
        <w:t xml:space="preserve">understanding </w:t>
      </w:r>
      <w:r w:rsidR="00E36696">
        <w:t xml:space="preserve">why Alexander’s army remained relatively pleased to follow him </w:t>
      </w:r>
      <w:r w:rsidR="008F4814">
        <w:t xml:space="preserve">for approximately 10 years </w:t>
      </w:r>
      <w:r w:rsidR="00E36696">
        <w:t>until their first mutiny</w:t>
      </w:r>
      <w:r w:rsidR="00C44722">
        <w:t xml:space="preserve"> in </w:t>
      </w:r>
      <w:r w:rsidR="004609E9">
        <w:t>326 BC.</w:t>
      </w:r>
      <w:r w:rsidR="004609E9">
        <w:rPr>
          <w:rStyle w:val="FootnoteReference"/>
        </w:rPr>
        <w:footnoteReference w:id="2"/>
      </w:r>
      <w:r w:rsidR="007853C0">
        <w:t xml:space="preserve"> I will be </w:t>
      </w:r>
      <w:r w:rsidR="00DD79DC">
        <w:t>analysing</w:t>
      </w:r>
      <w:r w:rsidR="007853C0">
        <w:t xml:space="preserve"> the impact of Alexander’s treatment of h</w:t>
      </w:r>
      <w:r w:rsidR="004508FE">
        <w:t>is soldiers and how his behaviou</w:t>
      </w:r>
      <w:r w:rsidR="007853C0">
        <w:t>r toward them earned him</w:t>
      </w:r>
      <w:r w:rsidR="005E4172">
        <w:t xml:space="preserve"> their lasting loyalty.</w:t>
      </w:r>
    </w:p>
    <w:p w14:paraId="42886D47" w14:textId="158237D6" w:rsidR="004B3B43" w:rsidRDefault="004B3B43" w:rsidP="007A6C02">
      <w:r>
        <w:tab/>
      </w:r>
      <w:r w:rsidR="00157808">
        <w:t xml:space="preserve">Being that Alexander spent time with the army while his father, Philip II, was in command of it, </w:t>
      </w:r>
      <w:r w:rsidR="00D05B2E">
        <w:t>he was able to see first-hand the different aspects of tra</w:t>
      </w:r>
      <w:r w:rsidR="008608AB">
        <w:t>ining and discipline the army</w:t>
      </w:r>
      <w:r w:rsidR="00D05B2E">
        <w:t xml:space="preserve"> had before it was passed onto him. </w:t>
      </w:r>
      <w:r w:rsidR="009B26B6">
        <w:t xml:space="preserve">Alexander adopted many of the same techniques that his father had practiced </w:t>
      </w:r>
      <w:r w:rsidR="00395539">
        <w:t xml:space="preserve">to maintain their loyalty and the same familiarity they were used to. </w:t>
      </w:r>
      <w:r w:rsidR="00684ABE">
        <w:t>In fact, immediately following the</w:t>
      </w:r>
      <w:r w:rsidR="006132BA">
        <w:t xml:space="preserve"> assassination of Philip in 336 BC</w:t>
      </w:r>
      <w:r w:rsidR="00130601">
        <w:t>,</w:t>
      </w:r>
      <w:r w:rsidR="006132BA">
        <w:rPr>
          <w:rStyle w:val="FootnoteReference"/>
        </w:rPr>
        <w:footnoteReference w:id="3"/>
      </w:r>
      <w:r w:rsidR="00130601">
        <w:t xml:space="preserve"> Alexander </w:t>
      </w:r>
      <w:r w:rsidR="007F377F">
        <w:t>conducted</w:t>
      </w:r>
      <w:bookmarkStart w:id="0" w:name="_GoBack"/>
      <w:bookmarkEnd w:id="0"/>
      <w:r w:rsidR="00703681">
        <w:t xml:space="preserve"> training drills to establish his rule and to ensure the continuation of discipline with their new king.</w:t>
      </w:r>
      <w:r w:rsidR="00703681">
        <w:rPr>
          <w:rStyle w:val="FootnoteReference"/>
        </w:rPr>
        <w:footnoteReference w:id="4"/>
      </w:r>
      <w:r w:rsidR="007A6F43">
        <w:t xml:space="preserve"> Similar tactics have been used throughout history</w:t>
      </w:r>
      <w:r w:rsidR="00B310F2">
        <w:t>, and running familiar drills have interesting psychological effects on soldiers and their bond with their fellow men.</w:t>
      </w:r>
      <w:r w:rsidR="0069413A">
        <w:rPr>
          <w:rStyle w:val="FootnoteReference"/>
        </w:rPr>
        <w:footnoteReference w:id="5"/>
      </w:r>
      <w:r w:rsidR="00AF22B0">
        <w:t xml:space="preserve"> We cannot know for sure if Philip and Alexander knew exactly what they were doing mentally for their soldiers, but we know now that </w:t>
      </w:r>
      <w:r w:rsidR="002056BB">
        <w:t>the continuous movement of men together in unison creates a primitive social bond.</w:t>
      </w:r>
      <w:r w:rsidR="002056BB">
        <w:rPr>
          <w:rStyle w:val="FootnoteReference"/>
        </w:rPr>
        <w:footnoteReference w:id="6"/>
      </w:r>
      <w:r w:rsidR="00170D75">
        <w:t xml:space="preserve"> The creati</w:t>
      </w:r>
      <w:r w:rsidR="00982B1B">
        <w:t>on of community within the ranks</w:t>
      </w:r>
      <w:r w:rsidR="00170D75">
        <w:t xml:space="preserve">, combined with the sometimes years long campaigns, would have created a bond between men so strong that it </w:t>
      </w:r>
      <w:r w:rsidR="00517F87">
        <w:t>would begi</w:t>
      </w:r>
      <w:r w:rsidR="00170D75">
        <w:t>n to outweigh an individual’s independent needs and fears and instead place priority on the group.</w:t>
      </w:r>
      <w:r w:rsidR="00170D75">
        <w:rPr>
          <w:rStyle w:val="FootnoteReference"/>
        </w:rPr>
        <w:footnoteReference w:id="7"/>
      </w:r>
      <w:r w:rsidR="00170D75">
        <w:t xml:space="preserve"> This bond working with second-nature level military routine would have created a mighty force, especially when paired with a commander they truly respected. </w:t>
      </w:r>
    </w:p>
    <w:p w14:paraId="5881B662" w14:textId="5ADD4B7C" w:rsidR="00EB555E" w:rsidRDefault="00EB555E" w:rsidP="007A6C02">
      <w:r>
        <w:tab/>
      </w:r>
      <w:r>
        <w:t>A combination of reward and punishment</w:t>
      </w:r>
      <w:r w:rsidR="004877DB">
        <w:t xml:space="preserve"> for the army was prevalent in both Philip and Alexander’s rule. </w:t>
      </w:r>
      <w:r w:rsidR="003275A7">
        <w:t xml:space="preserve">Reward was undoubtedly a positive way to build a relationship between a commander and an army, much like modern day employees appreciate being seen and </w:t>
      </w:r>
      <w:r w:rsidR="00B1422D">
        <w:t xml:space="preserve">valued by their employers. It is not enough that an army be blindly loyal to their commander simply because he is their king. Forming a legitimate and authentic respect is vital for enduring long campaigns and challenging conquests. For particularly egregious challenges, Alexander offered </w:t>
      </w:r>
      <w:r w:rsidR="00B1422D">
        <w:lastRenderedPageBreak/>
        <w:t>cash rewards and bonuses, not unlike modern day hazard pay.</w:t>
      </w:r>
      <w:r w:rsidR="00B1422D">
        <w:rPr>
          <w:rStyle w:val="FootnoteReference"/>
        </w:rPr>
        <w:footnoteReference w:id="8"/>
      </w:r>
      <w:r w:rsidR="001C7D2D">
        <w:t xml:space="preserve"> This would allow soldiers to see directly positive outcomes from their service</w:t>
      </w:r>
      <w:r w:rsidR="007A1B80">
        <w:t xml:space="preserve"> and reap the rewards of their time in the army should they reach retirement age. </w:t>
      </w:r>
      <w:r w:rsidR="007B1EA4">
        <w:t>In addition to solely monetary rewards, Alexander would promote men who displayed outstanding bravery in battle</w:t>
      </w:r>
      <w:r w:rsidR="001605FA">
        <w:t>,</w:t>
      </w:r>
      <w:r w:rsidR="007B1EA4">
        <w:rPr>
          <w:rStyle w:val="FootnoteReference"/>
        </w:rPr>
        <w:footnoteReference w:id="9"/>
      </w:r>
      <w:r w:rsidR="001605FA">
        <w:t xml:space="preserve"> provide rations for the wives and children of soldiers traveling with the army</w:t>
      </w:r>
      <w:r w:rsidR="0069546F">
        <w:t>,</w:t>
      </w:r>
      <w:r w:rsidR="001605FA">
        <w:rPr>
          <w:rStyle w:val="FootnoteReference"/>
        </w:rPr>
        <w:footnoteReference w:id="10"/>
      </w:r>
      <w:r w:rsidR="0069546F">
        <w:t xml:space="preserve"> and would at times pay the debts of his soldiers.</w:t>
      </w:r>
      <w:r w:rsidR="0069546F">
        <w:rPr>
          <w:rStyle w:val="FootnoteReference"/>
        </w:rPr>
        <w:footnoteReference w:id="11"/>
      </w:r>
      <w:r w:rsidR="00452F2B">
        <w:t xml:space="preserve"> All of these acts would not only greatly lessen the strain and stress on the soldiers, but it would also demonstrate the </w:t>
      </w:r>
      <w:r w:rsidR="000122F0">
        <w:t>generous</w:t>
      </w:r>
      <w:r w:rsidR="00452F2B">
        <w:t xml:space="preserve"> nature of who they were following. </w:t>
      </w:r>
      <w:r w:rsidR="00267A2A">
        <w:t>Not only this, but following the death of</w:t>
      </w:r>
      <w:r w:rsidR="00F01EAA">
        <w:t xml:space="preserve"> some</w:t>
      </w:r>
      <w:r w:rsidR="00267A2A">
        <w:t xml:space="preserve"> soldiers, Alexander made it significantly easier for families of the fallen such as military funerals and funds for their orphans.</w:t>
      </w:r>
      <w:r w:rsidR="00DD7A32">
        <w:rPr>
          <w:rStyle w:val="FootnoteReference"/>
        </w:rPr>
        <w:footnoteReference w:id="12"/>
      </w:r>
      <w:r w:rsidR="00B0429D">
        <w:t xml:space="preserve"> This again plays into the nature of men and knowing that they will be more willing to give their service to Alexander if they know the</w:t>
      </w:r>
      <w:r w:rsidR="00F139E9">
        <w:t>y</w:t>
      </w:r>
      <w:r w:rsidR="00B0429D">
        <w:t xml:space="preserve"> will be respected if they are killed and that their families will be taken care of without </w:t>
      </w:r>
      <w:r w:rsidR="00B674B8">
        <w:t>their</w:t>
      </w:r>
      <w:r w:rsidR="00B0429D">
        <w:t xml:space="preserve"> direct income.</w:t>
      </w:r>
      <w:r w:rsidR="00B674B8">
        <w:t xml:space="preserve"> </w:t>
      </w:r>
      <w:r w:rsidR="008C0C2A">
        <w:t xml:space="preserve">Aside from the act of buying loyalty, morale and discipline would have been risen by Alexander’s habit of addressing single men out for </w:t>
      </w:r>
      <w:r w:rsidR="00815E2D">
        <w:t>commendation</w:t>
      </w:r>
      <w:r w:rsidR="008C0C2A">
        <w:t xml:space="preserve"> around the time of battle</w:t>
      </w:r>
      <w:r w:rsidR="00692108">
        <w:t>.</w:t>
      </w:r>
      <w:r w:rsidR="00692108">
        <w:rPr>
          <w:rStyle w:val="FootnoteReference"/>
        </w:rPr>
        <w:footnoteReference w:id="13"/>
      </w:r>
      <w:r w:rsidR="001C1809">
        <w:t xml:space="preserve"> Not only does praise raise a person’s morale and effort, but having the knowledge that your king knows your name personally would do wonders for your confidence. </w:t>
      </w:r>
    </w:p>
    <w:p w14:paraId="4C846452" w14:textId="08B79522" w:rsidR="00E973F2" w:rsidRDefault="001A7A99" w:rsidP="007A6C02">
      <w:r>
        <w:tab/>
        <w:t xml:space="preserve">A period of relaxation and rest was also incredibly necessary and appreciated by Alexander’s army. </w:t>
      </w:r>
      <w:r w:rsidR="00244326">
        <w:t>Alexander would at times make a sacrifice to the gods which in turn provided a great feast for his army. Recovery periods could last for months to ensure that his army was well rested and healed for the continuation of their journey.</w:t>
      </w:r>
      <w:r w:rsidR="00244326">
        <w:rPr>
          <w:rStyle w:val="FootnoteReference"/>
        </w:rPr>
        <w:footnoteReference w:id="14"/>
      </w:r>
      <w:r w:rsidR="00A2330B">
        <w:t xml:space="preserve"> Not only this, but </w:t>
      </w:r>
      <w:r w:rsidR="0003492D">
        <w:t>Alexander would experience periods of forgiveness of indiscretions of his men.</w:t>
      </w:r>
      <w:r w:rsidR="00AE5940">
        <w:rPr>
          <w:rStyle w:val="FootnoteReference"/>
        </w:rPr>
        <w:footnoteReference w:id="15"/>
      </w:r>
      <w:r w:rsidR="0003492D">
        <w:t xml:space="preserve"> </w:t>
      </w:r>
      <w:r w:rsidR="00AE5940">
        <w:t>This may portray the flexibility that Alexander displayed at times and reiterate the fact that he was the sole man in charge of the army. It emphasizes the</w:t>
      </w:r>
      <w:r w:rsidR="00F47D23">
        <w:t xml:space="preserve"> fact that Alexander and Alexander alone is capable of forgiving his men for their infractions and that he remains the one true authority in the army. </w:t>
      </w:r>
    </w:p>
    <w:p w14:paraId="538611E0" w14:textId="558EE61E" w:rsidR="007465F6" w:rsidRDefault="007465F6" w:rsidP="007A6C02">
      <w:r>
        <w:tab/>
        <w:t xml:space="preserve">Aside from Alexander’s </w:t>
      </w:r>
      <w:r w:rsidR="007E1AB9">
        <w:t>inclination</w:t>
      </w:r>
      <w:r w:rsidR="00832076">
        <w:t xml:space="preserve"> for treating his army well and fairly, there is also evidence of his </w:t>
      </w:r>
      <w:r w:rsidR="003C73FE">
        <w:t>propensity</w:t>
      </w:r>
      <w:r w:rsidR="00832076">
        <w:t xml:space="preserve"> of </w:t>
      </w:r>
      <w:r w:rsidR="00332738">
        <w:t xml:space="preserve">severely </w:t>
      </w:r>
      <w:r w:rsidR="00832076">
        <w:t xml:space="preserve">punishing his men for wrongdoings. </w:t>
      </w:r>
      <w:r w:rsidR="002E1BFD">
        <w:t xml:space="preserve">In fact, Alexander’s punishments could be so </w:t>
      </w:r>
      <w:r w:rsidR="00B85900">
        <w:t>harsh</w:t>
      </w:r>
      <w:r w:rsidR="002E1BFD">
        <w:t xml:space="preserve"> and relentless that his army greatly feared him.</w:t>
      </w:r>
      <w:r w:rsidR="002E1BFD">
        <w:rPr>
          <w:rStyle w:val="FootnoteReference"/>
        </w:rPr>
        <w:footnoteReference w:id="16"/>
      </w:r>
      <w:r w:rsidR="000C6461">
        <w:t xml:space="preserve"> The fear that his army had may have been a powerful deterrent against rebelling or deserting Alexander’s cause. </w:t>
      </w:r>
      <w:r w:rsidR="00971BD3">
        <w:t>Though Alexander’s army rarel</w:t>
      </w:r>
      <w:r w:rsidR="00E93280">
        <w:t>y needed to fear execution, facing his disapproval seemed to do wonders for their behaviour. In the event of the mutiny at Opis in 324 BC</w:t>
      </w:r>
      <w:r w:rsidR="00A63130">
        <w:t>,</w:t>
      </w:r>
      <w:r w:rsidR="00E93280">
        <w:rPr>
          <w:rStyle w:val="FootnoteReference"/>
        </w:rPr>
        <w:footnoteReference w:id="17"/>
      </w:r>
      <w:r w:rsidR="00A63130">
        <w:t xml:space="preserve"> Alexander acted with such fury and confidence that his mutineers were immediately struck with terror. </w:t>
      </w:r>
      <w:r w:rsidR="00F85674">
        <w:t xml:space="preserve">Upon hearing of the execution of the primary leaders of the mutiny, the rest of those blamed for the event did everything they could to re-enter the king’s favour. </w:t>
      </w:r>
      <w:r w:rsidR="00C475B2">
        <w:t>Evidently</w:t>
      </w:r>
      <w:r w:rsidR="00C14110">
        <w:t>, they were so distraught at learning they did not have access to the</w:t>
      </w:r>
      <w:r w:rsidR="00877271">
        <w:t xml:space="preserve"> king but Persian soldiers did that </w:t>
      </w:r>
      <w:r w:rsidR="00C14110">
        <w:t>cries from the Macedonian soldiers rang throughout the camp and they declared that they would rather die than face the king’s anger any longer.</w:t>
      </w:r>
      <w:r w:rsidR="00C75FA6">
        <w:rPr>
          <w:rStyle w:val="FootnoteReference"/>
        </w:rPr>
        <w:footnoteReference w:id="18"/>
      </w:r>
      <w:r w:rsidR="001924E7">
        <w:t xml:space="preserve"> </w:t>
      </w:r>
      <w:r w:rsidR="00BE4885">
        <w:t>When it came to punishments, it wasn’t enough that ordinary soldiers see the consequences of their actions, but it was also vital to display a willingness to punish his favourite men as wel</w:t>
      </w:r>
      <w:r w:rsidR="00A10645">
        <w:t xml:space="preserve">l. When Hephaestion and </w:t>
      </w:r>
      <w:r w:rsidR="00FB3413">
        <w:t>Craterus</w:t>
      </w:r>
      <w:r w:rsidR="00A10645">
        <w:t xml:space="preserve"> </w:t>
      </w:r>
      <w:r w:rsidR="00193F0E">
        <w:t>publically drew their swords and began to engage</w:t>
      </w:r>
      <w:r w:rsidR="00DB2A70">
        <w:t xml:space="preserve"> in a fight, Alexander openly chastised Hephaestion and privately chasti</w:t>
      </w:r>
      <w:r w:rsidR="00271210">
        <w:t xml:space="preserve">sed </w:t>
      </w:r>
      <w:r w:rsidR="00FB3413">
        <w:t>Craterus</w:t>
      </w:r>
      <w:r w:rsidR="00271210">
        <w:t xml:space="preserve"> for their actions.</w:t>
      </w:r>
      <w:r w:rsidR="00271210">
        <w:rPr>
          <w:rStyle w:val="FootnoteReference"/>
        </w:rPr>
        <w:footnoteReference w:id="19"/>
      </w:r>
      <w:r w:rsidR="00BE4885">
        <w:t xml:space="preserve"> </w:t>
      </w:r>
      <w:r w:rsidR="00327014">
        <w:t>It would have been extremely beneficial for his army to see that not even Alexander’s closest friends were exempt from his anger.</w:t>
      </w:r>
    </w:p>
    <w:p w14:paraId="7305B473" w14:textId="0FB5BEE4" w:rsidR="003F1918" w:rsidRPr="0063019A" w:rsidRDefault="00075A5E" w:rsidP="007A6C02">
      <w:pPr>
        <w:rPr>
          <w:lang w:val="en-US"/>
        </w:rPr>
      </w:pPr>
      <w:r>
        <w:tab/>
      </w:r>
      <w:r w:rsidR="00941352">
        <w:t xml:space="preserve">Apart from </w:t>
      </w:r>
      <w:r w:rsidR="00AE7459">
        <w:t xml:space="preserve">Alexander’s relationship with his army, his personal relationships </w:t>
      </w:r>
      <w:r w:rsidR="00C07006">
        <w:t xml:space="preserve">and friendships were of great importance. Perhaps one of, </w:t>
      </w:r>
      <w:r w:rsidR="00E62BC4">
        <w:t>if not t</w:t>
      </w:r>
      <w:r w:rsidR="000B73C3">
        <w:t>he most, important relationship</w:t>
      </w:r>
      <w:r w:rsidR="00E62BC4">
        <w:t xml:space="preserve"> in Alexander’</w:t>
      </w:r>
      <w:r w:rsidR="006D549C">
        <w:t>s life is that</w:t>
      </w:r>
      <w:r w:rsidR="00E62BC4">
        <w:t xml:space="preserve"> with Hephaestion. </w:t>
      </w:r>
      <w:r w:rsidR="00D9196A">
        <w:t>Though there isn’t a huge amount known about him, Mary Renault suggests</w:t>
      </w:r>
      <w:r w:rsidR="00D9196A">
        <w:rPr>
          <w:rStyle w:val="FootnoteReference"/>
        </w:rPr>
        <w:footnoteReference w:id="20"/>
      </w:r>
      <w:r w:rsidR="000A3227">
        <w:t xml:space="preserve"> that Hephaestion could be one of the most underrated men in history. He surely inspired huge amounts of envy from others in Alexander’s army and amongst his generals. </w:t>
      </w:r>
      <w:r w:rsidR="00B6138C">
        <w:t xml:space="preserve">Numerous promotions led him to </w:t>
      </w:r>
      <w:r w:rsidR="00691298">
        <w:t>maintain the highest military and civil rank possible and he was trusted with diplomatic missions which held just as much importance as the missions that</w:t>
      </w:r>
      <w:r w:rsidR="00FD7549">
        <w:t xml:space="preserve"> Alexander carried out himself.</w:t>
      </w:r>
      <w:r w:rsidR="00FD7549">
        <w:rPr>
          <w:rStyle w:val="FootnoteReference"/>
        </w:rPr>
        <w:footnoteReference w:id="21"/>
      </w:r>
      <w:r w:rsidR="00A14813">
        <w:t xml:space="preserve"> In fact, </w:t>
      </w:r>
      <w:r w:rsidR="00AA2618">
        <w:t xml:space="preserve">when </w:t>
      </w:r>
      <w:r w:rsidR="0063019A" w:rsidRPr="0063019A">
        <w:rPr>
          <w:lang w:val="en-US"/>
        </w:rPr>
        <w:t>Sisygambis</w:t>
      </w:r>
      <w:r w:rsidR="00AA2618">
        <w:t xml:space="preserve">, </w:t>
      </w:r>
      <w:r w:rsidR="009F2174">
        <w:t>Darius’s mother</w:t>
      </w:r>
      <w:r w:rsidR="009F2174">
        <w:rPr>
          <w:rStyle w:val="FootnoteReference"/>
        </w:rPr>
        <w:footnoteReference w:id="22"/>
      </w:r>
      <w:r w:rsidR="00C01540">
        <w:t xml:space="preserve"> incorrectly mistook Hephaestion for himself, Alexander eased her worry by stating, “</w:t>
      </w:r>
      <w:r w:rsidR="00DD79DC">
        <w:t>Never mind</w:t>
      </w:r>
      <w:r w:rsidR="00C01540">
        <w:t xml:space="preserve">, Mother. For actually he too is Alexander” (Diod. 17.37.6.). </w:t>
      </w:r>
    </w:p>
    <w:p w14:paraId="0CE18B27" w14:textId="1CC75F8B" w:rsidR="00A76901" w:rsidRDefault="00EC23DC" w:rsidP="007A6C02">
      <w:r>
        <w:tab/>
        <w:t>The full extent of the nature of Alexander’s relationship with Hephae</w:t>
      </w:r>
      <w:r w:rsidR="001A55F5">
        <w:t xml:space="preserve">stion is relatively unknown. Alexander described Hephaestion as </w:t>
      </w:r>
      <w:r w:rsidR="00114585">
        <w:t>someone he valued more than his own life.</w:t>
      </w:r>
      <w:r w:rsidR="00114585">
        <w:rPr>
          <w:rStyle w:val="FootnoteReference"/>
        </w:rPr>
        <w:footnoteReference w:id="23"/>
      </w:r>
      <w:r w:rsidR="009A693E">
        <w:t xml:space="preserve"> Different historians classify their relationship differently, such as Robin Lane Fox stating, “Hephaestion was the man whom Alexander loved… Alexander was only defeated once… and that was by Hephaestion’s thighs.” (Fox, </w:t>
      </w:r>
      <w:r w:rsidR="009A693E">
        <w:rPr>
          <w:i/>
        </w:rPr>
        <w:t>Alexander the Great</w:t>
      </w:r>
      <w:r w:rsidR="009A693E">
        <w:t xml:space="preserve">, pp. 56). </w:t>
      </w:r>
      <w:r w:rsidR="00DA72DF">
        <w:t xml:space="preserve">Another comparison has been made to Alexander and Hephaestion’s actions when visiting the site of Achilles’ </w:t>
      </w:r>
      <w:r w:rsidR="007518DA">
        <w:t xml:space="preserve">and Patroclus’ </w:t>
      </w:r>
      <w:r w:rsidR="00DA72DF">
        <w:t>tomb</w:t>
      </w:r>
      <w:r w:rsidR="007518DA">
        <w:t>s at Troy. Given that the relationship of the two Greek heroes was assumed to be sexual.</w:t>
      </w:r>
      <w:r w:rsidR="007518DA">
        <w:rPr>
          <w:rStyle w:val="FootnoteReference"/>
        </w:rPr>
        <w:footnoteReference w:id="24"/>
      </w:r>
      <w:r w:rsidR="000A2810">
        <w:t xml:space="preserve"> The nature of their relationship aside, irrefutable evidence of the amount that Hephaestion meant to Alexander comes from his reactions to Hephaestion’s death in 324 BC, mere months before Alexander’s.</w:t>
      </w:r>
      <w:r w:rsidR="000A2810">
        <w:rPr>
          <w:rStyle w:val="FootnoteReference"/>
        </w:rPr>
        <w:footnoteReference w:id="25"/>
      </w:r>
      <w:r w:rsidR="000220D4">
        <w:t xml:space="preserve"> His grief </w:t>
      </w:r>
      <w:r w:rsidR="00BA4242">
        <w:t xml:space="preserve">at this loss was unparalleled, and so intense that he refused to leave Hephaestion’s body </w:t>
      </w:r>
      <w:r w:rsidR="00EB6673">
        <w:t xml:space="preserve">until he was pulled away by his commanders. </w:t>
      </w:r>
      <w:r w:rsidR="005851AF">
        <w:t>He hanged the doctor tending to him, Glaucias, and he sent to Ammon to attempt to have Hephaestion’s status rendered as a god. Alexander neglected to eat for three days following the death, and ordered that a funeral pyre at a cost of at least 10,000 talents be made for Hephaestion in Babylon.</w:t>
      </w:r>
      <w:r w:rsidR="00A76901">
        <w:t xml:space="preserve"> He commanded that the entire East mourn Hephaestion’s death, and no man was ever promoted to the general of the Companion’s cavalry, Hephaestion’s position, so that he would never be forgotten.</w:t>
      </w:r>
      <w:r w:rsidR="001B6E27">
        <w:rPr>
          <w:rStyle w:val="FootnoteReference"/>
        </w:rPr>
        <w:footnoteReference w:id="26"/>
      </w:r>
      <w:r w:rsidR="00995A82">
        <w:t xml:space="preserve"> </w:t>
      </w:r>
    </w:p>
    <w:p w14:paraId="07E2A457" w14:textId="618610D4" w:rsidR="00995A82" w:rsidRDefault="00995A82" w:rsidP="007A6C02">
      <w:r>
        <w:tab/>
        <w:t xml:space="preserve">While it is clear that no person ever matched Hephaestion in the eyes of Alexander’s affection, the only man who appeared to get close was Craterus. </w:t>
      </w:r>
      <w:r w:rsidR="00A923E4">
        <w:t>In fact</w:t>
      </w:r>
      <w:r w:rsidR="00F642DF">
        <w:t>,</w:t>
      </w:r>
      <w:r w:rsidR="00A923E4">
        <w:t xml:space="preserve"> when mentioning Ptolemy, another of Alexander’s closest friends, Renault is clear to make the distinction that he was “never promoted to the eminence of Craterus or Hephaestion” (</w:t>
      </w:r>
      <w:r w:rsidR="00E172BF">
        <w:t xml:space="preserve">Mary </w:t>
      </w:r>
      <w:r w:rsidR="00A923E4">
        <w:t xml:space="preserve">Renault, </w:t>
      </w:r>
      <w:r w:rsidR="00A923E4">
        <w:rPr>
          <w:i/>
        </w:rPr>
        <w:t xml:space="preserve">The Nature of Alexander, </w:t>
      </w:r>
      <w:r w:rsidR="00A923E4">
        <w:t>pp. 31).</w:t>
      </w:r>
      <w:r w:rsidR="00E5462F">
        <w:t xml:space="preserve"> </w:t>
      </w:r>
      <w:r w:rsidR="00654C05">
        <w:t>When one of Alexander’s companions suggested that Craterus was loved the same as Hephaestion, Alexander made the distinction that while Hephaestion was Alexander-loving, Craterus was king-loving.</w:t>
      </w:r>
      <w:r w:rsidR="00654C05">
        <w:rPr>
          <w:rStyle w:val="FootnoteReference"/>
        </w:rPr>
        <w:footnoteReference w:id="27"/>
      </w:r>
      <w:r w:rsidR="00B41911">
        <w:t xml:space="preserve"> Craterus seemed to have little ambition and therefore his promotions came through genuine ability, loyalty, and trustworthiness.</w:t>
      </w:r>
      <w:r w:rsidR="00B41911">
        <w:rPr>
          <w:rStyle w:val="FootnoteReference"/>
        </w:rPr>
        <w:footnoteReference w:id="28"/>
      </w:r>
      <w:r w:rsidR="00A70DD4">
        <w:t xml:space="preserve"> While Hephaestion was given hugely important missions, Craterus was also given missions of great risk and responsibility, demonstrating the trust and faith that Alexander had in him.</w:t>
      </w:r>
      <w:r w:rsidR="00A70DD4">
        <w:rPr>
          <w:rStyle w:val="FootnoteReference"/>
        </w:rPr>
        <w:footnoteReference w:id="29"/>
      </w:r>
      <w:r w:rsidR="00D83F85">
        <w:t xml:space="preserve"> He enjoyed a fa</w:t>
      </w:r>
      <w:r w:rsidR="001A76A1">
        <w:t xml:space="preserve">ir amount of freedom of speech </w:t>
      </w:r>
      <w:r w:rsidR="0080290F">
        <w:t xml:space="preserve">with Alexander, </w:t>
      </w:r>
      <w:r w:rsidR="001A76A1">
        <w:t xml:space="preserve">and the </w:t>
      </w:r>
      <w:r w:rsidR="0080290F">
        <w:t xml:space="preserve">rest of </w:t>
      </w:r>
      <w:r w:rsidR="001A76A1">
        <w:t>Alexander’s army</w:t>
      </w:r>
      <w:r w:rsidR="0080290F">
        <w:t xml:space="preserve"> loved him deeply</w:t>
      </w:r>
      <w:r w:rsidR="001A76A1">
        <w:t xml:space="preserve">. They often relied upon Craterus to relay their concerns to the king, knowing that Alexander would not lash out against Craterus. Primarily, when Alexander began to adopt many Persian customs, much to the dismay of his Macedonian army, </w:t>
      </w:r>
      <w:r w:rsidR="00FC5525">
        <w:t>they reached out to Craterus to speak up for them</w:t>
      </w:r>
      <w:r w:rsidR="00E1250B">
        <w:t xml:space="preserve"> which he did with respect</w:t>
      </w:r>
      <w:r w:rsidR="00FC5525">
        <w:t xml:space="preserve"> and tact.</w:t>
      </w:r>
      <w:r w:rsidR="00FC5525">
        <w:rPr>
          <w:rStyle w:val="FootnoteReference"/>
        </w:rPr>
        <w:footnoteReference w:id="30"/>
      </w:r>
    </w:p>
    <w:p w14:paraId="5BE32D40" w14:textId="432848D1" w:rsidR="006403A4" w:rsidRDefault="006403A4" w:rsidP="007A6C02">
      <w:r>
        <w:tab/>
      </w:r>
      <w:r w:rsidR="00EB1485">
        <w:t xml:space="preserve">Following the </w:t>
      </w:r>
      <w:r w:rsidR="00037526">
        <w:t>friendships that Alexander had with Hephaestion and Craterus, one person who deeply affected him</w:t>
      </w:r>
      <w:r w:rsidR="00D45A1F">
        <w:t xml:space="preserve"> was Cleitus the Black.</w:t>
      </w:r>
      <w:r w:rsidR="008C2E1A">
        <w:t xml:space="preserve"> Alexander would have known Cleitus since childhood</w:t>
      </w:r>
      <w:r w:rsidR="00C31498">
        <w:rPr>
          <w:rStyle w:val="FootnoteReference"/>
        </w:rPr>
        <w:footnoteReference w:id="31"/>
      </w:r>
      <w:r w:rsidR="00CE1AFC">
        <w:t xml:space="preserve"> and deeply respected him, especially after Cleitus saved his life in the field in 334 BC.</w:t>
      </w:r>
      <w:r w:rsidR="00CE1AFC">
        <w:rPr>
          <w:rStyle w:val="FootnoteReference"/>
        </w:rPr>
        <w:footnoteReference w:id="32"/>
      </w:r>
      <w:r w:rsidR="006F514D">
        <w:t xml:space="preserve"> When Alexander began to don the clothing of Persians as well as their customs, Cleitus sharply protested the actions to Alexander, a stark contrast to the careful manner in which Craterus approached the subject. </w:t>
      </w:r>
      <w:r w:rsidR="009849E4">
        <w:t xml:space="preserve">Additionally, Cleitus’ closeness to Philip II, and to Alexander as a young man proved to be a sensitive subject, especially when combined with the amount of wine that was consumed </w:t>
      </w:r>
      <w:r w:rsidR="006F7F8D">
        <w:t xml:space="preserve">during the feast the Macedonians were enjoying. </w:t>
      </w:r>
      <w:r w:rsidR="00DB4607">
        <w:t xml:space="preserve">Though Alexander’s closest friends wilfully attempted to separate the two men in their arguing, Cleitus was persistent </w:t>
      </w:r>
      <w:r w:rsidR="00EB10A8">
        <w:t>in his insults and earned himself a drunken spe</w:t>
      </w:r>
      <w:r w:rsidR="00122F03">
        <w:t>ar to the chest from Alexander.</w:t>
      </w:r>
      <w:r w:rsidR="00122F03">
        <w:rPr>
          <w:rStyle w:val="FootnoteReference"/>
        </w:rPr>
        <w:footnoteReference w:id="33"/>
      </w:r>
      <w:r w:rsidR="006157E1">
        <w:t xml:space="preserve"> This intense </w:t>
      </w:r>
      <w:r w:rsidR="001329BD">
        <w:t xml:space="preserve">brawl was followed by even more intense </w:t>
      </w:r>
      <w:r w:rsidR="00CB63E7">
        <w:t>despair by Alexander, who refused to eat or drink for three days, and even attempted to spear himself in the same fashion. Though the act was deemed legal by an Assembly of Alexander’s men,</w:t>
      </w:r>
      <w:r w:rsidR="00DA4BAE">
        <w:t xml:space="preserve"> stating that Cleitus’ actions were treasonous,</w:t>
      </w:r>
      <w:r w:rsidR="00CB63E7">
        <w:t xml:space="preserve"> he was not able to forgive himself for killing such a close friend.</w:t>
      </w:r>
      <w:r w:rsidR="00CB63E7">
        <w:rPr>
          <w:rStyle w:val="FootnoteReference"/>
        </w:rPr>
        <w:footnoteReference w:id="34"/>
      </w:r>
      <w:r w:rsidR="00DA4BAE">
        <w:t xml:space="preserve"> His response to his actions here come as stark contrast </w:t>
      </w:r>
      <w:r w:rsidR="00814B1E">
        <w:t xml:space="preserve">to </w:t>
      </w:r>
      <w:r w:rsidR="002D6DBF">
        <w:t xml:space="preserve">his previous executions for treason, such as the mutiny at Opis as mentioned previously. </w:t>
      </w:r>
      <w:r w:rsidR="00D05A3B">
        <w:t>This clearly demonstrates the admiration he had for Cleitus and the differences between those in his army versus those truly close to him.</w:t>
      </w:r>
    </w:p>
    <w:p w14:paraId="5295F238" w14:textId="256D824C" w:rsidR="00525D3E" w:rsidRDefault="00525D3E" w:rsidP="007A6C02">
      <w:r>
        <w:tab/>
      </w:r>
      <w:r w:rsidR="001F193C">
        <w:t xml:space="preserve">Alexander’s army showed him great loyalty and respect during their campaigns. In fact, Arrian suggests that his army acted more harshly towards some enemies who injured Alexander, demonstrating their great devotion to him. </w:t>
      </w:r>
      <w:r w:rsidR="00CD5D59">
        <w:t>When Alexander and his army attacked the Sogdian Rocks in 327 BC</w:t>
      </w:r>
      <w:r w:rsidR="00442BF9">
        <w:t>,</w:t>
      </w:r>
      <w:r w:rsidR="001C5F65">
        <w:rPr>
          <w:rStyle w:val="FootnoteReference"/>
        </w:rPr>
        <w:footnoteReference w:id="35"/>
      </w:r>
      <w:r w:rsidR="00CD5D59">
        <w:t xml:space="preserve"> Alexander took an arrow through his shoulder. </w:t>
      </w:r>
      <w:r w:rsidR="00D178F7">
        <w:t>His army’s response was one of</w:t>
      </w:r>
      <w:r w:rsidR="007F3A57">
        <w:t xml:space="preserve"> anger</w:t>
      </w:r>
      <w:r w:rsidR="00F60C93">
        <w:t>, executing all of the prisoners they had taken captive for injuring their king.</w:t>
      </w:r>
      <w:r w:rsidR="009A15FD">
        <w:rPr>
          <w:rStyle w:val="FootnoteReference"/>
        </w:rPr>
        <w:footnoteReference w:id="36"/>
      </w:r>
      <w:r w:rsidR="00392B40">
        <w:t xml:space="preserve"> </w:t>
      </w:r>
      <w:r w:rsidR="00B77669">
        <w:t xml:space="preserve">Additionally, when attacking </w:t>
      </w:r>
      <w:r w:rsidR="004B76B7">
        <w:t xml:space="preserve">the Mallians in </w:t>
      </w:r>
      <w:r w:rsidR="00020C3C">
        <w:t>325 BC</w:t>
      </w:r>
      <w:r w:rsidR="006E04AD">
        <w:t>,</w:t>
      </w:r>
      <w:r w:rsidR="00020C3C">
        <w:rPr>
          <w:rStyle w:val="FootnoteReference"/>
        </w:rPr>
        <w:footnoteReference w:id="37"/>
      </w:r>
      <w:r w:rsidR="006E04AD">
        <w:t xml:space="preserve"> Alexander bravely climbed the heavily defended wall on his own and, during a barrage of missiles, was struck in the lung by an arrow. </w:t>
      </w:r>
      <w:r w:rsidR="00D93AAC">
        <w:t>After losing too much blood, Alexander fell and was protected by his two men Peucestas and Leonnatus.</w:t>
      </w:r>
      <w:r w:rsidR="00D93AAC">
        <w:rPr>
          <w:rStyle w:val="FootnoteReference"/>
        </w:rPr>
        <w:footnoteReference w:id="38"/>
      </w:r>
      <w:r w:rsidR="00A962BD">
        <w:t xml:space="preserve"> </w:t>
      </w:r>
      <w:r w:rsidR="000E5DF4">
        <w:t>At the sight of their fallen king, Alexander’s army set about to slaughter the Indians, and slew them all, including women and children. This brisk anger at the idea of Alexander dying certainly loans evidence to the idea that he was truly loved and had soldiers that were willing to fight remarkably for him.</w:t>
      </w:r>
      <w:r w:rsidR="000E5DF4">
        <w:rPr>
          <w:rStyle w:val="FootnoteReference"/>
        </w:rPr>
        <w:footnoteReference w:id="39"/>
      </w:r>
      <w:r w:rsidR="009E27E4">
        <w:t xml:space="preserve"> </w:t>
      </w:r>
      <w:r w:rsidR="00A962BD">
        <w:t>While Alexander was receiving treatment for his injury, word got out that he had succumbed to his wound and died.</w:t>
      </w:r>
      <w:r w:rsidR="009E27E4">
        <w:t xml:space="preserve"> When he finally revealed himself to be alive and well, his army flocked to him to see him themselves. </w:t>
      </w:r>
      <w:r w:rsidR="001C6A65">
        <w:t>Tears of joy were shed, wreaths were bestowed upon him, and members of his army reached out to touch him in celebration.</w:t>
      </w:r>
      <w:r w:rsidR="00E64B97">
        <w:rPr>
          <w:rStyle w:val="FootnoteReference"/>
        </w:rPr>
        <w:footnoteReference w:id="40"/>
      </w:r>
    </w:p>
    <w:p w14:paraId="227206C0" w14:textId="452ABC61" w:rsidR="00C23A3B" w:rsidRDefault="00C23A3B" w:rsidP="007A6C02">
      <w:r>
        <w:tab/>
        <w:t xml:space="preserve">However, no matter how much Alexander’s army adored him, </w:t>
      </w:r>
      <w:r w:rsidR="000511A4">
        <w:t xml:space="preserve">the strain from being on campaign and away from their families for so long eventually </w:t>
      </w:r>
      <w:r w:rsidR="00CC72B1">
        <w:t xml:space="preserve">led to a confusing </w:t>
      </w:r>
      <w:r w:rsidR="00085AD7">
        <w:t>confrontation</w:t>
      </w:r>
      <w:r w:rsidR="000511A4">
        <w:t xml:space="preserve">. As mentioned previously, Alexander’s army conducted a </w:t>
      </w:r>
      <w:r w:rsidR="0049408B">
        <w:t>“</w:t>
      </w:r>
      <w:r w:rsidR="000511A4">
        <w:t>mutiny</w:t>
      </w:r>
      <w:r w:rsidR="0049408B">
        <w:t>”</w:t>
      </w:r>
      <w:r w:rsidR="0049408B">
        <w:rPr>
          <w:rStyle w:val="FootnoteReference"/>
        </w:rPr>
        <w:footnoteReference w:id="41"/>
      </w:r>
      <w:r w:rsidR="000511A4">
        <w:t xml:space="preserve"> </w:t>
      </w:r>
      <w:r w:rsidR="00E95282">
        <w:t xml:space="preserve">at Opis in </w:t>
      </w:r>
      <w:r w:rsidR="0002650B">
        <w:t>324</w:t>
      </w:r>
      <w:r w:rsidR="004D3BCA">
        <w:t xml:space="preserve"> BC.</w:t>
      </w:r>
      <w:r w:rsidR="00E67D3F">
        <w:t xml:space="preserve"> When Alexander, dressed in Persian robes, stated that the Macedonian veterans would be allowed to go home, the army took </w:t>
      </w:r>
      <w:r w:rsidR="00415B6F">
        <w:t xml:space="preserve">quickly </w:t>
      </w:r>
      <w:r w:rsidR="00E67D3F">
        <w:t xml:space="preserve">to offense. They appear to have believed that Alexander was abandoning them in favour of the </w:t>
      </w:r>
      <w:r w:rsidR="00415B6F">
        <w:t>Orientals in his service.</w:t>
      </w:r>
      <w:r w:rsidR="00415B6F">
        <w:rPr>
          <w:rStyle w:val="FootnoteReference"/>
        </w:rPr>
        <w:footnoteReference w:id="42"/>
      </w:r>
      <w:r w:rsidR="004F0F67">
        <w:t xml:space="preserve"> This led to an emotional uproar on both Alexander and his army’s part. Alexander acted in defiance, shutting himself away in his tent, only to be seen by his oriental soldiers, shutting away the Macedonians. His army in turn appeared to mourn their relationship with their king, crying and imploring him to forgive them.</w:t>
      </w:r>
      <w:r w:rsidR="001A307B">
        <w:rPr>
          <w:rStyle w:val="FootnoteReference"/>
        </w:rPr>
        <w:footnoteReference w:id="43"/>
      </w:r>
      <w:r w:rsidR="00491840">
        <w:t xml:space="preserve"> Fox receives this information in the same way I do, as an example of the intense relationship that Alexander shared with his army. This was a display of passion and a fear that his army had of losing the bond, community, and familial </w:t>
      </w:r>
      <w:r w:rsidR="006D1155">
        <w:t>nece</w:t>
      </w:r>
      <w:r w:rsidR="00BE6424">
        <w:t>ssity that Alexander gave them.</w:t>
      </w:r>
      <w:r w:rsidR="00BE6424">
        <w:rPr>
          <w:rStyle w:val="FootnoteReference"/>
        </w:rPr>
        <w:footnoteReference w:id="44"/>
      </w:r>
      <w:r w:rsidR="007D0416">
        <w:t xml:space="preserve"> Following the event, </w:t>
      </w:r>
      <w:r w:rsidR="00235A17">
        <w:t>the Macedonian veterans left voluntarily with a bonus of one talent each. Alexander promised to look after any children by Asian women</w:t>
      </w:r>
      <w:r w:rsidR="00566AC2">
        <w:t>, train them to fight, raise them as Macedonians, an</w:t>
      </w:r>
      <w:r w:rsidR="00553717">
        <w:t>d deliver them to their fathers. The farewell was peaceful and respectful.</w:t>
      </w:r>
      <w:r w:rsidR="00E70277">
        <w:rPr>
          <w:rStyle w:val="FootnoteReference"/>
        </w:rPr>
        <w:footnoteReference w:id="45"/>
      </w:r>
    </w:p>
    <w:p w14:paraId="59B09501" w14:textId="2628D4B5" w:rsidR="00DD79DC" w:rsidRDefault="001E387C" w:rsidP="007A6C02">
      <w:r>
        <w:tab/>
        <w:t xml:space="preserve">In order to emphasise the manner of which Alexander treated his army and how that in turn led to their more intense motivation, discipline, and admiration, it is important to provide a contrasting circumstance. </w:t>
      </w:r>
      <w:r w:rsidR="00FC6FE4">
        <w:t xml:space="preserve">Following the battle of </w:t>
      </w:r>
      <w:r w:rsidR="008B576F">
        <w:t>Gaugamela in 331 BC,</w:t>
      </w:r>
      <w:r w:rsidR="008B576F">
        <w:rPr>
          <w:rStyle w:val="FootnoteReference"/>
        </w:rPr>
        <w:footnoteReference w:id="46"/>
      </w:r>
      <w:r w:rsidR="00F91AF9">
        <w:t xml:space="preserve"> Darius III fled</w:t>
      </w:r>
      <w:r w:rsidR="004D7A7E">
        <w:t xml:space="preserve"> only to be stabbed by his own supporters.</w:t>
      </w:r>
      <w:r w:rsidR="004D7A7E">
        <w:rPr>
          <w:rStyle w:val="FootnoteReference"/>
        </w:rPr>
        <w:footnoteReference w:id="47"/>
      </w:r>
      <w:r w:rsidR="00573FAD">
        <w:t xml:space="preserve"> Though little is known of Darius III and therefore we cannot know for sure how Darius threated his army, the mere fact that he was stabbed by his own men is very telling. </w:t>
      </w:r>
      <w:r w:rsidR="007A2AA0">
        <w:t>We know that Darius had essentially zero experience in a field of battle and instead relied on advisors</w:t>
      </w:r>
      <w:r w:rsidR="00FC2311">
        <w:t xml:space="preserve">, so he was therefore left in the dark about the reality of not only battle, but facing Alexander in battle. </w:t>
      </w:r>
      <w:r w:rsidR="00F11E60">
        <w:t>Darius’ ultimate flight during the battle labelled him a coward and, more importantly, a man unable to lead the Persians to victory.</w:t>
      </w:r>
      <w:r w:rsidR="001779E5">
        <w:rPr>
          <w:rStyle w:val="FootnoteReference"/>
        </w:rPr>
        <w:footnoteReference w:id="48"/>
      </w:r>
      <w:r w:rsidR="00F94C91">
        <w:t xml:space="preserve"> This is in stark contrast to Alexander’s bravery in battle, which notoriously inspired his men to fight harder for him.</w:t>
      </w:r>
    </w:p>
    <w:p w14:paraId="66511F8D" w14:textId="02F1602E" w:rsidR="00DD79DC" w:rsidRDefault="00DD79DC" w:rsidP="007A6C02">
      <w:r>
        <w:tab/>
        <w:t xml:space="preserve">While Alexander and his army did not have a drama-free relationship, their devotion and loyalty to him stand out as exemplary. From the beginning of his reign, Alexander strived to reward his army for their hard work by giving them bonuses, perks, and gratitude for their service. He quickly became a king that his army truly wanted to serve, rather than blindly following him due to their necessity to do so. </w:t>
      </w:r>
      <w:r w:rsidR="0005507C">
        <w:t>While Alexander certainly had his favourites, he did not allow that to take away from his willingness to learn the names of many</w:t>
      </w:r>
      <w:r w:rsidR="00296943">
        <w:t xml:space="preserve"> ordinary</w:t>
      </w:r>
      <w:r w:rsidR="0005507C">
        <w:t xml:space="preserve"> men in his army to allow him to</w:t>
      </w:r>
      <w:r w:rsidR="00296943">
        <w:t xml:space="preserve"> single them out and express their value to him. Alexander was harsh with his enemies and yet increasingly generous and flexible amongst his friends and supporters. The emotional rage that at times consumed him also allowed for emotional redemption for those who stood against him.</w:t>
      </w:r>
      <w:r w:rsidR="00ED7338">
        <w:t xml:space="preserve"> Alexander’s manner of kingship was the communal celebration of success. He valued togetherness and the idea that he was aiming to accomplish something great. Whomever he encountered along the way who maintained the same values as him were invited to experience it with them. Those he conquered became his cohorts and allies, and as his army became mixed, he aimed to bring the Western and Eastern worlds together. While the Macedonians were not altogether pleased by this mission, Alexander earned benefit of the doubt from his men through arduous work to gain their trust and genuine love.</w:t>
      </w:r>
    </w:p>
    <w:p w14:paraId="040E77CE" w14:textId="3A16D255" w:rsidR="006F3C99" w:rsidRDefault="006F3C99" w:rsidP="007A6C02">
      <w:r>
        <w:tab/>
      </w:r>
    </w:p>
    <w:p w14:paraId="574F197F" w14:textId="77777777" w:rsidR="00B63082" w:rsidRDefault="00B63082" w:rsidP="007A6C02"/>
    <w:p w14:paraId="1091FE06" w14:textId="77777777" w:rsidR="00B63082" w:rsidRDefault="00B63082" w:rsidP="007A6C02"/>
    <w:p w14:paraId="4026EAE3" w14:textId="77777777" w:rsidR="00B63082" w:rsidRDefault="00B63082" w:rsidP="00B63082">
      <w:pPr>
        <w:jc w:val="center"/>
        <w:rPr>
          <w:b/>
          <w:sz w:val="32"/>
          <w:szCs w:val="32"/>
          <w:u w:val="single"/>
        </w:rPr>
      </w:pPr>
      <w:r>
        <w:rPr>
          <w:b/>
          <w:sz w:val="32"/>
          <w:szCs w:val="32"/>
          <w:u w:val="single"/>
        </w:rPr>
        <w:t>Bibliography</w:t>
      </w:r>
    </w:p>
    <w:p w14:paraId="300DD18B" w14:textId="77777777" w:rsidR="00B63082" w:rsidRDefault="00B63082" w:rsidP="00B63082">
      <w:pPr>
        <w:jc w:val="center"/>
        <w:rPr>
          <w:b/>
          <w:sz w:val="32"/>
          <w:szCs w:val="32"/>
          <w:u w:val="single"/>
        </w:rPr>
      </w:pPr>
    </w:p>
    <w:p w14:paraId="1D2C9B7D" w14:textId="77777777" w:rsidR="00B63082" w:rsidRDefault="00B63082" w:rsidP="00B63082">
      <w:r>
        <w:t>Ancient:</w:t>
      </w:r>
    </w:p>
    <w:p w14:paraId="5355C3A8" w14:textId="77777777" w:rsidR="00B63082" w:rsidRDefault="00B63082" w:rsidP="00B63082">
      <w:r>
        <w:t xml:space="preserve">Arrian, </w:t>
      </w:r>
      <w:r>
        <w:rPr>
          <w:i/>
        </w:rPr>
        <w:t xml:space="preserve">Life of Alexander the Great. </w:t>
      </w:r>
      <w:r>
        <w:t>Sélincourt (trans.). 1958. London: Penguin Books</w:t>
      </w:r>
    </w:p>
    <w:p w14:paraId="154E710D" w14:textId="77777777" w:rsidR="00B63082" w:rsidRDefault="00B63082" w:rsidP="00B63082"/>
    <w:p w14:paraId="7D53BBF6" w14:textId="77777777" w:rsidR="00B63082" w:rsidRDefault="00B63082" w:rsidP="00B63082">
      <w:r>
        <w:t xml:space="preserve">Arrian, </w:t>
      </w:r>
      <w:r>
        <w:rPr>
          <w:i/>
        </w:rPr>
        <w:t xml:space="preserve">Anabasis of Alexander. </w:t>
      </w:r>
      <w:r>
        <w:t xml:space="preserve">Robson (trans.). 1929. Cambridge, MA: Harvard University </w:t>
      </w:r>
    </w:p>
    <w:p w14:paraId="1C3FD52E" w14:textId="105ECE12" w:rsidR="00B63082" w:rsidRDefault="00B63082" w:rsidP="00B63082">
      <w:r>
        <w:t>Press</w:t>
      </w:r>
    </w:p>
    <w:p w14:paraId="45BC1B31" w14:textId="77777777" w:rsidR="00B63082" w:rsidRPr="002E7A04" w:rsidRDefault="00B63082" w:rsidP="00B63082"/>
    <w:p w14:paraId="57E214AF" w14:textId="77777777" w:rsidR="00B63082" w:rsidRDefault="00B63082" w:rsidP="00B63082">
      <w:r>
        <w:t xml:space="preserve">Diodorus Siculus, </w:t>
      </w:r>
      <w:r>
        <w:rPr>
          <w:i/>
        </w:rPr>
        <w:t xml:space="preserve">Library. </w:t>
      </w:r>
      <w:r>
        <w:t>Oldfather (trans.). 1989. Cambridge, MA: Harvard University Press</w:t>
      </w:r>
    </w:p>
    <w:p w14:paraId="5C6BF865" w14:textId="77777777" w:rsidR="00B63082" w:rsidRDefault="00B63082" w:rsidP="00B63082"/>
    <w:p w14:paraId="174068A6" w14:textId="77777777" w:rsidR="00B63082" w:rsidRDefault="00B63082" w:rsidP="00B63082">
      <w:r>
        <w:t xml:space="preserve">Plutarch, </w:t>
      </w:r>
      <w:r>
        <w:rPr>
          <w:i/>
        </w:rPr>
        <w:t xml:space="preserve">Alexander. </w:t>
      </w:r>
      <w:r>
        <w:t>Perrin (trans.). 1919. Cambridge, MA: Harvard University Press</w:t>
      </w:r>
    </w:p>
    <w:p w14:paraId="3525337A" w14:textId="77777777" w:rsidR="00B63082" w:rsidRDefault="00B63082" w:rsidP="00B63082"/>
    <w:p w14:paraId="1CFB7170" w14:textId="77777777" w:rsidR="00B63082" w:rsidRDefault="00B63082" w:rsidP="00B63082">
      <w:r>
        <w:t xml:space="preserve">Plutarch, </w:t>
      </w:r>
      <w:r>
        <w:rPr>
          <w:i/>
        </w:rPr>
        <w:t xml:space="preserve">Eumenes. </w:t>
      </w:r>
      <w:r>
        <w:t>Perrin (trans.). 1919. Cambridge, MA: Harvard University Press</w:t>
      </w:r>
    </w:p>
    <w:p w14:paraId="6F34A1AA" w14:textId="77777777" w:rsidR="00B63082" w:rsidRDefault="00B63082" w:rsidP="00B63082"/>
    <w:p w14:paraId="753B93F3" w14:textId="77777777" w:rsidR="00B63082" w:rsidRDefault="00B63082" w:rsidP="00B63082">
      <w:r>
        <w:t xml:space="preserve">Polyaenus, </w:t>
      </w:r>
      <w:r>
        <w:rPr>
          <w:i/>
        </w:rPr>
        <w:t xml:space="preserve">Stratagems. </w:t>
      </w:r>
      <w:r>
        <w:t>Shepherd (trans.). 2009. Montana: Kessinger Publishing</w:t>
      </w:r>
    </w:p>
    <w:p w14:paraId="71BA9B33" w14:textId="77777777" w:rsidR="00B63082" w:rsidRPr="00E46A78" w:rsidRDefault="00B63082" w:rsidP="00B63082"/>
    <w:p w14:paraId="09A7CF4F" w14:textId="355DFCDE" w:rsidR="00B63082" w:rsidRPr="003F419F" w:rsidRDefault="00B63082" w:rsidP="00B63082">
      <w:r>
        <w:t xml:space="preserve">Quintus Curtius, </w:t>
      </w:r>
      <w:r>
        <w:rPr>
          <w:i/>
        </w:rPr>
        <w:t xml:space="preserve">History of Alexander. </w:t>
      </w:r>
      <w:r>
        <w:t>Rolfe (trans.). 1946. Cambridge, MA: Harvard University Press</w:t>
      </w:r>
    </w:p>
    <w:p w14:paraId="05C8D142" w14:textId="77777777" w:rsidR="00B63082" w:rsidRPr="00700A4F" w:rsidRDefault="00B63082" w:rsidP="00B63082"/>
    <w:p w14:paraId="0410965D" w14:textId="77777777" w:rsidR="00B63082" w:rsidRDefault="00B63082" w:rsidP="00B63082"/>
    <w:p w14:paraId="1EE0E978" w14:textId="6FB456B0" w:rsidR="00B63082" w:rsidRDefault="00B63082" w:rsidP="004565C1">
      <w:pPr>
        <w:tabs>
          <w:tab w:val="left" w:pos="1287"/>
        </w:tabs>
      </w:pPr>
      <w:r>
        <w:t>Modern:</w:t>
      </w:r>
      <w:r w:rsidR="004565C1">
        <w:tab/>
      </w:r>
    </w:p>
    <w:p w14:paraId="6B0EFE19" w14:textId="77777777" w:rsidR="004565C1" w:rsidRPr="004565C1" w:rsidRDefault="004565C1" w:rsidP="004565C1">
      <w:pPr>
        <w:tabs>
          <w:tab w:val="left" w:pos="1287"/>
        </w:tabs>
        <w:rPr>
          <w:lang w:val="en-US"/>
        </w:rPr>
      </w:pPr>
      <w:r w:rsidRPr="004565C1">
        <w:rPr>
          <w:lang w:val="en-US"/>
        </w:rPr>
        <w:t>Badian, E. “Darius III.” </w:t>
      </w:r>
      <w:r w:rsidRPr="004565C1">
        <w:rPr>
          <w:i/>
          <w:iCs/>
          <w:lang w:val="en-US"/>
        </w:rPr>
        <w:t>Harvard Studies in Classical Philology</w:t>
      </w:r>
      <w:r w:rsidRPr="004565C1">
        <w:rPr>
          <w:lang w:val="en-US"/>
        </w:rPr>
        <w:t>, vol. 100, 2000, pp. 241–267</w:t>
      </w:r>
    </w:p>
    <w:p w14:paraId="746E93B9" w14:textId="77777777" w:rsidR="004565C1" w:rsidRPr="004565C1" w:rsidRDefault="004565C1" w:rsidP="004565C1">
      <w:pPr>
        <w:tabs>
          <w:tab w:val="left" w:pos="1287"/>
        </w:tabs>
      </w:pPr>
    </w:p>
    <w:p w14:paraId="42DF0BD2" w14:textId="77777777" w:rsidR="00B63082" w:rsidRDefault="00B63082" w:rsidP="00B63082">
      <w:r>
        <w:t>Carney, E</w:t>
      </w:r>
      <w:r w:rsidRPr="00C8263A">
        <w:t>. “Alexander and Persian Women.” The American Journal of Philology, vol. 117, no. 4, 1996, pp. 563–583</w:t>
      </w:r>
    </w:p>
    <w:p w14:paraId="24410E6C" w14:textId="77777777" w:rsidR="00B63082" w:rsidRDefault="00B63082" w:rsidP="00B63082"/>
    <w:p w14:paraId="01D55255" w14:textId="77777777" w:rsidR="00B63082" w:rsidRDefault="00B63082" w:rsidP="00B63082">
      <w:r>
        <w:t>Carney, E</w:t>
      </w:r>
      <w:r w:rsidRPr="00A1209D">
        <w:t>. “Macedonians and Mutiny: Discipline and Indiscipline in the Army of Philip and Alexander.” Classical Philology, vol. 91, no. 1, 1996, pp. 19–44</w:t>
      </w:r>
    </w:p>
    <w:p w14:paraId="6ED2FE41" w14:textId="77777777" w:rsidR="00B63082" w:rsidRDefault="00B63082" w:rsidP="00B63082"/>
    <w:p w14:paraId="190EE6D3" w14:textId="2B12BCF5" w:rsidR="00382E3D" w:rsidRDefault="00B63082" w:rsidP="00B63082">
      <w:r>
        <w:t xml:space="preserve">Carney, E. 2015. </w:t>
      </w:r>
      <w:r>
        <w:rPr>
          <w:i/>
        </w:rPr>
        <w:t xml:space="preserve">King and Court in Ancient Macedonia: Rivalry, Treason, and Conspiracy. </w:t>
      </w:r>
      <w:r>
        <w:t>Swansea: The Classical Press of Wales</w:t>
      </w:r>
    </w:p>
    <w:p w14:paraId="2F70E638" w14:textId="77777777" w:rsidR="00B63082" w:rsidRDefault="00B63082" w:rsidP="00B63082"/>
    <w:p w14:paraId="543C3B09" w14:textId="77777777" w:rsidR="00B63082" w:rsidRDefault="00B63082" w:rsidP="00B63082">
      <w:pPr>
        <w:rPr>
          <w:lang w:val="en-US"/>
        </w:rPr>
      </w:pPr>
      <w:r w:rsidRPr="003F2BE5">
        <w:rPr>
          <w:lang w:val="en-US"/>
        </w:rPr>
        <w:t xml:space="preserve">Heckel, W. 1992. </w:t>
      </w:r>
      <w:r w:rsidRPr="003F2BE5">
        <w:rPr>
          <w:i/>
          <w:lang w:val="en-US"/>
        </w:rPr>
        <w:t xml:space="preserve">The Marshals of Alexander’s Empire. </w:t>
      </w:r>
      <w:r w:rsidRPr="003F2BE5">
        <w:rPr>
          <w:lang w:val="en-US"/>
        </w:rPr>
        <w:t>Routledge: London</w:t>
      </w:r>
    </w:p>
    <w:p w14:paraId="193CCDAF" w14:textId="77777777" w:rsidR="00B63082" w:rsidRPr="003F2BE5" w:rsidRDefault="00B63082" w:rsidP="00B63082">
      <w:pPr>
        <w:rPr>
          <w:lang w:val="en-US"/>
        </w:rPr>
      </w:pPr>
    </w:p>
    <w:p w14:paraId="25B1B37E" w14:textId="77777777" w:rsidR="00B63082" w:rsidRDefault="00B63082" w:rsidP="00B63082">
      <w:r w:rsidRPr="00A1209D">
        <w:t>Hogarth, D. G. “The Deification of Alexander the Great.” The English Historical Review, vol. 2, no. 6, 1887, pp. 317–329</w:t>
      </w:r>
    </w:p>
    <w:p w14:paraId="4CAB7629" w14:textId="77777777" w:rsidR="00B63082" w:rsidRDefault="00B63082" w:rsidP="00B63082"/>
    <w:p w14:paraId="2D3FBFD7" w14:textId="77777777" w:rsidR="00B63082" w:rsidRDefault="00B63082" w:rsidP="00B63082">
      <w:r>
        <w:t xml:space="preserve">Fox, R.L. 1973. </w:t>
      </w:r>
      <w:r>
        <w:rPr>
          <w:i/>
        </w:rPr>
        <w:t xml:space="preserve">Alexander the Great. </w:t>
      </w:r>
      <w:r>
        <w:t>London: Penguin Books</w:t>
      </w:r>
    </w:p>
    <w:p w14:paraId="68E0D696" w14:textId="77777777" w:rsidR="00B63082" w:rsidRDefault="00B63082" w:rsidP="00B63082"/>
    <w:p w14:paraId="01AF777F" w14:textId="77777777" w:rsidR="00B63082" w:rsidRDefault="00B63082" w:rsidP="00B63082">
      <w:r>
        <w:t xml:space="preserve">Fox, R.L. 1980. </w:t>
      </w:r>
      <w:r>
        <w:rPr>
          <w:i/>
        </w:rPr>
        <w:t xml:space="preserve">The Search for Alexander. </w:t>
      </w:r>
      <w:r>
        <w:t>London: Penguin Books</w:t>
      </w:r>
    </w:p>
    <w:p w14:paraId="14953494" w14:textId="77777777" w:rsidR="00B63082" w:rsidRPr="0072034F" w:rsidRDefault="00B63082" w:rsidP="00B63082"/>
    <w:p w14:paraId="4387F530" w14:textId="77777777" w:rsidR="00B63082" w:rsidRDefault="00B63082" w:rsidP="00B63082">
      <w:r>
        <w:t>Fredricksmeyer, E.</w:t>
      </w:r>
      <w:r w:rsidRPr="00A1209D">
        <w:t>A. “Alexander, Zeus Ammon, and the Conquest of Asia.” Transactions of the American Philological Association (1974-), vol. 121, 1991, pp. 199–214</w:t>
      </w:r>
    </w:p>
    <w:p w14:paraId="3B0EBD73" w14:textId="77777777" w:rsidR="00B63082" w:rsidRDefault="00B63082" w:rsidP="00B63082"/>
    <w:p w14:paraId="51D6192A" w14:textId="77777777" w:rsidR="00B63082" w:rsidRDefault="00B63082" w:rsidP="00B63082">
      <w:r>
        <w:t>McKechnie, P</w:t>
      </w:r>
      <w:r w:rsidRPr="00A1209D">
        <w:t>. “Diodorus Siculus and Hephaestion's Pyre.” The Classical Quarterly, vol. 45, no. 2, 1995, pp. 418–432</w:t>
      </w:r>
    </w:p>
    <w:p w14:paraId="3F86BAA5" w14:textId="77777777" w:rsidR="00B63082" w:rsidRDefault="00B63082" w:rsidP="00B63082"/>
    <w:p w14:paraId="1D90523A" w14:textId="77777777" w:rsidR="00B63082" w:rsidRDefault="00B63082" w:rsidP="00B63082">
      <w:pPr>
        <w:rPr>
          <w:bCs/>
          <w:lang w:val="en-US"/>
        </w:rPr>
      </w:pPr>
      <w:r>
        <w:t xml:space="preserve">McNeill, W.H. 1982. </w:t>
      </w:r>
      <w:r w:rsidRPr="007153AD">
        <w:rPr>
          <w:bCs/>
          <w:i/>
          <w:lang w:val="en-US"/>
        </w:rPr>
        <w:t>The Pursuit of Power: Technology, Armed Force, and Society since A.D. 1000</w:t>
      </w:r>
      <w:r>
        <w:rPr>
          <w:bCs/>
          <w:i/>
          <w:lang w:val="en-US"/>
        </w:rPr>
        <w:t xml:space="preserve">. </w:t>
      </w:r>
      <w:r>
        <w:rPr>
          <w:bCs/>
          <w:lang w:val="en-US"/>
        </w:rPr>
        <w:t>Chicago: University of Chicago Press</w:t>
      </w:r>
    </w:p>
    <w:p w14:paraId="2EB32BED" w14:textId="77777777" w:rsidR="00B63082" w:rsidRPr="00D50A91" w:rsidRDefault="00B63082" w:rsidP="00B63082">
      <w:pPr>
        <w:rPr>
          <w:b/>
          <w:bCs/>
          <w:lang w:val="en-US"/>
        </w:rPr>
      </w:pPr>
    </w:p>
    <w:p w14:paraId="44AF391C" w14:textId="77777777" w:rsidR="00B63082" w:rsidRDefault="00B63082" w:rsidP="00B63082">
      <w:r>
        <w:t xml:space="preserve">Ogden, D. 2011. </w:t>
      </w:r>
      <w:r>
        <w:rPr>
          <w:i/>
        </w:rPr>
        <w:t xml:space="preserve">Alexander the Great: Myth, Genesis, and Sexuality. </w:t>
      </w:r>
      <w:r>
        <w:t>Exeter: University of Exeter Press</w:t>
      </w:r>
    </w:p>
    <w:p w14:paraId="2AA8F0BA" w14:textId="77777777" w:rsidR="00B63082" w:rsidRPr="00CE6CD2" w:rsidRDefault="00B63082" w:rsidP="00B63082"/>
    <w:p w14:paraId="112ED04D" w14:textId="77777777" w:rsidR="00B63082" w:rsidRDefault="00B63082" w:rsidP="00B63082">
      <w:r>
        <w:t>Overtoom, N</w:t>
      </w:r>
      <w:r w:rsidRPr="0087374E">
        <w:t>. “Six Polybian Themes Concerning Alexander the Great.” The Classical World, vol. 106, no. 4, 2013, pp. 571–593</w:t>
      </w:r>
    </w:p>
    <w:p w14:paraId="2E27C9F1" w14:textId="77777777" w:rsidR="00B63082" w:rsidRDefault="00B63082" w:rsidP="00B63082"/>
    <w:p w14:paraId="4BF9C761" w14:textId="77777777" w:rsidR="00B63082" w:rsidRDefault="00B63082" w:rsidP="00B63082">
      <w:r>
        <w:t xml:space="preserve">Renault, M. 1975. </w:t>
      </w:r>
      <w:r>
        <w:rPr>
          <w:i/>
        </w:rPr>
        <w:t xml:space="preserve">The Nature of Alexander. </w:t>
      </w:r>
      <w:r>
        <w:t>London: Penguin Books</w:t>
      </w:r>
    </w:p>
    <w:p w14:paraId="477AE922" w14:textId="77777777" w:rsidR="00B63082" w:rsidRPr="00A5048B" w:rsidRDefault="00B63082" w:rsidP="00B63082"/>
    <w:p w14:paraId="4862B0ED" w14:textId="77777777" w:rsidR="00B63082" w:rsidRDefault="00B63082" w:rsidP="00B63082">
      <w:r w:rsidRPr="00C8263A">
        <w:t>Robinson, C. A. “Alexander's Deification.” The American Journal of Philology, vol. 64, no. 3, 1943, pp. 286–30</w:t>
      </w:r>
    </w:p>
    <w:p w14:paraId="514E9B3C" w14:textId="77777777" w:rsidR="00B63082" w:rsidRDefault="00B63082" w:rsidP="00B63082"/>
    <w:p w14:paraId="0D2A4207" w14:textId="77777777" w:rsidR="00B63082" w:rsidRDefault="00B63082" w:rsidP="00B63082">
      <w:r w:rsidRPr="00A1209D">
        <w:t>Robinson, C. A. “Alexander the Great and Parmenio.” American Journal of Archaeology, vol. 49, no. 4, 1945, pp. 422–424</w:t>
      </w:r>
    </w:p>
    <w:p w14:paraId="4FA63D7D" w14:textId="77777777" w:rsidR="00B63082" w:rsidRDefault="00B63082" w:rsidP="00B63082"/>
    <w:p w14:paraId="2933B66D" w14:textId="77777777" w:rsidR="00B63082" w:rsidRDefault="00B63082" w:rsidP="00B63082">
      <w:pPr>
        <w:rPr>
          <w:lang w:val="en-US"/>
        </w:rPr>
      </w:pPr>
      <w:r w:rsidRPr="00856F6A">
        <w:rPr>
          <w:lang w:val="en-US"/>
        </w:rPr>
        <w:t>Robinson, C. A. “Alexander's Brutality.” </w:t>
      </w:r>
      <w:r w:rsidRPr="00856F6A">
        <w:rPr>
          <w:i/>
          <w:iCs/>
          <w:lang w:val="en-US"/>
        </w:rPr>
        <w:t>American Journal of Archaeology</w:t>
      </w:r>
      <w:r w:rsidRPr="00856F6A">
        <w:rPr>
          <w:lang w:val="en-US"/>
        </w:rPr>
        <w:t>, vol. 56, no. 3, 1952, pp. 169–170</w:t>
      </w:r>
    </w:p>
    <w:p w14:paraId="3791C571" w14:textId="77777777" w:rsidR="00B63082" w:rsidRPr="007545AD" w:rsidRDefault="00B63082" w:rsidP="00B63082">
      <w:pPr>
        <w:rPr>
          <w:lang w:val="en-US"/>
        </w:rPr>
      </w:pPr>
    </w:p>
    <w:p w14:paraId="3FEA29B2" w14:textId="77777777" w:rsidR="00B63082" w:rsidRPr="00A1209D" w:rsidRDefault="00B63082" w:rsidP="00B63082">
      <w:r w:rsidRPr="00C8263A">
        <w:t>Robinson, C. A. “The Extraordinary Ideas of Alexander the Great.” The American Historical Review, vol. 62, no. 2, 1957, pp. 326–344</w:t>
      </w:r>
    </w:p>
    <w:p w14:paraId="4BCADA56" w14:textId="77777777" w:rsidR="00B63082" w:rsidRPr="00A923E4" w:rsidRDefault="00B63082" w:rsidP="007A6C02"/>
    <w:sectPr w:rsidR="00B63082" w:rsidRPr="00A923E4"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1105AB" w14:textId="77777777" w:rsidR="006C2A0D" w:rsidRDefault="006C2A0D" w:rsidP="00D76C9D">
      <w:r>
        <w:separator/>
      </w:r>
    </w:p>
  </w:endnote>
  <w:endnote w:type="continuationSeparator" w:id="0">
    <w:p w14:paraId="6E529204" w14:textId="77777777" w:rsidR="006C2A0D" w:rsidRDefault="006C2A0D" w:rsidP="00D76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C8095D" w14:textId="77777777" w:rsidR="006C2A0D" w:rsidRDefault="006C2A0D" w:rsidP="00D76C9D">
      <w:r>
        <w:separator/>
      </w:r>
    </w:p>
  </w:footnote>
  <w:footnote w:type="continuationSeparator" w:id="0">
    <w:p w14:paraId="0AAAF9C4" w14:textId="77777777" w:rsidR="006C2A0D" w:rsidRDefault="006C2A0D" w:rsidP="00D76C9D">
      <w:r>
        <w:continuationSeparator/>
      </w:r>
    </w:p>
  </w:footnote>
  <w:footnote w:id="1">
    <w:p w14:paraId="7A4389F7" w14:textId="1ABAF1ED" w:rsidR="00D76C9D" w:rsidRDefault="00D76C9D">
      <w:pPr>
        <w:pStyle w:val="FootnoteText"/>
      </w:pPr>
      <w:r>
        <w:rPr>
          <w:rStyle w:val="FootnoteReference"/>
        </w:rPr>
        <w:footnoteRef/>
      </w:r>
      <w:r>
        <w:t xml:space="preserve"> </w:t>
      </w:r>
      <w:r w:rsidR="0051677B">
        <w:t>Carney 1996: 22</w:t>
      </w:r>
    </w:p>
  </w:footnote>
  <w:footnote w:id="2">
    <w:p w14:paraId="5294DF76" w14:textId="55A4D21C" w:rsidR="004609E9" w:rsidRDefault="004609E9">
      <w:pPr>
        <w:pStyle w:val="FootnoteText"/>
      </w:pPr>
      <w:r>
        <w:rPr>
          <w:rStyle w:val="FootnoteReference"/>
        </w:rPr>
        <w:footnoteRef/>
      </w:r>
      <w:r>
        <w:t xml:space="preserve"> Fox 1980: 8</w:t>
      </w:r>
    </w:p>
  </w:footnote>
  <w:footnote w:id="3">
    <w:p w14:paraId="742A3541" w14:textId="573F847A" w:rsidR="006132BA" w:rsidRDefault="006132BA">
      <w:pPr>
        <w:pStyle w:val="FootnoteText"/>
      </w:pPr>
      <w:r>
        <w:rPr>
          <w:rStyle w:val="FootnoteReference"/>
        </w:rPr>
        <w:footnoteRef/>
      </w:r>
      <w:r>
        <w:t xml:space="preserve"> Fox 1980: 8</w:t>
      </w:r>
    </w:p>
  </w:footnote>
  <w:footnote w:id="4">
    <w:p w14:paraId="1C1C13BF" w14:textId="290703FB" w:rsidR="00703681" w:rsidRDefault="00703681">
      <w:pPr>
        <w:pStyle w:val="FootnoteText"/>
      </w:pPr>
      <w:r>
        <w:rPr>
          <w:rStyle w:val="FootnoteReference"/>
        </w:rPr>
        <w:footnoteRef/>
      </w:r>
      <w:r>
        <w:t xml:space="preserve"> Diod. 17.2.3.</w:t>
      </w:r>
    </w:p>
  </w:footnote>
  <w:footnote w:id="5">
    <w:p w14:paraId="65E0179F" w14:textId="7277BF39" w:rsidR="0069413A" w:rsidRDefault="0069413A">
      <w:pPr>
        <w:pStyle w:val="FootnoteText"/>
      </w:pPr>
      <w:r>
        <w:rPr>
          <w:rStyle w:val="FootnoteReference"/>
        </w:rPr>
        <w:footnoteRef/>
      </w:r>
      <w:r>
        <w:t xml:space="preserve"> </w:t>
      </w:r>
      <w:r w:rsidR="00AF22B0">
        <w:t>McNeill 1982: 131</w:t>
      </w:r>
    </w:p>
  </w:footnote>
  <w:footnote w:id="6">
    <w:p w14:paraId="6382171F" w14:textId="0996F2CF" w:rsidR="002056BB" w:rsidRDefault="002056BB">
      <w:pPr>
        <w:pStyle w:val="FootnoteText"/>
      </w:pPr>
      <w:r>
        <w:rPr>
          <w:rStyle w:val="FootnoteReference"/>
        </w:rPr>
        <w:footnoteRef/>
      </w:r>
      <w:r>
        <w:t xml:space="preserve"> McNeill 1982: 131</w:t>
      </w:r>
    </w:p>
  </w:footnote>
  <w:footnote w:id="7">
    <w:p w14:paraId="1E539C27" w14:textId="677BD6FB" w:rsidR="00170D75" w:rsidRDefault="00170D75">
      <w:pPr>
        <w:pStyle w:val="FootnoteText"/>
      </w:pPr>
      <w:r>
        <w:rPr>
          <w:rStyle w:val="FootnoteReference"/>
        </w:rPr>
        <w:footnoteRef/>
      </w:r>
      <w:r>
        <w:t xml:space="preserve"> McNeill 1982: 132-133</w:t>
      </w:r>
    </w:p>
  </w:footnote>
  <w:footnote w:id="8">
    <w:p w14:paraId="42FFC92C" w14:textId="53E5DD44" w:rsidR="00B1422D" w:rsidRDefault="00B1422D">
      <w:pPr>
        <w:pStyle w:val="FootnoteText"/>
      </w:pPr>
      <w:r>
        <w:rPr>
          <w:rStyle w:val="FootnoteReference"/>
        </w:rPr>
        <w:footnoteRef/>
      </w:r>
      <w:r>
        <w:t xml:space="preserve"> Diod. 17.78.1.</w:t>
      </w:r>
    </w:p>
  </w:footnote>
  <w:footnote w:id="9">
    <w:p w14:paraId="1E6A0FAF" w14:textId="6A910C98" w:rsidR="007B1EA4" w:rsidRDefault="007B1EA4">
      <w:pPr>
        <w:pStyle w:val="FootnoteText"/>
      </w:pPr>
      <w:r>
        <w:rPr>
          <w:rStyle w:val="FootnoteReference"/>
        </w:rPr>
        <w:footnoteRef/>
      </w:r>
      <w:r>
        <w:t xml:space="preserve"> Curt. 5.2.3-5.</w:t>
      </w:r>
    </w:p>
  </w:footnote>
  <w:footnote w:id="10">
    <w:p w14:paraId="49356E8C" w14:textId="2B714D91" w:rsidR="001605FA" w:rsidRDefault="001605FA">
      <w:pPr>
        <w:pStyle w:val="FootnoteText"/>
      </w:pPr>
      <w:r>
        <w:rPr>
          <w:rStyle w:val="FootnoteReference"/>
        </w:rPr>
        <w:footnoteRef/>
      </w:r>
      <w:r>
        <w:t xml:space="preserve"> Diod. 17.94.4.</w:t>
      </w:r>
    </w:p>
  </w:footnote>
  <w:footnote w:id="11">
    <w:p w14:paraId="290A2CF8" w14:textId="1E003E40" w:rsidR="0069546F" w:rsidRDefault="0069546F">
      <w:pPr>
        <w:pStyle w:val="FootnoteText"/>
      </w:pPr>
      <w:r>
        <w:rPr>
          <w:rStyle w:val="FootnoteReference"/>
        </w:rPr>
        <w:footnoteRef/>
      </w:r>
      <w:r>
        <w:t xml:space="preserve"> Arr. 7.5.1.</w:t>
      </w:r>
    </w:p>
  </w:footnote>
  <w:footnote w:id="12">
    <w:p w14:paraId="39940A6A" w14:textId="3FC351EB" w:rsidR="00DD7A32" w:rsidRDefault="00DD7A32">
      <w:pPr>
        <w:pStyle w:val="FootnoteText"/>
      </w:pPr>
      <w:r>
        <w:rPr>
          <w:rStyle w:val="FootnoteReference"/>
        </w:rPr>
        <w:footnoteRef/>
      </w:r>
      <w:r>
        <w:t xml:space="preserve"> </w:t>
      </w:r>
      <w:r w:rsidRPr="00DD7A32">
        <w:t>Plut. Alex. 71.5</w:t>
      </w:r>
    </w:p>
  </w:footnote>
  <w:footnote w:id="13">
    <w:p w14:paraId="57A7D019" w14:textId="74B96312" w:rsidR="00692108" w:rsidRDefault="00692108">
      <w:pPr>
        <w:pStyle w:val="FootnoteText"/>
      </w:pPr>
      <w:r>
        <w:rPr>
          <w:rStyle w:val="FootnoteReference"/>
        </w:rPr>
        <w:footnoteRef/>
      </w:r>
      <w:r>
        <w:t xml:space="preserve"> </w:t>
      </w:r>
      <w:r w:rsidRPr="00692108">
        <w:t>Plut. Alex. 58.2</w:t>
      </w:r>
    </w:p>
  </w:footnote>
  <w:footnote w:id="14">
    <w:p w14:paraId="71197570" w14:textId="0B39EF6E" w:rsidR="00244326" w:rsidRDefault="00244326">
      <w:pPr>
        <w:pStyle w:val="FootnoteText"/>
      </w:pPr>
      <w:r>
        <w:rPr>
          <w:rStyle w:val="FootnoteReference"/>
        </w:rPr>
        <w:footnoteRef/>
      </w:r>
      <w:r>
        <w:t xml:space="preserve"> </w:t>
      </w:r>
      <w:r w:rsidRPr="00244326">
        <w:t>Plut. Alex. 37.1-4</w:t>
      </w:r>
      <w:r>
        <w:t>.</w:t>
      </w:r>
    </w:p>
  </w:footnote>
  <w:footnote w:id="15">
    <w:p w14:paraId="1899084A" w14:textId="5A021831" w:rsidR="00AE5940" w:rsidRDefault="00AE5940">
      <w:pPr>
        <w:pStyle w:val="FootnoteText"/>
      </w:pPr>
      <w:r>
        <w:rPr>
          <w:rStyle w:val="FootnoteReference"/>
        </w:rPr>
        <w:footnoteRef/>
      </w:r>
      <w:r>
        <w:t xml:space="preserve"> </w:t>
      </w:r>
      <w:r w:rsidRPr="00AE5940">
        <w:t>Plut. Alex. 70.4</w:t>
      </w:r>
    </w:p>
  </w:footnote>
  <w:footnote w:id="16">
    <w:p w14:paraId="3E69F049" w14:textId="6D38C9EC" w:rsidR="002E1BFD" w:rsidRDefault="002E1BFD">
      <w:pPr>
        <w:pStyle w:val="FootnoteText"/>
      </w:pPr>
      <w:r>
        <w:rPr>
          <w:rStyle w:val="FootnoteReference"/>
        </w:rPr>
        <w:footnoteRef/>
      </w:r>
      <w:r>
        <w:t xml:space="preserve"> Plut. Alex. 57.2.</w:t>
      </w:r>
    </w:p>
  </w:footnote>
  <w:footnote w:id="17">
    <w:p w14:paraId="5EE454BB" w14:textId="26254A24" w:rsidR="00E93280" w:rsidRDefault="00E93280">
      <w:pPr>
        <w:pStyle w:val="FootnoteText"/>
      </w:pPr>
      <w:r>
        <w:rPr>
          <w:rStyle w:val="FootnoteReference"/>
        </w:rPr>
        <w:footnoteRef/>
      </w:r>
      <w:r>
        <w:t xml:space="preserve"> </w:t>
      </w:r>
      <w:r>
        <w:t>Fox 1980: 8</w:t>
      </w:r>
    </w:p>
  </w:footnote>
  <w:footnote w:id="18">
    <w:p w14:paraId="3B5FE495" w14:textId="17D8650F" w:rsidR="00C75FA6" w:rsidRPr="00C75FA6" w:rsidRDefault="00C75FA6">
      <w:pPr>
        <w:pStyle w:val="FootnoteText"/>
        <w:rPr>
          <w:lang w:val="en-US"/>
        </w:rPr>
      </w:pPr>
      <w:r>
        <w:rPr>
          <w:rStyle w:val="FootnoteReference"/>
        </w:rPr>
        <w:footnoteRef/>
      </w:r>
      <w:r>
        <w:t xml:space="preserve"> </w:t>
      </w:r>
      <w:r>
        <w:rPr>
          <w:lang w:val="en-US"/>
        </w:rPr>
        <w:t>Curt. 5.3.1-6</w:t>
      </w:r>
    </w:p>
  </w:footnote>
  <w:footnote w:id="19">
    <w:p w14:paraId="34F16966" w14:textId="1620782B" w:rsidR="00271210" w:rsidRPr="00271210" w:rsidRDefault="00271210">
      <w:pPr>
        <w:pStyle w:val="FootnoteText"/>
        <w:rPr>
          <w:lang w:val="en-US"/>
        </w:rPr>
      </w:pPr>
      <w:r>
        <w:rPr>
          <w:rStyle w:val="FootnoteReference"/>
        </w:rPr>
        <w:footnoteRef/>
      </w:r>
      <w:r>
        <w:t xml:space="preserve"> </w:t>
      </w:r>
      <w:r w:rsidRPr="00271210">
        <w:t>Plut. Alex. 47.6</w:t>
      </w:r>
    </w:p>
  </w:footnote>
  <w:footnote w:id="20">
    <w:p w14:paraId="26C92ADC" w14:textId="714D3322" w:rsidR="00D9196A" w:rsidRPr="00D9196A" w:rsidRDefault="00D9196A">
      <w:pPr>
        <w:pStyle w:val="FootnoteText"/>
        <w:rPr>
          <w:lang w:val="en-US"/>
        </w:rPr>
      </w:pPr>
      <w:r>
        <w:rPr>
          <w:rStyle w:val="FootnoteReference"/>
        </w:rPr>
        <w:footnoteRef/>
      </w:r>
      <w:r>
        <w:t xml:space="preserve"> </w:t>
      </w:r>
      <w:r>
        <w:rPr>
          <w:lang w:val="en-US"/>
        </w:rPr>
        <w:t>Renault 1975: 43</w:t>
      </w:r>
    </w:p>
  </w:footnote>
  <w:footnote w:id="21">
    <w:p w14:paraId="671E02F8" w14:textId="42673444" w:rsidR="00FD7549" w:rsidRPr="00FD7549" w:rsidRDefault="00FD7549">
      <w:pPr>
        <w:pStyle w:val="FootnoteText"/>
        <w:rPr>
          <w:lang w:val="en-US"/>
        </w:rPr>
      </w:pPr>
      <w:r>
        <w:rPr>
          <w:rStyle w:val="FootnoteReference"/>
        </w:rPr>
        <w:footnoteRef/>
      </w:r>
      <w:r>
        <w:t xml:space="preserve"> </w:t>
      </w:r>
      <w:r>
        <w:rPr>
          <w:lang w:val="en-US"/>
        </w:rPr>
        <w:t>Renault 1975: 44</w:t>
      </w:r>
    </w:p>
  </w:footnote>
  <w:footnote w:id="22">
    <w:p w14:paraId="2D584247" w14:textId="7DC307E2" w:rsidR="009F2174" w:rsidRPr="009F2174" w:rsidRDefault="009F2174">
      <w:pPr>
        <w:pStyle w:val="FootnoteText"/>
        <w:rPr>
          <w:lang w:val="en-US"/>
        </w:rPr>
      </w:pPr>
      <w:r>
        <w:rPr>
          <w:rStyle w:val="FootnoteReference"/>
        </w:rPr>
        <w:footnoteRef/>
      </w:r>
      <w:r>
        <w:t xml:space="preserve"> </w:t>
      </w:r>
      <w:r w:rsidRPr="009F2174">
        <w:t>Diod. 17.37.3</w:t>
      </w:r>
    </w:p>
  </w:footnote>
  <w:footnote w:id="23">
    <w:p w14:paraId="626E8998" w14:textId="19D98771" w:rsidR="00114585" w:rsidRPr="00114585" w:rsidRDefault="00114585">
      <w:pPr>
        <w:pStyle w:val="FootnoteText"/>
        <w:rPr>
          <w:lang w:val="en-US"/>
        </w:rPr>
      </w:pPr>
      <w:r>
        <w:rPr>
          <w:rStyle w:val="FootnoteReference"/>
        </w:rPr>
        <w:footnoteRef/>
      </w:r>
      <w:r>
        <w:t xml:space="preserve"> </w:t>
      </w:r>
      <w:r>
        <w:rPr>
          <w:lang w:val="en-US"/>
        </w:rPr>
        <w:t>Arr. 7.14.6.</w:t>
      </w:r>
    </w:p>
  </w:footnote>
  <w:footnote w:id="24">
    <w:p w14:paraId="537C788B" w14:textId="2D31E041" w:rsidR="007518DA" w:rsidRPr="007518DA" w:rsidRDefault="007518DA">
      <w:pPr>
        <w:pStyle w:val="FootnoteText"/>
        <w:rPr>
          <w:lang w:val="en-US"/>
        </w:rPr>
      </w:pPr>
      <w:r>
        <w:rPr>
          <w:rStyle w:val="FootnoteReference"/>
        </w:rPr>
        <w:footnoteRef/>
      </w:r>
      <w:r>
        <w:t xml:space="preserve"> </w:t>
      </w:r>
      <w:r>
        <w:rPr>
          <w:lang w:val="en-US"/>
        </w:rPr>
        <w:t>Renault 1975: 44</w:t>
      </w:r>
    </w:p>
  </w:footnote>
  <w:footnote w:id="25">
    <w:p w14:paraId="4081E5D2" w14:textId="6FB5566E" w:rsidR="000A2810" w:rsidRPr="000A2810" w:rsidRDefault="000A2810">
      <w:pPr>
        <w:pStyle w:val="FootnoteText"/>
        <w:rPr>
          <w:lang w:val="en-US"/>
        </w:rPr>
      </w:pPr>
      <w:r>
        <w:rPr>
          <w:rStyle w:val="FootnoteReference"/>
        </w:rPr>
        <w:footnoteRef/>
      </w:r>
      <w:r>
        <w:t xml:space="preserve"> </w:t>
      </w:r>
      <w:r>
        <w:t>Fox 1980: 8</w:t>
      </w:r>
    </w:p>
  </w:footnote>
  <w:footnote w:id="26">
    <w:p w14:paraId="5473D496" w14:textId="15D7E671" w:rsidR="001B6E27" w:rsidRPr="001B6E27" w:rsidRDefault="001B6E27">
      <w:pPr>
        <w:pStyle w:val="FootnoteText"/>
        <w:rPr>
          <w:lang w:val="en-US"/>
        </w:rPr>
      </w:pPr>
      <w:r>
        <w:rPr>
          <w:rStyle w:val="FootnoteReference"/>
        </w:rPr>
        <w:footnoteRef/>
      </w:r>
      <w:r>
        <w:t xml:space="preserve"> </w:t>
      </w:r>
      <w:r>
        <w:rPr>
          <w:lang w:val="en-US"/>
        </w:rPr>
        <w:t>Arr. 7.14. 1-10.</w:t>
      </w:r>
    </w:p>
  </w:footnote>
  <w:footnote w:id="27">
    <w:p w14:paraId="576DA760" w14:textId="079F3162" w:rsidR="00654C05" w:rsidRPr="00654C05" w:rsidRDefault="00654C05">
      <w:pPr>
        <w:pStyle w:val="FootnoteText"/>
        <w:rPr>
          <w:lang w:val="en-US"/>
        </w:rPr>
      </w:pPr>
      <w:r>
        <w:rPr>
          <w:rStyle w:val="FootnoteReference"/>
        </w:rPr>
        <w:footnoteRef/>
      </w:r>
      <w:r>
        <w:t xml:space="preserve"> </w:t>
      </w:r>
      <w:r w:rsidR="00B17DE5" w:rsidRPr="00B17DE5">
        <w:t>Diod. 17.114.2</w:t>
      </w:r>
    </w:p>
  </w:footnote>
  <w:footnote w:id="28">
    <w:p w14:paraId="1E08F48F" w14:textId="2B5F9498" w:rsidR="00B41911" w:rsidRPr="00B41911" w:rsidRDefault="00B41911">
      <w:pPr>
        <w:pStyle w:val="FootnoteText"/>
        <w:rPr>
          <w:lang w:val="en-US"/>
        </w:rPr>
      </w:pPr>
      <w:r>
        <w:rPr>
          <w:rStyle w:val="FootnoteReference"/>
        </w:rPr>
        <w:footnoteRef/>
      </w:r>
      <w:r>
        <w:t xml:space="preserve"> </w:t>
      </w:r>
      <w:r>
        <w:rPr>
          <w:lang w:val="en-US"/>
        </w:rPr>
        <w:t>Heckel 1992:107-108</w:t>
      </w:r>
    </w:p>
  </w:footnote>
  <w:footnote w:id="29">
    <w:p w14:paraId="7A59129F" w14:textId="49644B27" w:rsidR="00A70DD4" w:rsidRPr="00A70DD4" w:rsidRDefault="00A70DD4">
      <w:pPr>
        <w:pStyle w:val="FootnoteText"/>
        <w:rPr>
          <w:lang w:val="en-US"/>
        </w:rPr>
      </w:pPr>
      <w:r>
        <w:rPr>
          <w:rStyle w:val="FootnoteReference"/>
        </w:rPr>
        <w:footnoteRef/>
      </w:r>
      <w:r>
        <w:t xml:space="preserve"> </w:t>
      </w:r>
      <w:r>
        <w:rPr>
          <w:lang w:val="en-US"/>
        </w:rPr>
        <w:t>Heckel 1992: 111</w:t>
      </w:r>
    </w:p>
  </w:footnote>
  <w:footnote w:id="30">
    <w:p w14:paraId="54EE348C" w14:textId="152E2876" w:rsidR="00FC5525" w:rsidRPr="00FC5525" w:rsidRDefault="00FC5525">
      <w:pPr>
        <w:pStyle w:val="FootnoteText"/>
        <w:rPr>
          <w:lang w:val="en-US"/>
        </w:rPr>
      </w:pPr>
      <w:r>
        <w:rPr>
          <w:rStyle w:val="FootnoteReference"/>
        </w:rPr>
        <w:footnoteRef/>
      </w:r>
      <w:r>
        <w:t xml:space="preserve"> </w:t>
      </w:r>
      <w:r>
        <w:rPr>
          <w:lang w:val="en-US"/>
        </w:rPr>
        <w:t>Plut. Eum. 6.1-3.</w:t>
      </w:r>
      <w:r w:rsidR="0004060F">
        <w:rPr>
          <w:lang w:val="en-US"/>
        </w:rPr>
        <w:t>, Heckel 1992: 120</w:t>
      </w:r>
    </w:p>
  </w:footnote>
  <w:footnote w:id="31">
    <w:p w14:paraId="21D3DC79" w14:textId="485F5C84" w:rsidR="00C31498" w:rsidRPr="00C31498" w:rsidRDefault="00C31498">
      <w:pPr>
        <w:pStyle w:val="FootnoteText"/>
        <w:rPr>
          <w:lang w:val="en-US"/>
        </w:rPr>
      </w:pPr>
      <w:r>
        <w:rPr>
          <w:rStyle w:val="FootnoteReference"/>
        </w:rPr>
        <w:footnoteRef/>
      </w:r>
      <w:r>
        <w:t xml:space="preserve"> </w:t>
      </w:r>
      <w:r>
        <w:rPr>
          <w:lang w:val="en-US"/>
        </w:rPr>
        <w:t>Renault 1975: 167</w:t>
      </w:r>
    </w:p>
  </w:footnote>
  <w:footnote w:id="32">
    <w:p w14:paraId="6B4D19EA" w14:textId="4060D803" w:rsidR="00CE1AFC" w:rsidRPr="00CE1AFC" w:rsidRDefault="00CE1AFC">
      <w:pPr>
        <w:pStyle w:val="FootnoteText"/>
        <w:rPr>
          <w:lang w:val="en-US"/>
        </w:rPr>
      </w:pPr>
      <w:r>
        <w:rPr>
          <w:rStyle w:val="FootnoteReference"/>
        </w:rPr>
        <w:footnoteRef/>
      </w:r>
      <w:r>
        <w:t xml:space="preserve"> </w:t>
      </w:r>
      <w:r>
        <w:t>Fox 1980: 8</w:t>
      </w:r>
    </w:p>
  </w:footnote>
  <w:footnote w:id="33">
    <w:p w14:paraId="1470264F" w14:textId="21E52793" w:rsidR="00122F03" w:rsidRPr="00122F03" w:rsidRDefault="00122F03">
      <w:pPr>
        <w:pStyle w:val="FootnoteText"/>
        <w:rPr>
          <w:lang w:val="en-US"/>
        </w:rPr>
      </w:pPr>
      <w:r>
        <w:rPr>
          <w:rStyle w:val="FootnoteReference"/>
        </w:rPr>
        <w:footnoteRef/>
      </w:r>
      <w:r>
        <w:t xml:space="preserve"> </w:t>
      </w:r>
      <w:r>
        <w:rPr>
          <w:lang w:val="en-US"/>
        </w:rPr>
        <w:t>Renault 1975: 178-180</w:t>
      </w:r>
    </w:p>
  </w:footnote>
  <w:footnote w:id="34">
    <w:p w14:paraId="697846F8" w14:textId="0177EE6E" w:rsidR="00CB63E7" w:rsidRPr="00CB63E7" w:rsidRDefault="00CB63E7">
      <w:pPr>
        <w:pStyle w:val="FootnoteText"/>
        <w:rPr>
          <w:lang w:val="en-US"/>
        </w:rPr>
      </w:pPr>
      <w:r>
        <w:rPr>
          <w:rStyle w:val="FootnoteReference"/>
        </w:rPr>
        <w:footnoteRef/>
      </w:r>
      <w:r>
        <w:t xml:space="preserve"> </w:t>
      </w:r>
      <w:r>
        <w:rPr>
          <w:lang w:val="en-US"/>
        </w:rPr>
        <w:t>Renault 1975: 180</w:t>
      </w:r>
    </w:p>
  </w:footnote>
  <w:footnote w:id="35">
    <w:p w14:paraId="37638606" w14:textId="4E868C38" w:rsidR="001C5F65" w:rsidRPr="001C5F65" w:rsidRDefault="001C5F65">
      <w:pPr>
        <w:pStyle w:val="FootnoteText"/>
        <w:rPr>
          <w:lang w:val="en-US"/>
        </w:rPr>
      </w:pPr>
      <w:r>
        <w:rPr>
          <w:rStyle w:val="FootnoteReference"/>
        </w:rPr>
        <w:footnoteRef/>
      </w:r>
      <w:r>
        <w:t xml:space="preserve"> </w:t>
      </w:r>
      <w:r>
        <w:t>Fox 1980: 8</w:t>
      </w:r>
    </w:p>
  </w:footnote>
  <w:footnote w:id="36">
    <w:p w14:paraId="32C70389" w14:textId="429BF269" w:rsidR="009A15FD" w:rsidRPr="009A15FD" w:rsidRDefault="009A15FD">
      <w:pPr>
        <w:pStyle w:val="FootnoteText"/>
        <w:rPr>
          <w:lang w:val="en-US"/>
        </w:rPr>
      </w:pPr>
      <w:r>
        <w:rPr>
          <w:rStyle w:val="FootnoteReference"/>
        </w:rPr>
        <w:footnoteRef/>
      </w:r>
      <w:r>
        <w:t xml:space="preserve"> </w:t>
      </w:r>
      <w:r>
        <w:rPr>
          <w:lang w:val="en-US"/>
        </w:rPr>
        <w:t>Arr. 4.23.5.</w:t>
      </w:r>
    </w:p>
  </w:footnote>
  <w:footnote w:id="37">
    <w:p w14:paraId="42145DBF" w14:textId="57C4A691" w:rsidR="00020C3C" w:rsidRPr="00020C3C" w:rsidRDefault="00020C3C">
      <w:pPr>
        <w:pStyle w:val="FootnoteText"/>
        <w:rPr>
          <w:lang w:val="en-US"/>
        </w:rPr>
      </w:pPr>
      <w:r>
        <w:rPr>
          <w:rStyle w:val="FootnoteReference"/>
        </w:rPr>
        <w:footnoteRef/>
      </w:r>
      <w:r>
        <w:t xml:space="preserve"> </w:t>
      </w:r>
      <w:r>
        <w:t>Fox 1980: 8</w:t>
      </w:r>
    </w:p>
  </w:footnote>
  <w:footnote w:id="38">
    <w:p w14:paraId="1648A884" w14:textId="0BB76134" w:rsidR="00D93AAC" w:rsidRPr="00D93AAC" w:rsidRDefault="00D93AAC">
      <w:pPr>
        <w:pStyle w:val="FootnoteText"/>
        <w:rPr>
          <w:lang w:val="en-US"/>
        </w:rPr>
      </w:pPr>
      <w:r>
        <w:rPr>
          <w:rStyle w:val="FootnoteReference"/>
        </w:rPr>
        <w:footnoteRef/>
      </w:r>
      <w:r>
        <w:t xml:space="preserve"> </w:t>
      </w:r>
      <w:r w:rsidR="00911BF4">
        <w:rPr>
          <w:lang w:val="en-US"/>
        </w:rPr>
        <w:t xml:space="preserve">Arr. 6.10.2; It is worth mentioning that while Arrian provides a clear description of this event, he </w:t>
      </w:r>
      <w:r w:rsidR="001E1AB4">
        <w:rPr>
          <w:lang w:val="en-US"/>
        </w:rPr>
        <w:t>notes</w:t>
      </w:r>
      <w:r w:rsidR="00911BF4">
        <w:rPr>
          <w:lang w:val="en-US"/>
        </w:rPr>
        <w:t xml:space="preserve"> the differences </w:t>
      </w:r>
      <w:r w:rsidR="000E4502">
        <w:rPr>
          <w:lang w:val="en-US"/>
        </w:rPr>
        <w:t>in detail</w:t>
      </w:r>
      <w:r w:rsidR="00911BF4">
        <w:rPr>
          <w:lang w:val="en-US"/>
        </w:rPr>
        <w:t xml:space="preserve"> that other historian</w:t>
      </w:r>
      <w:r w:rsidR="008A15DB">
        <w:rPr>
          <w:lang w:val="en-US"/>
        </w:rPr>
        <w:t>s mention</w:t>
      </w:r>
      <w:r w:rsidR="00911BF4">
        <w:rPr>
          <w:lang w:val="en-US"/>
        </w:rPr>
        <w:t>, though not by name. Some details differ such as who spe</w:t>
      </w:r>
      <w:r w:rsidR="00A81F86">
        <w:rPr>
          <w:lang w:val="en-US"/>
        </w:rPr>
        <w:t>cifically protected Alexander after he fell from his injury. Other disagreements pertain to who else was with Alexander when this injury happened. For the purpose of displaying the reaction of Alexander’s army, Arrian provides the most complete description.</w:t>
      </w:r>
    </w:p>
  </w:footnote>
  <w:footnote w:id="39">
    <w:p w14:paraId="70CC6711" w14:textId="128F18D1" w:rsidR="000E5DF4" w:rsidRPr="000E5DF4" w:rsidRDefault="000E5DF4">
      <w:pPr>
        <w:pStyle w:val="FootnoteText"/>
        <w:rPr>
          <w:lang w:val="en-US"/>
        </w:rPr>
      </w:pPr>
      <w:r>
        <w:rPr>
          <w:rStyle w:val="FootnoteReference"/>
        </w:rPr>
        <w:footnoteRef/>
      </w:r>
      <w:r>
        <w:t xml:space="preserve"> </w:t>
      </w:r>
      <w:r>
        <w:rPr>
          <w:lang w:val="en-US"/>
        </w:rPr>
        <w:t>Arr. 6.10.4.</w:t>
      </w:r>
    </w:p>
  </w:footnote>
  <w:footnote w:id="40">
    <w:p w14:paraId="752C6683" w14:textId="7B946F5C" w:rsidR="00E64B97" w:rsidRPr="00E64B97" w:rsidRDefault="00E64B97">
      <w:pPr>
        <w:pStyle w:val="FootnoteText"/>
        <w:rPr>
          <w:lang w:val="en-US"/>
        </w:rPr>
      </w:pPr>
      <w:r>
        <w:rPr>
          <w:rStyle w:val="FootnoteReference"/>
        </w:rPr>
        <w:footnoteRef/>
      </w:r>
      <w:r>
        <w:t xml:space="preserve"> </w:t>
      </w:r>
      <w:r w:rsidR="00872AC4">
        <w:rPr>
          <w:lang w:val="en-US"/>
        </w:rPr>
        <w:t>6.13.1-3</w:t>
      </w:r>
      <w:r w:rsidR="002E0E3A">
        <w:rPr>
          <w:lang w:val="en-US"/>
        </w:rPr>
        <w:t>.</w:t>
      </w:r>
    </w:p>
  </w:footnote>
  <w:footnote w:id="41">
    <w:p w14:paraId="4ABADD1B" w14:textId="2D145BF2" w:rsidR="0049408B" w:rsidRPr="0049408B" w:rsidRDefault="0049408B">
      <w:pPr>
        <w:pStyle w:val="FootnoteText"/>
        <w:rPr>
          <w:lang w:val="en-US"/>
        </w:rPr>
      </w:pPr>
      <w:r>
        <w:rPr>
          <w:rStyle w:val="FootnoteReference"/>
        </w:rPr>
        <w:footnoteRef/>
      </w:r>
      <w:r>
        <w:t xml:space="preserve"> </w:t>
      </w:r>
      <w:r w:rsidR="00970E8C">
        <w:rPr>
          <w:lang w:val="en-US"/>
        </w:rPr>
        <w:t>As stated in Cambridge Dictionary, the definition of mutiny is, “An occasion when a group of people, especially soldiers or sailors, refuses to obey orders and/or attempts to take control from people in authority.” Due to this, I cannot personally acknowledge this event as a mutiny as</w:t>
      </w:r>
      <w:r w:rsidR="00C4740B">
        <w:rPr>
          <w:lang w:val="en-US"/>
        </w:rPr>
        <w:t xml:space="preserve"> it appears</w:t>
      </w:r>
      <w:r w:rsidR="00970E8C">
        <w:rPr>
          <w:lang w:val="en-US"/>
        </w:rPr>
        <w:t xml:space="preserve"> the prevailing factor in their distress was the desire to remain in Alexander’s service</w:t>
      </w:r>
      <w:r w:rsidR="00C4740B">
        <w:rPr>
          <w:lang w:val="en-US"/>
        </w:rPr>
        <w:t>.</w:t>
      </w:r>
      <w:r w:rsidR="00970E8C">
        <w:rPr>
          <w:lang w:val="en-US"/>
        </w:rPr>
        <w:t xml:space="preserve"> </w:t>
      </w:r>
    </w:p>
  </w:footnote>
  <w:footnote w:id="42">
    <w:p w14:paraId="0072FC54" w14:textId="3A5D20D7" w:rsidR="00415B6F" w:rsidRPr="00415B6F" w:rsidRDefault="00415B6F">
      <w:pPr>
        <w:pStyle w:val="FootnoteText"/>
        <w:rPr>
          <w:lang w:val="en-US"/>
        </w:rPr>
      </w:pPr>
      <w:r>
        <w:rPr>
          <w:rStyle w:val="FootnoteReference"/>
        </w:rPr>
        <w:footnoteRef/>
      </w:r>
      <w:r>
        <w:t xml:space="preserve"> </w:t>
      </w:r>
      <w:r>
        <w:rPr>
          <w:lang w:val="en-US"/>
        </w:rPr>
        <w:t>Carney 1996: 38, Fox 1980: 374</w:t>
      </w:r>
      <w:r w:rsidR="006B09CB">
        <w:rPr>
          <w:lang w:val="en-US"/>
        </w:rPr>
        <w:t xml:space="preserve">; It seems as though the only thing that historians can truly surmise from this “mutiny” is the idea that it seems to be completely emotional and irrational. </w:t>
      </w:r>
    </w:p>
  </w:footnote>
  <w:footnote w:id="43">
    <w:p w14:paraId="2560CAD0" w14:textId="0B461DE6" w:rsidR="001A307B" w:rsidRPr="001A307B" w:rsidRDefault="001A307B">
      <w:pPr>
        <w:pStyle w:val="FootnoteText"/>
        <w:rPr>
          <w:lang w:val="en-US"/>
        </w:rPr>
      </w:pPr>
      <w:r>
        <w:rPr>
          <w:rStyle w:val="FootnoteReference"/>
        </w:rPr>
        <w:footnoteRef/>
      </w:r>
      <w:r>
        <w:t xml:space="preserve"> </w:t>
      </w:r>
      <w:r>
        <w:rPr>
          <w:lang w:val="en-US"/>
        </w:rPr>
        <w:t>Fox 1980: 375</w:t>
      </w:r>
    </w:p>
  </w:footnote>
  <w:footnote w:id="44">
    <w:p w14:paraId="26FAC726" w14:textId="47759FC3" w:rsidR="00BE6424" w:rsidRPr="00BE6424" w:rsidRDefault="00BE6424">
      <w:pPr>
        <w:pStyle w:val="FootnoteText"/>
        <w:rPr>
          <w:lang w:val="en-US"/>
        </w:rPr>
      </w:pPr>
      <w:r>
        <w:rPr>
          <w:rStyle w:val="FootnoteReference"/>
        </w:rPr>
        <w:footnoteRef/>
      </w:r>
      <w:r>
        <w:t xml:space="preserve"> </w:t>
      </w:r>
      <w:r>
        <w:rPr>
          <w:lang w:val="en-US"/>
        </w:rPr>
        <w:t>Fox 1980: 375-377</w:t>
      </w:r>
    </w:p>
  </w:footnote>
  <w:footnote w:id="45">
    <w:p w14:paraId="7B59328C" w14:textId="27F52EBB" w:rsidR="006F3C99" w:rsidRPr="00E70277" w:rsidRDefault="00E70277">
      <w:pPr>
        <w:pStyle w:val="FootnoteText"/>
        <w:rPr>
          <w:lang w:val="en-US"/>
        </w:rPr>
      </w:pPr>
      <w:r>
        <w:rPr>
          <w:rStyle w:val="FootnoteReference"/>
        </w:rPr>
        <w:footnoteRef/>
      </w:r>
      <w:r>
        <w:t xml:space="preserve"> </w:t>
      </w:r>
      <w:r>
        <w:rPr>
          <w:lang w:val="en-US"/>
        </w:rPr>
        <w:t>Fox 1980: 381-382</w:t>
      </w:r>
    </w:p>
  </w:footnote>
  <w:footnote w:id="46">
    <w:p w14:paraId="1CA50C97" w14:textId="525F0799" w:rsidR="008B576F" w:rsidRPr="008B576F" w:rsidRDefault="008B576F">
      <w:pPr>
        <w:pStyle w:val="FootnoteText"/>
        <w:rPr>
          <w:lang w:val="en-US"/>
        </w:rPr>
      </w:pPr>
      <w:r>
        <w:rPr>
          <w:rStyle w:val="FootnoteReference"/>
        </w:rPr>
        <w:footnoteRef/>
      </w:r>
      <w:r>
        <w:t xml:space="preserve"> </w:t>
      </w:r>
      <w:r>
        <w:rPr>
          <w:lang w:val="en-US"/>
        </w:rPr>
        <w:t>Fox 1980: 8</w:t>
      </w:r>
    </w:p>
  </w:footnote>
  <w:footnote w:id="47">
    <w:p w14:paraId="199F1945" w14:textId="089EAC6F" w:rsidR="004D7A7E" w:rsidRPr="004D7A7E" w:rsidRDefault="004D7A7E">
      <w:pPr>
        <w:pStyle w:val="FootnoteText"/>
        <w:rPr>
          <w:lang w:val="en-US"/>
        </w:rPr>
      </w:pPr>
      <w:r>
        <w:rPr>
          <w:rStyle w:val="FootnoteReference"/>
        </w:rPr>
        <w:footnoteRef/>
      </w:r>
      <w:r>
        <w:t xml:space="preserve"> </w:t>
      </w:r>
      <w:r>
        <w:rPr>
          <w:lang w:val="en-US"/>
        </w:rPr>
        <w:t>Fox 1980: 259</w:t>
      </w:r>
    </w:p>
  </w:footnote>
  <w:footnote w:id="48">
    <w:p w14:paraId="4CFA0B60" w14:textId="506AB109" w:rsidR="001779E5" w:rsidRPr="001779E5" w:rsidRDefault="001779E5">
      <w:pPr>
        <w:pStyle w:val="FootnoteText"/>
        <w:rPr>
          <w:lang w:val="en-US"/>
        </w:rPr>
      </w:pPr>
      <w:r>
        <w:rPr>
          <w:rStyle w:val="FootnoteReference"/>
        </w:rPr>
        <w:footnoteRef/>
      </w:r>
      <w:r>
        <w:t xml:space="preserve"> </w:t>
      </w:r>
      <w:r>
        <w:rPr>
          <w:lang w:val="en-US"/>
        </w:rPr>
        <w:t>Badian 2000: 256</w:t>
      </w:r>
      <w:r w:rsidR="003E0692">
        <w:rPr>
          <w:lang w:val="en-US"/>
        </w:rPr>
        <w:t>-257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ctiveWritingStyle w:appName="MSWord" w:lang="en-US" w:vendorID="64" w:dllVersion="131078" w:nlCheck="1" w:checkStyle="0"/>
  <w:activeWritingStyle w:appName="MSWord" w:lang="en-GB" w:vendorID="64" w:dllVersion="131078"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3E2"/>
    <w:rsid w:val="00003AED"/>
    <w:rsid w:val="000122F0"/>
    <w:rsid w:val="00020C3C"/>
    <w:rsid w:val="000220D4"/>
    <w:rsid w:val="0002650B"/>
    <w:rsid w:val="0003492D"/>
    <w:rsid w:val="00037526"/>
    <w:rsid w:val="0004060F"/>
    <w:rsid w:val="00047978"/>
    <w:rsid w:val="000511A4"/>
    <w:rsid w:val="0005507C"/>
    <w:rsid w:val="00075A5E"/>
    <w:rsid w:val="00085AD7"/>
    <w:rsid w:val="000A2810"/>
    <w:rsid w:val="000A3227"/>
    <w:rsid w:val="000B0C3C"/>
    <w:rsid w:val="000B73C3"/>
    <w:rsid w:val="000C6461"/>
    <w:rsid w:val="000E4502"/>
    <w:rsid w:val="000E5DF4"/>
    <w:rsid w:val="00107F27"/>
    <w:rsid w:val="00114585"/>
    <w:rsid w:val="00122F03"/>
    <w:rsid w:val="00130601"/>
    <w:rsid w:val="001329BD"/>
    <w:rsid w:val="00136E25"/>
    <w:rsid w:val="00141068"/>
    <w:rsid w:val="00157808"/>
    <w:rsid w:val="001605FA"/>
    <w:rsid w:val="00170D75"/>
    <w:rsid w:val="001779E5"/>
    <w:rsid w:val="0018107E"/>
    <w:rsid w:val="00186390"/>
    <w:rsid w:val="001924E7"/>
    <w:rsid w:val="00193F0E"/>
    <w:rsid w:val="001A2EF3"/>
    <w:rsid w:val="001A307B"/>
    <w:rsid w:val="001A55F5"/>
    <w:rsid w:val="001A76A1"/>
    <w:rsid w:val="001A7A99"/>
    <w:rsid w:val="001B6E27"/>
    <w:rsid w:val="001C1809"/>
    <w:rsid w:val="001C5F65"/>
    <w:rsid w:val="001C6A65"/>
    <w:rsid w:val="001C7D2D"/>
    <w:rsid w:val="001E1AB4"/>
    <w:rsid w:val="001E387C"/>
    <w:rsid w:val="001F193C"/>
    <w:rsid w:val="001F441A"/>
    <w:rsid w:val="001F6BAB"/>
    <w:rsid w:val="001F78E8"/>
    <w:rsid w:val="002033CA"/>
    <w:rsid w:val="00203F4C"/>
    <w:rsid w:val="002056BB"/>
    <w:rsid w:val="00235A17"/>
    <w:rsid w:val="00244326"/>
    <w:rsid w:val="002615EE"/>
    <w:rsid w:val="00262A0D"/>
    <w:rsid w:val="00267A2A"/>
    <w:rsid w:val="00271210"/>
    <w:rsid w:val="0027720D"/>
    <w:rsid w:val="00286D6D"/>
    <w:rsid w:val="00296943"/>
    <w:rsid w:val="002C4FE3"/>
    <w:rsid w:val="002D6DBF"/>
    <w:rsid w:val="002E0E3A"/>
    <w:rsid w:val="002E1BFD"/>
    <w:rsid w:val="002E36B7"/>
    <w:rsid w:val="002F56C2"/>
    <w:rsid w:val="00300F94"/>
    <w:rsid w:val="00327014"/>
    <w:rsid w:val="003275A7"/>
    <w:rsid w:val="00332738"/>
    <w:rsid w:val="00353992"/>
    <w:rsid w:val="00382E3D"/>
    <w:rsid w:val="00392B40"/>
    <w:rsid w:val="00395539"/>
    <w:rsid w:val="003C73FE"/>
    <w:rsid w:val="003D1745"/>
    <w:rsid w:val="003E0692"/>
    <w:rsid w:val="003F1918"/>
    <w:rsid w:val="00415B6F"/>
    <w:rsid w:val="00442BF9"/>
    <w:rsid w:val="0044727A"/>
    <w:rsid w:val="004508FE"/>
    <w:rsid w:val="00452F2B"/>
    <w:rsid w:val="004565C1"/>
    <w:rsid w:val="004609E9"/>
    <w:rsid w:val="004877DB"/>
    <w:rsid w:val="00491840"/>
    <w:rsid w:val="0049408B"/>
    <w:rsid w:val="004A1825"/>
    <w:rsid w:val="004A72C9"/>
    <w:rsid w:val="004B3B43"/>
    <w:rsid w:val="004B76B7"/>
    <w:rsid w:val="004D3BCA"/>
    <w:rsid w:val="004D6533"/>
    <w:rsid w:val="004D7A7E"/>
    <w:rsid w:val="004F0F67"/>
    <w:rsid w:val="0051677B"/>
    <w:rsid w:val="00517F87"/>
    <w:rsid w:val="00525D3E"/>
    <w:rsid w:val="00553717"/>
    <w:rsid w:val="005558E0"/>
    <w:rsid w:val="0056095C"/>
    <w:rsid w:val="00566AC2"/>
    <w:rsid w:val="00573FAD"/>
    <w:rsid w:val="005851AF"/>
    <w:rsid w:val="005E4172"/>
    <w:rsid w:val="006132BA"/>
    <w:rsid w:val="006157E1"/>
    <w:rsid w:val="0063019A"/>
    <w:rsid w:val="006403A4"/>
    <w:rsid w:val="00654C05"/>
    <w:rsid w:val="006841D1"/>
    <w:rsid w:val="00684ABE"/>
    <w:rsid w:val="00691298"/>
    <w:rsid w:val="00692108"/>
    <w:rsid w:val="0069413A"/>
    <w:rsid w:val="0069546F"/>
    <w:rsid w:val="006B09CB"/>
    <w:rsid w:val="006C2A0D"/>
    <w:rsid w:val="006D114F"/>
    <w:rsid w:val="006D1155"/>
    <w:rsid w:val="006D549C"/>
    <w:rsid w:val="006E04AD"/>
    <w:rsid w:val="006F0AF4"/>
    <w:rsid w:val="006F3C99"/>
    <w:rsid w:val="006F514D"/>
    <w:rsid w:val="006F7F8D"/>
    <w:rsid w:val="00703681"/>
    <w:rsid w:val="00705F83"/>
    <w:rsid w:val="00724A18"/>
    <w:rsid w:val="007465F6"/>
    <w:rsid w:val="007518DA"/>
    <w:rsid w:val="00763431"/>
    <w:rsid w:val="007853C0"/>
    <w:rsid w:val="007A1B80"/>
    <w:rsid w:val="007A2AA0"/>
    <w:rsid w:val="007A6C02"/>
    <w:rsid w:val="007A6F43"/>
    <w:rsid w:val="007B1EA4"/>
    <w:rsid w:val="007D0416"/>
    <w:rsid w:val="007D78C4"/>
    <w:rsid w:val="007E1AB9"/>
    <w:rsid w:val="007F377F"/>
    <w:rsid w:val="007F3A57"/>
    <w:rsid w:val="0080290F"/>
    <w:rsid w:val="00811FEE"/>
    <w:rsid w:val="00814B1E"/>
    <w:rsid w:val="00815E2D"/>
    <w:rsid w:val="008214BE"/>
    <w:rsid w:val="00832076"/>
    <w:rsid w:val="008608AB"/>
    <w:rsid w:val="00872AC4"/>
    <w:rsid w:val="00877271"/>
    <w:rsid w:val="008A15DB"/>
    <w:rsid w:val="008B576F"/>
    <w:rsid w:val="008C0C2A"/>
    <w:rsid w:val="008C2E1A"/>
    <w:rsid w:val="008F1313"/>
    <w:rsid w:val="008F16C4"/>
    <w:rsid w:val="008F4814"/>
    <w:rsid w:val="0090634D"/>
    <w:rsid w:val="00911BF4"/>
    <w:rsid w:val="00925B43"/>
    <w:rsid w:val="009355A5"/>
    <w:rsid w:val="00936777"/>
    <w:rsid w:val="00941352"/>
    <w:rsid w:val="00963209"/>
    <w:rsid w:val="00970E8C"/>
    <w:rsid w:val="00971BD3"/>
    <w:rsid w:val="00982B1B"/>
    <w:rsid w:val="009849E4"/>
    <w:rsid w:val="00995A82"/>
    <w:rsid w:val="009A15FD"/>
    <w:rsid w:val="009A693E"/>
    <w:rsid w:val="009B26B6"/>
    <w:rsid w:val="009E27E4"/>
    <w:rsid w:val="009F2174"/>
    <w:rsid w:val="00A10645"/>
    <w:rsid w:val="00A10EA9"/>
    <w:rsid w:val="00A11C5C"/>
    <w:rsid w:val="00A14813"/>
    <w:rsid w:val="00A20364"/>
    <w:rsid w:val="00A22AFA"/>
    <w:rsid w:val="00A2330B"/>
    <w:rsid w:val="00A5513F"/>
    <w:rsid w:val="00A6185A"/>
    <w:rsid w:val="00A63130"/>
    <w:rsid w:val="00A70DD4"/>
    <w:rsid w:val="00A76901"/>
    <w:rsid w:val="00A77266"/>
    <w:rsid w:val="00A81F86"/>
    <w:rsid w:val="00A923E4"/>
    <w:rsid w:val="00A962BD"/>
    <w:rsid w:val="00AA2618"/>
    <w:rsid w:val="00AC390C"/>
    <w:rsid w:val="00AE5940"/>
    <w:rsid w:val="00AE7459"/>
    <w:rsid w:val="00AF22B0"/>
    <w:rsid w:val="00B0034E"/>
    <w:rsid w:val="00B0429D"/>
    <w:rsid w:val="00B05181"/>
    <w:rsid w:val="00B1422D"/>
    <w:rsid w:val="00B17DE5"/>
    <w:rsid w:val="00B22814"/>
    <w:rsid w:val="00B239C5"/>
    <w:rsid w:val="00B276BC"/>
    <w:rsid w:val="00B310F2"/>
    <w:rsid w:val="00B323E2"/>
    <w:rsid w:val="00B41911"/>
    <w:rsid w:val="00B6138C"/>
    <w:rsid w:val="00B63082"/>
    <w:rsid w:val="00B674B8"/>
    <w:rsid w:val="00B77669"/>
    <w:rsid w:val="00B85900"/>
    <w:rsid w:val="00BA4242"/>
    <w:rsid w:val="00BB75D3"/>
    <w:rsid w:val="00BD2265"/>
    <w:rsid w:val="00BD3839"/>
    <w:rsid w:val="00BE4885"/>
    <w:rsid w:val="00BE6424"/>
    <w:rsid w:val="00C01540"/>
    <w:rsid w:val="00C07006"/>
    <w:rsid w:val="00C14110"/>
    <w:rsid w:val="00C23A3B"/>
    <w:rsid w:val="00C31498"/>
    <w:rsid w:val="00C43C07"/>
    <w:rsid w:val="00C44722"/>
    <w:rsid w:val="00C4740B"/>
    <w:rsid w:val="00C475B2"/>
    <w:rsid w:val="00C54C03"/>
    <w:rsid w:val="00C61B84"/>
    <w:rsid w:val="00C75FA6"/>
    <w:rsid w:val="00C80C91"/>
    <w:rsid w:val="00CA086A"/>
    <w:rsid w:val="00CA2D65"/>
    <w:rsid w:val="00CB63E7"/>
    <w:rsid w:val="00CC72B1"/>
    <w:rsid w:val="00CD5D59"/>
    <w:rsid w:val="00CE1AFC"/>
    <w:rsid w:val="00D046B9"/>
    <w:rsid w:val="00D05A3B"/>
    <w:rsid w:val="00D05B2E"/>
    <w:rsid w:val="00D07317"/>
    <w:rsid w:val="00D178F7"/>
    <w:rsid w:val="00D45A1F"/>
    <w:rsid w:val="00D47836"/>
    <w:rsid w:val="00D704DE"/>
    <w:rsid w:val="00D76C9D"/>
    <w:rsid w:val="00D83F85"/>
    <w:rsid w:val="00D9196A"/>
    <w:rsid w:val="00D9323E"/>
    <w:rsid w:val="00D93AAC"/>
    <w:rsid w:val="00DA4BAE"/>
    <w:rsid w:val="00DA5A4B"/>
    <w:rsid w:val="00DA70DB"/>
    <w:rsid w:val="00DA72DF"/>
    <w:rsid w:val="00DB2A70"/>
    <w:rsid w:val="00DB4596"/>
    <w:rsid w:val="00DB4607"/>
    <w:rsid w:val="00DC69A3"/>
    <w:rsid w:val="00DD0DAD"/>
    <w:rsid w:val="00DD79DC"/>
    <w:rsid w:val="00DD7A32"/>
    <w:rsid w:val="00E1250B"/>
    <w:rsid w:val="00E151B2"/>
    <w:rsid w:val="00E172BF"/>
    <w:rsid w:val="00E36696"/>
    <w:rsid w:val="00E41C7B"/>
    <w:rsid w:val="00E5462F"/>
    <w:rsid w:val="00E62BC4"/>
    <w:rsid w:val="00E64B97"/>
    <w:rsid w:val="00E67D3F"/>
    <w:rsid w:val="00E70277"/>
    <w:rsid w:val="00E93280"/>
    <w:rsid w:val="00E95282"/>
    <w:rsid w:val="00E973F2"/>
    <w:rsid w:val="00EA7744"/>
    <w:rsid w:val="00EB10A8"/>
    <w:rsid w:val="00EB1485"/>
    <w:rsid w:val="00EB555E"/>
    <w:rsid w:val="00EB6673"/>
    <w:rsid w:val="00EC23DC"/>
    <w:rsid w:val="00ED7338"/>
    <w:rsid w:val="00F01EAA"/>
    <w:rsid w:val="00F11E60"/>
    <w:rsid w:val="00F139E9"/>
    <w:rsid w:val="00F24F8E"/>
    <w:rsid w:val="00F47D23"/>
    <w:rsid w:val="00F60C93"/>
    <w:rsid w:val="00F642DF"/>
    <w:rsid w:val="00F85674"/>
    <w:rsid w:val="00F91AF9"/>
    <w:rsid w:val="00F94C91"/>
    <w:rsid w:val="00FB3413"/>
    <w:rsid w:val="00FC2311"/>
    <w:rsid w:val="00FC5525"/>
    <w:rsid w:val="00FC6FE4"/>
    <w:rsid w:val="00FD7549"/>
    <w:rsid w:val="00FF0970"/>
    <w:rsid w:val="00FF45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4958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76C9D"/>
  </w:style>
  <w:style w:type="character" w:customStyle="1" w:styleId="FootnoteTextChar">
    <w:name w:val="Footnote Text Char"/>
    <w:basedOn w:val="DefaultParagraphFont"/>
    <w:link w:val="FootnoteText"/>
    <w:uiPriority w:val="99"/>
    <w:rsid w:val="00D76C9D"/>
  </w:style>
  <w:style w:type="character" w:styleId="FootnoteReference">
    <w:name w:val="footnote reference"/>
    <w:basedOn w:val="DefaultParagraphFont"/>
    <w:uiPriority w:val="99"/>
    <w:unhideWhenUsed/>
    <w:rsid w:val="00D76C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4577826">
      <w:bodyDiv w:val="1"/>
      <w:marLeft w:val="0"/>
      <w:marRight w:val="0"/>
      <w:marTop w:val="0"/>
      <w:marBottom w:val="0"/>
      <w:divBdr>
        <w:top w:val="none" w:sz="0" w:space="0" w:color="auto"/>
        <w:left w:val="none" w:sz="0" w:space="0" w:color="auto"/>
        <w:bottom w:val="none" w:sz="0" w:space="0" w:color="auto"/>
        <w:right w:val="none" w:sz="0" w:space="0" w:color="auto"/>
      </w:divBdr>
    </w:div>
    <w:div w:id="977302589">
      <w:bodyDiv w:val="1"/>
      <w:marLeft w:val="0"/>
      <w:marRight w:val="0"/>
      <w:marTop w:val="0"/>
      <w:marBottom w:val="0"/>
      <w:divBdr>
        <w:top w:val="none" w:sz="0" w:space="0" w:color="auto"/>
        <w:left w:val="none" w:sz="0" w:space="0" w:color="auto"/>
        <w:bottom w:val="none" w:sz="0" w:space="0" w:color="auto"/>
        <w:right w:val="none" w:sz="0" w:space="0" w:color="auto"/>
      </w:divBdr>
    </w:div>
    <w:div w:id="1150749442">
      <w:bodyDiv w:val="1"/>
      <w:marLeft w:val="0"/>
      <w:marRight w:val="0"/>
      <w:marTop w:val="0"/>
      <w:marBottom w:val="0"/>
      <w:divBdr>
        <w:top w:val="none" w:sz="0" w:space="0" w:color="auto"/>
        <w:left w:val="none" w:sz="0" w:space="0" w:color="auto"/>
        <w:bottom w:val="none" w:sz="0" w:space="0" w:color="auto"/>
        <w:right w:val="none" w:sz="0" w:space="0" w:color="auto"/>
      </w:divBdr>
    </w:div>
    <w:div w:id="1159805877">
      <w:bodyDiv w:val="1"/>
      <w:marLeft w:val="0"/>
      <w:marRight w:val="0"/>
      <w:marTop w:val="0"/>
      <w:marBottom w:val="0"/>
      <w:divBdr>
        <w:top w:val="none" w:sz="0" w:space="0" w:color="auto"/>
        <w:left w:val="none" w:sz="0" w:space="0" w:color="auto"/>
        <w:bottom w:val="none" w:sz="0" w:space="0" w:color="auto"/>
        <w:right w:val="none" w:sz="0" w:space="0" w:color="auto"/>
      </w:divBdr>
    </w:div>
    <w:div w:id="1305354912">
      <w:bodyDiv w:val="1"/>
      <w:marLeft w:val="0"/>
      <w:marRight w:val="0"/>
      <w:marTop w:val="0"/>
      <w:marBottom w:val="0"/>
      <w:divBdr>
        <w:top w:val="none" w:sz="0" w:space="0" w:color="auto"/>
        <w:left w:val="none" w:sz="0" w:space="0" w:color="auto"/>
        <w:bottom w:val="none" w:sz="0" w:space="0" w:color="auto"/>
        <w:right w:val="none" w:sz="0" w:space="0" w:color="auto"/>
      </w:divBdr>
    </w:div>
    <w:div w:id="20566547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8</Pages>
  <Words>3196</Words>
  <Characters>16625</Characters>
  <Application>Microsoft Macintosh Word</Application>
  <DocSecurity>0</DocSecurity>
  <Lines>272</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567</cp:revision>
  <dcterms:created xsi:type="dcterms:W3CDTF">2019-05-10T13:58:00Z</dcterms:created>
  <dcterms:modified xsi:type="dcterms:W3CDTF">2019-05-10T22:42:00Z</dcterms:modified>
</cp:coreProperties>
</file>