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797C8BD2" w:rsidR="00646406" w:rsidRDefault="00646406" w:rsidP="00646406">
      <w:pPr>
        <w:jc w:val="cente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lang w:val="en-IN" w:eastAsia="en-IN"/>
        </w:rPr>
        <w:drawing>
          <wp:inline distT="0" distB="0" distL="0" distR="0" wp14:anchorId="3A0CF2D9" wp14:editId="6D692932">
            <wp:extent cx="1933575" cy="1171575"/>
            <wp:effectExtent l="0" t="0" r="9525" b="9525"/>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5385" cy="1184790"/>
                    </a:xfrm>
                    <a:prstGeom prst="rect">
                      <a:avLst/>
                    </a:prstGeom>
                    <a:noFill/>
                    <a:ln>
                      <a:noFill/>
                    </a:ln>
                  </pic:spPr>
                </pic:pic>
              </a:graphicData>
            </a:graphic>
          </wp:inline>
        </w:drawing>
      </w:r>
      <w:r>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26752E2B" w:rsidR="00646406" w:rsidRPr="00646406" w:rsidRDefault="00646406" w:rsidP="00646406">
      <w:pPr>
        <w:jc w:val="center"/>
        <w:rPr>
          <w:rFonts w:ascii="Arial" w:hAnsi="Arial" w:cs="Arial"/>
          <w:b/>
          <w:bCs/>
        </w:rPr>
      </w:pPr>
      <w:r w:rsidRPr="00646406">
        <w:rPr>
          <w:rFonts w:ascii="Arial" w:hAnsi="Arial" w:cs="Arial"/>
          <w:b/>
          <w:bCs/>
        </w:rPr>
        <w:t>Student Name:</w:t>
      </w:r>
      <w:r w:rsidR="00EB7A99">
        <w:rPr>
          <w:rFonts w:ascii="Arial" w:hAnsi="Arial" w:cs="Arial"/>
          <w:b/>
          <w:bCs/>
        </w:rPr>
        <w:t xml:space="preserve"> </w:t>
      </w:r>
      <w:proofErr w:type="spellStart"/>
      <w:r w:rsidR="00EB7A99">
        <w:rPr>
          <w:rFonts w:ascii="Arial" w:hAnsi="Arial" w:cs="Arial"/>
          <w:b/>
          <w:bCs/>
        </w:rPr>
        <w:t>Nasirbhai</w:t>
      </w:r>
      <w:proofErr w:type="spellEnd"/>
      <w:r w:rsidR="00EB7A99">
        <w:rPr>
          <w:rFonts w:ascii="Arial" w:hAnsi="Arial" w:cs="Arial"/>
          <w:b/>
          <w:bCs/>
        </w:rPr>
        <w:t xml:space="preserve"> </w:t>
      </w:r>
      <w:proofErr w:type="spellStart"/>
      <w:r w:rsidR="00EB7A99">
        <w:rPr>
          <w:rFonts w:ascii="Arial" w:hAnsi="Arial" w:cs="Arial"/>
          <w:b/>
          <w:bCs/>
        </w:rPr>
        <w:t>Manubhai</w:t>
      </w:r>
      <w:proofErr w:type="spellEnd"/>
      <w:r w:rsidR="00EB7A99">
        <w:rPr>
          <w:rFonts w:ascii="Arial" w:hAnsi="Arial" w:cs="Arial"/>
          <w:b/>
          <w:bCs/>
        </w:rPr>
        <w:t xml:space="preserve"> </w:t>
      </w:r>
      <w:proofErr w:type="spellStart"/>
      <w:r w:rsidR="00EB7A99">
        <w:rPr>
          <w:rFonts w:ascii="Arial" w:hAnsi="Arial" w:cs="Arial"/>
          <w:b/>
          <w:bCs/>
        </w:rPr>
        <w:t>Rathod</w:t>
      </w:r>
      <w:proofErr w:type="spellEnd"/>
    </w:p>
    <w:p w14:paraId="2AAC98E7" w14:textId="77777777" w:rsidR="00646406" w:rsidRPr="00646406" w:rsidRDefault="00646406" w:rsidP="00646406">
      <w:pPr>
        <w:jc w:val="center"/>
        <w:rPr>
          <w:rFonts w:ascii="Arial" w:hAnsi="Arial" w:cs="Arial"/>
          <w:b/>
          <w:bCs/>
        </w:rPr>
      </w:pPr>
    </w:p>
    <w:p w14:paraId="586C6996" w14:textId="40B9D59A" w:rsidR="00646406" w:rsidRPr="00646406" w:rsidRDefault="00646406" w:rsidP="00646406">
      <w:pPr>
        <w:jc w:val="center"/>
        <w:rPr>
          <w:rFonts w:ascii="Arial" w:hAnsi="Arial" w:cs="Arial"/>
          <w:b/>
          <w:bCs/>
        </w:rPr>
      </w:pPr>
      <w:r w:rsidRPr="00646406">
        <w:rPr>
          <w:rFonts w:ascii="Arial" w:hAnsi="Arial" w:cs="Arial"/>
          <w:b/>
          <w:bCs/>
        </w:rPr>
        <w:t>Student ID:</w:t>
      </w:r>
      <w:r w:rsidR="00EB7A99">
        <w:rPr>
          <w:rFonts w:ascii="Arial" w:hAnsi="Arial" w:cs="Arial"/>
          <w:b/>
          <w:bCs/>
        </w:rPr>
        <w:t xml:space="preserve"> 2</w:t>
      </w:r>
      <w:r w:rsidR="0054531C">
        <w:rPr>
          <w:rFonts w:ascii="Arial" w:hAnsi="Arial" w:cs="Arial"/>
          <w:b/>
          <w:bCs/>
        </w:rPr>
        <w:t>412816</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0CD25B5F" w:rsidR="00646406" w:rsidRPr="00646406" w:rsidRDefault="00646406" w:rsidP="00646406">
      <w:pPr>
        <w:jc w:val="center"/>
        <w:rPr>
          <w:rFonts w:ascii="Arial" w:hAnsi="Arial" w:cs="Arial"/>
          <w:b/>
          <w:bCs/>
        </w:rPr>
      </w:pPr>
      <w:r w:rsidRPr="00646406">
        <w:rPr>
          <w:rFonts w:ascii="Arial" w:hAnsi="Arial" w:cs="Arial"/>
          <w:b/>
          <w:bCs/>
        </w:rPr>
        <w:t>Lecturer’s Name:</w:t>
      </w:r>
      <w:r w:rsidR="0054531C">
        <w:rPr>
          <w:rFonts w:ascii="Arial" w:hAnsi="Arial" w:cs="Arial"/>
          <w:b/>
          <w:bCs/>
        </w:rPr>
        <w:t xml:space="preserve"> </w:t>
      </w:r>
      <w:r w:rsidR="00007277">
        <w:rPr>
          <w:rFonts w:ascii="Arial" w:hAnsi="Arial" w:cs="Arial"/>
          <w:b/>
          <w:bCs/>
        </w:rPr>
        <w:t xml:space="preserve">Dr </w:t>
      </w:r>
      <w:proofErr w:type="spellStart"/>
      <w:r w:rsidR="00007277">
        <w:rPr>
          <w:rFonts w:ascii="Arial" w:hAnsi="Arial" w:cs="Arial"/>
          <w:b/>
          <w:bCs/>
        </w:rPr>
        <w:t>Haoran</w:t>
      </w:r>
      <w:proofErr w:type="spellEnd"/>
      <w:r w:rsidR="00007277">
        <w:rPr>
          <w:rFonts w:ascii="Arial" w:hAnsi="Arial" w:cs="Arial"/>
          <w:b/>
          <w:bCs/>
        </w:rPr>
        <w:t xml:space="preserve"> Liu</w:t>
      </w: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0D609A8B" w:rsidR="00646406" w:rsidRPr="00646406" w:rsidRDefault="00646406" w:rsidP="00646406">
      <w:pPr>
        <w:jc w:val="center"/>
        <w:rPr>
          <w:rFonts w:ascii="Arial" w:hAnsi="Arial" w:cs="Arial"/>
          <w:b/>
          <w:bCs/>
        </w:rPr>
      </w:pPr>
      <w:r w:rsidRPr="00646406">
        <w:rPr>
          <w:rFonts w:ascii="Arial" w:hAnsi="Arial" w:cs="Arial"/>
          <w:b/>
          <w:bCs/>
        </w:rPr>
        <w:t>Work Count:</w:t>
      </w:r>
      <w:r w:rsidR="00752450">
        <w:rPr>
          <w:rFonts w:ascii="Arial" w:hAnsi="Arial" w:cs="Arial"/>
          <w:b/>
          <w:bCs/>
        </w:rPr>
        <w:t xml:space="preserve"> 2502</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95BE6E7" w14:textId="16C05007" w:rsidR="00646406" w:rsidRPr="00646406" w:rsidRDefault="00646406">
      <w:pPr>
        <w:rPr>
          <w:b/>
          <w:bCs/>
        </w:rPr>
      </w:pPr>
      <w:r w:rsidRPr="00646406">
        <w:rPr>
          <w:b/>
          <w:bCs/>
        </w:rPr>
        <w:br w:type="page"/>
      </w:r>
    </w:p>
    <w:sdt>
      <w:sdtPr>
        <w:rPr>
          <w:b/>
          <w:bCs w:val="0"/>
          <w:kern w:val="2"/>
          <w:sz w:val="24"/>
          <w:szCs w:val="24"/>
          <w:lang w:val="en-GB"/>
          <w14:ligatures w14:val="standardContextual"/>
        </w:rPr>
        <w:id w:val="697977873"/>
        <w:docPartObj>
          <w:docPartGallery w:val="Table of Contents"/>
          <w:docPartUnique/>
        </w:docPartObj>
      </w:sdtPr>
      <w:sdtEndPr>
        <w:rPr>
          <w:b w:val="0"/>
          <w:noProof/>
        </w:rPr>
      </w:sdtEndPr>
      <w:sdtContent>
        <w:p w14:paraId="106C823C" w14:textId="3BA31978" w:rsidR="00CB01F0" w:rsidRPr="00752450" w:rsidRDefault="00CB01F0" w:rsidP="00752450">
          <w:pPr>
            <w:pStyle w:val="TOCHeading"/>
            <w:jc w:val="center"/>
            <w:rPr>
              <w:b/>
            </w:rPr>
          </w:pPr>
          <w:r w:rsidRPr="00752450">
            <w:rPr>
              <w:b/>
            </w:rPr>
            <w:t>Table of Contents</w:t>
          </w:r>
        </w:p>
        <w:p w14:paraId="1C91E6F5" w14:textId="77777777" w:rsidR="00752450" w:rsidRDefault="00CB01F0">
          <w:pPr>
            <w:pStyle w:val="TOC1"/>
            <w:tabs>
              <w:tab w:val="right" w:leader="dot" w:pos="9016"/>
            </w:tabs>
            <w:rPr>
              <w:rFonts w:eastAsiaTheme="minorEastAsia"/>
              <w:b w:val="0"/>
              <w:bCs w:val="0"/>
              <w:i w:val="0"/>
              <w:iCs w:val="0"/>
              <w:noProof/>
              <w:kern w:val="0"/>
              <w:sz w:val="22"/>
              <w:szCs w:val="22"/>
              <w:lang w:val="en-IN" w:eastAsia="en-IN"/>
              <w14:ligatures w14:val="none"/>
            </w:rPr>
          </w:pPr>
          <w:r w:rsidRPr="00DF678C">
            <w:rPr>
              <w:b w:val="0"/>
              <w:bCs w:val="0"/>
            </w:rPr>
            <w:fldChar w:fldCharType="begin"/>
          </w:r>
          <w:r w:rsidRPr="00DF678C">
            <w:instrText xml:space="preserve"> TOC \o "1-3" \h \z \u </w:instrText>
          </w:r>
          <w:r w:rsidRPr="00DF678C">
            <w:rPr>
              <w:b w:val="0"/>
              <w:bCs w:val="0"/>
            </w:rPr>
            <w:fldChar w:fldCharType="separate"/>
          </w:r>
          <w:hyperlink w:anchor="_Toc194014444" w:history="1">
            <w:r w:rsidR="00752450" w:rsidRPr="006856A8">
              <w:rPr>
                <w:rStyle w:val="Hyperlink"/>
                <w:noProof/>
              </w:rPr>
              <w:t>Introduction</w:t>
            </w:r>
            <w:r w:rsidR="00752450">
              <w:rPr>
                <w:noProof/>
                <w:webHidden/>
              </w:rPr>
              <w:tab/>
            </w:r>
            <w:r w:rsidR="00752450">
              <w:rPr>
                <w:noProof/>
                <w:webHidden/>
              </w:rPr>
              <w:fldChar w:fldCharType="begin"/>
            </w:r>
            <w:r w:rsidR="00752450">
              <w:rPr>
                <w:noProof/>
                <w:webHidden/>
              </w:rPr>
              <w:instrText xml:space="preserve"> PAGEREF _Toc194014444 \h </w:instrText>
            </w:r>
            <w:r w:rsidR="00752450">
              <w:rPr>
                <w:noProof/>
                <w:webHidden/>
              </w:rPr>
            </w:r>
            <w:r w:rsidR="00752450">
              <w:rPr>
                <w:noProof/>
                <w:webHidden/>
              </w:rPr>
              <w:fldChar w:fldCharType="separate"/>
            </w:r>
            <w:r w:rsidR="00752450">
              <w:rPr>
                <w:noProof/>
                <w:webHidden/>
              </w:rPr>
              <w:t>3</w:t>
            </w:r>
            <w:r w:rsidR="00752450">
              <w:rPr>
                <w:noProof/>
                <w:webHidden/>
              </w:rPr>
              <w:fldChar w:fldCharType="end"/>
            </w:r>
          </w:hyperlink>
        </w:p>
        <w:p w14:paraId="2456091E" w14:textId="77777777" w:rsidR="00752450" w:rsidRDefault="00752450">
          <w:pPr>
            <w:pStyle w:val="TOC1"/>
            <w:tabs>
              <w:tab w:val="right" w:leader="dot" w:pos="9016"/>
            </w:tabs>
            <w:rPr>
              <w:rFonts w:eastAsiaTheme="minorEastAsia"/>
              <w:b w:val="0"/>
              <w:bCs w:val="0"/>
              <w:i w:val="0"/>
              <w:iCs w:val="0"/>
              <w:noProof/>
              <w:kern w:val="0"/>
              <w:sz w:val="22"/>
              <w:szCs w:val="22"/>
              <w:lang w:val="en-IN" w:eastAsia="en-IN"/>
              <w14:ligatures w14:val="none"/>
            </w:rPr>
          </w:pPr>
          <w:hyperlink w:anchor="_Toc194014445" w:history="1">
            <w:r w:rsidRPr="006856A8">
              <w:rPr>
                <w:rStyle w:val="Hyperlink"/>
                <w:noProof/>
              </w:rPr>
              <w:t>The advantages of being a pioneer company</w:t>
            </w:r>
            <w:r>
              <w:rPr>
                <w:noProof/>
                <w:webHidden/>
              </w:rPr>
              <w:tab/>
            </w:r>
            <w:r>
              <w:rPr>
                <w:noProof/>
                <w:webHidden/>
              </w:rPr>
              <w:fldChar w:fldCharType="begin"/>
            </w:r>
            <w:r>
              <w:rPr>
                <w:noProof/>
                <w:webHidden/>
              </w:rPr>
              <w:instrText xml:space="preserve"> PAGEREF _Toc194014445 \h </w:instrText>
            </w:r>
            <w:r>
              <w:rPr>
                <w:noProof/>
                <w:webHidden/>
              </w:rPr>
            </w:r>
            <w:r>
              <w:rPr>
                <w:noProof/>
                <w:webHidden/>
              </w:rPr>
              <w:fldChar w:fldCharType="separate"/>
            </w:r>
            <w:r>
              <w:rPr>
                <w:noProof/>
                <w:webHidden/>
              </w:rPr>
              <w:t>3</w:t>
            </w:r>
            <w:r>
              <w:rPr>
                <w:noProof/>
                <w:webHidden/>
              </w:rPr>
              <w:fldChar w:fldCharType="end"/>
            </w:r>
          </w:hyperlink>
        </w:p>
        <w:p w14:paraId="13A87BA6" w14:textId="77777777" w:rsidR="00752450" w:rsidRDefault="00752450">
          <w:pPr>
            <w:pStyle w:val="TOC1"/>
            <w:tabs>
              <w:tab w:val="right" w:leader="dot" w:pos="9016"/>
            </w:tabs>
            <w:rPr>
              <w:rFonts w:eastAsiaTheme="minorEastAsia"/>
              <w:b w:val="0"/>
              <w:bCs w:val="0"/>
              <w:i w:val="0"/>
              <w:iCs w:val="0"/>
              <w:noProof/>
              <w:kern w:val="0"/>
              <w:sz w:val="22"/>
              <w:szCs w:val="22"/>
              <w:lang w:val="en-IN" w:eastAsia="en-IN"/>
              <w14:ligatures w14:val="none"/>
            </w:rPr>
          </w:pPr>
          <w:hyperlink w:anchor="_Toc194014446" w:history="1">
            <w:r w:rsidRPr="006856A8">
              <w:rPr>
                <w:rStyle w:val="Hyperlink"/>
                <w:noProof/>
              </w:rPr>
              <w:t>The advantages of being a follower company</w:t>
            </w:r>
            <w:r>
              <w:rPr>
                <w:noProof/>
                <w:webHidden/>
              </w:rPr>
              <w:tab/>
            </w:r>
            <w:r>
              <w:rPr>
                <w:noProof/>
                <w:webHidden/>
              </w:rPr>
              <w:fldChar w:fldCharType="begin"/>
            </w:r>
            <w:r>
              <w:rPr>
                <w:noProof/>
                <w:webHidden/>
              </w:rPr>
              <w:instrText xml:space="preserve"> PAGEREF _Toc194014446 \h </w:instrText>
            </w:r>
            <w:r>
              <w:rPr>
                <w:noProof/>
                <w:webHidden/>
              </w:rPr>
            </w:r>
            <w:r>
              <w:rPr>
                <w:noProof/>
                <w:webHidden/>
              </w:rPr>
              <w:fldChar w:fldCharType="separate"/>
            </w:r>
            <w:r>
              <w:rPr>
                <w:noProof/>
                <w:webHidden/>
              </w:rPr>
              <w:t>5</w:t>
            </w:r>
            <w:r>
              <w:rPr>
                <w:noProof/>
                <w:webHidden/>
              </w:rPr>
              <w:fldChar w:fldCharType="end"/>
            </w:r>
          </w:hyperlink>
        </w:p>
        <w:p w14:paraId="419C482D" w14:textId="77777777" w:rsidR="00752450" w:rsidRDefault="00752450">
          <w:pPr>
            <w:pStyle w:val="TOC1"/>
            <w:tabs>
              <w:tab w:val="right" w:leader="dot" w:pos="9016"/>
            </w:tabs>
            <w:rPr>
              <w:rFonts w:eastAsiaTheme="minorEastAsia"/>
              <w:b w:val="0"/>
              <w:bCs w:val="0"/>
              <w:i w:val="0"/>
              <w:iCs w:val="0"/>
              <w:noProof/>
              <w:kern w:val="0"/>
              <w:sz w:val="22"/>
              <w:szCs w:val="22"/>
              <w:lang w:val="en-IN" w:eastAsia="en-IN"/>
              <w14:ligatures w14:val="none"/>
            </w:rPr>
          </w:pPr>
          <w:hyperlink w:anchor="_Toc194014447" w:history="1">
            <w:r w:rsidRPr="006856A8">
              <w:rPr>
                <w:rStyle w:val="Hyperlink"/>
                <w:noProof/>
              </w:rPr>
              <w:t>Product Life Cycle (PLC) Strategies in the Growth and Maturity Stages</w:t>
            </w:r>
            <w:r>
              <w:rPr>
                <w:noProof/>
                <w:webHidden/>
              </w:rPr>
              <w:tab/>
            </w:r>
            <w:r>
              <w:rPr>
                <w:noProof/>
                <w:webHidden/>
              </w:rPr>
              <w:fldChar w:fldCharType="begin"/>
            </w:r>
            <w:r>
              <w:rPr>
                <w:noProof/>
                <w:webHidden/>
              </w:rPr>
              <w:instrText xml:space="preserve"> PAGEREF _Toc194014447 \h </w:instrText>
            </w:r>
            <w:r>
              <w:rPr>
                <w:noProof/>
                <w:webHidden/>
              </w:rPr>
            </w:r>
            <w:r>
              <w:rPr>
                <w:noProof/>
                <w:webHidden/>
              </w:rPr>
              <w:fldChar w:fldCharType="separate"/>
            </w:r>
            <w:r>
              <w:rPr>
                <w:noProof/>
                <w:webHidden/>
              </w:rPr>
              <w:t>7</w:t>
            </w:r>
            <w:r>
              <w:rPr>
                <w:noProof/>
                <w:webHidden/>
              </w:rPr>
              <w:fldChar w:fldCharType="end"/>
            </w:r>
          </w:hyperlink>
        </w:p>
        <w:p w14:paraId="2389BB05" w14:textId="77777777" w:rsidR="00752450" w:rsidRDefault="00752450">
          <w:pPr>
            <w:pStyle w:val="TOC1"/>
            <w:tabs>
              <w:tab w:val="right" w:leader="dot" w:pos="9016"/>
            </w:tabs>
            <w:rPr>
              <w:rFonts w:eastAsiaTheme="minorEastAsia"/>
              <w:b w:val="0"/>
              <w:bCs w:val="0"/>
              <w:i w:val="0"/>
              <w:iCs w:val="0"/>
              <w:noProof/>
              <w:kern w:val="0"/>
              <w:sz w:val="22"/>
              <w:szCs w:val="22"/>
              <w:lang w:val="en-IN" w:eastAsia="en-IN"/>
              <w14:ligatures w14:val="none"/>
            </w:rPr>
          </w:pPr>
          <w:hyperlink w:anchor="_Toc194014448" w:history="1">
            <w:r w:rsidRPr="006856A8">
              <w:rPr>
                <w:rStyle w:val="Hyperlink"/>
                <w:noProof/>
              </w:rPr>
              <w:t>Conclusion</w:t>
            </w:r>
            <w:r>
              <w:rPr>
                <w:noProof/>
                <w:webHidden/>
              </w:rPr>
              <w:tab/>
            </w:r>
            <w:r>
              <w:rPr>
                <w:noProof/>
                <w:webHidden/>
              </w:rPr>
              <w:fldChar w:fldCharType="begin"/>
            </w:r>
            <w:r>
              <w:rPr>
                <w:noProof/>
                <w:webHidden/>
              </w:rPr>
              <w:instrText xml:space="preserve"> PAGEREF _Toc194014448 \h </w:instrText>
            </w:r>
            <w:r>
              <w:rPr>
                <w:noProof/>
                <w:webHidden/>
              </w:rPr>
            </w:r>
            <w:r>
              <w:rPr>
                <w:noProof/>
                <w:webHidden/>
              </w:rPr>
              <w:fldChar w:fldCharType="separate"/>
            </w:r>
            <w:r>
              <w:rPr>
                <w:noProof/>
                <w:webHidden/>
              </w:rPr>
              <w:t>13</w:t>
            </w:r>
            <w:r>
              <w:rPr>
                <w:noProof/>
                <w:webHidden/>
              </w:rPr>
              <w:fldChar w:fldCharType="end"/>
            </w:r>
          </w:hyperlink>
        </w:p>
        <w:p w14:paraId="75D86C08" w14:textId="77777777" w:rsidR="00752450" w:rsidRDefault="00752450">
          <w:pPr>
            <w:pStyle w:val="TOC1"/>
            <w:tabs>
              <w:tab w:val="right" w:leader="dot" w:pos="9016"/>
            </w:tabs>
            <w:rPr>
              <w:rFonts w:eastAsiaTheme="minorEastAsia"/>
              <w:b w:val="0"/>
              <w:bCs w:val="0"/>
              <w:i w:val="0"/>
              <w:iCs w:val="0"/>
              <w:noProof/>
              <w:kern w:val="0"/>
              <w:sz w:val="22"/>
              <w:szCs w:val="22"/>
              <w:lang w:val="en-IN" w:eastAsia="en-IN"/>
              <w14:ligatures w14:val="none"/>
            </w:rPr>
          </w:pPr>
          <w:hyperlink w:anchor="_Toc194014449" w:history="1">
            <w:r w:rsidRPr="006856A8">
              <w:rPr>
                <w:rStyle w:val="Hyperlink"/>
                <w:noProof/>
              </w:rPr>
              <w:t>References</w:t>
            </w:r>
            <w:r>
              <w:rPr>
                <w:noProof/>
                <w:webHidden/>
              </w:rPr>
              <w:tab/>
            </w:r>
            <w:r>
              <w:rPr>
                <w:noProof/>
                <w:webHidden/>
              </w:rPr>
              <w:fldChar w:fldCharType="begin"/>
            </w:r>
            <w:r>
              <w:rPr>
                <w:noProof/>
                <w:webHidden/>
              </w:rPr>
              <w:instrText xml:space="preserve"> PAGEREF _Toc194014449 \h </w:instrText>
            </w:r>
            <w:r>
              <w:rPr>
                <w:noProof/>
                <w:webHidden/>
              </w:rPr>
            </w:r>
            <w:r>
              <w:rPr>
                <w:noProof/>
                <w:webHidden/>
              </w:rPr>
              <w:fldChar w:fldCharType="separate"/>
            </w:r>
            <w:r>
              <w:rPr>
                <w:noProof/>
                <w:webHidden/>
              </w:rPr>
              <w:t>15</w:t>
            </w:r>
            <w:r>
              <w:rPr>
                <w:noProof/>
                <w:webHidden/>
              </w:rPr>
              <w:fldChar w:fldCharType="end"/>
            </w:r>
          </w:hyperlink>
        </w:p>
        <w:p w14:paraId="2DCCDEE9" w14:textId="3DCEA52A" w:rsidR="00CB01F0" w:rsidRDefault="00CB01F0">
          <w:r w:rsidRPr="00DF678C">
            <w:rPr>
              <w:b/>
              <w:bCs/>
              <w:noProof/>
            </w:rPr>
            <w:fldChar w:fldCharType="end"/>
          </w:r>
        </w:p>
      </w:sdtContent>
    </w:sdt>
    <w:p w14:paraId="42E32206" w14:textId="77777777" w:rsidR="00CB01F0" w:rsidRDefault="00CB01F0">
      <w:pPr>
        <w:rPr>
          <w:rFonts w:ascii="Arial" w:eastAsiaTheme="majorEastAsia" w:hAnsi="Arial" w:cs="Arial"/>
          <w:b/>
          <w:bCs/>
          <w:color w:val="000000" w:themeColor="text1"/>
          <w:highlight w:val="yellow"/>
        </w:rPr>
      </w:pPr>
      <w:r>
        <w:rPr>
          <w:rFonts w:ascii="Arial" w:hAnsi="Arial" w:cs="Arial"/>
          <w:b/>
          <w:bCs/>
          <w:color w:val="000000" w:themeColor="text1"/>
          <w:highlight w:val="yellow"/>
        </w:rPr>
        <w:br w:type="page"/>
      </w:r>
    </w:p>
    <w:p w14:paraId="64A75D36" w14:textId="77777777" w:rsidR="00DF678C" w:rsidRPr="00430D9F" w:rsidRDefault="00DF678C" w:rsidP="00691101">
      <w:pPr>
        <w:pStyle w:val="Heading1"/>
        <w:spacing w:before="240"/>
      </w:pPr>
      <w:bookmarkStart w:id="0" w:name="_Toc194014444"/>
      <w:r w:rsidRPr="00DF678C">
        <w:lastRenderedPageBreak/>
        <w:t>Introduction</w:t>
      </w:r>
      <w:bookmarkEnd w:id="0"/>
    </w:p>
    <w:p w14:paraId="03AFBAD6" w14:textId="77777777" w:rsidR="00DF678C" w:rsidRPr="00430D9F" w:rsidRDefault="00DF678C" w:rsidP="00691101">
      <w:pPr>
        <w:spacing w:before="240" w:line="360" w:lineRule="auto"/>
        <w:jc w:val="both"/>
      </w:pPr>
      <w:r w:rsidRPr="00430D9F">
        <w:t xml:space="preserve">In the dynamic world of business and marketing, one critical decision has been made by business leaders to determine the appropriate timing of launching new products including major technologies or even entering a new market. In this regard, the decision has been boiled down to choosing between two strategic paths such as following or pioneering. It is observed that both decisions have included major risks as well as advantages where the relative success of each decision has been dependent on several factors such as external factors, the organisational resources, current market conditions and more. The pioneers are those companies that have taken the leading position in introducing new products, services, or technologies, while followers are those companies that have entered those markets where initial success has been established. Therefore, the current report discussion aims to explore the advantages and risks associated with both pioneering and following strategies by elaborating appropriate examples of successful companies which have excelled in the context of each pioneering and following approach. Along with that, the current discussion will examine the way these companies have effectively implemented product life cycle (PLC) strategies in order to foster growth and maintain competitive advantage in the context of an ever-evolving marketplace. This will be also justified by providing real-life examples to highlight how these strategies have contributed to sustaining a competitive edge.  </w:t>
      </w:r>
    </w:p>
    <w:p w14:paraId="079F4B88" w14:textId="77777777" w:rsidR="00DF678C" w:rsidRPr="00430D9F" w:rsidRDefault="00DF678C" w:rsidP="00691101">
      <w:pPr>
        <w:spacing w:before="240" w:line="360" w:lineRule="auto"/>
        <w:jc w:val="both"/>
        <w:rPr>
          <w:b/>
          <w:i/>
        </w:rPr>
      </w:pPr>
      <w:r w:rsidRPr="00430D9F">
        <w:rPr>
          <w:b/>
          <w:i/>
        </w:rPr>
        <w:t>Thesis statement</w:t>
      </w:r>
    </w:p>
    <w:p w14:paraId="05216532" w14:textId="77777777" w:rsidR="00DF678C" w:rsidRPr="00430D9F" w:rsidRDefault="00DF678C" w:rsidP="00691101">
      <w:pPr>
        <w:spacing w:before="240" w:line="360" w:lineRule="auto"/>
        <w:jc w:val="both"/>
      </w:pPr>
      <w:r w:rsidRPr="00430D9F">
        <w:t xml:space="preserve">The success of any organisation’s strategic approach whether it is a pioneer or a follower is dependent on several factors such as internal capabilities, external factors, market conditions, timing and more. While follower companies have capitalised by focusing on reduced risks and established market demands, the pioneer companies have derived benefits from major advantages such as market leadership, brand recognition and more. </w:t>
      </w:r>
    </w:p>
    <w:p w14:paraId="6D33D8E6" w14:textId="77777777" w:rsidR="00DF678C" w:rsidRPr="00430D9F" w:rsidRDefault="00DF678C" w:rsidP="00691101">
      <w:pPr>
        <w:pStyle w:val="Heading1"/>
        <w:spacing w:before="240"/>
      </w:pPr>
      <w:bookmarkStart w:id="1" w:name="_Toc194014445"/>
      <w:r w:rsidRPr="00430D9F">
        <w:t>The advantages of being a pioneer company</w:t>
      </w:r>
      <w:bookmarkEnd w:id="1"/>
    </w:p>
    <w:p w14:paraId="7914D00F" w14:textId="77777777" w:rsidR="00DF678C" w:rsidRPr="00430D9F" w:rsidRDefault="00DF678C" w:rsidP="00691101">
      <w:pPr>
        <w:spacing w:before="240" w:line="360" w:lineRule="auto"/>
        <w:jc w:val="both"/>
      </w:pPr>
      <w:r w:rsidRPr="00430D9F">
        <w:lastRenderedPageBreak/>
        <w:t>A pioneer company is considered those companies which are the first to enter a new market as well as introduce a new product or technology (</w:t>
      </w:r>
      <w:proofErr w:type="spellStart"/>
      <w:r w:rsidRPr="00430D9F">
        <w:t>Ortt</w:t>
      </w:r>
      <w:proofErr w:type="spellEnd"/>
      <w:r w:rsidRPr="00430D9F">
        <w:t xml:space="preserve"> and Kamp, 2022). This strategy has included several benefits such as controlling over market position, first mover advantages and more. Pioneer companies have experienced first-mover advantages as pioneers are establishing high customer loyalty and brand recognition before their competitors enter the market which has helped to secure its competitive position within the current industry landscape. Pioneers have utilised different types of exclusive leadership styles where they used unintentional exemplary leadership due to high internal ambitions (</w:t>
      </w:r>
      <w:proofErr w:type="spellStart"/>
      <w:r w:rsidRPr="00430D9F">
        <w:t>Liefferink</w:t>
      </w:r>
      <w:proofErr w:type="spellEnd"/>
      <w:r w:rsidRPr="00430D9F">
        <w:t xml:space="preserve"> et al., 2023). That is the way pioneers are able to establish a dominant market position under the guidance of significant leadership which seems difficult for followers to adopt in order to gain high market share. By utilisation of this leadership, pioneers are concerned with shaping the customer preferences which has helped to establish a high brand reputation as an industry leader which has influenced future trends associated with consumers' perspectives. For instance, Amazon is considered one of the pioneering e-commerce platforms which has utilised AI-powered technologies to ensure personalisation in an extensive manner (</w:t>
      </w:r>
      <w:proofErr w:type="spellStart"/>
      <w:r w:rsidRPr="00430D9F">
        <w:t>Raji</w:t>
      </w:r>
      <w:proofErr w:type="spellEnd"/>
      <w:r w:rsidRPr="00430D9F">
        <w:t xml:space="preserve"> et al., 2024). This has helped Amazon in order to analyse users' browsing history including users' behaviours and purchase patterns by recommendation engine which has led to providing suggestions to the target users. </w:t>
      </w:r>
    </w:p>
    <w:p w14:paraId="2E7ECDDB" w14:textId="77777777" w:rsidR="00DF678C" w:rsidRPr="00430D9F" w:rsidRDefault="00DF678C" w:rsidP="00691101">
      <w:pPr>
        <w:spacing w:before="240" w:line="360" w:lineRule="auto"/>
        <w:jc w:val="center"/>
        <w:rPr>
          <w:b/>
        </w:rPr>
      </w:pPr>
      <w:r w:rsidRPr="00430D9F">
        <w:rPr>
          <w:b/>
          <w:noProof/>
          <w:lang w:eastAsia="en-IN"/>
        </w:rPr>
        <w:drawing>
          <wp:inline distT="114300" distB="114300" distL="114300" distR="114300" wp14:anchorId="4239E8D3" wp14:editId="42A5B8B3">
            <wp:extent cx="4768952" cy="2138363"/>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9"/>
                    <a:stretch>
                      <a:fillRect/>
                    </a:stretch>
                  </pic:blipFill>
                  <pic:spPr>
                    <a:xfrm>
                      <a:off x="0" y="0"/>
                      <a:ext cx="4768952" cy="2138363"/>
                    </a:xfrm>
                    <a:prstGeom prst="rect">
                      <a:avLst/>
                    </a:prstGeom>
                    <a:ln w="12700">
                      <a:solidFill>
                        <a:srgbClr val="000000"/>
                      </a:solidFill>
                      <a:prstDash val="solid"/>
                    </a:ln>
                  </pic:spPr>
                </pic:pic>
              </a:graphicData>
            </a:graphic>
          </wp:inline>
        </w:drawing>
      </w:r>
    </w:p>
    <w:p w14:paraId="51AC0E85" w14:textId="77777777" w:rsidR="00DF678C" w:rsidRPr="00430D9F" w:rsidRDefault="00DF678C" w:rsidP="00691101">
      <w:pPr>
        <w:spacing w:before="240" w:line="360" w:lineRule="auto"/>
        <w:jc w:val="center"/>
        <w:rPr>
          <w:b/>
        </w:rPr>
      </w:pPr>
      <w:r w:rsidRPr="00430D9F">
        <w:rPr>
          <w:b/>
        </w:rPr>
        <w:t>Figure 1: Advantages of being a Pioneer company</w:t>
      </w:r>
    </w:p>
    <w:p w14:paraId="50B5D47D" w14:textId="77777777" w:rsidR="00DF678C" w:rsidRPr="00430D9F" w:rsidRDefault="00DF678C" w:rsidP="00691101">
      <w:pPr>
        <w:spacing w:before="240" w:line="360" w:lineRule="auto"/>
        <w:jc w:val="center"/>
      </w:pPr>
      <w:r w:rsidRPr="00430D9F">
        <w:t>(Source: Self-developed)</w:t>
      </w:r>
    </w:p>
    <w:p w14:paraId="6AA5A6E2" w14:textId="77777777" w:rsidR="00DF678C" w:rsidRPr="00430D9F" w:rsidRDefault="00DF678C" w:rsidP="00691101">
      <w:pPr>
        <w:spacing w:before="240" w:line="360" w:lineRule="auto"/>
        <w:jc w:val="both"/>
      </w:pPr>
      <w:r w:rsidRPr="00430D9F">
        <w:lastRenderedPageBreak/>
        <w:t>It is observed that pioneers are intended to patent trademarks, technologies and even intellectual property which has created legal barriers for followers to enter into the new market. As the first to market, pioneers have provided the ability for setting standards which has influenced the future direction of the market. Pioneer has established an exclusive brand position and reputation as an expert within the market landscape which has led to ensuring long-term customer loyalty and success effectively (</w:t>
      </w:r>
      <w:proofErr w:type="spellStart"/>
      <w:r w:rsidRPr="00430D9F">
        <w:t>Mantro</w:t>
      </w:r>
      <w:proofErr w:type="spellEnd"/>
      <w:r w:rsidRPr="00430D9F">
        <w:t>, 2025). Its best example is Internet Explorer of Microsoft where the company has positioned itself as the first web browser and gained a large market share. In this regard, eBay, Facebook, Google and more companies have gained similar success by launching innovative products on the Internet at the early stage which has helped these brands gain high profits (</w:t>
      </w:r>
      <w:proofErr w:type="spellStart"/>
      <w:r w:rsidRPr="00430D9F">
        <w:t>Mantro</w:t>
      </w:r>
      <w:proofErr w:type="spellEnd"/>
      <w:r w:rsidRPr="00430D9F">
        <w:t xml:space="preserve">, 2025). </w:t>
      </w:r>
    </w:p>
    <w:p w14:paraId="70002662" w14:textId="77777777" w:rsidR="00DF678C" w:rsidRPr="00430D9F" w:rsidRDefault="00DF678C" w:rsidP="00691101">
      <w:pPr>
        <w:spacing w:before="240" w:line="360" w:lineRule="auto"/>
        <w:jc w:val="center"/>
      </w:pPr>
      <w:r w:rsidRPr="00430D9F">
        <w:rPr>
          <w:noProof/>
          <w:lang w:eastAsia="en-IN"/>
        </w:rPr>
        <w:drawing>
          <wp:inline distT="114300" distB="114300" distL="114300" distR="114300" wp14:anchorId="6AAB80E5" wp14:editId="507CB12D">
            <wp:extent cx="3714750" cy="2400618"/>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0"/>
                    <a:stretch>
                      <a:fillRect/>
                    </a:stretch>
                  </pic:blipFill>
                  <pic:spPr>
                    <a:xfrm>
                      <a:off x="0" y="0"/>
                      <a:ext cx="3714750" cy="2400618"/>
                    </a:xfrm>
                    <a:prstGeom prst="rect">
                      <a:avLst/>
                    </a:prstGeom>
                    <a:ln w="12700">
                      <a:solidFill>
                        <a:srgbClr val="000000"/>
                      </a:solidFill>
                      <a:prstDash val="solid"/>
                    </a:ln>
                  </pic:spPr>
                </pic:pic>
              </a:graphicData>
            </a:graphic>
          </wp:inline>
        </w:drawing>
      </w:r>
    </w:p>
    <w:p w14:paraId="50CD6839" w14:textId="77777777" w:rsidR="00DF678C" w:rsidRPr="00430D9F" w:rsidRDefault="00DF678C" w:rsidP="00691101">
      <w:pPr>
        <w:spacing w:before="240" w:line="360" w:lineRule="auto"/>
        <w:jc w:val="center"/>
        <w:rPr>
          <w:b/>
        </w:rPr>
      </w:pPr>
      <w:r w:rsidRPr="00430D9F">
        <w:rPr>
          <w:b/>
        </w:rPr>
        <w:t>Figure 2: Porter’s generic competitive strategy</w:t>
      </w:r>
    </w:p>
    <w:p w14:paraId="73243ED3" w14:textId="77777777" w:rsidR="00DF678C" w:rsidRPr="00430D9F" w:rsidRDefault="00DF678C" w:rsidP="00691101">
      <w:pPr>
        <w:spacing w:before="240" w:line="360" w:lineRule="auto"/>
        <w:jc w:val="center"/>
      </w:pPr>
      <w:r w:rsidRPr="00430D9F">
        <w:t>(Source: Ali and Anwar, 2021)</w:t>
      </w:r>
    </w:p>
    <w:p w14:paraId="508B28FA" w14:textId="77777777" w:rsidR="00DF678C" w:rsidRPr="00430D9F" w:rsidRDefault="00DF678C" w:rsidP="00691101">
      <w:pPr>
        <w:spacing w:before="240" w:line="360" w:lineRule="auto"/>
        <w:jc w:val="both"/>
      </w:pPr>
      <w:r w:rsidRPr="00430D9F">
        <w:t xml:space="preserve">Porter's generic competitive strategy has been recognised as a significant theoretical model that includes cost leadership, differentiation and focus strategy (Ali and Anwar, 2021). Through the lens of this theoretical framework, it is observed that Pioneer has established a dominant market position by driving significant market share before its competitors where differentiating the brand identity with unique selling points (USPs) and achieving cost leadership by scaling its operations. For instance, Tesla has been recognised as the pioneer in the electric vehicles (EV) market which has become central </w:t>
      </w:r>
      <w:r w:rsidRPr="00430D9F">
        <w:lastRenderedPageBreak/>
        <w:t xml:space="preserve">in the electric cars transition (Hopkins and </w:t>
      </w:r>
      <w:proofErr w:type="spellStart"/>
      <w:r w:rsidRPr="00430D9F">
        <w:t>Lazonick</w:t>
      </w:r>
      <w:proofErr w:type="spellEnd"/>
      <w:r w:rsidRPr="00430D9F">
        <w:t xml:space="preserve">, 2024). By producing desirable EV cars, Tesla has managed to become a leading company in the EV market based on its technological improvements such as supercharging networks, autonomous driving, battery efficiency and more. This has helped to gain high profits and build high brand recognition with high customer loyalty. </w:t>
      </w:r>
    </w:p>
    <w:p w14:paraId="05AFD01F" w14:textId="77777777" w:rsidR="00DF678C" w:rsidRPr="00430D9F" w:rsidRDefault="00DF678C" w:rsidP="00691101">
      <w:pPr>
        <w:pStyle w:val="Heading1"/>
        <w:spacing w:before="240"/>
      </w:pPr>
      <w:bookmarkStart w:id="2" w:name="_Toc194014446"/>
      <w:r w:rsidRPr="00430D9F">
        <w:t>The advantages of being a follower company</w:t>
      </w:r>
      <w:bookmarkEnd w:id="2"/>
    </w:p>
    <w:p w14:paraId="44CFEBCF" w14:textId="2135A392" w:rsidR="00DF678C" w:rsidRPr="00430D9F" w:rsidRDefault="00DF678C" w:rsidP="00691101">
      <w:pPr>
        <w:spacing w:before="240" w:line="360" w:lineRule="auto"/>
        <w:jc w:val="both"/>
      </w:pPr>
      <w:r w:rsidRPr="00430D9F">
        <w:t xml:space="preserve">A follower company has been recognised as those companies which have entered the market after the pioneers and these companies have learned from the pioneers' strategies and mistakes which have been considered as a second-mover advantage. Followers have derived an extensive opportunity for learning from the lessons and experiences of pioneers which has helped them to avoid issues, mistakes and even improvements based on the current market trends. It is observed that followers have chosen a cost strategy which has benefited more from the high market growth (Gómez et al., 2022). Scholars have argued that cost strategy seems beneficial for those followers that have wanted to ensure success in new markets. Even, the follower company has adopted an advantage within the industrial dynamics based on following the competitive strategy of pioneers (Gómez et al., 2022). This has indicated that the follower company has entered a new market by educating from pioneers' mistakes and improvements. For instance, a follower company is able to avoid a customer education strategy in marketing as customers are already aware of the beneficial features of the products or services through the marketing tactics of pioneering companies. </w:t>
      </w:r>
    </w:p>
    <w:p w14:paraId="77964707" w14:textId="77777777" w:rsidR="00DF678C" w:rsidRPr="00430D9F" w:rsidRDefault="00DF678C" w:rsidP="00691101">
      <w:pPr>
        <w:spacing w:before="240" w:line="360" w:lineRule="auto"/>
        <w:jc w:val="center"/>
        <w:rPr>
          <w:b/>
        </w:rPr>
      </w:pPr>
      <w:r w:rsidRPr="00430D9F">
        <w:rPr>
          <w:b/>
          <w:noProof/>
          <w:lang w:eastAsia="en-IN"/>
        </w:rPr>
        <w:lastRenderedPageBreak/>
        <w:drawing>
          <wp:inline distT="114300" distB="114300" distL="114300" distR="114300" wp14:anchorId="5AA5D8F9" wp14:editId="2781A931">
            <wp:extent cx="4420640" cy="2481263"/>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1"/>
                    <a:stretch>
                      <a:fillRect/>
                    </a:stretch>
                  </pic:blipFill>
                  <pic:spPr>
                    <a:xfrm>
                      <a:off x="0" y="0"/>
                      <a:ext cx="4420640" cy="2481263"/>
                    </a:xfrm>
                    <a:prstGeom prst="rect">
                      <a:avLst/>
                    </a:prstGeom>
                    <a:ln w="12700">
                      <a:solidFill>
                        <a:srgbClr val="000000"/>
                      </a:solidFill>
                      <a:prstDash val="solid"/>
                    </a:ln>
                  </pic:spPr>
                </pic:pic>
              </a:graphicData>
            </a:graphic>
          </wp:inline>
        </w:drawing>
      </w:r>
    </w:p>
    <w:p w14:paraId="5B2FC7C9" w14:textId="77777777" w:rsidR="00DF678C" w:rsidRPr="00430D9F" w:rsidRDefault="00DF678C" w:rsidP="00691101">
      <w:pPr>
        <w:spacing w:before="240" w:line="360" w:lineRule="auto"/>
        <w:jc w:val="center"/>
        <w:rPr>
          <w:b/>
        </w:rPr>
      </w:pPr>
      <w:r w:rsidRPr="00430D9F">
        <w:rPr>
          <w:b/>
        </w:rPr>
        <w:t>Figure 3: Advantages of being a follower company</w:t>
      </w:r>
    </w:p>
    <w:p w14:paraId="5310479B" w14:textId="77777777" w:rsidR="00DF678C" w:rsidRPr="00430D9F" w:rsidRDefault="00DF678C" w:rsidP="00691101">
      <w:pPr>
        <w:spacing w:before="240" w:line="360" w:lineRule="auto"/>
        <w:jc w:val="center"/>
      </w:pPr>
      <w:r w:rsidRPr="00430D9F">
        <w:t>(Source: Self-developed)</w:t>
      </w:r>
    </w:p>
    <w:p w14:paraId="3297DA21" w14:textId="77777777" w:rsidR="00DF678C" w:rsidRPr="00430D9F" w:rsidRDefault="00DF678C" w:rsidP="00691101">
      <w:pPr>
        <w:spacing w:before="240" w:line="360" w:lineRule="auto"/>
        <w:jc w:val="both"/>
      </w:pPr>
      <w:r w:rsidRPr="00430D9F">
        <w:t>Followers have entered the market which has been already established and educated by pioneers. For instance, Samsung entered the smartphone market after Apple where Apple has been recognised as the pioneering company (</w:t>
      </w:r>
      <w:proofErr w:type="spellStart"/>
      <w:r w:rsidRPr="00430D9F">
        <w:t>Kornelakis</w:t>
      </w:r>
      <w:proofErr w:type="spellEnd"/>
      <w:r w:rsidRPr="00430D9F">
        <w:t xml:space="preserve"> and </w:t>
      </w:r>
      <w:proofErr w:type="spellStart"/>
      <w:r w:rsidRPr="00430D9F">
        <w:t>Petrakaki</w:t>
      </w:r>
      <w:proofErr w:type="spellEnd"/>
      <w:r w:rsidRPr="00430D9F">
        <w:t xml:space="preserve">, 2024). However, Samsung has been recognised as the pioneer in hardware components. It is observed that followers have built on the product features and technological advancements which have been already pioneered by first movers. In this regard, followers are able to make improvements on the original product leading to offering better product quality or even delivering cost-effective solutions effectively. </w:t>
      </w:r>
    </w:p>
    <w:p w14:paraId="0697EF25" w14:textId="77777777" w:rsidR="00DF678C" w:rsidRPr="00430D9F" w:rsidRDefault="00DF678C" w:rsidP="00691101">
      <w:pPr>
        <w:spacing w:before="240" w:line="360" w:lineRule="auto"/>
        <w:jc w:val="center"/>
        <w:rPr>
          <w:b/>
        </w:rPr>
      </w:pPr>
      <w:r w:rsidRPr="00430D9F">
        <w:rPr>
          <w:b/>
          <w:noProof/>
          <w:lang w:eastAsia="en-IN"/>
        </w:rPr>
        <w:drawing>
          <wp:inline distT="114300" distB="114300" distL="114300" distR="114300" wp14:anchorId="34448362" wp14:editId="4371247D">
            <wp:extent cx="5943600" cy="21717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2"/>
                    <a:stretch>
                      <a:fillRect/>
                    </a:stretch>
                  </pic:blipFill>
                  <pic:spPr>
                    <a:xfrm>
                      <a:off x="0" y="0"/>
                      <a:ext cx="5943600" cy="2171700"/>
                    </a:xfrm>
                    <a:prstGeom prst="rect">
                      <a:avLst/>
                    </a:prstGeom>
                    <a:ln w="12700">
                      <a:solidFill>
                        <a:srgbClr val="000000"/>
                      </a:solidFill>
                      <a:prstDash val="solid"/>
                    </a:ln>
                  </pic:spPr>
                </pic:pic>
              </a:graphicData>
            </a:graphic>
          </wp:inline>
        </w:drawing>
      </w:r>
    </w:p>
    <w:p w14:paraId="0DBE190A" w14:textId="77777777" w:rsidR="00DF678C" w:rsidRPr="00430D9F" w:rsidRDefault="00DF678C" w:rsidP="00691101">
      <w:pPr>
        <w:spacing w:before="240" w:line="360" w:lineRule="auto"/>
        <w:jc w:val="center"/>
        <w:rPr>
          <w:b/>
        </w:rPr>
      </w:pPr>
      <w:r w:rsidRPr="00430D9F">
        <w:rPr>
          <w:b/>
        </w:rPr>
        <w:t>Figure 4: Everett Rogers’ Innovation Diffusion Theory</w:t>
      </w:r>
    </w:p>
    <w:p w14:paraId="50D349C2" w14:textId="77777777" w:rsidR="00DF678C" w:rsidRPr="00430D9F" w:rsidRDefault="00DF678C" w:rsidP="00691101">
      <w:pPr>
        <w:spacing w:before="240" w:line="360" w:lineRule="auto"/>
        <w:jc w:val="center"/>
      </w:pPr>
      <w:r w:rsidRPr="00430D9F">
        <w:lastRenderedPageBreak/>
        <w:t>(Source: Self-developed)</w:t>
      </w:r>
    </w:p>
    <w:p w14:paraId="54C168FF" w14:textId="77777777" w:rsidR="00DF678C" w:rsidRPr="00430D9F" w:rsidRDefault="00DF678C" w:rsidP="00691101">
      <w:pPr>
        <w:spacing w:before="240" w:line="360" w:lineRule="auto"/>
        <w:jc w:val="both"/>
      </w:pPr>
      <w:r w:rsidRPr="00430D9F">
        <w:t>Everett Rogers' Innovation Diffusion Theory has analysed factors influencing the rate of diffusion as well as the adoption of an innovative technology (</w:t>
      </w:r>
      <w:proofErr w:type="spellStart"/>
      <w:r w:rsidRPr="00430D9F">
        <w:t>Dewi</w:t>
      </w:r>
      <w:proofErr w:type="spellEnd"/>
      <w:r w:rsidRPr="00430D9F">
        <w:t xml:space="preserve"> et al., 2023). Through the lens of this theory, followers have been found acting as early majority or late majority. This is seen as the demand has been already established where followers can adopt already proven products or services which seems beneficial for reducing chances of uncertainties. For instance, Microsoft was not the pioneer company in creating OS (Operating System) and this tech company has capitalised based on the success of the personal computers produced by IBM (</w:t>
      </w:r>
      <w:proofErr w:type="spellStart"/>
      <w:r w:rsidRPr="00430D9F">
        <w:t>Westberg</w:t>
      </w:r>
      <w:proofErr w:type="spellEnd"/>
      <w:r w:rsidRPr="00430D9F">
        <w:t>, 2024). Microsoft developed Windows based on improvements on the original MS-DOS which had been developed by Seattle Computer Products and has become the dominant OS for personal computers (</w:t>
      </w:r>
      <w:proofErr w:type="spellStart"/>
      <w:r w:rsidRPr="00430D9F">
        <w:t>Picciotto</w:t>
      </w:r>
      <w:proofErr w:type="spellEnd"/>
      <w:r w:rsidRPr="00430D9F">
        <w:t xml:space="preserve">, 2024). Therefore, it can be stated that followers derive huge opportunities by learning from pioneers' mistakes and often these companies need to compete against those brands which have been established by the pioneer company and this seems quite difficult to achieve a high competitive advantage effectively. </w:t>
      </w:r>
    </w:p>
    <w:p w14:paraId="1AE5F075" w14:textId="77777777" w:rsidR="00DF678C" w:rsidRPr="00430D9F" w:rsidRDefault="00DF678C" w:rsidP="00691101">
      <w:pPr>
        <w:pStyle w:val="Heading1"/>
        <w:spacing w:before="240"/>
      </w:pPr>
      <w:bookmarkStart w:id="3" w:name="_Toc194014447"/>
      <w:r w:rsidRPr="00430D9F">
        <w:t>Product Life Cycle (PLC) Strategies in the Growth and Maturity Stages</w:t>
      </w:r>
      <w:bookmarkEnd w:id="3"/>
    </w:p>
    <w:p w14:paraId="0246689D" w14:textId="77777777" w:rsidR="00DF678C" w:rsidRPr="00430D9F" w:rsidRDefault="00DF678C" w:rsidP="00691101">
      <w:pPr>
        <w:spacing w:before="240" w:line="360" w:lineRule="auto"/>
        <w:jc w:val="both"/>
      </w:pPr>
      <w:r w:rsidRPr="00430D9F">
        <w:t xml:space="preserve">Product lifecycle management (LPM) is considered a business activity of the effective management of the organisation's product in an effective manner across its lifecycles (Stark, 2022). This cycle has included major stages such as introduction, growth, maturity and decline stages where at each stage, specific strategies have been employed for increasing growth leading to ensuring high competitive advantage. </w:t>
      </w:r>
    </w:p>
    <w:p w14:paraId="6227F3AC" w14:textId="77777777" w:rsidR="00DF678C" w:rsidRPr="00430D9F" w:rsidRDefault="00DF678C" w:rsidP="00691101">
      <w:pPr>
        <w:spacing w:before="240" w:line="360" w:lineRule="auto"/>
        <w:jc w:val="center"/>
      </w:pPr>
      <w:r w:rsidRPr="00430D9F">
        <w:rPr>
          <w:noProof/>
          <w:lang w:eastAsia="en-IN"/>
        </w:rPr>
        <w:lastRenderedPageBreak/>
        <w:drawing>
          <wp:inline distT="114300" distB="114300" distL="114300" distR="114300" wp14:anchorId="669199BD" wp14:editId="7AC3C8B0">
            <wp:extent cx="4267200" cy="336232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3"/>
                    <a:stretch>
                      <a:fillRect/>
                    </a:stretch>
                  </pic:blipFill>
                  <pic:spPr>
                    <a:xfrm>
                      <a:off x="0" y="0"/>
                      <a:ext cx="4267200" cy="3362325"/>
                    </a:xfrm>
                    <a:prstGeom prst="rect">
                      <a:avLst/>
                    </a:prstGeom>
                    <a:ln w="12700">
                      <a:solidFill>
                        <a:srgbClr val="000000"/>
                      </a:solidFill>
                      <a:prstDash val="solid"/>
                    </a:ln>
                  </pic:spPr>
                </pic:pic>
              </a:graphicData>
            </a:graphic>
          </wp:inline>
        </w:drawing>
      </w:r>
    </w:p>
    <w:p w14:paraId="31BC06DF" w14:textId="77777777" w:rsidR="00DF678C" w:rsidRPr="00430D9F" w:rsidRDefault="00DF678C" w:rsidP="00691101">
      <w:pPr>
        <w:spacing w:before="240" w:line="360" w:lineRule="auto"/>
        <w:jc w:val="center"/>
        <w:rPr>
          <w:b/>
        </w:rPr>
      </w:pPr>
      <w:r w:rsidRPr="00430D9F">
        <w:rPr>
          <w:b/>
        </w:rPr>
        <w:t>Figure 5: Product Lifecycle Stages</w:t>
      </w:r>
    </w:p>
    <w:p w14:paraId="15606D62" w14:textId="77777777" w:rsidR="00DF678C" w:rsidRPr="00430D9F" w:rsidRDefault="00DF678C" w:rsidP="00691101">
      <w:pPr>
        <w:spacing w:before="240" w:line="360" w:lineRule="auto"/>
        <w:jc w:val="center"/>
      </w:pPr>
      <w:r w:rsidRPr="00430D9F">
        <w:t>(Source: Self-developed)</w:t>
      </w:r>
    </w:p>
    <w:p w14:paraId="53EB7A05" w14:textId="21D0D6C2" w:rsidR="00DF678C" w:rsidRPr="00DF678C" w:rsidRDefault="00DF678C" w:rsidP="00691101">
      <w:pPr>
        <w:spacing w:before="240" w:line="360" w:lineRule="auto"/>
        <w:jc w:val="both"/>
        <w:rPr>
          <w:b/>
          <w:i/>
        </w:rPr>
      </w:pPr>
      <w:r w:rsidRPr="00430D9F">
        <w:rPr>
          <w:b/>
          <w:i/>
        </w:rPr>
        <w:t>PLC Strategies for Pioneer Companies</w:t>
      </w: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4140"/>
        <w:gridCol w:w="3525"/>
      </w:tblGrid>
      <w:tr w:rsidR="00DF678C" w:rsidRPr="00430D9F" w14:paraId="69E69442" w14:textId="77777777" w:rsidTr="00881E8A">
        <w:trPr>
          <w:jc w:val="center"/>
        </w:trPr>
        <w:tc>
          <w:tcPr>
            <w:tcW w:w="1695" w:type="dxa"/>
            <w:shd w:val="clear" w:color="auto" w:fill="auto"/>
            <w:tcMar>
              <w:top w:w="100" w:type="dxa"/>
              <w:left w:w="100" w:type="dxa"/>
              <w:bottom w:w="100" w:type="dxa"/>
              <w:right w:w="100" w:type="dxa"/>
            </w:tcMar>
          </w:tcPr>
          <w:p w14:paraId="0BB4EB0F" w14:textId="77777777" w:rsidR="00DF678C" w:rsidRPr="00430D9F" w:rsidRDefault="00DF678C" w:rsidP="00691101">
            <w:pPr>
              <w:widowControl w:val="0"/>
              <w:pBdr>
                <w:top w:val="nil"/>
                <w:left w:val="nil"/>
                <w:bottom w:val="nil"/>
                <w:right w:val="nil"/>
                <w:between w:val="nil"/>
              </w:pBdr>
              <w:spacing w:before="240" w:line="360" w:lineRule="auto"/>
              <w:rPr>
                <w:b/>
                <w:sz w:val="24"/>
                <w:szCs w:val="24"/>
                <w:lang w:val="en-GB"/>
              </w:rPr>
            </w:pPr>
            <w:r w:rsidRPr="00430D9F">
              <w:rPr>
                <w:b/>
                <w:sz w:val="24"/>
                <w:szCs w:val="24"/>
                <w:lang w:val="en-GB"/>
              </w:rPr>
              <w:t>Stage</w:t>
            </w:r>
          </w:p>
        </w:tc>
        <w:tc>
          <w:tcPr>
            <w:tcW w:w="4140" w:type="dxa"/>
            <w:shd w:val="clear" w:color="auto" w:fill="auto"/>
            <w:tcMar>
              <w:top w:w="100" w:type="dxa"/>
              <w:left w:w="100" w:type="dxa"/>
              <w:bottom w:w="100" w:type="dxa"/>
              <w:right w:w="100" w:type="dxa"/>
            </w:tcMar>
          </w:tcPr>
          <w:p w14:paraId="36AA5EBD" w14:textId="77777777" w:rsidR="00DF678C" w:rsidRPr="00430D9F" w:rsidRDefault="00DF678C" w:rsidP="00691101">
            <w:pPr>
              <w:widowControl w:val="0"/>
              <w:pBdr>
                <w:top w:val="nil"/>
                <w:left w:val="nil"/>
                <w:bottom w:val="nil"/>
                <w:right w:val="nil"/>
                <w:between w:val="nil"/>
              </w:pBdr>
              <w:spacing w:before="240" w:line="360" w:lineRule="auto"/>
              <w:rPr>
                <w:b/>
                <w:sz w:val="24"/>
                <w:szCs w:val="24"/>
                <w:lang w:val="en-GB"/>
              </w:rPr>
            </w:pPr>
            <w:r w:rsidRPr="00430D9F">
              <w:rPr>
                <w:b/>
                <w:sz w:val="24"/>
                <w:szCs w:val="24"/>
                <w:lang w:val="en-GB"/>
              </w:rPr>
              <w:t>Explanation</w:t>
            </w:r>
          </w:p>
        </w:tc>
        <w:tc>
          <w:tcPr>
            <w:tcW w:w="3525" w:type="dxa"/>
            <w:shd w:val="clear" w:color="auto" w:fill="auto"/>
            <w:tcMar>
              <w:top w:w="100" w:type="dxa"/>
              <w:left w:w="100" w:type="dxa"/>
              <w:bottom w:w="100" w:type="dxa"/>
              <w:right w:w="100" w:type="dxa"/>
            </w:tcMar>
          </w:tcPr>
          <w:p w14:paraId="41014CA8" w14:textId="77777777" w:rsidR="00DF678C" w:rsidRPr="00430D9F" w:rsidRDefault="00DF678C" w:rsidP="00691101">
            <w:pPr>
              <w:widowControl w:val="0"/>
              <w:pBdr>
                <w:top w:val="nil"/>
                <w:left w:val="nil"/>
                <w:bottom w:val="nil"/>
                <w:right w:val="nil"/>
                <w:between w:val="nil"/>
              </w:pBdr>
              <w:spacing w:before="240" w:line="360" w:lineRule="auto"/>
              <w:rPr>
                <w:b/>
                <w:sz w:val="24"/>
                <w:szCs w:val="24"/>
                <w:lang w:val="en-GB"/>
              </w:rPr>
            </w:pPr>
            <w:r w:rsidRPr="00430D9F">
              <w:rPr>
                <w:b/>
                <w:sz w:val="24"/>
                <w:szCs w:val="24"/>
                <w:lang w:val="en-GB"/>
              </w:rPr>
              <w:t>Example</w:t>
            </w:r>
          </w:p>
        </w:tc>
      </w:tr>
      <w:tr w:rsidR="00DF678C" w:rsidRPr="00430D9F" w14:paraId="0802F2CE" w14:textId="77777777" w:rsidTr="00881E8A">
        <w:trPr>
          <w:jc w:val="center"/>
        </w:trPr>
        <w:tc>
          <w:tcPr>
            <w:tcW w:w="1695" w:type="dxa"/>
            <w:shd w:val="clear" w:color="auto" w:fill="auto"/>
            <w:tcMar>
              <w:top w:w="100" w:type="dxa"/>
              <w:left w:w="100" w:type="dxa"/>
              <w:bottom w:w="100" w:type="dxa"/>
              <w:right w:w="100" w:type="dxa"/>
            </w:tcMar>
          </w:tcPr>
          <w:p w14:paraId="4DD28FE7" w14:textId="77777777" w:rsidR="00DF678C" w:rsidRPr="00430D9F" w:rsidRDefault="00DF678C" w:rsidP="00691101">
            <w:pPr>
              <w:widowControl w:val="0"/>
              <w:pBdr>
                <w:top w:val="nil"/>
                <w:left w:val="nil"/>
                <w:bottom w:val="nil"/>
                <w:right w:val="nil"/>
                <w:between w:val="nil"/>
              </w:pBdr>
              <w:spacing w:before="240" w:line="360" w:lineRule="auto"/>
              <w:rPr>
                <w:b/>
                <w:sz w:val="24"/>
                <w:szCs w:val="24"/>
                <w:lang w:val="en-GB"/>
              </w:rPr>
            </w:pPr>
            <w:r w:rsidRPr="00430D9F">
              <w:rPr>
                <w:b/>
                <w:sz w:val="24"/>
                <w:szCs w:val="24"/>
                <w:lang w:val="en-GB"/>
              </w:rPr>
              <w:t>Introduction</w:t>
            </w:r>
          </w:p>
        </w:tc>
        <w:tc>
          <w:tcPr>
            <w:tcW w:w="4140" w:type="dxa"/>
            <w:shd w:val="clear" w:color="auto" w:fill="auto"/>
            <w:tcMar>
              <w:top w:w="100" w:type="dxa"/>
              <w:left w:w="100" w:type="dxa"/>
              <w:bottom w:w="100" w:type="dxa"/>
              <w:right w:w="100" w:type="dxa"/>
            </w:tcMar>
          </w:tcPr>
          <w:p w14:paraId="21E76849"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Pioneer companies have focused on increasing awareness among the target customers about the new product by emphasising innovative aspects of the products in order to generate demand and interest. </w:t>
            </w:r>
          </w:p>
        </w:tc>
        <w:tc>
          <w:tcPr>
            <w:tcW w:w="3525" w:type="dxa"/>
            <w:shd w:val="clear" w:color="auto" w:fill="auto"/>
            <w:tcMar>
              <w:top w:w="100" w:type="dxa"/>
              <w:left w:w="100" w:type="dxa"/>
              <w:bottom w:w="100" w:type="dxa"/>
              <w:right w:w="100" w:type="dxa"/>
            </w:tcMar>
          </w:tcPr>
          <w:p w14:paraId="45988A6B"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When Apple launched its iPhone in 2007, this was viewed not only as a phone but also as a new product category combining a computer, phone and iPod within a phone. Apple-branded iPhone products sold over 217 million devices in 2018 which has made the brand one of the most used smartphones (</w:t>
            </w:r>
            <w:proofErr w:type="spellStart"/>
            <w:r w:rsidRPr="00430D9F">
              <w:rPr>
                <w:sz w:val="24"/>
                <w:szCs w:val="24"/>
                <w:lang w:val="en-GB"/>
              </w:rPr>
              <w:t>Nandy</w:t>
            </w:r>
            <w:proofErr w:type="spellEnd"/>
            <w:r w:rsidRPr="00430D9F">
              <w:rPr>
                <w:sz w:val="24"/>
                <w:szCs w:val="24"/>
                <w:lang w:val="en-GB"/>
              </w:rPr>
              <w:t xml:space="preserve"> et al., 2022). </w:t>
            </w:r>
          </w:p>
        </w:tc>
      </w:tr>
      <w:tr w:rsidR="00DF678C" w:rsidRPr="00430D9F" w14:paraId="79169892" w14:textId="77777777" w:rsidTr="00881E8A">
        <w:trPr>
          <w:jc w:val="center"/>
        </w:trPr>
        <w:tc>
          <w:tcPr>
            <w:tcW w:w="1695" w:type="dxa"/>
            <w:shd w:val="clear" w:color="auto" w:fill="auto"/>
            <w:tcMar>
              <w:top w:w="100" w:type="dxa"/>
              <w:left w:w="100" w:type="dxa"/>
              <w:bottom w:w="100" w:type="dxa"/>
              <w:right w:w="100" w:type="dxa"/>
            </w:tcMar>
          </w:tcPr>
          <w:p w14:paraId="74298AB2" w14:textId="77777777" w:rsidR="00DF678C" w:rsidRPr="00430D9F" w:rsidRDefault="00DF678C" w:rsidP="00691101">
            <w:pPr>
              <w:widowControl w:val="0"/>
              <w:pBdr>
                <w:top w:val="nil"/>
                <w:left w:val="nil"/>
                <w:bottom w:val="nil"/>
                <w:right w:val="nil"/>
                <w:between w:val="nil"/>
              </w:pBdr>
              <w:spacing w:before="240" w:line="360" w:lineRule="auto"/>
              <w:rPr>
                <w:b/>
                <w:sz w:val="24"/>
                <w:szCs w:val="24"/>
                <w:lang w:val="en-GB"/>
              </w:rPr>
            </w:pPr>
            <w:r w:rsidRPr="00430D9F">
              <w:rPr>
                <w:b/>
                <w:sz w:val="24"/>
                <w:szCs w:val="24"/>
                <w:lang w:val="en-GB"/>
              </w:rPr>
              <w:lastRenderedPageBreak/>
              <w:t>Growth</w:t>
            </w:r>
          </w:p>
        </w:tc>
        <w:tc>
          <w:tcPr>
            <w:tcW w:w="4140" w:type="dxa"/>
            <w:shd w:val="clear" w:color="auto" w:fill="auto"/>
            <w:tcMar>
              <w:top w:w="100" w:type="dxa"/>
              <w:left w:w="100" w:type="dxa"/>
              <w:bottom w:w="100" w:type="dxa"/>
              <w:right w:w="100" w:type="dxa"/>
            </w:tcMar>
          </w:tcPr>
          <w:p w14:paraId="78BAC1E7"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At this stage, pioneers are concerned with differentiating themselves by offering new products seeking the attention of new customers and expanding the distribution networks. </w:t>
            </w:r>
          </w:p>
          <w:p w14:paraId="2FADA2B2"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p>
          <w:p w14:paraId="3347502B"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p>
          <w:p w14:paraId="51DB62BA"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p>
        </w:tc>
        <w:tc>
          <w:tcPr>
            <w:tcW w:w="3525" w:type="dxa"/>
            <w:shd w:val="clear" w:color="auto" w:fill="auto"/>
            <w:tcMar>
              <w:top w:w="100" w:type="dxa"/>
              <w:left w:w="100" w:type="dxa"/>
              <w:bottom w:w="100" w:type="dxa"/>
              <w:right w:w="100" w:type="dxa"/>
            </w:tcMar>
          </w:tcPr>
          <w:p w14:paraId="686762FE"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Tesla, a pioneer of EVs, has focused on differentiating its brand position by improving its EV technology in a continuous manner in terms of autonomous driving features, battery efficiency and more (ZHIYU, 2021). As demand for EVs has increased, Tesla has been able to expand its market share and enhance brand recognition by making the EV an aspirational product. </w:t>
            </w:r>
          </w:p>
          <w:p w14:paraId="614D99EA"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On the other hand, Nintendo is considered the pioneer in the gaming console industry (Chen, 2022). In this regard, this brand has expanded its product line aligning with major titles such as the Legend of Zelda, Super Mario Bros and more (Nintendo, 2025). This has indicated that the company has invested in establishing a loyal gaming community by offering iconic games, exclusive hardware and more to enhance its competitive edge. </w:t>
            </w:r>
          </w:p>
        </w:tc>
      </w:tr>
      <w:tr w:rsidR="00DF678C" w:rsidRPr="00430D9F" w14:paraId="541B7D7F" w14:textId="77777777" w:rsidTr="00881E8A">
        <w:trPr>
          <w:jc w:val="center"/>
        </w:trPr>
        <w:tc>
          <w:tcPr>
            <w:tcW w:w="1695" w:type="dxa"/>
            <w:shd w:val="clear" w:color="auto" w:fill="auto"/>
            <w:tcMar>
              <w:top w:w="100" w:type="dxa"/>
              <w:left w:w="100" w:type="dxa"/>
              <w:bottom w:w="100" w:type="dxa"/>
              <w:right w:w="100" w:type="dxa"/>
            </w:tcMar>
          </w:tcPr>
          <w:p w14:paraId="72E80ED3" w14:textId="77777777" w:rsidR="00DF678C" w:rsidRPr="00430D9F" w:rsidRDefault="00DF678C" w:rsidP="00691101">
            <w:pPr>
              <w:widowControl w:val="0"/>
              <w:pBdr>
                <w:top w:val="nil"/>
                <w:left w:val="nil"/>
                <w:bottom w:val="nil"/>
                <w:right w:val="nil"/>
                <w:between w:val="nil"/>
              </w:pBdr>
              <w:spacing w:before="240" w:line="360" w:lineRule="auto"/>
              <w:rPr>
                <w:b/>
                <w:sz w:val="24"/>
                <w:szCs w:val="24"/>
                <w:lang w:val="en-GB"/>
              </w:rPr>
            </w:pPr>
            <w:r w:rsidRPr="00430D9F">
              <w:rPr>
                <w:b/>
                <w:sz w:val="24"/>
                <w:szCs w:val="24"/>
                <w:lang w:val="en-GB"/>
              </w:rPr>
              <w:t>Maturity</w:t>
            </w:r>
          </w:p>
        </w:tc>
        <w:tc>
          <w:tcPr>
            <w:tcW w:w="4140" w:type="dxa"/>
            <w:shd w:val="clear" w:color="auto" w:fill="auto"/>
            <w:tcMar>
              <w:top w:w="100" w:type="dxa"/>
              <w:left w:w="100" w:type="dxa"/>
              <w:bottom w:w="100" w:type="dxa"/>
              <w:right w:w="100" w:type="dxa"/>
            </w:tcMar>
          </w:tcPr>
          <w:p w14:paraId="4B8DA32C"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In this stage, pioneers are focused </w:t>
            </w:r>
            <w:r w:rsidRPr="00430D9F">
              <w:rPr>
                <w:sz w:val="24"/>
                <w:szCs w:val="24"/>
                <w:lang w:val="en-GB"/>
              </w:rPr>
              <w:lastRenderedPageBreak/>
              <w:t xml:space="preserve">on managing its leadership tactics which has led to enhancing brand loyalty with the help of sustaining innovation. This has led to a high competitive edge. </w:t>
            </w:r>
          </w:p>
        </w:tc>
        <w:tc>
          <w:tcPr>
            <w:tcW w:w="3525" w:type="dxa"/>
            <w:shd w:val="clear" w:color="auto" w:fill="auto"/>
            <w:tcMar>
              <w:top w:w="100" w:type="dxa"/>
              <w:left w:w="100" w:type="dxa"/>
              <w:bottom w:w="100" w:type="dxa"/>
              <w:right w:w="100" w:type="dxa"/>
            </w:tcMar>
          </w:tcPr>
          <w:p w14:paraId="13B9A5D4"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lastRenderedPageBreak/>
              <w:t xml:space="preserve">It is observed that the </w:t>
            </w:r>
            <w:r w:rsidRPr="00430D9F">
              <w:rPr>
                <w:sz w:val="24"/>
                <w:szCs w:val="24"/>
                <w:lang w:val="en-GB"/>
              </w:rPr>
              <w:lastRenderedPageBreak/>
              <w:t xml:space="preserve">smartphone market has been innovated and matured and Apple is still innovating its iPhone by adding advanced features such as privacy features, AR (augmented reality) capabilities, improving cameras and more. For instance, Apple has launched </w:t>
            </w:r>
            <w:proofErr w:type="spellStart"/>
            <w:r w:rsidRPr="00430D9F">
              <w:rPr>
                <w:sz w:val="24"/>
                <w:szCs w:val="24"/>
                <w:lang w:val="en-GB"/>
              </w:rPr>
              <w:t>ARKit</w:t>
            </w:r>
            <w:proofErr w:type="spellEnd"/>
            <w:r w:rsidRPr="00430D9F">
              <w:rPr>
                <w:sz w:val="24"/>
                <w:szCs w:val="24"/>
                <w:lang w:val="en-GB"/>
              </w:rPr>
              <w:t xml:space="preserve"> which is considered a commitment to AR (</w:t>
            </w:r>
            <w:proofErr w:type="spellStart"/>
            <w:r w:rsidRPr="00430D9F">
              <w:rPr>
                <w:sz w:val="24"/>
                <w:szCs w:val="24"/>
                <w:lang w:val="en-GB"/>
              </w:rPr>
              <w:t>Sahoo</w:t>
            </w:r>
            <w:proofErr w:type="spellEnd"/>
            <w:r w:rsidRPr="00430D9F">
              <w:rPr>
                <w:sz w:val="24"/>
                <w:szCs w:val="24"/>
                <w:lang w:val="en-GB"/>
              </w:rPr>
              <w:t xml:space="preserve">, 2024). This tech brand has offered seamless integration within its ecosystem such as Apple Watch, Mac, iPad and more which has helped to maintain a potential competitive advantage from its competitors globally. </w:t>
            </w:r>
          </w:p>
        </w:tc>
      </w:tr>
    </w:tbl>
    <w:p w14:paraId="3DAA55EA" w14:textId="77777777" w:rsidR="00DF678C" w:rsidRPr="00430D9F" w:rsidRDefault="00DF678C" w:rsidP="00691101">
      <w:pPr>
        <w:spacing w:before="240" w:line="360" w:lineRule="auto"/>
        <w:jc w:val="center"/>
      </w:pPr>
    </w:p>
    <w:p w14:paraId="4AAED79C" w14:textId="77777777" w:rsidR="00DF678C" w:rsidRPr="00430D9F" w:rsidRDefault="00DF678C" w:rsidP="00691101">
      <w:pPr>
        <w:spacing w:before="240" w:line="360" w:lineRule="auto"/>
        <w:jc w:val="center"/>
        <w:rPr>
          <w:b/>
        </w:rPr>
      </w:pPr>
      <w:r w:rsidRPr="00430D9F">
        <w:rPr>
          <w:b/>
        </w:rPr>
        <w:t>Table 1: PLC Strategies for Pioneer Companies</w:t>
      </w:r>
    </w:p>
    <w:p w14:paraId="30926133" w14:textId="77777777" w:rsidR="00DF678C" w:rsidRPr="00430D9F" w:rsidRDefault="00DF678C" w:rsidP="00691101">
      <w:pPr>
        <w:spacing w:before="240" w:line="360" w:lineRule="auto"/>
        <w:jc w:val="center"/>
      </w:pPr>
      <w:r w:rsidRPr="00430D9F">
        <w:t>(Source: Self-developed)</w:t>
      </w:r>
    </w:p>
    <w:p w14:paraId="1080EEAD" w14:textId="378A66F9" w:rsidR="00DF678C" w:rsidRPr="00C511E8" w:rsidRDefault="00DF678C" w:rsidP="00C511E8">
      <w:pPr>
        <w:spacing w:before="240" w:line="360" w:lineRule="auto"/>
        <w:jc w:val="both"/>
        <w:rPr>
          <w:b/>
          <w:i/>
        </w:rPr>
      </w:pPr>
      <w:r w:rsidRPr="00430D9F">
        <w:rPr>
          <w:b/>
          <w:i/>
        </w:rPr>
        <w:t>PLC Strategies for Follower Companies</w:t>
      </w:r>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3750"/>
        <w:gridCol w:w="3300"/>
      </w:tblGrid>
      <w:tr w:rsidR="00DF678C" w:rsidRPr="00430D9F" w14:paraId="24983A6A" w14:textId="77777777" w:rsidTr="00881E8A">
        <w:trPr>
          <w:jc w:val="center"/>
        </w:trPr>
        <w:tc>
          <w:tcPr>
            <w:tcW w:w="2310" w:type="dxa"/>
            <w:shd w:val="clear" w:color="auto" w:fill="auto"/>
            <w:tcMar>
              <w:top w:w="100" w:type="dxa"/>
              <w:left w:w="100" w:type="dxa"/>
              <w:bottom w:w="100" w:type="dxa"/>
              <w:right w:w="100" w:type="dxa"/>
            </w:tcMar>
          </w:tcPr>
          <w:p w14:paraId="3D511EDE" w14:textId="77777777" w:rsidR="00DF678C" w:rsidRPr="00430D9F" w:rsidRDefault="00DF678C" w:rsidP="00691101">
            <w:pPr>
              <w:widowControl w:val="0"/>
              <w:spacing w:before="240" w:line="360" w:lineRule="auto"/>
              <w:rPr>
                <w:b/>
                <w:sz w:val="24"/>
                <w:szCs w:val="24"/>
                <w:lang w:val="en-GB"/>
              </w:rPr>
            </w:pPr>
            <w:r w:rsidRPr="00430D9F">
              <w:rPr>
                <w:b/>
                <w:sz w:val="24"/>
                <w:szCs w:val="24"/>
                <w:lang w:val="en-GB"/>
              </w:rPr>
              <w:t>Stage</w:t>
            </w:r>
          </w:p>
        </w:tc>
        <w:tc>
          <w:tcPr>
            <w:tcW w:w="3750" w:type="dxa"/>
            <w:shd w:val="clear" w:color="auto" w:fill="auto"/>
            <w:tcMar>
              <w:top w:w="100" w:type="dxa"/>
              <w:left w:w="100" w:type="dxa"/>
              <w:bottom w:w="100" w:type="dxa"/>
              <w:right w:w="100" w:type="dxa"/>
            </w:tcMar>
          </w:tcPr>
          <w:p w14:paraId="6C19F114" w14:textId="77777777" w:rsidR="00DF678C" w:rsidRPr="00430D9F" w:rsidRDefault="00DF678C" w:rsidP="00691101">
            <w:pPr>
              <w:widowControl w:val="0"/>
              <w:spacing w:before="240" w:line="360" w:lineRule="auto"/>
              <w:rPr>
                <w:b/>
                <w:sz w:val="24"/>
                <w:szCs w:val="24"/>
                <w:lang w:val="en-GB"/>
              </w:rPr>
            </w:pPr>
            <w:r w:rsidRPr="00430D9F">
              <w:rPr>
                <w:b/>
                <w:sz w:val="24"/>
                <w:szCs w:val="24"/>
                <w:lang w:val="en-GB"/>
              </w:rPr>
              <w:t>Explanation</w:t>
            </w:r>
          </w:p>
        </w:tc>
        <w:tc>
          <w:tcPr>
            <w:tcW w:w="3300" w:type="dxa"/>
            <w:shd w:val="clear" w:color="auto" w:fill="auto"/>
            <w:tcMar>
              <w:top w:w="100" w:type="dxa"/>
              <w:left w:w="100" w:type="dxa"/>
              <w:bottom w:w="100" w:type="dxa"/>
              <w:right w:w="100" w:type="dxa"/>
            </w:tcMar>
          </w:tcPr>
          <w:p w14:paraId="3A428294" w14:textId="77777777" w:rsidR="00DF678C" w:rsidRPr="00430D9F" w:rsidRDefault="00DF678C" w:rsidP="00691101">
            <w:pPr>
              <w:widowControl w:val="0"/>
              <w:spacing w:before="240" w:line="360" w:lineRule="auto"/>
              <w:rPr>
                <w:b/>
                <w:sz w:val="24"/>
                <w:szCs w:val="24"/>
                <w:lang w:val="en-GB"/>
              </w:rPr>
            </w:pPr>
            <w:r w:rsidRPr="00430D9F">
              <w:rPr>
                <w:b/>
                <w:sz w:val="24"/>
                <w:szCs w:val="24"/>
                <w:lang w:val="en-GB"/>
              </w:rPr>
              <w:t>Example</w:t>
            </w:r>
          </w:p>
        </w:tc>
      </w:tr>
      <w:tr w:rsidR="00DF678C" w:rsidRPr="00430D9F" w14:paraId="48C5D85F" w14:textId="77777777" w:rsidTr="00881E8A">
        <w:trPr>
          <w:jc w:val="center"/>
        </w:trPr>
        <w:tc>
          <w:tcPr>
            <w:tcW w:w="2310" w:type="dxa"/>
            <w:shd w:val="clear" w:color="auto" w:fill="auto"/>
            <w:tcMar>
              <w:top w:w="100" w:type="dxa"/>
              <w:left w:w="100" w:type="dxa"/>
              <w:bottom w:w="100" w:type="dxa"/>
              <w:right w:w="100" w:type="dxa"/>
            </w:tcMar>
          </w:tcPr>
          <w:p w14:paraId="7F05B564" w14:textId="77777777" w:rsidR="00DF678C" w:rsidRPr="00430D9F" w:rsidRDefault="00DF678C" w:rsidP="00691101">
            <w:pPr>
              <w:widowControl w:val="0"/>
              <w:spacing w:before="240" w:line="360" w:lineRule="auto"/>
              <w:rPr>
                <w:b/>
                <w:sz w:val="24"/>
                <w:szCs w:val="24"/>
                <w:lang w:val="en-GB"/>
              </w:rPr>
            </w:pPr>
            <w:r w:rsidRPr="00430D9F">
              <w:rPr>
                <w:b/>
                <w:sz w:val="24"/>
                <w:szCs w:val="24"/>
                <w:lang w:val="en-GB"/>
              </w:rPr>
              <w:t>Introduction</w:t>
            </w:r>
          </w:p>
        </w:tc>
        <w:tc>
          <w:tcPr>
            <w:tcW w:w="3750" w:type="dxa"/>
            <w:shd w:val="clear" w:color="auto" w:fill="auto"/>
            <w:tcMar>
              <w:top w:w="100" w:type="dxa"/>
              <w:left w:w="100" w:type="dxa"/>
              <w:bottom w:w="100" w:type="dxa"/>
              <w:right w:w="100" w:type="dxa"/>
            </w:tcMar>
          </w:tcPr>
          <w:p w14:paraId="190CC912"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Followers have focused on entering the market after entering the pioneer indicates that followers have the chance to </w:t>
            </w:r>
            <w:r w:rsidRPr="00430D9F">
              <w:rPr>
                <w:sz w:val="24"/>
                <w:szCs w:val="24"/>
                <w:lang w:val="en-GB"/>
              </w:rPr>
              <w:lastRenderedPageBreak/>
              <w:t xml:space="preserve">revolve their strategies based on the experience or mistakes of pioneers. </w:t>
            </w:r>
          </w:p>
        </w:tc>
        <w:tc>
          <w:tcPr>
            <w:tcW w:w="3300" w:type="dxa"/>
            <w:shd w:val="clear" w:color="auto" w:fill="auto"/>
            <w:tcMar>
              <w:top w:w="100" w:type="dxa"/>
              <w:left w:w="100" w:type="dxa"/>
              <w:bottom w:w="100" w:type="dxa"/>
              <w:right w:w="100" w:type="dxa"/>
            </w:tcMar>
          </w:tcPr>
          <w:p w14:paraId="1A8A883D"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lastRenderedPageBreak/>
              <w:t xml:space="preserve">After the success of Apple with its iPhone, Samsung entered the smartphone market as indicated here, the </w:t>
            </w:r>
            <w:r w:rsidRPr="00430D9F">
              <w:rPr>
                <w:sz w:val="24"/>
                <w:szCs w:val="24"/>
                <w:lang w:val="en-GB"/>
              </w:rPr>
              <w:lastRenderedPageBreak/>
              <w:t>followers are Samsung and Apple is a pioneer. Just like the iPhone, Samsung has launched its Galaxy series by innovating customisation options, and screen size including competitive pricing. For instance, Samsung has fixed its pricing strategy similar to Apple (</w:t>
            </w:r>
            <w:proofErr w:type="spellStart"/>
            <w:r w:rsidRPr="00430D9F">
              <w:rPr>
                <w:sz w:val="24"/>
                <w:szCs w:val="24"/>
                <w:lang w:val="en-GB"/>
              </w:rPr>
              <w:t>Ishigai</w:t>
            </w:r>
            <w:proofErr w:type="spellEnd"/>
            <w:r w:rsidRPr="00430D9F">
              <w:rPr>
                <w:sz w:val="24"/>
                <w:szCs w:val="24"/>
                <w:lang w:val="en-GB"/>
              </w:rPr>
              <w:t xml:space="preserve"> et al., 2021). This has helped this smartphone brand to appeal to different customer segments effectively. </w:t>
            </w:r>
          </w:p>
          <w:p w14:paraId="4F9957B0" w14:textId="5462EA2E"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On the other hand</w:t>
            </w:r>
            <w:r w:rsidR="004C3AAA" w:rsidRPr="00430D9F">
              <w:rPr>
                <w:sz w:val="24"/>
                <w:szCs w:val="24"/>
                <w:lang w:val="en-GB"/>
              </w:rPr>
              <w:t>, after</w:t>
            </w:r>
            <w:r w:rsidRPr="00430D9F">
              <w:rPr>
                <w:sz w:val="24"/>
                <w:szCs w:val="24"/>
                <w:lang w:val="en-GB"/>
              </w:rPr>
              <w:t xml:space="preserve"> Apple, Samsung, and Xiaomi launched their products where the brand is highly focused on offering high-quality standard smartphones at affordable prices in comparison with its competitors. This indicates that Xiaomi has targeted price-sensitive customers in emerging markets such as India and more where offering budget-friendly products can help to seek a wide range of customers efficiently by fulfilling the needs of consumers </w:t>
            </w:r>
            <w:r w:rsidRPr="00430D9F">
              <w:rPr>
                <w:sz w:val="24"/>
                <w:szCs w:val="24"/>
                <w:lang w:val="en-GB"/>
              </w:rPr>
              <w:lastRenderedPageBreak/>
              <w:t>(</w:t>
            </w:r>
            <w:proofErr w:type="spellStart"/>
            <w:r w:rsidRPr="00430D9F">
              <w:rPr>
                <w:sz w:val="24"/>
                <w:szCs w:val="24"/>
                <w:lang w:val="en-GB"/>
              </w:rPr>
              <w:t>Tabassum</w:t>
            </w:r>
            <w:proofErr w:type="spellEnd"/>
            <w:r w:rsidRPr="00430D9F">
              <w:rPr>
                <w:sz w:val="24"/>
                <w:szCs w:val="24"/>
                <w:lang w:val="en-GB"/>
              </w:rPr>
              <w:t xml:space="preserve"> and Ahmed, 2020). </w:t>
            </w:r>
          </w:p>
        </w:tc>
      </w:tr>
      <w:tr w:rsidR="00DF678C" w:rsidRPr="00430D9F" w14:paraId="04FB77E1" w14:textId="77777777" w:rsidTr="00881E8A">
        <w:trPr>
          <w:jc w:val="center"/>
        </w:trPr>
        <w:tc>
          <w:tcPr>
            <w:tcW w:w="2310" w:type="dxa"/>
            <w:shd w:val="clear" w:color="auto" w:fill="auto"/>
            <w:tcMar>
              <w:top w:w="100" w:type="dxa"/>
              <w:left w:w="100" w:type="dxa"/>
              <w:bottom w:w="100" w:type="dxa"/>
              <w:right w:w="100" w:type="dxa"/>
            </w:tcMar>
          </w:tcPr>
          <w:p w14:paraId="690AA1C1" w14:textId="77777777" w:rsidR="00DF678C" w:rsidRPr="00430D9F" w:rsidRDefault="00DF678C" w:rsidP="00691101">
            <w:pPr>
              <w:widowControl w:val="0"/>
              <w:spacing w:before="240" w:line="360" w:lineRule="auto"/>
              <w:rPr>
                <w:b/>
                <w:sz w:val="24"/>
                <w:szCs w:val="24"/>
                <w:lang w:val="en-GB"/>
              </w:rPr>
            </w:pPr>
            <w:r w:rsidRPr="00430D9F">
              <w:rPr>
                <w:b/>
                <w:sz w:val="24"/>
                <w:szCs w:val="24"/>
                <w:lang w:val="en-GB"/>
              </w:rPr>
              <w:lastRenderedPageBreak/>
              <w:t>Growth</w:t>
            </w:r>
          </w:p>
        </w:tc>
        <w:tc>
          <w:tcPr>
            <w:tcW w:w="3750" w:type="dxa"/>
            <w:shd w:val="clear" w:color="auto" w:fill="auto"/>
            <w:tcMar>
              <w:top w:w="100" w:type="dxa"/>
              <w:left w:w="100" w:type="dxa"/>
              <w:bottom w:w="100" w:type="dxa"/>
              <w:right w:w="100" w:type="dxa"/>
            </w:tcMar>
          </w:tcPr>
          <w:p w14:paraId="57EC62DF"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Follower companies are concerned with improving products by adding innovative features, reducing costs and redefining the production process to deliver better customer values. </w:t>
            </w:r>
          </w:p>
        </w:tc>
        <w:tc>
          <w:tcPr>
            <w:tcW w:w="3300" w:type="dxa"/>
            <w:shd w:val="clear" w:color="auto" w:fill="auto"/>
            <w:tcMar>
              <w:top w:w="100" w:type="dxa"/>
              <w:left w:w="100" w:type="dxa"/>
              <w:bottom w:w="100" w:type="dxa"/>
              <w:right w:w="100" w:type="dxa"/>
            </w:tcMar>
          </w:tcPr>
          <w:p w14:paraId="2299E539"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After Apple, Microsoft entered the personal computer (PC) market based on its MS-DOS which led to the creation of Windows. In this regard, as the PC market grows, Microsoft has reduced its software costs and ensured improvements to each new version (Mello Jr. et al., 2025). That is the way Microsoft has gained high market share by ensuring success in customer and business markets effectively.  </w:t>
            </w:r>
          </w:p>
        </w:tc>
      </w:tr>
      <w:tr w:rsidR="00DF678C" w:rsidRPr="00430D9F" w14:paraId="419793DF" w14:textId="77777777" w:rsidTr="00881E8A">
        <w:trPr>
          <w:jc w:val="center"/>
        </w:trPr>
        <w:tc>
          <w:tcPr>
            <w:tcW w:w="2310" w:type="dxa"/>
            <w:shd w:val="clear" w:color="auto" w:fill="auto"/>
            <w:tcMar>
              <w:top w:w="100" w:type="dxa"/>
              <w:left w:w="100" w:type="dxa"/>
              <w:bottom w:w="100" w:type="dxa"/>
              <w:right w:w="100" w:type="dxa"/>
            </w:tcMar>
          </w:tcPr>
          <w:p w14:paraId="3E32A0BF" w14:textId="77777777" w:rsidR="00DF678C" w:rsidRPr="00430D9F" w:rsidRDefault="00DF678C" w:rsidP="00691101">
            <w:pPr>
              <w:widowControl w:val="0"/>
              <w:spacing w:before="240" w:line="360" w:lineRule="auto"/>
              <w:rPr>
                <w:b/>
                <w:sz w:val="24"/>
                <w:szCs w:val="24"/>
                <w:lang w:val="en-GB"/>
              </w:rPr>
            </w:pPr>
            <w:r w:rsidRPr="00430D9F">
              <w:rPr>
                <w:b/>
                <w:sz w:val="24"/>
                <w:szCs w:val="24"/>
                <w:lang w:val="en-GB"/>
              </w:rPr>
              <w:t>Maturity</w:t>
            </w:r>
          </w:p>
        </w:tc>
        <w:tc>
          <w:tcPr>
            <w:tcW w:w="3750" w:type="dxa"/>
            <w:shd w:val="clear" w:color="auto" w:fill="auto"/>
            <w:tcMar>
              <w:top w:w="100" w:type="dxa"/>
              <w:left w:w="100" w:type="dxa"/>
              <w:bottom w:w="100" w:type="dxa"/>
              <w:right w:w="100" w:type="dxa"/>
            </w:tcMar>
          </w:tcPr>
          <w:p w14:paraId="374D8718"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In this stage, followers have intended to enhance their market share based on strategic partnerships, competitive pricing and more. </w:t>
            </w:r>
          </w:p>
        </w:tc>
        <w:tc>
          <w:tcPr>
            <w:tcW w:w="3300" w:type="dxa"/>
            <w:shd w:val="clear" w:color="auto" w:fill="auto"/>
            <w:tcMar>
              <w:top w:w="100" w:type="dxa"/>
              <w:left w:w="100" w:type="dxa"/>
              <w:bottom w:w="100" w:type="dxa"/>
              <w:right w:w="100" w:type="dxa"/>
            </w:tcMar>
          </w:tcPr>
          <w:p w14:paraId="3444770A" w14:textId="77777777" w:rsidR="00DF678C" w:rsidRPr="00430D9F" w:rsidRDefault="00DF678C" w:rsidP="00691101">
            <w:pPr>
              <w:widowControl w:val="0"/>
              <w:pBdr>
                <w:top w:val="nil"/>
                <w:left w:val="nil"/>
                <w:bottom w:val="nil"/>
                <w:right w:val="nil"/>
                <w:between w:val="nil"/>
              </w:pBdr>
              <w:spacing w:before="240" w:line="360" w:lineRule="auto"/>
              <w:jc w:val="both"/>
              <w:rPr>
                <w:sz w:val="24"/>
                <w:szCs w:val="24"/>
                <w:lang w:val="en-GB"/>
              </w:rPr>
            </w:pPr>
            <w:r w:rsidRPr="00430D9F">
              <w:rPr>
                <w:sz w:val="24"/>
                <w:szCs w:val="24"/>
                <w:lang w:val="en-GB"/>
              </w:rPr>
              <w:t xml:space="preserve">Samsung has leveraged potential distribution networks along with cost-effective manufacturing systems in order to secure a competitive position from Apple and other brands. In this regard, Samsung has launched innovative products such as budget-friendly A series, high-end Galaxy S series and more </w:t>
            </w:r>
            <w:r w:rsidRPr="00430D9F">
              <w:rPr>
                <w:sz w:val="24"/>
                <w:szCs w:val="24"/>
                <w:lang w:val="en-GB"/>
              </w:rPr>
              <w:lastRenderedPageBreak/>
              <w:t xml:space="preserve">(Samsung, 2025). This has helped to seek the attention of customers and ensure high market growth efficiently within the highly competitive market. </w:t>
            </w:r>
          </w:p>
        </w:tc>
      </w:tr>
    </w:tbl>
    <w:p w14:paraId="6F10B8A9" w14:textId="77777777" w:rsidR="00DF678C" w:rsidRPr="00430D9F" w:rsidRDefault="00DF678C" w:rsidP="00691101">
      <w:pPr>
        <w:spacing w:before="240" w:line="360" w:lineRule="auto"/>
        <w:jc w:val="center"/>
      </w:pPr>
    </w:p>
    <w:p w14:paraId="6F8925C0" w14:textId="77777777" w:rsidR="00DF678C" w:rsidRPr="00430D9F" w:rsidRDefault="00DF678C" w:rsidP="00691101">
      <w:pPr>
        <w:spacing w:before="240" w:line="360" w:lineRule="auto"/>
        <w:jc w:val="center"/>
        <w:rPr>
          <w:b/>
        </w:rPr>
      </w:pPr>
      <w:r w:rsidRPr="00430D9F">
        <w:rPr>
          <w:b/>
        </w:rPr>
        <w:t>Table 2: PLC Strategies for Follower Companies</w:t>
      </w:r>
    </w:p>
    <w:p w14:paraId="7B7A286A" w14:textId="77777777" w:rsidR="00DF678C" w:rsidRPr="00430D9F" w:rsidRDefault="00DF678C" w:rsidP="00691101">
      <w:pPr>
        <w:spacing w:before="240" w:line="360" w:lineRule="auto"/>
        <w:jc w:val="center"/>
      </w:pPr>
      <w:r w:rsidRPr="00430D9F">
        <w:t>(Source: Self-developed)</w:t>
      </w:r>
    </w:p>
    <w:p w14:paraId="186D597B" w14:textId="77777777" w:rsidR="00DF678C" w:rsidRPr="00430D9F" w:rsidRDefault="00DF678C" w:rsidP="00691101">
      <w:pPr>
        <w:spacing w:before="240" w:line="360" w:lineRule="auto"/>
        <w:jc w:val="both"/>
        <w:rPr>
          <w:b/>
          <w:i/>
        </w:rPr>
      </w:pPr>
      <w:r w:rsidRPr="00430D9F">
        <w:rPr>
          <w:b/>
          <w:i/>
        </w:rPr>
        <w:t>Strategies for maintaining competitive advantage in the decline stage for both pioneers and followers</w:t>
      </w:r>
    </w:p>
    <w:p w14:paraId="360E779C" w14:textId="3B184EC7" w:rsidR="00DF678C" w:rsidRPr="00430D9F" w:rsidRDefault="00DF678C" w:rsidP="00691101">
      <w:pPr>
        <w:spacing w:before="240" w:line="360" w:lineRule="auto"/>
        <w:jc w:val="both"/>
      </w:pPr>
      <w:r w:rsidRPr="00430D9F">
        <w:t xml:space="preserve">At the decline stage, both pioneers and followers need to adopt potential strategies such as finding ways to extend the life cycle of their products or exit the market in a graceful manner. In this regard, companies need to diversify their products through the lens of </w:t>
      </w:r>
      <w:proofErr w:type="spellStart"/>
      <w:r w:rsidRPr="00430D9F">
        <w:t>Ansoff</w:t>
      </w:r>
      <w:proofErr w:type="spellEnd"/>
      <w:r w:rsidRPr="00430D9F">
        <w:t xml:space="preserve"> Matrix. The </w:t>
      </w:r>
      <w:proofErr w:type="spellStart"/>
      <w:r w:rsidRPr="00430D9F">
        <w:t>Ansoff</w:t>
      </w:r>
      <w:proofErr w:type="spellEnd"/>
      <w:r w:rsidRPr="00430D9F">
        <w:t xml:space="preserve"> matrix, a growth matrix, has included four strategies such as market growth, market development, product development and diversification (</w:t>
      </w:r>
      <w:proofErr w:type="spellStart"/>
      <w:r w:rsidRPr="00430D9F">
        <w:t>Czinkota</w:t>
      </w:r>
      <w:proofErr w:type="spellEnd"/>
      <w:r w:rsidRPr="00430D9F">
        <w:t xml:space="preserve"> et al., 2021). For instance, Pepsi has diversified its products in order to stay competitive within the global beverage market. In this regard, due to the high demands of health-conscious consumers, Pepsi has delivered </w:t>
      </w:r>
      <w:r w:rsidR="004C3AAA" w:rsidRPr="00430D9F">
        <w:t>healthier beverages which have</w:t>
      </w:r>
      <w:r w:rsidRPr="00430D9F">
        <w:t xml:space="preserve"> helped to compete with Coca-Cola like carbonated soft drink brands (Dai, 2021). </w:t>
      </w:r>
    </w:p>
    <w:p w14:paraId="640F70CA" w14:textId="77777777" w:rsidR="00DF678C" w:rsidRPr="00430D9F" w:rsidRDefault="00DF678C" w:rsidP="00691101">
      <w:pPr>
        <w:pStyle w:val="Heading1"/>
        <w:spacing w:before="240"/>
      </w:pPr>
      <w:bookmarkStart w:id="4" w:name="_Toc194014448"/>
      <w:r w:rsidRPr="00430D9F">
        <w:t>Conclusion</w:t>
      </w:r>
      <w:bookmarkEnd w:id="4"/>
    </w:p>
    <w:p w14:paraId="3F66DC69" w14:textId="35F0AC2A" w:rsidR="00DF678C" w:rsidRPr="00430D9F" w:rsidRDefault="00DF678C" w:rsidP="00691101">
      <w:pPr>
        <w:spacing w:before="240" w:line="360" w:lineRule="auto"/>
        <w:jc w:val="both"/>
      </w:pPr>
      <w:r w:rsidRPr="00430D9F">
        <w:t xml:space="preserve">In conclusion, it can be stated that successful pioneer companies such as Nintendo, Microsoft, Tesla, Apple and more have adopted innovative and market-educating strategies at the introduction stage of PLC where differentiating themselves has helped to enhance market share. At the mature stage, these brands have become concerned with innovative leadership and enhancing brand loyalty. On the other hand, major follower companies such as Microsoft, Samsung, Xiaomi and more have focused on </w:t>
      </w:r>
      <w:r w:rsidRPr="00430D9F">
        <w:lastRenderedPageBreak/>
        <w:t xml:space="preserve">ensuring quick adaptability, offering high-quality standard products and more competitive pricing which </w:t>
      </w:r>
      <w:r w:rsidR="00B976FD" w:rsidRPr="00430D9F">
        <w:t>have</w:t>
      </w:r>
      <w:r w:rsidRPr="00430D9F">
        <w:t xml:space="preserve"> helped to seek the attention of customers globally. This has also helped to enhance market share. However, both pioneer and follower companies have used a combination strategy such as diversification and more at the decline stage of PLC which has helped to generate a high competitive edge efficiently. Both strategies such as pioneering and following seem successful based on the current market conditions, and the organisational capabilities which have led to executing their strategies effectively. In this regard, ensuring a balance in market, innovation and leadership has helped to ensure success while adopting both strategies. However, it is observed that in order to ensure strategic marketing, whether to adopt pioneer or follower decisions needs to be understood as these seem highly crucial for launching new products, ensuring innovation or even entering a new market effectively. The utilisation of exclusive examples has helped to understand the benefits of implications of both pioneer and follower strategies regarding enhancing competitive edge. </w:t>
      </w:r>
      <w:r w:rsidRPr="00430D9F">
        <w:br w:type="page"/>
      </w:r>
    </w:p>
    <w:p w14:paraId="24FCFB2B" w14:textId="77777777" w:rsidR="004C3AAA" w:rsidRDefault="004C3AAA" w:rsidP="004C3AAA">
      <w:pPr>
        <w:pStyle w:val="Heading1"/>
      </w:pPr>
      <w:bookmarkStart w:id="5" w:name="_Toc194014449"/>
      <w:r>
        <w:t>References</w:t>
      </w:r>
      <w:bookmarkEnd w:id="5"/>
    </w:p>
    <w:p w14:paraId="3BA2F68B" w14:textId="77777777" w:rsidR="004C3AAA" w:rsidRPr="00430D9F" w:rsidRDefault="004C3AAA" w:rsidP="004C3AAA">
      <w:pPr>
        <w:spacing w:after="100" w:afterAutospacing="1" w:line="360" w:lineRule="auto"/>
        <w:jc w:val="both"/>
      </w:pPr>
      <w:r w:rsidRPr="00430D9F">
        <w:t xml:space="preserve">Ali, B. J., and Anwar, G. (2021). Porter’s Generic Competitive Strategies and its influence on the Competitive Advantage. </w:t>
      </w:r>
      <w:r w:rsidRPr="00430D9F">
        <w:rPr>
          <w:i/>
        </w:rPr>
        <w:t>International Journal of Advanced Engineering, Management and Science, 7</w:t>
      </w:r>
      <w:r w:rsidRPr="00430D9F">
        <w:t xml:space="preserve">(6), 42-51. </w:t>
      </w:r>
      <w:hyperlink r:id="rId14">
        <w:r w:rsidRPr="00430D9F">
          <w:rPr>
            <w:color w:val="1155CC"/>
            <w:u w:val="single"/>
          </w:rPr>
          <w:t>https://dx.doi.org/10.22161/ijaems.76.5</w:t>
        </w:r>
      </w:hyperlink>
      <w:r w:rsidRPr="00430D9F">
        <w:t xml:space="preserve"> </w:t>
      </w:r>
    </w:p>
    <w:p w14:paraId="75D90870" w14:textId="77777777" w:rsidR="004C3AAA" w:rsidRPr="00430D9F" w:rsidRDefault="004C3AAA" w:rsidP="004C3AAA">
      <w:pPr>
        <w:spacing w:after="100" w:afterAutospacing="1" w:line="360" w:lineRule="auto"/>
        <w:jc w:val="both"/>
      </w:pPr>
      <w:r w:rsidRPr="00430D9F">
        <w:t xml:space="preserve">Chen, R. (2022). Key Success Factors Study of Nintendo Switch in Gaming Console Market. </w:t>
      </w:r>
      <w:r w:rsidRPr="00430D9F">
        <w:rPr>
          <w:i/>
        </w:rPr>
        <w:t xml:space="preserve">BCP Business &amp; Management, </w:t>
      </w:r>
      <w:r w:rsidRPr="00430D9F">
        <w:t xml:space="preserve">214-222. Available at: </w:t>
      </w:r>
      <w:hyperlink r:id="rId15">
        <w:r w:rsidRPr="00430D9F">
          <w:rPr>
            <w:color w:val="1155CC"/>
            <w:u w:val="single"/>
          </w:rPr>
          <w:t>https://pdfs.semanticscholar.org/06a4/561b5fe927a9430c9203a44c4ecd4046387d.pdf</w:t>
        </w:r>
      </w:hyperlink>
      <w:r w:rsidRPr="00430D9F">
        <w:t xml:space="preserve"> [Accessed 27 March 2025]</w:t>
      </w:r>
    </w:p>
    <w:p w14:paraId="222597A4" w14:textId="77777777" w:rsidR="004C3AAA" w:rsidRPr="00430D9F" w:rsidRDefault="004C3AAA" w:rsidP="004C3AAA">
      <w:pPr>
        <w:spacing w:after="100" w:afterAutospacing="1" w:line="360" w:lineRule="auto"/>
        <w:jc w:val="both"/>
      </w:pPr>
      <w:proofErr w:type="spellStart"/>
      <w:r w:rsidRPr="00430D9F">
        <w:t>Czinkota</w:t>
      </w:r>
      <w:proofErr w:type="spellEnd"/>
      <w:r w:rsidRPr="00430D9F">
        <w:t xml:space="preserve">, M. R., </w:t>
      </w:r>
      <w:proofErr w:type="spellStart"/>
      <w:r w:rsidRPr="00430D9F">
        <w:t>Kotabe</w:t>
      </w:r>
      <w:proofErr w:type="spellEnd"/>
      <w:r w:rsidRPr="00430D9F">
        <w:t xml:space="preserve">, M., </w:t>
      </w:r>
      <w:proofErr w:type="spellStart"/>
      <w:r w:rsidRPr="00430D9F">
        <w:t>Vrontis</w:t>
      </w:r>
      <w:proofErr w:type="spellEnd"/>
      <w:r w:rsidRPr="00430D9F">
        <w:t xml:space="preserve">, D., Shams, S. R., </w:t>
      </w:r>
      <w:proofErr w:type="spellStart"/>
      <w:r w:rsidRPr="00430D9F">
        <w:t>Czinkota</w:t>
      </w:r>
      <w:proofErr w:type="spellEnd"/>
      <w:r w:rsidRPr="00430D9F">
        <w:t xml:space="preserve">, M. R., </w:t>
      </w:r>
      <w:proofErr w:type="spellStart"/>
      <w:r w:rsidRPr="00430D9F">
        <w:t>Kotabe</w:t>
      </w:r>
      <w:proofErr w:type="spellEnd"/>
      <w:r w:rsidRPr="00430D9F">
        <w:t xml:space="preserve">, M., ... and Shams, S. R. (2021). Product and service decisions. </w:t>
      </w:r>
      <w:r w:rsidRPr="00430D9F">
        <w:rPr>
          <w:i/>
        </w:rPr>
        <w:t>Marketing Management: Past, Present and Future,</w:t>
      </w:r>
      <w:r w:rsidRPr="00430D9F">
        <w:t xml:space="preserve"> 341-397. </w:t>
      </w:r>
      <w:hyperlink r:id="rId16" w:anchor="DOI">
        <w:r w:rsidRPr="00430D9F">
          <w:rPr>
            <w:color w:val="1155CC"/>
            <w:u w:val="single"/>
          </w:rPr>
          <w:t>https://doi.org/10.1007/978-3-030-66916-4_8#DOI</w:t>
        </w:r>
      </w:hyperlink>
      <w:r w:rsidRPr="00430D9F">
        <w:t xml:space="preserve"> </w:t>
      </w:r>
    </w:p>
    <w:p w14:paraId="17373816" w14:textId="77777777" w:rsidR="004C3AAA" w:rsidRPr="00430D9F" w:rsidRDefault="004C3AAA" w:rsidP="004C3AAA">
      <w:pPr>
        <w:spacing w:after="100" w:afterAutospacing="1" w:line="360" w:lineRule="auto"/>
        <w:jc w:val="both"/>
      </w:pPr>
      <w:r w:rsidRPr="00430D9F">
        <w:t xml:space="preserve">Dai, Y. (2021, March). Comparison of emphasis point towards marketing strategies between Pepsi &amp; </w:t>
      </w:r>
      <w:proofErr w:type="spellStart"/>
      <w:r w:rsidRPr="00430D9F">
        <w:t>Coca-cola</w:t>
      </w:r>
      <w:proofErr w:type="spellEnd"/>
      <w:r w:rsidRPr="00430D9F">
        <w:t xml:space="preserve">. </w:t>
      </w:r>
      <w:r w:rsidRPr="00430D9F">
        <w:rPr>
          <w:i/>
        </w:rPr>
        <w:t>In 6th international conference on financial innovation and economic development (ICFIED 2021)</w:t>
      </w:r>
      <w:r w:rsidRPr="00430D9F">
        <w:t xml:space="preserve"> (pp. 79-83). Atlantis Press. Available at: </w:t>
      </w:r>
      <w:hyperlink r:id="rId17">
        <w:r w:rsidRPr="00430D9F">
          <w:rPr>
            <w:color w:val="1155CC"/>
            <w:u w:val="single"/>
          </w:rPr>
          <w:t>https://www.atlantis-press.com/article/125954272.pdf</w:t>
        </w:r>
      </w:hyperlink>
      <w:r w:rsidRPr="00430D9F">
        <w:t xml:space="preserve"> [Accessed 27 March 2025]</w:t>
      </w:r>
    </w:p>
    <w:p w14:paraId="3C6F5EBD" w14:textId="77777777" w:rsidR="004C3AAA" w:rsidRPr="00430D9F" w:rsidRDefault="004C3AAA" w:rsidP="004C3AAA">
      <w:pPr>
        <w:spacing w:after="100" w:afterAutospacing="1" w:line="360" w:lineRule="auto"/>
        <w:jc w:val="both"/>
      </w:pPr>
      <w:proofErr w:type="spellStart"/>
      <w:r w:rsidRPr="00430D9F">
        <w:t>Dewi</w:t>
      </w:r>
      <w:proofErr w:type="spellEnd"/>
      <w:r w:rsidRPr="00430D9F">
        <w:t xml:space="preserve">, D. E., </w:t>
      </w:r>
      <w:proofErr w:type="spellStart"/>
      <w:r w:rsidRPr="00430D9F">
        <w:t>Cahyani</w:t>
      </w:r>
      <w:proofErr w:type="spellEnd"/>
      <w:r w:rsidRPr="00430D9F">
        <w:t xml:space="preserve">, P. A., and Megawati, L. R. (2023, May). Increasing adoption of the internet of things in Indonesian agriculture based on a review of </w:t>
      </w:r>
      <w:proofErr w:type="spellStart"/>
      <w:r w:rsidRPr="00430D9F">
        <w:t>everett</w:t>
      </w:r>
      <w:proofErr w:type="spellEnd"/>
      <w:r w:rsidRPr="00430D9F">
        <w:t xml:space="preserve"> Rogers’ diffusion theory of innovation.</w:t>
      </w:r>
      <w:r w:rsidRPr="00430D9F">
        <w:rPr>
          <w:i/>
        </w:rPr>
        <w:t xml:space="preserve"> In Business Innovation and Engineering Conference (BIEC 2022)</w:t>
      </w:r>
      <w:r w:rsidRPr="00430D9F">
        <w:t xml:space="preserve"> (pp. 303-309). Atlantis Press. </w:t>
      </w:r>
      <w:hyperlink r:id="rId18">
        <w:r w:rsidRPr="00430D9F">
          <w:rPr>
            <w:color w:val="1155CC"/>
            <w:u w:val="single"/>
          </w:rPr>
          <w:t>https://doi.org/10.2991/978-94-6463-144-9_29</w:t>
        </w:r>
      </w:hyperlink>
      <w:r w:rsidRPr="00430D9F">
        <w:t xml:space="preserve"> </w:t>
      </w:r>
    </w:p>
    <w:p w14:paraId="17923BB9" w14:textId="77777777" w:rsidR="004C3AAA" w:rsidRPr="00430D9F" w:rsidRDefault="004C3AAA" w:rsidP="004C3AAA">
      <w:pPr>
        <w:spacing w:after="100" w:afterAutospacing="1" w:line="360" w:lineRule="auto"/>
        <w:jc w:val="both"/>
      </w:pPr>
      <w:r w:rsidRPr="00430D9F">
        <w:t>Gómez, J., Perez-</w:t>
      </w:r>
      <w:proofErr w:type="spellStart"/>
      <w:r w:rsidRPr="00430D9F">
        <w:t>Aradros</w:t>
      </w:r>
      <w:proofErr w:type="spellEnd"/>
      <w:r w:rsidRPr="00430D9F">
        <w:t xml:space="preserve">, B., and Salazar, I. (2022). How to beat early movers: The role of competitive strategy and industry dynamism on followers’ performance in the telecommunications industry. </w:t>
      </w:r>
      <w:r w:rsidRPr="00430D9F">
        <w:rPr>
          <w:i/>
        </w:rPr>
        <w:t>Long Range Planning, 55</w:t>
      </w:r>
      <w:r w:rsidRPr="00430D9F">
        <w:t xml:space="preserve">(5), 102244. </w:t>
      </w:r>
      <w:hyperlink r:id="rId19">
        <w:r w:rsidRPr="00430D9F">
          <w:rPr>
            <w:color w:val="1155CC"/>
            <w:u w:val="single"/>
          </w:rPr>
          <w:t>https://doi.org/10.1016/j.lrp.2022.102244</w:t>
        </w:r>
      </w:hyperlink>
      <w:r w:rsidRPr="00430D9F">
        <w:t xml:space="preserve"> </w:t>
      </w:r>
    </w:p>
    <w:p w14:paraId="6009F17C" w14:textId="77777777" w:rsidR="004C3AAA" w:rsidRPr="00430D9F" w:rsidRDefault="004C3AAA" w:rsidP="004C3AAA">
      <w:pPr>
        <w:spacing w:after="100" w:afterAutospacing="1" w:line="360" w:lineRule="auto"/>
        <w:jc w:val="both"/>
      </w:pPr>
      <w:r w:rsidRPr="00430D9F">
        <w:t xml:space="preserve">Hopkins, M., and </w:t>
      </w:r>
      <w:proofErr w:type="spellStart"/>
      <w:r w:rsidRPr="00430D9F">
        <w:t>Lazonick</w:t>
      </w:r>
      <w:proofErr w:type="spellEnd"/>
      <w:r w:rsidRPr="00430D9F">
        <w:t xml:space="preserve">, W. (2024). Tesla as a Global Competitor: Strategic Control in the EV Transition. </w:t>
      </w:r>
      <w:r w:rsidRPr="00430D9F">
        <w:rPr>
          <w:i/>
        </w:rPr>
        <w:t>Institute for New Economic Thinking Working Paper Series,</w:t>
      </w:r>
      <w:r w:rsidRPr="00430D9F">
        <w:t xml:space="preserve"> (225). </w:t>
      </w:r>
      <w:hyperlink r:id="rId20">
        <w:r w:rsidRPr="00430D9F">
          <w:rPr>
            <w:color w:val="1155CC"/>
            <w:u w:val="single"/>
          </w:rPr>
          <w:t>https://doi.org/10.36687/inetwp225</w:t>
        </w:r>
      </w:hyperlink>
      <w:r w:rsidRPr="00430D9F">
        <w:t xml:space="preserve"> </w:t>
      </w:r>
    </w:p>
    <w:p w14:paraId="7882149C" w14:textId="77777777" w:rsidR="004C3AAA" w:rsidRPr="00430D9F" w:rsidRDefault="004C3AAA" w:rsidP="004C3AAA">
      <w:pPr>
        <w:spacing w:after="100" w:afterAutospacing="1" w:line="360" w:lineRule="auto"/>
        <w:jc w:val="both"/>
      </w:pPr>
      <w:proofErr w:type="spellStart"/>
      <w:r w:rsidRPr="00430D9F">
        <w:lastRenderedPageBreak/>
        <w:t>Ishigai</w:t>
      </w:r>
      <w:proofErr w:type="spellEnd"/>
      <w:r w:rsidRPr="00430D9F">
        <w:t xml:space="preserve">, P. A., Pereira, L. H., and </w:t>
      </w:r>
      <w:proofErr w:type="spellStart"/>
      <w:r w:rsidRPr="00430D9F">
        <w:t>Scavroni</w:t>
      </w:r>
      <w:proofErr w:type="spellEnd"/>
      <w:r w:rsidRPr="00430D9F">
        <w:t>, C. M. S. (2021). Standardization and adaptation in multinationals corporations: Case study on Samsung's marketing mix strategy.</w:t>
      </w:r>
      <w:r w:rsidRPr="00430D9F">
        <w:rPr>
          <w:i/>
        </w:rPr>
        <w:t xml:space="preserve"> International Journal of Business and Marketing, 6</w:t>
      </w:r>
      <w:r w:rsidRPr="00430D9F">
        <w:t xml:space="preserve">(1), 77-99. Available at: </w:t>
      </w:r>
      <w:hyperlink r:id="rId21">
        <w:r w:rsidRPr="00430D9F">
          <w:rPr>
            <w:color w:val="1155CC"/>
            <w:u w:val="single"/>
          </w:rPr>
          <w:t>https://ijbmkt.org/ijbmkt/article/download/193/145</w:t>
        </w:r>
      </w:hyperlink>
      <w:r w:rsidRPr="00430D9F">
        <w:t xml:space="preserve"> [Accessed 27 March 2025]</w:t>
      </w:r>
    </w:p>
    <w:p w14:paraId="315D9A76" w14:textId="77777777" w:rsidR="004C3AAA" w:rsidRPr="00430D9F" w:rsidRDefault="004C3AAA" w:rsidP="004C3AAA">
      <w:pPr>
        <w:spacing w:after="100" w:afterAutospacing="1" w:line="360" w:lineRule="auto"/>
        <w:jc w:val="both"/>
      </w:pPr>
      <w:proofErr w:type="spellStart"/>
      <w:r w:rsidRPr="00430D9F">
        <w:t>Kornelakis</w:t>
      </w:r>
      <w:proofErr w:type="spellEnd"/>
      <w:r w:rsidRPr="00430D9F">
        <w:t xml:space="preserve">, A., and </w:t>
      </w:r>
      <w:proofErr w:type="spellStart"/>
      <w:r w:rsidRPr="00430D9F">
        <w:t>Petrakaki</w:t>
      </w:r>
      <w:proofErr w:type="spellEnd"/>
      <w:r w:rsidRPr="00430D9F">
        <w:t xml:space="preserve">, D. (2024). Technological innovation, industry platforms or </w:t>
      </w:r>
      <w:proofErr w:type="spellStart"/>
      <w:r w:rsidRPr="00430D9F">
        <w:t>financialization</w:t>
      </w:r>
      <w:proofErr w:type="spellEnd"/>
      <w:r w:rsidRPr="00430D9F">
        <w:t xml:space="preserve">? A comparative institutional perspective on Nokia, Apple, and Samsung. </w:t>
      </w:r>
      <w:r w:rsidRPr="00430D9F">
        <w:rPr>
          <w:i/>
        </w:rPr>
        <w:t>Business History</w:t>
      </w:r>
      <w:r w:rsidRPr="00430D9F">
        <w:t xml:space="preserve">, 1-26. </w:t>
      </w:r>
      <w:hyperlink r:id="rId22">
        <w:r w:rsidRPr="00430D9F">
          <w:rPr>
            <w:color w:val="1155CC"/>
            <w:u w:val="single"/>
          </w:rPr>
          <w:t>https://doi.org/10.1080/00076791.2024.2377688</w:t>
        </w:r>
      </w:hyperlink>
      <w:r w:rsidRPr="00430D9F">
        <w:t xml:space="preserve"> </w:t>
      </w:r>
    </w:p>
    <w:p w14:paraId="6EFB6905" w14:textId="77777777" w:rsidR="004C3AAA" w:rsidRPr="00430D9F" w:rsidRDefault="004C3AAA" w:rsidP="004C3AAA">
      <w:pPr>
        <w:spacing w:after="100" w:afterAutospacing="1" w:line="360" w:lineRule="auto"/>
        <w:jc w:val="both"/>
      </w:pPr>
      <w:proofErr w:type="spellStart"/>
      <w:r w:rsidRPr="00430D9F">
        <w:t>Liefferink</w:t>
      </w:r>
      <w:proofErr w:type="spellEnd"/>
      <w:r w:rsidRPr="00430D9F">
        <w:t xml:space="preserve">, D., Andersen, M. S., </w:t>
      </w:r>
      <w:proofErr w:type="spellStart"/>
      <w:r w:rsidRPr="00430D9F">
        <w:t>Gheuens</w:t>
      </w:r>
      <w:proofErr w:type="spellEnd"/>
      <w:r w:rsidRPr="00430D9F">
        <w:t xml:space="preserve">, J., Tobin, P., </w:t>
      </w:r>
      <w:proofErr w:type="spellStart"/>
      <w:r w:rsidRPr="00430D9F">
        <w:t>Torney</w:t>
      </w:r>
      <w:proofErr w:type="spellEnd"/>
      <w:r w:rsidRPr="00430D9F">
        <w:t xml:space="preserve">, D., and </w:t>
      </w:r>
      <w:proofErr w:type="spellStart"/>
      <w:r w:rsidRPr="00430D9F">
        <w:t>Wurzel</w:t>
      </w:r>
      <w:proofErr w:type="spellEnd"/>
      <w:r w:rsidRPr="00430D9F">
        <w:t>, R. K. (2023). Leaders, Pioneers, and Followers in Environmental Governance.</w:t>
      </w:r>
      <w:r w:rsidRPr="00430D9F">
        <w:rPr>
          <w:i/>
        </w:rPr>
        <w:t xml:space="preserve"> In Routledge Handbook of Environmental Policy</w:t>
      </w:r>
      <w:r w:rsidRPr="00430D9F">
        <w:t xml:space="preserve"> (pp. 237-248). Routledge. </w:t>
      </w:r>
      <w:hyperlink r:id="rId23">
        <w:r w:rsidRPr="00430D9F">
          <w:rPr>
            <w:color w:val="1155CC"/>
            <w:u w:val="single"/>
          </w:rPr>
          <w:t>https://doi.org/10.4324/9781003043843-20</w:t>
        </w:r>
      </w:hyperlink>
      <w:r w:rsidRPr="00430D9F">
        <w:t xml:space="preserve"> </w:t>
      </w:r>
    </w:p>
    <w:p w14:paraId="3DF8E1F2" w14:textId="77777777" w:rsidR="004C3AAA" w:rsidRPr="00430D9F" w:rsidRDefault="004C3AAA" w:rsidP="004C3AAA">
      <w:pPr>
        <w:spacing w:after="100" w:afterAutospacing="1" w:line="360" w:lineRule="auto"/>
        <w:jc w:val="both"/>
      </w:pPr>
      <w:proofErr w:type="spellStart"/>
      <w:r w:rsidRPr="00430D9F">
        <w:t>Mantro</w:t>
      </w:r>
      <w:proofErr w:type="spellEnd"/>
      <w:r w:rsidRPr="00430D9F">
        <w:t xml:space="preserve">, (2025). </w:t>
      </w:r>
      <w:r w:rsidRPr="00430D9F">
        <w:rPr>
          <w:i/>
        </w:rPr>
        <w:t xml:space="preserve">First Mover Advantage: The advantage of early market entry. </w:t>
      </w:r>
      <w:r w:rsidRPr="00430D9F">
        <w:t xml:space="preserve">Available at: </w:t>
      </w:r>
      <w:hyperlink r:id="rId24">
        <w:r w:rsidRPr="00430D9F">
          <w:rPr>
            <w:color w:val="1155CC"/>
            <w:u w:val="single"/>
          </w:rPr>
          <w:t>https://www.mantro.net/en/glossar/first-mover-advantage</w:t>
        </w:r>
      </w:hyperlink>
      <w:r w:rsidRPr="00430D9F">
        <w:t xml:space="preserve"> [Accessed 27 March 2025]</w:t>
      </w:r>
    </w:p>
    <w:p w14:paraId="1000E7CB" w14:textId="77777777" w:rsidR="004C3AAA" w:rsidRPr="00430D9F" w:rsidRDefault="004C3AAA" w:rsidP="004C3AAA">
      <w:pPr>
        <w:spacing w:after="100" w:afterAutospacing="1" w:line="360" w:lineRule="auto"/>
        <w:jc w:val="both"/>
      </w:pPr>
      <w:r w:rsidRPr="00430D9F">
        <w:t xml:space="preserve">Mello Jr., J. P., (2025). </w:t>
      </w:r>
      <w:proofErr w:type="spellStart"/>
      <w:r w:rsidRPr="00430D9F">
        <w:rPr>
          <w:i/>
        </w:rPr>
        <w:t>Favorable</w:t>
      </w:r>
      <w:proofErr w:type="spellEnd"/>
      <w:r w:rsidRPr="00430D9F">
        <w:rPr>
          <w:i/>
        </w:rPr>
        <w:t xml:space="preserve"> Refresh Cycle, Windows 10 End Drove 2024 PC Shipment Growth. </w:t>
      </w:r>
      <w:r w:rsidRPr="00430D9F">
        <w:t xml:space="preserve">Available at: </w:t>
      </w:r>
      <w:hyperlink r:id="rId25">
        <w:r w:rsidRPr="00430D9F">
          <w:rPr>
            <w:color w:val="1155CC"/>
            <w:u w:val="single"/>
          </w:rPr>
          <w:t>https://www.technewsworld.com/story/favorable-refresh-cycle-windows-10-end-drove-2024-pc-shipment-growth-179536.html</w:t>
        </w:r>
      </w:hyperlink>
      <w:r w:rsidRPr="00430D9F">
        <w:t xml:space="preserve"> [Accessed 27 March 2025]</w:t>
      </w:r>
    </w:p>
    <w:p w14:paraId="0DC91949" w14:textId="77777777" w:rsidR="004C3AAA" w:rsidRPr="00430D9F" w:rsidRDefault="004C3AAA" w:rsidP="004C3AAA">
      <w:pPr>
        <w:spacing w:after="100" w:afterAutospacing="1" w:line="360" w:lineRule="auto"/>
        <w:jc w:val="both"/>
      </w:pPr>
      <w:proofErr w:type="spellStart"/>
      <w:r w:rsidRPr="00430D9F">
        <w:t>Nandy</w:t>
      </w:r>
      <w:proofErr w:type="spellEnd"/>
      <w:r w:rsidRPr="00430D9F">
        <w:t xml:space="preserve">, S., Fortunato, E., and Martins, R. (2022). Green economy and waste management: An inevitable plan for materials science. </w:t>
      </w:r>
      <w:r w:rsidRPr="00430D9F">
        <w:rPr>
          <w:i/>
        </w:rPr>
        <w:t>Progress in Natural Science: Materials International, 32</w:t>
      </w:r>
      <w:r w:rsidRPr="00430D9F">
        <w:t xml:space="preserve">(1), 1-9. Available at: </w:t>
      </w:r>
      <w:hyperlink r:id="rId26">
        <w:r w:rsidRPr="00430D9F">
          <w:rPr>
            <w:color w:val="1155CC"/>
            <w:u w:val="single"/>
          </w:rPr>
          <w:t>https://www.sciencedirect.com/science/article/pii/S1002007122000016</w:t>
        </w:r>
      </w:hyperlink>
      <w:r w:rsidRPr="00430D9F">
        <w:t xml:space="preserve"> [Accessed 27 March 2025]</w:t>
      </w:r>
    </w:p>
    <w:p w14:paraId="76DBC462" w14:textId="77777777" w:rsidR="004C3AAA" w:rsidRPr="00430D9F" w:rsidRDefault="004C3AAA" w:rsidP="004C3AAA">
      <w:pPr>
        <w:spacing w:after="100" w:afterAutospacing="1" w:line="360" w:lineRule="auto"/>
        <w:jc w:val="both"/>
      </w:pPr>
      <w:r w:rsidRPr="00430D9F">
        <w:t xml:space="preserve">Nintendo, (2025). </w:t>
      </w:r>
      <w:r w:rsidRPr="00430D9F">
        <w:rPr>
          <w:i/>
        </w:rPr>
        <w:t xml:space="preserve">Nintendo History. </w:t>
      </w:r>
      <w:r w:rsidRPr="00430D9F">
        <w:t xml:space="preserve">Available at: </w:t>
      </w:r>
      <w:hyperlink r:id="rId27">
        <w:r w:rsidRPr="00430D9F">
          <w:rPr>
            <w:color w:val="1155CC"/>
            <w:u w:val="single"/>
          </w:rPr>
          <w:t>https://www.nintendo.com/en-gb/Hardware/Nintendo-History/Nintendo-History-625945.html</w:t>
        </w:r>
      </w:hyperlink>
      <w:r w:rsidRPr="00430D9F">
        <w:t xml:space="preserve"> [Accessed 27 March 2025]</w:t>
      </w:r>
    </w:p>
    <w:p w14:paraId="6809CCA6" w14:textId="77777777" w:rsidR="004C3AAA" w:rsidRPr="00430D9F" w:rsidRDefault="004C3AAA" w:rsidP="004C3AAA">
      <w:pPr>
        <w:spacing w:after="100" w:afterAutospacing="1" w:line="360" w:lineRule="auto"/>
        <w:jc w:val="both"/>
      </w:pPr>
      <w:proofErr w:type="spellStart"/>
      <w:r w:rsidRPr="00430D9F">
        <w:t>Ortt</w:t>
      </w:r>
      <w:proofErr w:type="spellEnd"/>
      <w:r w:rsidRPr="00430D9F">
        <w:t xml:space="preserve">, J. R., and Kamp, L. M. (2022). A technological innovation system framework to formulate niche introduction strategies for companies prior to large-scale diffusion. </w:t>
      </w:r>
      <w:r w:rsidRPr="00430D9F">
        <w:rPr>
          <w:i/>
        </w:rPr>
        <w:lastRenderedPageBreak/>
        <w:t>Technological Forecasting and Social Change, 180,</w:t>
      </w:r>
      <w:r w:rsidRPr="00430D9F">
        <w:t xml:space="preserve"> 121671. </w:t>
      </w:r>
      <w:hyperlink r:id="rId28">
        <w:r w:rsidRPr="00430D9F">
          <w:rPr>
            <w:color w:val="1155CC"/>
            <w:u w:val="single"/>
          </w:rPr>
          <w:t>https://doi.org/10.1016/j.techfore.2022.121671</w:t>
        </w:r>
      </w:hyperlink>
      <w:r w:rsidRPr="00430D9F">
        <w:t xml:space="preserve"> </w:t>
      </w:r>
    </w:p>
    <w:p w14:paraId="5AFCEF78" w14:textId="77777777" w:rsidR="004C3AAA" w:rsidRPr="00430D9F" w:rsidRDefault="004C3AAA" w:rsidP="004C3AAA">
      <w:pPr>
        <w:spacing w:after="100" w:afterAutospacing="1" w:line="360" w:lineRule="auto"/>
        <w:jc w:val="both"/>
      </w:pPr>
      <w:proofErr w:type="spellStart"/>
      <w:r w:rsidRPr="00430D9F">
        <w:t>Picciotto</w:t>
      </w:r>
      <w:proofErr w:type="spellEnd"/>
      <w:r w:rsidRPr="00430D9F">
        <w:t>, S. (2024). Lawyers as Constructive Ideologists of Corporate Capitalism: The Legal Framing of Software.</w:t>
      </w:r>
      <w:r w:rsidRPr="00430D9F">
        <w:rPr>
          <w:i/>
        </w:rPr>
        <w:t xml:space="preserve"> Social &amp; Legal Studies, 33</w:t>
      </w:r>
      <w:r w:rsidRPr="00430D9F">
        <w:t>(4), 526-555. Available at: [Accessed 27 March 2025]</w:t>
      </w:r>
    </w:p>
    <w:p w14:paraId="347BAF67" w14:textId="77777777" w:rsidR="004C3AAA" w:rsidRPr="00430D9F" w:rsidRDefault="004C3AAA" w:rsidP="004C3AAA">
      <w:pPr>
        <w:spacing w:after="100" w:afterAutospacing="1" w:line="360" w:lineRule="auto"/>
        <w:jc w:val="both"/>
      </w:pPr>
      <w:proofErr w:type="spellStart"/>
      <w:r w:rsidRPr="00430D9F">
        <w:t>Raji</w:t>
      </w:r>
      <w:proofErr w:type="spellEnd"/>
      <w:r w:rsidRPr="00430D9F">
        <w:t xml:space="preserve">, M. A., </w:t>
      </w:r>
      <w:proofErr w:type="spellStart"/>
      <w:r w:rsidRPr="00430D9F">
        <w:t>Olodo</w:t>
      </w:r>
      <w:proofErr w:type="spellEnd"/>
      <w:r w:rsidRPr="00430D9F">
        <w:t xml:space="preserve">, H. B., </w:t>
      </w:r>
      <w:proofErr w:type="spellStart"/>
      <w:r w:rsidRPr="00430D9F">
        <w:t>Oke</w:t>
      </w:r>
      <w:proofErr w:type="spellEnd"/>
      <w:r w:rsidRPr="00430D9F">
        <w:t xml:space="preserve">, T. T., Addy, W. A., </w:t>
      </w:r>
      <w:proofErr w:type="spellStart"/>
      <w:r w:rsidRPr="00430D9F">
        <w:t>Ofodile</w:t>
      </w:r>
      <w:proofErr w:type="spellEnd"/>
      <w:r w:rsidRPr="00430D9F">
        <w:t xml:space="preserve">, O. C., and </w:t>
      </w:r>
      <w:proofErr w:type="spellStart"/>
      <w:r w:rsidRPr="00430D9F">
        <w:t>Oyewole</w:t>
      </w:r>
      <w:proofErr w:type="spellEnd"/>
      <w:r w:rsidRPr="00430D9F">
        <w:t xml:space="preserve">, A. T. (2024). E-commerce and consumer </w:t>
      </w:r>
      <w:proofErr w:type="spellStart"/>
      <w:r w:rsidRPr="00430D9F">
        <w:t>behavior</w:t>
      </w:r>
      <w:proofErr w:type="spellEnd"/>
      <w:r w:rsidRPr="00430D9F">
        <w:t xml:space="preserve">: A review of AI-powered personalization and market trends. </w:t>
      </w:r>
      <w:r w:rsidRPr="00430D9F">
        <w:rPr>
          <w:i/>
        </w:rPr>
        <w:t>GSC Advanced Research and Reviews, 18</w:t>
      </w:r>
      <w:r w:rsidRPr="00430D9F">
        <w:t xml:space="preserve">(3), 066-077. </w:t>
      </w:r>
      <w:hyperlink r:id="rId29">
        <w:r w:rsidRPr="00430D9F">
          <w:rPr>
            <w:color w:val="1155CC"/>
            <w:u w:val="single"/>
          </w:rPr>
          <w:t>https://doi.org/10.30574/gscarr.2024.18.3.0090</w:t>
        </w:r>
      </w:hyperlink>
      <w:r w:rsidRPr="00430D9F">
        <w:t xml:space="preserve"> </w:t>
      </w:r>
    </w:p>
    <w:p w14:paraId="0804CFF9" w14:textId="77777777" w:rsidR="004C3AAA" w:rsidRPr="00430D9F" w:rsidRDefault="004C3AAA" w:rsidP="004C3AAA">
      <w:pPr>
        <w:spacing w:after="100" w:afterAutospacing="1" w:line="360" w:lineRule="auto"/>
        <w:jc w:val="both"/>
      </w:pPr>
      <w:proofErr w:type="spellStart"/>
      <w:r w:rsidRPr="00430D9F">
        <w:t>Sahoo</w:t>
      </w:r>
      <w:proofErr w:type="spellEnd"/>
      <w:r w:rsidRPr="00430D9F">
        <w:t xml:space="preserve">, P. (2024). AR3D Face Recognition: A New Frontier in Human-Computer Interaction. </w:t>
      </w:r>
      <w:r w:rsidRPr="00430D9F">
        <w:rPr>
          <w:i/>
        </w:rPr>
        <w:t>Fusion of Minds,</w:t>
      </w:r>
      <w:r w:rsidRPr="00430D9F">
        <w:t xml:space="preserve"> 233. Available at: </w:t>
      </w:r>
      <w:hyperlink r:id="rId30" w:anchor="page=243">
        <w:r w:rsidRPr="00430D9F">
          <w:rPr>
            <w:color w:val="1155CC"/>
            <w:u w:val="single"/>
          </w:rPr>
          <w:t>https://www.swamivivekanandauniversity.ac.in/resource/assets/pdf/books/Fusion%20of%20Minds.pdf#page=243</w:t>
        </w:r>
      </w:hyperlink>
      <w:r w:rsidRPr="00430D9F">
        <w:t xml:space="preserve"> [Accessed 27 March 2025]</w:t>
      </w:r>
    </w:p>
    <w:p w14:paraId="3BAB36DC" w14:textId="77777777" w:rsidR="004C3AAA" w:rsidRPr="00430D9F" w:rsidRDefault="004C3AAA" w:rsidP="004C3AAA">
      <w:pPr>
        <w:spacing w:after="100" w:afterAutospacing="1" w:line="360" w:lineRule="auto"/>
        <w:jc w:val="both"/>
      </w:pPr>
      <w:r w:rsidRPr="00430D9F">
        <w:t xml:space="preserve">Samsung, (2025). </w:t>
      </w:r>
      <w:r w:rsidRPr="00430D9F">
        <w:rPr>
          <w:i/>
        </w:rPr>
        <w:t xml:space="preserve">Samsung Phone Ranges Explained. </w:t>
      </w:r>
      <w:r w:rsidRPr="00430D9F">
        <w:t xml:space="preserve">Available at: </w:t>
      </w:r>
      <w:hyperlink r:id="rId31">
        <w:r w:rsidRPr="00430D9F">
          <w:rPr>
            <w:color w:val="1155CC"/>
            <w:u w:val="single"/>
          </w:rPr>
          <w:t>https://www.samsung.com/uk/mobile-phone-buying-guide/samsung-phone-ranges-explained/</w:t>
        </w:r>
      </w:hyperlink>
      <w:r w:rsidRPr="00430D9F">
        <w:t xml:space="preserve"> [Accessed 27 March 2025]</w:t>
      </w:r>
    </w:p>
    <w:p w14:paraId="326460A0" w14:textId="77777777" w:rsidR="004C3AAA" w:rsidRPr="00430D9F" w:rsidRDefault="004C3AAA" w:rsidP="004C3AAA">
      <w:pPr>
        <w:spacing w:after="100" w:afterAutospacing="1" w:line="360" w:lineRule="auto"/>
        <w:jc w:val="both"/>
      </w:pPr>
      <w:r w:rsidRPr="00430D9F">
        <w:t xml:space="preserve">Stark, J. (2022). Product lifecycle management (PLM). </w:t>
      </w:r>
      <w:r w:rsidRPr="00430D9F">
        <w:rPr>
          <w:i/>
        </w:rPr>
        <w:t>In Product lifecycle management (volume 1) 21st Century paradigm for product realisation</w:t>
      </w:r>
      <w:r w:rsidRPr="00430D9F">
        <w:t xml:space="preserve"> (pp. 1-32). Cham: Springer International Publishing. DOI 10.1007/978-3-319-24436-5_2</w:t>
      </w:r>
    </w:p>
    <w:p w14:paraId="4FDBB7A3" w14:textId="77777777" w:rsidR="004C3AAA" w:rsidRPr="00430D9F" w:rsidRDefault="004C3AAA" w:rsidP="004C3AAA">
      <w:pPr>
        <w:spacing w:after="100" w:afterAutospacing="1" w:line="360" w:lineRule="auto"/>
        <w:jc w:val="both"/>
      </w:pPr>
      <w:proofErr w:type="spellStart"/>
      <w:r w:rsidRPr="00430D9F">
        <w:t>Tabassum</w:t>
      </w:r>
      <w:proofErr w:type="spellEnd"/>
      <w:r w:rsidRPr="00430D9F">
        <w:t xml:space="preserve">, R. and Ahmed, S., (2020). Xiaomi invades the smartphone market in India. </w:t>
      </w:r>
      <w:r w:rsidRPr="00430D9F">
        <w:rPr>
          <w:i/>
        </w:rPr>
        <w:t>Springer, Volume 47</w:t>
      </w:r>
      <w:r w:rsidRPr="00430D9F">
        <w:t xml:space="preserve">, pages 215–228. Available at: </w:t>
      </w:r>
      <w:hyperlink r:id="rId32">
        <w:r w:rsidRPr="00430D9F">
          <w:rPr>
            <w:color w:val="1155CC"/>
            <w:u w:val="single"/>
          </w:rPr>
          <w:t>https://link.springer.com/article/10.1007/s40622-020-00242-w</w:t>
        </w:r>
      </w:hyperlink>
      <w:r w:rsidRPr="00430D9F">
        <w:t xml:space="preserve"> [Accessed 27 March 2025]</w:t>
      </w:r>
    </w:p>
    <w:p w14:paraId="3B20B611" w14:textId="77777777" w:rsidR="004C3AAA" w:rsidRPr="00430D9F" w:rsidRDefault="004C3AAA" w:rsidP="004C3AAA">
      <w:pPr>
        <w:spacing w:after="100" w:afterAutospacing="1" w:line="360" w:lineRule="auto"/>
        <w:jc w:val="both"/>
      </w:pPr>
      <w:proofErr w:type="spellStart"/>
      <w:r w:rsidRPr="00430D9F">
        <w:t>Westberg</w:t>
      </w:r>
      <w:proofErr w:type="spellEnd"/>
      <w:r w:rsidRPr="00430D9F">
        <w:t xml:space="preserve">, P., (2024). </w:t>
      </w:r>
      <w:r w:rsidRPr="00430D9F">
        <w:rPr>
          <w:i/>
        </w:rPr>
        <w:t xml:space="preserve">Microsoft's Journey to Becoming the World's Most Valuable Company. </w:t>
      </w:r>
      <w:r w:rsidRPr="00430D9F">
        <w:t xml:space="preserve">Available at: </w:t>
      </w:r>
      <w:hyperlink r:id="rId33">
        <w:r w:rsidRPr="00430D9F">
          <w:rPr>
            <w:color w:val="1155CC"/>
            <w:u w:val="single"/>
          </w:rPr>
          <w:t>https://quartr.com/insights/company-research/microsofts-journey-to-becoming-the-worlds-most-valuable-company</w:t>
        </w:r>
      </w:hyperlink>
      <w:r w:rsidRPr="00430D9F">
        <w:t xml:space="preserve"> [Accessed 27 March 2025]</w:t>
      </w:r>
    </w:p>
    <w:p w14:paraId="70F57972" w14:textId="77777777" w:rsidR="004C3AAA" w:rsidRPr="00430D9F" w:rsidRDefault="004C3AAA" w:rsidP="004C3AAA">
      <w:pPr>
        <w:spacing w:after="100" w:afterAutospacing="1" w:line="360" w:lineRule="auto"/>
        <w:jc w:val="both"/>
      </w:pPr>
      <w:r w:rsidRPr="00430D9F">
        <w:lastRenderedPageBreak/>
        <w:t xml:space="preserve">ZHIYU, C. (2021). Brand management and sustainable development in electronic vehicles industry (Doctoral dissertation, SCHOOL OF BUSINESS, SIAM UNIVERSITY, BANGKOK, THAILAND). Available at: </w:t>
      </w:r>
      <w:hyperlink r:id="rId34">
        <w:r w:rsidRPr="00430D9F">
          <w:rPr>
            <w:color w:val="1155CC"/>
            <w:u w:val="single"/>
          </w:rPr>
          <w:t>https://e-research.siam.edu/wp-content/uploads/2022/05/IMBA-2021-IS-Brand-Management-and-Sustainable-Development.pdf</w:t>
        </w:r>
      </w:hyperlink>
      <w:r w:rsidRPr="00430D9F">
        <w:t xml:space="preserve"> [Accessed 27 March 2025]</w:t>
      </w:r>
    </w:p>
    <w:p w14:paraId="7D18DBD4" w14:textId="77777777" w:rsidR="00646406" w:rsidRPr="00EC6978" w:rsidRDefault="00646406" w:rsidP="00EC6978">
      <w:pPr>
        <w:spacing w:line="360" w:lineRule="auto"/>
        <w:rPr>
          <w:rFonts w:ascii="Arial" w:hAnsi="Arial" w:cs="Arial"/>
        </w:rPr>
      </w:pPr>
    </w:p>
    <w:sectPr w:rsidR="00646406" w:rsidRPr="00EC6978" w:rsidSect="00DF678C">
      <w:footerReference w:type="defaul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B72F5" w14:textId="77777777" w:rsidR="00DC0C1F" w:rsidRDefault="00DC0C1F" w:rsidP="00DF678C">
      <w:r>
        <w:separator/>
      </w:r>
    </w:p>
  </w:endnote>
  <w:endnote w:type="continuationSeparator" w:id="0">
    <w:p w14:paraId="11DABBBC" w14:textId="77777777" w:rsidR="00DC0C1F" w:rsidRDefault="00DC0C1F" w:rsidP="00DF6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270724"/>
      <w:docPartObj>
        <w:docPartGallery w:val="Page Numbers (Bottom of Page)"/>
        <w:docPartUnique/>
      </w:docPartObj>
    </w:sdtPr>
    <w:sdtEndPr/>
    <w:sdtContent>
      <w:sdt>
        <w:sdtPr>
          <w:id w:val="860082579"/>
          <w:docPartObj>
            <w:docPartGallery w:val="Page Numbers (Top of Page)"/>
            <w:docPartUnique/>
          </w:docPartObj>
        </w:sdtPr>
        <w:sdtEndPr/>
        <w:sdtContent>
          <w:p w14:paraId="5D18B58B" w14:textId="59E8A89E" w:rsidR="00DF678C" w:rsidRDefault="00DF678C">
            <w:pPr>
              <w:pStyle w:val="Footer"/>
              <w:jc w:val="right"/>
            </w:pPr>
            <w:r w:rsidRPr="00DF678C">
              <w:rPr>
                <w:sz w:val="20"/>
              </w:rPr>
              <w:t xml:space="preserve">Page </w:t>
            </w:r>
            <w:r w:rsidRPr="00DF678C">
              <w:rPr>
                <w:bCs/>
                <w:sz w:val="20"/>
              </w:rPr>
              <w:fldChar w:fldCharType="begin"/>
            </w:r>
            <w:r w:rsidRPr="00DF678C">
              <w:rPr>
                <w:bCs/>
                <w:sz w:val="20"/>
              </w:rPr>
              <w:instrText xml:space="preserve"> PAGE </w:instrText>
            </w:r>
            <w:r w:rsidRPr="00DF678C">
              <w:rPr>
                <w:bCs/>
                <w:sz w:val="20"/>
              </w:rPr>
              <w:fldChar w:fldCharType="separate"/>
            </w:r>
            <w:r w:rsidR="00B976FD">
              <w:rPr>
                <w:bCs/>
                <w:noProof/>
                <w:sz w:val="20"/>
              </w:rPr>
              <w:t>14</w:t>
            </w:r>
            <w:r w:rsidRPr="00DF678C">
              <w:rPr>
                <w:bCs/>
                <w:sz w:val="20"/>
              </w:rPr>
              <w:fldChar w:fldCharType="end"/>
            </w:r>
            <w:r w:rsidRPr="00DF678C">
              <w:rPr>
                <w:sz w:val="20"/>
              </w:rPr>
              <w:t xml:space="preserve"> of </w:t>
            </w:r>
            <w:r w:rsidRPr="00DF678C">
              <w:rPr>
                <w:bCs/>
                <w:sz w:val="20"/>
              </w:rPr>
              <w:fldChar w:fldCharType="begin"/>
            </w:r>
            <w:r w:rsidRPr="00DF678C">
              <w:rPr>
                <w:bCs/>
                <w:sz w:val="20"/>
              </w:rPr>
              <w:instrText xml:space="preserve"> NUMPAGES  </w:instrText>
            </w:r>
            <w:r w:rsidRPr="00DF678C">
              <w:rPr>
                <w:bCs/>
                <w:sz w:val="20"/>
              </w:rPr>
              <w:fldChar w:fldCharType="separate"/>
            </w:r>
            <w:r w:rsidR="00B976FD">
              <w:rPr>
                <w:bCs/>
                <w:noProof/>
                <w:sz w:val="20"/>
              </w:rPr>
              <w:t>18</w:t>
            </w:r>
            <w:r w:rsidRPr="00DF678C">
              <w:rPr>
                <w:bCs/>
                <w:sz w:val="20"/>
              </w:rPr>
              <w:fldChar w:fldCharType="end"/>
            </w:r>
          </w:p>
        </w:sdtContent>
      </w:sdt>
    </w:sdtContent>
  </w:sdt>
  <w:p w14:paraId="298ACDB4" w14:textId="77777777" w:rsidR="00DF678C" w:rsidRDefault="00DF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0F211" w14:textId="77777777" w:rsidR="00DC0C1F" w:rsidRDefault="00DC0C1F" w:rsidP="00DF678C">
      <w:r>
        <w:separator/>
      </w:r>
    </w:p>
  </w:footnote>
  <w:footnote w:type="continuationSeparator" w:id="0">
    <w:p w14:paraId="34C5E0B0" w14:textId="77777777" w:rsidR="00DC0C1F" w:rsidRDefault="00DC0C1F" w:rsidP="00DF67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864832">
    <w:abstractNumId w:val="0"/>
  </w:num>
  <w:num w:numId="2" w16cid:durableId="2007392387">
    <w:abstractNumId w:val="1"/>
  </w:num>
  <w:num w:numId="3" w16cid:durableId="15822549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46406"/>
    <w:rsid w:val="00007277"/>
    <w:rsid w:val="00072513"/>
    <w:rsid w:val="001003E8"/>
    <w:rsid w:val="00122996"/>
    <w:rsid w:val="00136289"/>
    <w:rsid w:val="0021060C"/>
    <w:rsid w:val="003579A6"/>
    <w:rsid w:val="00431A30"/>
    <w:rsid w:val="004C3AAA"/>
    <w:rsid w:val="004F2663"/>
    <w:rsid w:val="004F267F"/>
    <w:rsid w:val="0054381A"/>
    <w:rsid w:val="0054531C"/>
    <w:rsid w:val="00646406"/>
    <w:rsid w:val="00691101"/>
    <w:rsid w:val="0073681E"/>
    <w:rsid w:val="00752450"/>
    <w:rsid w:val="009648D2"/>
    <w:rsid w:val="009E58AF"/>
    <w:rsid w:val="00B976FD"/>
    <w:rsid w:val="00C511E8"/>
    <w:rsid w:val="00C75CE3"/>
    <w:rsid w:val="00CB01F0"/>
    <w:rsid w:val="00CD447C"/>
    <w:rsid w:val="00DC0C1F"/>
    <w:rsid w:val="00DF678C"/>
    <w:rsid w:val="00EB7A99"/>
    <w:rsid w:val="00EC6978"/>
    <w:rsid w:val="00F21849"/>
    <w:rsid w:val="00FF7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docId w15:val="{830B9E29-C9DF-4146-A046-C34072C6E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78C"/>
    <w:pPr>
      <w:spacing w:line="360" w:lineRule="auto"/>
      <w:jc w:val="both"/>
      <w:outlineLvl w:val="0"/>
    </w:pPr>
    <w:rPr>
      <w:b/>
      <w:sz w:val="28"/>
      <w:szCs w:val="28"/>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78C"/>
    <w:rPr>
      <w:b/>
      <w:sz w:val="28"/>
      <w:szCs w:val="28"/>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line="276" w:lineRule="auto"/>
      <w:outlineLvl w:val="9"/>
    </w:pPr>
    <w:rPr>
      <w:b w:val="0"/>
      <w:bCs/>
      <w:kern w:val="0"/>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DF678C"/>
    <w:rPr>
      <w:rFonts w:ascii="Tahoma" w:hAnsi="Tahoma" w:cs="Tahoma"/>
      <w:sz w:val="16"/>
      <w:szCs w:val="16"/>
    </w:rPr>
  </w:style>
  <w:style w:type="character" w:customStyle="1" w:styleId="BalloonTextChar">
    <w:name w:val="Balloon Text Char"/>
    <w:basedOn w:val="DefaultParagraphFont"/>
    <w:link w:val="BalloonText"/>
    <w:uiPriority w:val="99"/>
    <w:semiHidden/>
    <w:rsid w:val="00DF678C"/>
    <w:rPr>
      <w:rFonts w:ascii="Tahoma" w:hAnsi="Tahoma" w:cs="Tahoma"/>
      <w:sz w:val="16"/>
      <w:szCs w:val="16"/>
    </w:rPr>
  </w:style>
  <w:style w:type="table" w:customStyle="1" w:styleId="Table1">
    <w:name w:val="Table1"/>
    <w:basedOn w:val="TableNormal"/>
    <w:rsid w:val="00DF678C"/>
    <w:pPr>
      <w:spacing w:line="276" w:lineRule="auto"/>
    </w:pPr>
    <w:rPr>
      <w:rFonts w:ascii="Arial" w:eastAsia="Arial" w:hAnsi="Arial" w:cs="Arial"/>
      <w:kern w:val="0"/>
      <w:sz w:val="22"/>
      <w:szCs w:val="22"/>
      <w:lang w:val="en"/>
      <w14:ligatures w14:val="none"/>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DF678C"/>
    <w:pPr>
      <w:spacing w:line="276" w:lineRule="auto"/>
    </w:pPr>
    <w:rPr>
      <w:rFonts w:ascii="Arial" w:eastAsia="Arial" w:hAnsi="Arial" w:cs="Arial"/>
      <w:kern w:val="0"/>
      <w:sz w:val="22"/>
      <w:szCs w:val="22"/>
      <w:lang w:val="en"/>
      <w14:ligatures w14:val="none"/>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F678C"/>
    <w:pPr>
      <w:tabs>
        <w:tab w:val="center" w:pos="4513"/>
        <w:tab w:val="right" w:pos="9026"/>
      </w:tabs>
    </w:pPr>
  </w:style>
  <w:style w:type="character" w:customStyle="1" w:styleId="HeaderChar">
    <w:name w:val="Header Char"/>
    <w:basedOn w:val="DefaultParagraphFont"/>
    <w:link w:val="Header"/>
    <w:uiPriority w:val="99"/>
    <w:rsid w:val="00DF678C"/>
  </w:style>
  <w:style w:type="paragraph" w:styleId="Footer">
    <w:name w:val="footer"/>
    <w:basedOn w:val="Normal"/>
    <w:link w:val="FooterChar"/>
    <w:uiPriority w:val="99"/>
    <w:unhideWhenUsed/>
    <w:rsid w:val="00DF678C"/>
    <w:pPr>
      <w:tabs>
        <w:tab w:val="center" w:pos="4513"/>
        <w:tab w:val="right" w:pos="9026"/>
      </w:tabs>
    </w:pPr>
  </w:style>
  <w:style w:type="character" w:customStyle="1" w:styleId="FooterChar">
    <w:name w:val="Footer Char"/>
    <w:basedOn w:val="DefaultParagraphFont"/>
    <w:link w:val="Footer"/>
    <w:uiPriority w:val="99"/>
    <w:rsid w:val="00DF6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doi.org/10.2991/978-94-6463-144-9_29" TargetMode="External" /><Relationship Id="rId26" Type="http://schemas.openxmlformats.org/officeDocument/2006/relationships/hyperlink" Target="https://www.sciencedirect.com/science/article/pii/S1002007122000016" TargetMode="External" /><Relationship Id="rId3" Type="http://schemas.openxmlformats.org/officeDocument/2006/relationships/styles" Target="styles.xml" /><Relationship Id="rId21" Type="http://schemas.openxmlformats.org/officeDocument/2006/relationships/hyperlink" Target="https://ijbmkt.org/ijbmkt/article/download/193/145" TargetMode="External" /><Relationship Id="rId34" Type="http://schemas.openxmlformats.org/officeDocument/2006/relationships/hyperlink" Target="https://e-research.siam.edu/wp-content/uploads/2022/05/IMBA-2021-IS-Brand-Management-and-Sustainable-Development.pdf"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atlantis-press.com/article/125954272.pdf" TargetMode="External" /><Relationship Id="rId25" Type="http://schemas.openxmlformats.org/officeDocument/2006/relationships/hyperlink" Target="https://www.technewsworld.com/story/favorable-refresh-cycle-windows-10-end-drove-2024-pc-shipment-growth-179536.html" TargetMode="External" /><Relationship Id="rId33" Type="http://schemas.openxmlformats.org/officeDocument/2006/relationships/hyperlink" Target="https://quartr.com/insights/company-research/microsofts-journey-to-becoming-the-worlds-most-valuable-company" TargetMode="External" /><Relationship Id="rId2" Type="http://schemas.openxmlformats.org/officeDocument/2006/relationships/numbering" Target="numbering.xml" /><Relationship Id="rId16" Type="http://schemas.openxmlformats.org/officeDocument/2006/relationships/hyperlink" Target="https://doi.org/10.1007/978-3-030-66916-4_8" TargetMode="External" /><Relationship Id="rId20" Type="http://schemas.openxmlformats.org/officeDocument/2006/relationships/hyperlink" Target="https://doi.org/10.36687/inetwp225" TargetMode="External" /><Relationship Id="rId29" Type="http://schemas.openxmlformats.org/officeDocument/2006/relationships/hyperlink" Target="https://doi.org/10.30574/gscarr.2024.18.3.009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mantro.net/en/glossar/first-mover-advantage" TargetMode="External" /><Relationship Id="rId32" Type="http://schemas.openxmlformats.org/officeDocument/2006/relationships/hyperlink" Target="https://link.springer.com/article/10.1007/s40622-020-00242-w"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pdfs.semanticscholar.org/06a4/561b5fe927a9430c9203a44c4ecd4046387d.pdf" TargetMode="External" /><Relationship Id="rId23" Type="http://schemas.openxmlformats.org/officeDocument/2006/relationships/hyperlink" Target="https://doi.org/10.4324/9781003043843-20" TargetMode="External" /><Relationship Id="rId28" Type="http://schemas.openxmlformats.org/officeDocument/2006/relationships/hyperlink" Target="https://doi.org/10.1016/j.techfore.2022.121671"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doi.org/10.1016/j.lrp.2022.102244" TargetMode="External" /><Relationship Id="rId31" Type="http://schemas.openxmlformats.org/officeDocument/2006/relationships/hyperlink" Target="https://www.samsung.com/uk/mobile-phone-buying-guide/samsung-phone-ranges-explained/"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x.doi.org/10.22161/ijaems.76.5" TargetMode="External" /><Relationship Id="rId22" Type="http://schemas.openxmlformats.org/officeDocument/2006/relationships/hyperlink" Target="https://doi.org/10.1080/00076791.2024.2377688" TargetMode="External" /><Relationship Id="rId27" Type="http://schemas.openxmlformats.org/officeDocument/2006/relationships/hyperlink" Target="https://www.nintendo.com/en-gb/Hardware/Nintendo-History/Nintendo-History-625945.html" TargetMode="External" /><Relationship Id="rId30" Type="http://schemas.openxmlformats.org/officeDocument/2006/relationships/hyperlink" Target="https://www.swamivivekanandauniversity.ac.in/resource/assets/pdf/books/Fusion%20of%20Minds.pdf"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77D41-0571-47B6-9B76-1AC0847E9F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3795</Words>
  <Characters>21632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Nasir Rathod</cp:lastModifiedBy>
  <cp:revision>2</cp:revision>
  <dcterms:created xsi:type="dcterms:W3CDTF">2025-03-28T10:08:00Z</dcterms:created>
  <dcterms:modified xsi:type="dcterms:W3CDTF">2025-03-28T10:08:00Z</dcterms:modified>
</cp:coreProperties>
</file>