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D70E3" w14:textId="7FCA661F" w:rsidR="006D0521" w:rsidRPr="00C163DE" w:rsidRDefault="001E72D8" w:rsidP="009E05C1">
      <w:pPr>
        <w:pStyle w:val="Title"/>
        <w:ind w:left="2880" w:firstLine="720"/>
        <w:rPr>
          <w:rFonts w:ascii="Times New Roman" w:hAnsi="Times New Roman" w:cs="Times New Roman"/>
          <w:b/>
          <w:bCs/>
          <w:color w:val="000000" w:themeColor="text1"/>
        </w:rPr>
      </w:pPr>
      <w:r w:rsidRPr="00C163DE">
        <w:rPr>
          <w:rFonts w:ascii="Times New Roman" w:hAnsi="Times New Roman" w:cs="Times New Roman"/>
          <w:b/>
          <w:bCs/>
          <w:color w:val="000000" w:themeColor="text1"/>
        </w:rPr>
        <w:t>LCBB4002</w:t>
      </w:r>
    </w:p>
    <w:p w14:paraId="0F957F10" w14:textId="1FD789A5" w:rsidR="001E72D8" w:rsidRPr="00C163DE" w:rsidRDefault="001E72D8" w:rsidP="009E05C1">
      <w:pPr>
        <w:pStyle w:val="Title"/>
        <w:jc w:val="center"/>
        <w:rPr>
          <w:rFonts w:ascii="Times New Roman" w:hAnsi="Times New Roman" w:cs="Times New Roman"/>
          <w:b/>
          <w:bCs/>
          <w:color w:val="000000" w:themeColor="text1"/>
        </w:rPr>
      </w:pPr>
      <w:r w:rsidRPr="00C163DE">
        <w:rPr>
          <w:rFonts w:ascii="Times New Roman" w:hAnsi="Times New Roman" w:cs="Times New Roman"/>
          <w:b/>
          <w:bCs/>
          <w:color w:val="000000" w:themeColor="text1"/>
        </w:rPr>
        <w:t>ESSAY</w:t>
      </w:r>
    </w:p>
    <w:p w14:paraId="7FBF2712" w14:textId="77777777" w:rsidR="000643C4" w:rsidRDefault="000643C4" w:rsidP="000643C4">
      <w:pPr>
        <w:rPr>
          <w:rFonts w:ascii="Arial Black" w:hAnsi="Arial Black"/>
          <w:sz w:val="40"/>
          <w:szCs w:val="40"/>
          <w:lang w:val="en-US"/>
        </w:rPr>
      </w:pPr>
    </w:p>
    <w:p w14:paraId="4968FC5C" w14:textId="77777777" w:rsidR="000643C4" w:rsidRDefault="000643C4" w:rsidP="000643C4">
      <w:pPr>
        <w:rPr>
          <w:rFonts w:ascii="Arial Black" w:hAnsi="Arial Black"/>
          <w:sz w:val="40"/>
          <w:szCs w:val="40"/>
          <w:lang w:val="en-US"/>
        </w:rPr>
      </w:pPr>
    </w:p>
    <w:p w14:paraId="128102BB" w14:textId="77777777" w:rsidR="000643C4" w:rsidRDefault="000643C4" w:rsidP="000643C4">
      <w:pPr>
        <w:rPr>
          <w:rFonts w:ascii="Arial Black" w:hAnsi="Arial Black"/>
          <w:sz w:val="40"/>
          <w:szCs w:val="40"/>
          <w:lang w:val="en-US"/>
        </w:rPr>
      </w:pPr>
    </w:p>
    <w:p w14:paraId="46E3432C" w14:textId="77777777" w:rsidR="000643C4" w:rsidRDefault="000643C4" w:rsidP="000643C4">
      <w:pPr>
        <w:rPr>
          <w:rFonts w:ascii="Arial Black" w:hAnsi="Arial Black"/>
          <w:sz w:val="40"/>
          <w:szCs w:val="40"/>
          <w:lang w:val="en-US"/>
        </w:rPr>
      </w:pPr>
    </w:p>
    <w:p w14:paraId="416A9E04" w14:textId="77777777" w:rsidR="000643C4" w:rsidRDefault="000643C4" w:rsidP="000643C4">
      <w:pPr>
        <w:rPr>
          <w:rFonts w:ascii="Arial Black" w:hAnsi="Arial Black"/>
          <w:sz w:val="40"/>
          <w:szCs w:val="40"/>
          <w:lang w:val="en-US"/>
        </w:rPr>
      </w:pPr>
    </w:p>
    <w:p w14:paraId="61C536CC" w14:textId="77777777" w:rsidR="000643C4" w:rsidRDefault="000643C4" w:rsidP="000643C4">
      <w:pPr>
        <w:rPr>
          <w:rFonts w:ascii="Arial Black" w:hAnsi="Arial Black"/>
          <w:sz w:val="40"/>
          <w:szCs w:val="40"/>
          <w:lang w:val="en-US"/>
        </w:rPr>
      </w:pPr>
    </w:p>
    <w:p w14:paraId="48EFFF23" w14:textId="323CCE5B" w:rsidR="000643C4" w:rsidRDefault="000643C4" w:rsidP="000643C4">
      <w:pPr>
        <w:rPr>
          <w:rFonts w:ascii="Arial Black" w:hAnsi="Arial Black"/>
          <w:sz w:val="40"/>
          <w:szCs w:val="40"/>
          <w:lang w:val="en-US"/>
        </w:rPr>
      </w:pPr>
      <w:r>
        <w:rPr>
          <w:rFonts w:ascii="Arial Black" w:hAnsi="Arial Black"/>
          <w:sz w:val="40"/>
          <w:szCs w:val="40"/>
          <w:lang w:val="en-US"/>
        </w:rPr>
        <w:t xml:space="preserve">Name- </w:t>
      </w:r>
      <w:r>
        <w:rPr>
          <w:rFonts w:ascii="Algerian" w:hAnsi="Algerian"/>
          <w:sz w:val="40"/>
          <w:szCs w:val="40"/>
          <w:lang w:val="en-US"/>
        </w:rPr>
        <w:t>JANNAT</w:t>
      </w:r>
    </w:p>
    <w:p w14:paraId="3A1BCA77" w14:textId="77777777" w:rsidR="000643C4" w:rsidRDefault="000643C4" w:rsidP="000643C4">
      <w:pPr>
        <w:rPr>
          <w:rFonts w:ascii="Algerian" w:hAnsi="Algerian"/>
          <w:sz w:val="40"/>
          <w:szCs w:val="40"/>
          <w:lang w:val="en-US"/>
        </w:rPr>
      </w:pPr>
      <w:r>
        <w:rPr>
          <w:rFonts w:ascii="Arial Black" w:hAnsi="Arial Black"/>
          <w:sz w:val="40"/>
          <w:szCs w:val="40"/>
          <w:lang w:val="en-US"/>
        </w:rPr>
        <w:t xml:space="preserve">Student ID- </w:t>
      </w:r>
      <w:r w:rsidRPr="00C37459">
        <w:rPr>
          <w:rFonts w:ascii="Algerian" w:hAnsi="Algerian"/>
          <w:sz w:val="40"/>
          <w:szCs w:val="40"/>
          <w:lang w:val="en-US"/>
        </w:rPr>
        <w:t>2239865</w:t>
      </w:r>
    </w:p>
    <w:p w14:paraId="57330E85" w14:textId="166B5477" w:rsidR="000643C4" w:rsidRDefault="000643C4" w:rsidP="000643C4">
      <w:pPr>
        <w:rPr>
          <w:rFonts w:ascii="Arial Black" w:hAnsi="Arial Black"/>
          <w:sz w:val="40"/>
          <w:szCs w:val="40"/>
          <w:lang w:val="en-US"/>
        </w:rPr>
      </w:pPr>
      <w:r>
        <w:rPr>
          <w:rFonts w:ascii="Arial Black" w:hAnsi="Arial Black"/>
          <w:sz w:val="40"/>
          <w:szCs w:val="40"/>
          <w:lang w:val="en-US"/>
        </w:rPr>
        <w:t xml:space="preserve">Module code- </w:t>
      </w:r>
      <w:r>
        <w:rPr>
          <w:rFonts w:ascii="Algerian" w:hAnsi="Algerian"/>
          <w:sz w:val="40"/>
          <w:szCs w:val="40"/>
          <w:lang w:val="en-US"/>
        </w:rPr>
        <w:t>LCBB400</w:t>
      </w:r>
      <w:r>
        <w:rPr>
          <w:rFonts w:ascii="Algerian" w:hAnsi="Algerian"/>
          <w:sz w:val="40"/>
          <w:szCs w:val="40"/>
          <w:lang w:val="en-US"/>
        </w:rPr>
        <w:t>2</w:t>
      </w:r>
    </w:p>
    <w:p w14:paraId="730EFFC9" w14:textId="77777777" w:rsidR="00396C7F" w:rsidRDefault="000643C4" w:rsidP="00396C7F">
      <w:pPr>
        <w:rPr>
          <w:rFonts w:ascii="Arial Black" w:hAnsi="Arial Black"/>
          <w:sz w:val="40"/>
          <w:szCs w:val="40"/>
          <w:lang w:val="en-US"/>
        </w:rPr>
      </w:pPr>
      <w:r>
        <w:rPr>
          <w:rFonts w:ascii="Arial Black" w:hAnsi="Arial Black"/>
          <w:sz w:val="40"/>
          <w:szCs w:val="40"/>
          <w:lang w:val="en-US"/>
        </w:rPr>
        <w:t xml:space="preserve">Module Name- </w:t>
      </w:r>
      <w:r>
        <w:rPr>
          <w:rFonts w:ascii="Algerian" w:hAnsi="Algerian"/>
          <w:sz w:val="40"/>
          <w:szCs w:val="40"/>
          <w:lang w:val="en-US"/>
        </w:rPr>
        <w:t>COMMUNITY ENGAGEMENT</w:t>
      </w:r>
    </w:p>
    <w:p w14:paraId="08BB7F1F" w14:textId="1D7CBE04" w:rsidR="006D0521" w:rsidRPr="00396C7F" w:rsidRDefault="000643C4" w:rsidP="00396C7F">
      <w:pPr>
        <w:rPr>
          <w:rFonts w:ascii="Arial Black" w:hAnsi="Arial Black"/>
          <w:sz w:val="40"/>
          <w:szCs w:val="40"/>
          <w:lang w:val="en-US"/>
        </w:rPr>
      </w:pPr>
      <w:r>
        <w:rPr>
          <w:rFonts w:ascii="Arial Black" w:hAnsi="Arial Black"/>
          <w:sz w:val="40"/>
          <w:szCs w:val="40"/>
          <w:lang w:val="en-US"/>
        </w:rPr>
        <w:t xml:space="preserve">Lecturer- </w:t>
      </w:r>
      <w:r w:rsidR="00396C7F" w:rsidRPr="00396C7F">
        <w:rPr>
          <w:rFonts w:ascii="Algerian" w:hAnsi="Algerian"/>
          <w:sz w:val="40"/>
          <w:szCs w:val="40"/>
          <w:lang w:val="en-US"/>
        </w:rPr>
        <w:t>FAIZU EDU</w:t>
      </w:r>
      <w:r w:rsidR="00D315C6" w:rsidRPr="00FB6E77">
        <w:rPr>
          <w:rFonts w:ascii="Times New Roman" w:eastAsia="Times New Roman" w:hAnsi="Times New Roman" w:cs="Times New Roman"/>
          <w:b/>
          <w:color w:val="000000" w:themeColor="text1"/>
          <w:sz w:val="24"/>
          <w:szCs w:val="32"/>
        </w:rPr>
        <w:br w:type="page"/>
      </w:r>
    </w:p>
    <w:sdt>
      <w:sdtPr>
        <w:rPr>
          <w:rFonts w:ascii="Times New Roman" w:eastAsia="Arial" w:hAnsi="Times New Roman" w:cs="Arial"/>
          <w:color w:val="000000" w:themeColor="text1"/>
          <w:sz w:val="24"/>
          <w:szCs w:val="22"/>
          <w:lang w:val="en" w:eastAsia="en-IN"/>
        </w:rPr>
        <w:id w:val="-1957638069"/>
        <w:docPartObj>
          <w:docPartGallery w:val="Table of Contents"/>
          <w:docPartUnique/>
        </w:docPartObj>
      </w:sdtPr>
      <w:sdtEndPr>
        <w:rPr>
          <w:rFonts w:cs="Times New Roman"/>
          <w:b/>
          <w:bCs/>
          <w:noProof/>
          <w:szCs w:val="24"/>
        </w:rPr>
      </w:sdtEndPr>
      <w:sdtContent>
        <w:p w14:paraId="294C2D29" w14:textId="01E191F0" w:rsidR="006D0521" w:rsidRPr="00C057C9" w:rsidRDefault="00D315C6" w:rsidP="00FB6E77">
          <w:pPr>
            <w:pStyle w:val="TOCHeading"/>
            <w:spacing w:after="240" w:line="360" w:lineRule="auto"/>
            <w:jc w:val="both"/>
            <w:rPr>
              <w:rFonts w:ascii="Times New Roman" w:hAnsi="Times New Roman" w:cs="Times New Roman"/>
              <w:b/>
              <w:bCs/>
              <w:color w:val="000000" w:themeColor="text1"/>
              <w:sz w:val="24"/>
              <w:szCs w:val="24"/>
            </w:rPr>
          </w:pPr>
          <w:r w:rsidRPr="00C057C9">
            <w:rPr>
              <w:rFonts w:ascii="Times New Roman" w:hAnsi="Times New Roman" w:cs="Times New Roman"/>
              <w:b/>
              <w:bCs/>
              <w:color w:val="000000" w:themeColor="text1"/>
              <w:sz w:val="24"/>
              <w:szCs w:val="24"/>
            </w:rPr>
            <w:t>Table of Contents</w:t>
          </w:r>
        </w:p>
        <w:p w14:paraId="60A43D90" w14:textId="0969604A" w:rsidR="00C057C9" w:rsidRPr="00C057C9" w:rsidRDefault="00D315C6">
          <w:pPr>
            <w:pStyle w:val="TOC1"/>
            <w:tabs>
              <w:tab w:val="right" w:leader="dot" w:pos="9350"/>
            </w:tabs>
            <w:rPr>
              <w:rFonts w:ascii="Times New Roman" w:eastAsiaTheme="minorEastAsia" w:hAnsi="Times New Roman" w:cs="Times New Roman"/>
              <w:noProof/>
              <w:color w:val="000000" w:themeColor="text1"/>
              <w:sz w:val="24"/>
              <w:szCs w:val="24"/>
              <w:lang w:val="en-IN"/>
            </w:rPr>
          </w:pPr>
          <w:r w:rsidRPr="00C057C9">
            <w:rPr>
              <w:rFonts w:ascii="Times New Roman" w:hAnsi="Times New Roman" w:cs="Times New Roman"/>
              <w:color w:val="000000" w:themeColor="text1"/>
              <w:sz w:val="24"/>
              <w:szCs w:val="24"/>
            </w:rPr>
            <w:fldChar w:fldCharType="begin"/>
          </w:r>
          <w:r w:rsidRPr="00C057C9">
            <w:rPr>
              <w:rFonts w:ascii="Times New Roman" w:hAnsi="Times New Roman" w:cs="Times New Roman"/>
              <w:color w:val="000000" w:themeColor="text1"/>
              <w:sz w:val="24"/>
              <w:szCs w:val="24"/>
            </w:rPr>
            <w:instrText xml:space="preserve"> TOC \o "1-3" \h \z \u </w:instrText>
          </w:r>
          <w:r w:rsidRPr="00C057C9">
            <w:rPr>
              <w:rFonts w:ascii="Times New Roman" w:hAnsi="Times New Roman" w:cs="Times New Roman"/>
              <w:color w:val="000000" w:themeColor="text1"/>
              <w:sz w:val="24"/>
              <w:szCs w:val="24"/>
            </w:rPr>
            <w:fldChar w:fldCharType="separate"/>
          </w:r>
          <w:hyperlink w:anchor="_Toc152181754" w:history="1">
            <w:r w:rsidR="00C057C9" w:rsidRPr="00C057C9">
              <w:rPr>
                <w:rStyle w:val="Hyperlink"/>
                <w:rFonts w:ascii="Times New Roman" w:hAnsi="Times New Roman" w:cs="Times New Roman"/>
                <w:noProof/>
                <w:color w:val="000000" w:themeColor="text1"/>
                <w:sz w:val="24"/>
                <w:szCs w:val="24"/>
              </w:rPr>
              <w:t>Introduction</w:t>
            </w:r>
            <w:r w:rsidR="00C057C9" w:rsidRPr="00C057C9">
              <w:rPr>
                <w:rFonts w:ascii="Times New Roman" w:hAnsi="Times New Roman" w:cs="Times New Roman"/>
                <w:noProof/>
                <w:webHidden/>
                <w:color w:val="000000" w:themeColor="text1"/>
                <w:sz w:val="24"/>
                <w:szCs w:val="24"/>
              </w:rPr>
              <w:tab/>
            </w:r>
            <w:r w:rsidR="00C057C9" w:rsidRPr="00C057C9">
              <w:rPr>
                <w:rFonts w:ascii="Times New Roman" w:hAnsi="Times New Roman" w:cs="Times New Roman"/>
                <w:noProof/>
                <w:webHidden/>
                <w:color w:val="000000" w:themeColor="text1"/>
                <w:sz w:val="24"/>
                <w:szCs w:val="24"/>
              </w:rPr>
              <w:fldChar w:fldCharType="begin"/>
            </w:r>
            <w:r w:rsidR="00C057C9" w:rsidRPr="00C057C9">
              <w:rPr>
                <w:rFonts w:ascii="Times New Roman" w:hAnsi="Times New Roman" w:cs="Times New Roman"/>
                <w:noProof/>
                <w:webHidden/>
                <w:color w:val="000000" w:themeColor="text1"/>
                <w:sz w:val="24"/>
                <w:szCs w:val="24"/>
              </w:rPr>
              <w:instrText xml:space="preserve"> PAGEREF _Toc152181754 \h </w:instrText>
            </w:r>
            <w:r w:rsidR="00C057C9" w:rsidRPr="00C057C9">
              <w:rPr>
                <w:rFonts w:ascii="Times New Roman" w:hAnsi="Times New Roman" w:cs="Times New Roman"/>
                <w:noProof/>
                <w:webHidden/>
                <w:color w:val="000000" w:themeColor="text1"/>
                <w:sz w:val="24"/>
                <w:szCs w:val="24"/>
              </w:rPr>
            </w:r>
            <w:r w:rsidR="00C057C9" w:rsidRPr="00C057C9">
              <w:rPr>
                <w:rFonts w:ascii="Times New Roman" w:hAnsi="Times New Roman" w:cs="Times New Roman"/>
                <w:noProof/>
                <w:webHidden/>
                <w:color w:val="000000" w:themeColor="text1"/>
                <w:sz w:val="24"/>
                <w:szCs w:val="24"/>
              </w:rPr>
              <w:fldChar w:fldCharType="separate"/>
            </w:r>
            <w:r w:rsidR="00396C7F">
              <w:rPr>
                <w:rFonts w:ascii="Times New Roman" w:hAnsi="Times New Roman" w:cs="Times New Roman"/>
                <w:noProof/>
                <w:webHidden/>
                <w:color w:val="000000" w:themeColor="text1"/>
                <w:sz w:val="24"/>
                <w:szCs w:val="24"/>
              </w:rPr>
              <w:t>3</w:t>
            </w:r>
            <w:r w:rsidR="00C057C9" w:rsidRPr="00C057C9">
              <w:rPr>
                <w:rFonts w:ascii="Times New Roman" w:hAnsi="Times New Roman" w:cs="Times New Roman"/>
                <w:noProof/>
                <w:webHidden/>
                <w:color w:val="000000" w:themeColor="text1"/>
                <w:sz w:val="24"/>
                <w:szCs w:val="24"/>
              </w:rPr>
              <w:fldChar w:fldCharType="end"/>
            </w:r>
          </w:hyperlink>
        </w:p>
        <w:p w14:paraId="17DAA6BD" w14:textId="50389992" w:rsidR="00C057C9" w:rsidRPr="00C057C9"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2181755" w:history="1">
            <w:r w:rsidR="00C057C9" w:rsidRPr="00C057C9">
              <w:rPr>
                <w:rStyle w:val="Hyperlink"/>
                <w:rFonts w:ascii="Times New Roman" w:hAnsi="Times New Roman" w:cs="Times New Roman"/>
                <w:noProof/>
                <w:color w:val="000000" w:themeColor="text1"/>
                <w:sz w:val="24"/>
                <w:szCs w:val="24"/>
              </w:rPr>
              <w:t>Discussion</w:t>
            </w:r>
            <w:r w:rsidR="00C057C9" w:rsidRPr="00C057C9">
              <w:rPr>
                <w:rFonts w:ascii="Times New Roman" w:hAnsi="Times New Roman" w:cs="Times New Roman"/>
                <w:noProof/>
                <w:webHidden/>
                <w:color w:val="000000" w:themeColor="text1"/>
                <w:sz w:val="24"/>
                <w:szCs w:val="24"/>
              </w:rPr>
              <w:tab/>
            </w:r>
            <w:r w:rsidR="00C057C9" w:rsidRPr="00C057C9">
              <w:rPr>
                <w:rFonts w:ascii="Times New Roman" w:hAnsi="Times New Roman" w:cs="Times New Roman"/>
                <w:noProof/>
                <w:webHidden/>
                <w:color w:val="000000" w:themeColor="text1"/>
                <w:sz w:val="24"/>
                <w:szCs w:val="24"/>
              </w:rPr>
              <w:fldChar w:fldCharType="begin"/>
            </w:r>
            <w:r w:rsidR="00C057C9" w:rsidRPr="00C057C9">
              <w:rPr>
                <w:rFonts w:ascii="Times New Roman" w:hAnsi="Times New Roman" w:cs="Times New Roman"/>
                <w:noProof/>
                <w:webHidden/>
                <w:color w:val="000000" w:themeColor="text1"/>
                <w:sz w:val="24"/>
                <w:szCs w:val="24"/>
              </w:rPr>
              <w:instrText xml:space="preserve"> PAGEREF _Toc152181755 \h </w:instrText>
            </w:r>
            <w:r w:rsidR="00C057C9" w:rsidRPr="00C057C9">
              <w:rPr>
                <w:rFonts w:ascii="Times New Roman" w:hAnsi="Times New Roman" w:cs="Times New Roman"/>
                <w:noProof/>
                <w:webHidden/>
                <w:color w:val="000000" w:themeColor="text1"/>
                <w:sz w:val="24"/>
                <w:szCs w:val="24"/>
              </w:rPr>
            </w:r>
            <w:r w:rsidR="00C057C9" w:rsidRPr="00C057C9">
              <w:rPr>
                <w:rFonts w:ascii="Times New Roman" w:hAnsi="Times New Roman" w:cs="Times New Roman"/>
                <w:noProof/>
                <w:webHidden/>
                <w:color w:val="000000" w:themeColor="text1"/>
                <w:sz w:val="24"/>
                <w:szCs w:val="24"/>
              </w:rPr>
              <w:fldChar w:fldCharType="separate"/>
            </w:r>
            <w:r w:rsidR="00396C7F">
              <w:rPr>
                <w:rFonts w:ascii="Times New Roman" w:hAnsi="Times New Roman" w:cs="Times New Roman"/>
                <w:noProof/>
                <w:webHidden/>
                <w:color w:val="000000" w:themeColor="text1"/>
                <w:sz w:val="24"/>
                <w:szCs w:val="24"/>
              </w:rPr>
              <w:t>3</w:t>
            </w:r>
            <w:r w:rsidR="00C057C9" w:rsidRPr="00C057C9">
              <w:rPr>
                <w:rFonts w:ascii="Times New Roman" w:hAnsi="Times New Roman" w:cs="Times New Roman"/>
                <w:noProof/>
                <w:webHidden/>
                <w:color w:val="000000" w:themeColor="text1"/>
                <w:sz w:val="24"/>
                <w:szCs w:val="24"/>
              </w:rPr>
              <w:fldChar w:fldCharType="end"/>
            </w:r>
          </w:hyperlink>
        </w:p>
        <w:p w14:paraId="3A3B69F1" w14:textId="05580AF6" w:rsidR="00C057C9" w:rsidRPr="00C057C9"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2181756" w:history="1">
            <w:r w:rsidR="00C057C9" w:rsidRPr="00C057C9">
              <w:rPr>
                <w:rStyle w:val="Hyperlink"/>
                <w:rFonts w:ascii="Times New Roman" w:hAnsi="Times New Roman" w:cs="Times New Roman"/>
                <w:noProof/>
                <w:color w:val="000000" w:themeColor="text1"/>
                <w:sz w:val="24"/>
                <w:szCs w:val="24"/>
              </w:rPr>
              <w:t>Conclusion</w:t>
            </w:r>
            <w:r w:rsidR="00C057C9" w:rsidRPr="00C057C9">
              <w:rPr>
                <w:rFonts w:ascii="Times New Roman" w:hAnsi="Times New Roman" w:cs="Times New Roman"/>
                <w:noProof/>
                <w:webHidden/>
                <w:color w:val="000000" w:themeColor="text1"/>
                <w:sz w:val="24"/>
                <w:szCs w:val="24"/>
              </w:rPr>
              <w:tab/>
            </w:r>
            <w:r w:rsidR="00C057C9" w:rsidRPr="00C057C9">
              <w:rPr>
                <w:rFonts w:ascii="Times New Roman" w:hAnsi="Times New Roman" w:cs="Times New Roman"/>
                <w:noProof/>
                <w:webHidden/>
                <w:color w:val="000000" w:themeColor="text1"/>
                <w:sz w:val="24"/>
                <w:szCs w:val="24"/>
              </w:rPr>
              <w:fldChar w:fldCharType="begin"/>
            </w:r>
            <w:r w:rsidR="00C057C9" w:rsidRPr="00C057C9">
              <w:rPr>
                <w:rFonts w:ascii="Times New Roman" w:hAnsi="Times New Roman" w:cs="Times New Roman"/>
                <w:noProof/>
                <w:webHidden/>
                <w:color w:val="000000" w:themeColor="text1"/>
                <w:sz w:val="24"/>
                <w:szCs w:val="24"/>
              </w:rPr>
              <w:instrText xml:space="preserve"> PAGEREF _Toc152181756 \h </w:instrText>
            </w:r>
            <w:r w:rsidR="00C057C9" w:rsidRPr="00C057C9">
              <w:rPr>
                <w:rFonts w:ascii="Times New Roman" w:hAnsi="Times New Roman" w:cs="Times New Roman"/>
                <w:noProof/>
                <w:webHidden/>
                <w:color w:val="000000" w:themeColor="text1"/>
                <w:sz w:val="24"/>
                <w:szCs w:val="24"/>
              </w:rPr>
            </w:r>
            <w:r w:rsidR="00C057C9" w:rsidRPr="00C057C9">
              <w:rPr>
                <w:rFonts w:ascii="Times New Roman" w:hAnsi="Times New Roman" w:cs="Times New Roman"/>
                <w:noProof/>
                <w:webHidden/>
                <w:color w:val="000000" w:themeColor="text1"/>
                <w:sz w:val="24"/>
                <w:szCs w:val="24"/>
              </w:rPr>
              <w:fldChar w:fldCharType="separate"/>
            </w:r>
            <w:r w:rsidR="00396C7F">
              <w:rPr>
                <w:rFonts w:ascii="Times New Roman" w:hAnsi="Times New Roman" w:cs="Times New Roman"/>
                <w:noProof/>
                <w:webHidden/>
                <w:color w:val="000000" w:themeColor="text1"/>
                <w:sz w:val="24"/>
                <w:szCs w:val="24"/>
              </w:rPr>
              <w:t>7</w:t>
            </w:r>
            <w:r w:rsidR="00C057C9" w:rsidRPr="00C057C9">
              <w:rPr>
                <w:rFonts w:ascii="Times New Roman" w:hAnsi="Times New Roman" w:cs="Times New Roman"/>
                <w:noProof/>
                <w:webHidden/>
                <w:color w:val="000000" w:themeColor="text1"/>
                <w:sz w:val="24"/>
                <w:szCs w:val="24"/>
              </w:rPr>
              <w:fldChar w:fldCharType="end"/>
            </w:r>
          </w:hyperlink>
        </w:p>
        <w:p w14:paraId="145C0EC1" w14:textId="178B98A5" w:rsidR="00C057C9" w:rsidRPr="00C057C9" w:rsidRDefault="00000000">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2181757" w:history="1">
            <w:r w:rsidR="00C057C9" w:rsidRPr="00C057C9">
              <w:rPr>
                <w:rStyle w:val="Hyperlink"/>
                <w:rFonts w:ascii="Times New Roman" w:hAnsi="Times New Roman" w:cs="Times New Roman"/>
                <w:noProof/>
                <w:color w:val="000000" w:themeColor="text1"/>
                <w:sz w:val="24"/>
                <w:szCs w:val="24"/>
              </w:rPr>
              <w:t>References</w:t>
            </w:r>
            <w:r w:rsidR="00C057C9" w:rsidRPr="00C057C9">
              <w:rPr>
                <w:rFonts w:ascii="Times New Roman" w:hAnsi="Times New Roman" w:cs="Times New Roman"/>
                <w:noProof/>
                <w:webHidden/>
                <w:color w:val="000000" w:themeColor="text1"/>
                <w:sz w:val="24"/>
                <w:szCs w:val="24"/>
              </w:rPr>
              <w:tab/>
            </w:r>
            <w:r w:rsidR="00C057C9" w:rsidRPr="00C057C9">
              <w:rPr>
                <w:rFonts w:ascii="Times New Roman" w:hAnsi="Times New Roman" w:cs="Times New Roman"/>
                <w:noProof/>
                <w:webHidden/>
                <w:color w:val="000000" w:themeColor="text1"/>
                <w:sz w:val="24"/>
                <w:szCs w:val="24"/>
              </w:rPr>
              <w:fldChar w:fldCharType="begin"/>
            </w:r>
            <w:r w:rsidR="00C057C9" w:rsidRPr="00C057C9">
              <w:rPr>
                <w:rFonts w:ascii="Times New Roman" w:hAnsi="Times New Roman" w:cs="Times New Roman"/>
                <w:noProof/>
                <w:webHidden/>
                <w:color w:val="000000" w:themeColor="text1"/>
                <w:sz w:val="24"/>
                <w:szCs w:val="24"/>
              </w:rPr>
              <w:instrText xml:space="preserve"> PAGEREF _Toc152181757 \h </w:instrText>
            </w:r>
            <w:r w:rsidR="00C057C9" w:rsidRPr="00C057C9">
              <w:rPr>
                <w:rFonts w:ascii="Times New Roman" w:hAnsi="Times New Roman" w:cs="Times New Roman"/>
                <w:noProof/>
                <w:webHidden/>
                <w:color w:val="000000" w:themeColor="text1"/>
                <w:sz w:val="24"/>
                <w:szCs w:val="24"/>
              </w:rPr>
            </w:r>
            <w:r w:rsidR="00C057C9" w:rsidRPr="00C057C9">
              <w:rPr>
                <w:rFonts w:ascii="Times New Roman" w:hAnsi="Times New Roman" w:cs="Times New Roman"/>
                <w:noProof/>
                <w:webHidden/>
                <w:color w:val="000000" w:themeColor="text1"/>
                <w:sz w:val="24"/>
                <w:szCs w:val="24"/>
              </w:rPr>
              <w:fldChar w:fldCharType="separate"/>
            </w:r>
            <w:r w:rsidR="00396C7F">
              <w:rPr>
                <w:rFonts w:ascii="Times New Roman" w:hAnsi="Times New Roman" w:cs="Times New Roman"/>
                <w:noProof/>
                <w:webHidden/>
                <w:color w:val="000000" w:themeColor="text1"/>
                <w:sz w:val="24"/>
                <w:szCs w:val="24"/>
              </w:rPr>
              <w:t>8</w:t>
            </w:r>
            <w:r w:rsidR="00C057C9" w:rsidRPr="00C057C9">
              <w:rPr>
                <w:rFonts w:ascii="Times New Roman" w:hAnsi="Times New Roman" w:cs="Times New Roman"/>
                <w:noProof/>
                <w:webHidden/>
                <w:color w:val="000000" w:themeColor="text1"/>
                <w:sz w:val="24"/>
                <w:szCs w:val="24"/>
              </w:rPr>
              <w:fldChar w:fldCharType="end"/>
            </w:r>
          </w:hyperlink>
        </w:p>
        <w:p w14:paraId="6A6D3F74" w14:textId="2AAED18A" w:rsidR="006D0521" w:rsidRPr="00FB6E77" w:rsidRDefault="00D315C6" w:rsidP="00FB6E77">
          <w:pPr>
            <w:spacing w:before="240" w:after="240" w:line="360" w:lineRule="auto"/>
            <w:jc w:val="both"/>
            <w:rPr>
              <w:rFonts w:ascii="Times New Roman" w:hAnsi="Times New Roman" w:cs="Times New Roman"/>
              <w:color w:val="000000" w:themeColor="text1"/>
              <w:sz w:val="24"/>
              <w:szCs w:val="24"/>
            </w:rPr>
          </w:pPr>
          <w:r w:rsidRPr="00C057C9">
            <w:rPr>
              <w:rFonts w:ascii="Times New Roman" w:hAnsi="Times New Roman" w:cs="Times New Roman"/>
              <w:b/>
              <w:bCs/>
              <w:noProof/>
              <w:color w:val="000000" w:themeColor="text1"/>
              <w:sz w:val="24"/>
              <w:szCs w:val="24"/>
            </w:rPr>
            <w:fldChar w:fldCharType="end"/>
          </w:r>
        </w:p>
      </w:sdtContent>
    </w:sdt>
    <w:p w14:paraId="00000009" w14:textId="2320A6BC" w:rsidR="007934E8" w:rsidRPr="00FB6E77" w:rsidRDefault="00D315C6" w:rsidP="00FB6E77">
      <w:pPr>
        <w:spacing w:before="240" w:after="240" w:line="360" w:lineRule="auto"/>
        <w:jc w:val="both"/>
        <w:rPr>
          <w:rFonts w:ascii="Times New Roman" w:eastAsia="Times New Roman" w:hAnsi="Times New Roman" w:cs="Times New Roman"/>
          <w:b/>
          <w:color w:val="000000" w:themeColor="text1"/>
          <w:sz w:val="24"/>
          <w:szCs w:val="28"/>
        </w:rPr>
      </w:pPr>
      <w:r w:rsidRPr="00FB6E77">
        <w:rPr>
          <w:rFonts w:ascii="Times New Roman" w:hAnsi="Times New Roman" w:cs="Times New Roman"/>
          <w:color w:val="000000" w:themeColor="text1"/>
          <w:sz w:val="24"/>
          <w:szCs w:val="24"/>
        </w:rPr>
        <w:br w:type="page"/>
      </w:r>
    </w:p>
    <w:p w14:paraId="0000000A" w14:textId="77777777" w:rsidR="007934E8" w:rsidRPr="00FB6E77" w:rsidRDefault="00D315C6" w:rsidP="00FB6E77">
      <w:pPr>
        <w:pStyle w:val="Heading1"/>
        <w:spacing w:before="240" w:after="240" w:line="360" w:lineRule="auto"/>
        <w:jc w:val="both"/>
        <w:rPr>
          <w:color w:val="000000" w:themeColor="text1"/>
          <w:sz w:val="24"/>
        </w:rPr>
      </w:pPr>
      <w:bookmarkStart w:id="0" w:name="_Toc152181754"/>
      <w:r w:rsidRPr="00FB6E77">
        <w:rPr>
          <w:color w:val="000000" w:themeColor="text1"/>
          <w:sz w:val="24"/>
        </w:rPr>
        <w:lastRenderedPageBreak/>
        <w:t>Introduction</w:t>
      </w:r>
      <w:bookmarkEnd w:id="0"/>
    </w:p>
    <w:p w14:paraId="0000000B" w14:textId="21505F49"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Social prescribing represents a primary care service focusing on patients' social, emotional and empirical requirements. The requirements can differ from basic clinical needs such as communication, befriending new people, psychological healthcare, regular exercise and much more. Populations in different demographic areas around the globe need a lot of external support to obtain optimum mental and physical health. Social prescribing is a community-based social development progra</w:t>
      </w:r>
      <w:r w:rsidR="0009142D" w:rsidRPr="00FB6E77">
        <w:rPr>
          <w:rFonts w:ascii="Times New Roman" w:eastAsia="Times New Roman" w:hAnsi="Times New Roman" w:cs="Times New Roman"/>
          <w:color w:val="000000" w:themeColor="text1"/>
          <w:sz w:val="24"/>
          <w:szCs w:val="24"/>
        </w:rPr>
        <w:t>m</w:t>
      </w:r>
      <w:r w:rsidRPr="00FB6E77">
        <w:rPr>
          <w:rFonts w:ascii="Times New Roman" w:eastAsia="Times New Roman" w:hAnsi="Times New Roman" w:cs="Times New Roman"/>
          <w:color w:val="000000" w:themeColor="text1"/>
          <w:sz w:val="24"/>
          <w:szCs w:val="24"/>
        </w:rPr>
        <w:t xml:space="preserve"> that engages several people including volunteers and patients. The social prescribing volunteer groups reach out to people who need exterior support and help them obtain high-quality life satisfaction. NHS (National Health Service), UK has initiated a social prescribing program by the end of 2020. It started with 1000 social prescribing link volunteers which provided a "Universal Personalized </w:t>
      </w:r>
      <w:r w:rsidR="0009142D" w:rsidRPr="00FB6E77">
        <w:rPr>
          <w:rFonts w:ascii="Times New Roman" w:eastAsia="Times New Roman" w:hAnsi="Times New Roman" w:cs="Times New Roman"/>
          <w:color w:val="000000" w:themeColor="text1"/>
          <w:sz w:val="24"/>
          <w:szCs w:val="24"/>
        </w:rPr>
        <w:t>Care” service</w:t>
      </w:r>
      <w:r w:rsidRPr="00FB6E77">
        <w:rPr>
          <w:rFonts w:ascii="Times New Roman" w:eastAsia="Times New Roman" w:hAnsi="Times New Roman" w:cs="Times New Roman"/>
          <w:color w:val="000000" w:themeColor="text1"/>
          <w:sz w:val="24"/>
          <w:szCs w:val="24"/>
        </w:rPr>
        <w:t xml:space="preserve"> for the people of the UK. The NHS provides their services to all ages and needed support to deal with their mental health, loneliness and social anxiety. The program has planned on reaching out to around 90,000 people with their services by the end of 2023-24. The local agencies from different areas of the UK help the service to connect with more potential patients. The primary stakeholders who provided support to NHS are "The Department of Health and Social Care" (DHSC), "The Department of Culture", "Media and Sport" (DCMS) and the "National Academy for Social Prescribing" (NASP). In this essay, the NHS and its social prescribing program in the UK will be further explained. </w:t>
      </w:r>
    </w:p>
    <w:p w14:paraId="0000000C" w14:textId="77777777" w:rsidR="007934E8" w:rsidRPr="00FB6E77" w:rsidRDefault="00D315C6" w:rsidP="00FB6E77">
      <w:pPr>
        <w:pStyle w:val="Heading1"/>
        <w:spacing w:before="240" w:after="240" w:line="360" w:lineRule="auto"/>
        <w:jc w:val="both"/>
        <w:rPr>
          <w:color w:val="000000" w:themeColor="text1"/>
          <w:sz w:val="24"/>
        </w:rPr>
      </w:pPr>
      <w:bookmarkStart w:id="1" w:name="_Toc152181755"/>
      <w:r w:rsidRPr="00FB6E77">
        <w:rPr>
          <w:color w:val="000000" w:themeColor="text1"/>
          <w:sz w:val="24"/>
        </w:rPr>
        <w:t>Discussion</w:t>
      </w:r>
      <w:bookmarkEnd w:id="1"/>
    </w:p>
    <w:p w14:paraId="0000000D" w14:textId="4133202B"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Social prescribing also known as “Community Referral” is beneficial for the support provision to the local population with their regular issues. It is often seen that few people have distanced themselves from any social participation due to mental issues or pressure from any major life changes. In the UK 75.7% of the people are working individuals and often lack emotional attachments and mental support due to their busy schedules (Kleinman</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i/>
          <w:color w:val="000000" w:themeColor="text1"/>
          <w:sz w:val="24"/>
          <w:szCs w:val="24"/>
          <w:vertAlign w:val="superscript"/>
        </w:rPr>
        <w:t xml:space="preserve"> </w:t>
      </w:r>
      <w:r w:rsidRPr="00FB6E77">
        <w:rPr>
          <w:rFonts w:ascii="Times New Roman" w:eastAsia="Times New Roman" w:hAnsi="Times New Roman" w:cs="Times New Roman"/>
          <w:color w:val="000000" w:themeColor="text1"/>
          <w:sz w:val="24"/>
          <w:szCs w:val="24"/>
        </w:rPr>
        <w:t>2023). The distanced people are crucially required to affiliate with a group of friends or companions in order to get their lives on course. Social prescribing is evidently a great approach for helping out those people (Vidovic</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vertAlign w:val="superscript"/>
        </w:rPr>
        <w:t xml:space="preserve"> </w:t>
      </w:r>
      <w:r w:rsidRPr="00FB6E77">
        <w:rPr>
          <w:rFonts w:ascii="Times New Roman" w:eastAsia="Times New Roman" w:hAnsi="Times New Roman" w:cs="Times New Roman"/>
          <w:color w:val="000000" w:themeColor="text1"/>
          <w:sz w:val="24"/>
          <w:szCs w:val="24"/>
        </w:rPr>
        <w:t xml:space="preserve">2021). In different geographical areas, the social prescribing program is attained by a governmental or non-governmental organisation to serve people in need. The NHS, UK has attained this program with the help of volunteer groups or links. The local agencies and </w:t>
      </w:r>
      <w:r w:rsidRPr="00FB6E77">
        <w:rPr>
          <w:rFonts w:ascii="Times New Roman" w:eastAsia="Times New Roman" w:hAnsi="Times New Roman" w:cs="Times New Roman"/>
          <w:color w:val="000000" w:themeColor="text1"/>
          <w:sz w:val="24"/>
          <w:szCs w:val="24"/>
        </w:rPr>
        <w:lastRenderedPageBreak/>
        <w:t xml:space="preserve">communities play a crucial role in the social prescribing programs. They are the principal links between the patients and personal care providers. The local agencies help the volunteer links to associate with the people in need. People can be related to a number of non-medical requirements such as debt problems, lack of motivation in regular activities, self-isolation and much more. The volunteer links connect with these people and gather data about their individual requirements. The volunteers further help those people join different activity groups such as sports groups, art or crafting groups, cooking classes, local programs, debt clearance classes, therapeutical community and much more. </w:t>
      </w:r>
    </w:p>
    <w:p w14:paraId="0000000E" w14:textId="37F627DA"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The main focus or target of the social prescribing groups is to help the local population obtain high life satisfaction along with better physical and mental health. Affiliation with activity groups helps people to gain hope and confidence (</w:t>
      </w:r>
      <w:proofErr w:type="spellStart"/>
      <w:r w:rsidRPr="00FB6E77">
        <w:rPr>
          <w:rFonts w:ascii="Times New Roman" w:eastAsia="Times New Roman" w:hAnsi="Times New Roman" w:cs="Times New Roman"/>
          <w:color w:val="000000" w:themeColor="text1"/>
          <w:sz w:val="24"/>
          <w:szCs w:val="24"/>
        </w:rPr>
        <w:t>Kellezi</w:t>
      </w:r>
      <w:proofErr w:type="spellEnd"/>
      <w:r w:rsidR="00C97609"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2029). It provides them with self-satisfaction to live their life and obtain a better quality of life. Social prescribing programs obtain a number of methods or techniques that influence their activities. It provides value and respect to every individual who joins the group. The volunteers present in the activity groups communicate with each and every individual and gather information about their problems or difficulties. They further share the mitigation process or solutions with the patients and guide them throughout the whole process. The social prescribing program activities focus on the reduction of doctor or hospital visits by people and help them through small activity groups.  The referral schemes present in social prescribing are a complex intervention process obtained by social prescribing volunteer links. In the clinical sector, many doctors and nurses prescribe social prescribing groups in order to maintain life satisfaction in patients without the medicational and treatment pressure (Fixsen</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2020). The linkage between the GP (General Physicians) and the social prescribing volunteers is crucial to reach out to more potential patients. Due to a lot of external pressure people face difficulty in making choices about their preferences and beliefs. The volunteer links of social prescribing influence physical and mental health well-being in people. It provides decision-making skills in people and helps them to take control over themselves.</w:t>
      </w:r>
    </w:p>
    <w:p w14:paraId="0000000F" w14:textId="7E5FB237"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The social prescribing program obtained by the NHS in UH has evidently helped a number of patients encountering mental health issues and social anxiety. The program has planned to reach out to at least 2.5 million people in the UK (England.nhs.uk, 2023). The main stakeholders and key partners (DHSC, DCMS, NASP) of this program provided a lot of financial and other support. </w:t>
      </w:r>
      <w:r w:rsidRPr="00FB6E77">
        <w:rPr>
          <w:rFonts w:ascii="Times New Roman" w:eastAsia="Times New Roman" w:hAnsi="Times New Roman" w:cs="Times New Roman"/>
          <w:color w:val="000000" w:themeColor="text1"/>
          <w:sz w:val="24"/>
          <w:szCs w:val="24"/>
        </w:rPr>
        <w:lastRenderedPageBreak/>
        <w:t>DHSC (Department of Health and Social Care), is a ministerial healthcare service that is connected with medical support provision to patients 24/7. DCMS (Department of Digital, Culture, Media &amp; Sport) is a governmental department that influences culture and sports throughout the UK including its organisation and broadcast on TV or digital platforms. NASP (National Academy for Social Prescribing), is the national partner including DHSC and DCMS which are associated with the social prescribing program. The stakeholders potentially influence the national as well as local communities to associate with social prescribing programs and help out people. The social prescribing program by NHS obtained the highest amount of investment as a national health system and non-medical activities for community development (Hopkins</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2023). It obtained a number of holistic approaches for benefitting the population with high-quality pleasure in life. Community participation is a crucial element in the social prescribing program. The local community-based activity groups have evidently provided more support to people with emotional needs. They are also the primary source of awareness spread about social prescribing. The awareness increase about social prescribing is a critical element for reaching out to more people. Social media has played a crucial role in the awareness distribution of social prescribing programs by NHS, among the population of the UK. </w:t>
      </w:r>
    </w:p>
    <w:p w14:paraId="00000010" w14:textId="58582C2B"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In the digital world, it is quite important to use virtual or online platforms in order to connect with more potential audiences. It is also beneficial for digital social prescription provision to people who are not capable of physically affiliating with social prescription volunteers or activity groups (Patel</w:t>
      </w:r>
      <w:r w:rsidR="00C97609"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2021). Community-based social prescribing programs including smoking cessation or befriending services evidently influence the hopes and gratification in people. However, few people can avoid the association with social prescription activities due to low self-esteem and lack of motivation. The digital social prescription (DSP) is a handy tool for helping people out without the requirement of their physical presence. The UK has obtained the policy of innovation addition in the social prescribing program by the NHS to ensure its long-term effectiveness and better quality of community care (Morris</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et al.</w:t>
      </w:r>
      <w:r w:rsidR="00C97609" w:rsidRPr="00FB6E77">
        <w:rPr>
          <w:rFonts w:ascii="Times New Roman" w:eastAsia="Times New Roman" w:hAnsi="Times New Roman" w:cs="Times New Roman"/>
          <w:i/>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2022). The integration of new techniques and methods in community care changed the healthcare dimension from the perspective of patient satisfaction. The NHS has provided a brief about the necessity and significance of social prescribing and group activities in people’s lives. The innovation integration is associated with a number of challenges and barriers such as adaptation by volunteers and patients, learning process, proper implementation, appropriate use and much more. However, the volunteer leaders are accountable </w:t>
      </w:r>
      <w:r w:rsidRPr="00FB6E77">
        <w:rPr>
          <w:rFonts w:ascii="Times New Roman" w:eastAsia="Times New Roman" w:hAnsi="Times New Roman" w:cs="Times New Roman"/>
          <w:color w:val="000000" w:themeColor="text1"/>
          <w:sz w:val="24"/>
          <w:szCs w:val="24"/>
        </w:rPr>
        <w:lastRenderedPageBreak/>
        <w:t>for the obtainment of awareness programs and training projects to increase awareness about digital social prescription in patients as well as volunteers. The training programs are crucial for enhancing the prompt use of DSP for patients' well-being. The DSP is cost-effective, easy to maintain and can be used from different demographic areas by a phone or other electronic gadgets. It influences the rapid adoption process in patients and provides a satisfying user experience.</w:t>
      </w:r>
    </w:p>
    <w:p w14:paraId="00000011" w14:textId="77777777" w:rsidR="007934E8"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Due to this program, the interaction and connection between communities has been increased in the UK. People from different communities have joined together in the activity groups and learned about each other's personal and external issues. It initiated a sense of harmony in different communities and strengthened their unity (Fleming, 2023). The social prescribing by NHS promotes social equality in order to obtain ethical group activities and help the population of the UK.  It helped the patients to discuss their problems in groups and also share their perspectives on other issues along with the dealing process. The group activities influenced individuals' personal thinking, decision-making, unique perspectives, confidence and self-awareness. The social prescription practices by the volunteers escalated the community-based learning. The high-quality knowledge by the community evidently enhanced the self-awareness in people and helped them to connect more with the social prescribing groups (Aughterson, 2022). Social prescribing has the potential to provide positive outcomes in the individual’s and community’s health and life satisfaction. The attainment of social prescribing in the local community requires a complete comprehension about the activities and procedures. The social prescribing volunteers are the primary knowledge providers for the local communities. The volunteer links leaders train them and provide them with crucial information about social prescription activity and their necessities. There are a number of internal and external factors that created barriers to the obtainment of social prescription programs by NHS, UK. However, the volunteer leaders along with the volunteers and community people have united for the program. The education of community members as well as volunteers about DSP has influenced the program's success estimation in the population of the UK.  </w:t>
      </w:r>
    </w:p>
    <w:p w14:paraId="00000012" w14:textId="77777777" w:rsidR="007934E8" w:rsidRPr="00FB6E77" w:rsidRDefault="007934E8" w:rsidP="00FB6E77">
      <w:pPr>
        <w:spacing w:before="240" w:after="240" w:line="360" w:lineRule="auto"/>
        <w:jc w:val="both"/>
        <w:rPr>
          <w:rFonts w:ascii="Times New Roman" w:eastAsia="Times New Roman" w:hAnsi="Times New Roman" w:cs="Times New Roman"/>
          <w:color w:val="000000" w:themeColor="text1"/>
          <w:sz w:val="24"/>
          <w:szCs w:val="24"/>
        </w:rPr>
      </w:pPr>
    </w:p>
    <w:p w14:paraId="171BF580" w14:textId="77777777" w:rsidR="00C97609" w:rsidRPr="00FB6E77" w:rsidRDefault="00C97609" w:rsidP="00FB6E77">
      <w:pPr>
        <w:spacing w:before="240" w:after="240" w:line="360" w:lineRule="auto"/>
        <w:jc w:val="both"/>
        <w:rPr>
          <w:rFonts w:ascii="Times New Roman" w:hAnsi="Times New Roman"/>
          <w:b/>
          <w:color w:val="000000" w:themeColor="text1"/>
          <w:sz w:val="24"/>
          <w:szCs w:val="40"/>
        </w:rPr>
      </w:pPr>
      <w:r w:rsidRPr="00FB6E77">
        <w:rPr>
          <w:rFonts w:ascii="Times New Roman" w:hAnsi="Times New Roman"/>
          <w:color w:val="000000" w:themeColor="text1"/>
          <w:sz w:val="24"/>
        </w:rPr>
        <w:br w:type="page"/>
      </w:r>
    </w:p>
    <w:p w14:paraId="00000013" w14:textId="49A341B1" w:rsidR="007934E8" w:rsidRPr="00FB6E77" w:rsidRDefault="00D315C6" w:rsidP="00FB6E77">
      <w:pPr>
        <w:pStyle w:val="Heading1"/>
        <w:spacing w:before="240" w:after="240" w:line="360" w:lineRule="auto"/>
        <w:jc w:val="both"/>
        <w:rPr>
          <w:color w:val="000000" w:themeColor="text1"/>
          <w:sz w:val="24"/>
        </w:rPr>
      </w:pPr>
      <w:bookmarkStart w:id="2" w:name="_Toc152181756"/>
      <w:r w:rsidRPr="00FB6E77">
        <w:rPr>
          <w:color w:val="000000" w:themeColor="text1"/>
          <w:sz w:val="24"/>
        </w:rPr>
        <w:lastRenderedPageBreak/>
        <w:t>Conclusion</w:t>
      </w:r>
      <w:bookmarkEnd w:id="2"/>
    </w:p>
    <w:p w14:paraId="00000014" w14:textId="77777777" w:rsidR="007934E8" w:rsidRPr="00FB6E77" w:rsidRDefault="00D315C6" w:rsidP="00FB6E77">
      <w:pPr>
        <w:spacing w:before="240" w:after="240" w:line="360" w:lineRule="auto"/>
        <w:jc w:val="both"/>
        <w:rPr>
          <w:rFonts w:ascii="Times New Roman" w:eastAsia="Times New Roman" w:hAnsi="Times New Roman" w:cs="Times New Roman"/>
          <w:b/>
          <w:color w:val="000000" w:themeColor="text1"/>
          <w:sz w:val="24"/>
          <w:szCs w:val="28"/>
        </w:rPr>
      </w:pPr>
      <w:r w:rsidRPr="00FB6E77">
        <w:rPr>
          <w:rFonts w:ascii="Times New Roman" w:eastAsia="Times New Roman" w:hAnsi="Times New Roman" w:cs="Times New Roman"/>
          <w:color w:val="000000" w:themeColor="text1"/>
          <w:sz w:val="24"/>
          <w:szCs w:val="24"/>
        </w:rPr>
        <w:t xml:space="preserve">From this essay, it can be concluded that social prescribing has the potential to increase patient life satisfaction. The NHS, UK obtained a social prescribing program or project in 2020, which came to an end in March 2023. The main motive of this program was to provide emotional support to lonely and mentally ill people. The social prescribing program significantly reduced the rate of GP visits in patients. This program provides non-medical support to patients and increases their overall life satisfaction. The social prescribing is also beneficial for initiating the harmony in different communities. The community-based group activities are crucial for the increment of interaction and communication between groups and individuals with emotional support requirements. Different community-based group activities such as sports groups, book reading groups, cooking groups and others help people to interconnect with each other. The swift attainment of group activities requires quality learning about the procedures relating to social prescribing. The volunteer links and leaders are the primary accountable for knowledge and guidance provision to community people. The local community agencies, GPs, nurses and social volunteers united together for this program in the UK. The social prescribing program by NHS potentially enhanced the psychological and physical well-being of the population of the UK. </w:t>
      </w:r>
      <w:r w:rsidRPr="00FB6E77">
        <w:rPr>
          <w:rFonts w:ascii="Times New Roman" w:hAnsi="Times New Roman"/>
          <w:color w:val="000000" w:themeColor="text1"/>
          <w:sz w:val="24"/>
        </w:rPr>
        <w:br w:type="page"/>
      </w:r>
    </w:p>
    <w:p w14:paraId="00000015" w14:textId="77777777" w:rsidR="007934E8" w:rsidRPr="00FB6E77" w:rsidRDefault="00D315C6" w:rsidP="00FB6E77">
      <w:pPr>
        <w:pStyle w:val="Heading1"/>
        <w:spacing w:before="240" w:after="240" w:line="360" w:lineRule="auto"/>
        <w:jc w:val="both"/>
        <w:rPr>
          <w:color w:val="000000" w:themeColor="text1"/>
          <w:sz w:val="24"/>
          <w:szCs w:val="24"/>
        </w:rPr>
      </w:pPr>
      <w:bookmarkStart w:id="3" w:name="_Toc152181757"/>
      <w:r w:rsidRPr="00FB6E77">
        <w:rPr>
          <w:color w:val="000000" w:themeColor="text1"/>
          <w:sz w:val="24"/>
        </w:rPr>
        <w:lastRenderedPageBreak/>
        <w:t>References</w:t>
      </w:r>
      <w:bookmarkEnd w:id="3"/>
    </w:p>
    <w:p w14:paraId="50B998C3"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Aughterson, H., 2022. </w:t>
      </w:r>
      <w:r w:rsidRPr="00FB6E77">
        <w:rPr>
          <w:rFonts w:ascii="Times New Roman" w:eastAsia="Times New Roman" w:hAnsi="Times New Roman" w:cs="Times New Roman"/>
          <w:i/>
          <w:color w:val="000000" w:themeColor="text1"/>
          <w:sz w:val="24"/>
          <w:szCs w:val="24"/>
        </w:rPr>
        <w:t>Social prescribing for mental health and well-being: mechanisms of action, active ingredients, and barriers &amp; enablers to effective engagement</w:t>
      </w:r>
      <w:r w:rsidRPr="00FB6E77">
        <w:rPr>
          <w:rFonts w:ascii="Times New Roman" w:eastAsia="Times New Roman" w:hAnsi="Times New Roman" w:cs="Times New Roman"/>
          <w:color w:val="000000" w:themeColor="text1"/>
          <w:sz w:val="24"/>
          <w:szCs w:val="24"/>
        </w:rPr>
        <w:t xml:space="preserve"> (Doctoral dissertation, UCL (University College London)).</w:t>
      </w:r>
    </w:p>
    <w:p w14:paraId="7B264BF3" w14:textId="6D084801"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England.nhs.uk</w:t>
      </w:r>
      <w:r w:rsidR="00C97609" w:rsidRPr="00FB6E77">
        <w:rPr>
          <w:rFonts w:ascii="Times New Roman" w:eastAsia="Times New Roman" w:hAnsi="Times New Roman" w:cs="Times New Roman"/>
          <w:color w:val="000000" w:themeColor="text1"/>
          <w:sz w:val="24"/>
          <w:szCs w:val="24"/>
        </w:rPr>
        <w:t>.</w:t>
      </w:r>
      <w:r w:rsidRPr="00FB6E77">
        <w:rPr>
          <w:rFonts w:ascii="Times New Roman" w:eastAsia="Times New Roman" w:hAnsi="Times New Roman" w:cs="Times New Roman"/>
          <w:color w:val="000000" w:themeColor="text1"/>
          <w:sz w:val="24"/>
          <w:szCs w:val="24"/>
        </w:rPr>
        <w:t xml:space="preserve">, 2023. </w:t>
      </w:r>
      <w:r w:rsidRPr="00FB6E77">
        <w:rPr>
          <w:rFonts w:ascii="Times New Roman" w:eastAsia="Times New Roman" w:hAnsi="Times New Roman" w:cs="Times New Roman"/>
          <w:i/>
          <w:color w:val="000000" w:themeColor="text1"/>
          <w:sz w:val="24"/>
          <w:szCs w:val="24"/>
        </w:rPr>
        <w:t>Social Prescribing</w:t>
      </w:r>
      <w:r w:rsidR="00C97609" w:rsidRPr="00FB6E77">
        <w:rPr>
          <w:rFonts w:ascii="Times New Roman" w:eastAsia="Times New Roman" w:hAnsi="Times New Roman" w:cs="Times New Roman"/>
          <w:color w:val="000000" w:themeColor="text1"/>
          <w:sz w:val="24"/>
          <w:szCs w:val="24"/>
        </w:rPr>
        <w:t>. [Online].</w:t>
      </w:r>
      <w:r w:rsidRPr="00FB6E77">
        <w:rPr>
          <w:rFonts w:ascii="Times New Roman" w:eastAsia="Times New Roman" w:hAnsi="Times New Roman" w:cs="Times New Roman"/>
          <w:color w:val="000000" w:themeColor="text1"/>
          <w:sz w:val="24"/>
          <w:szCs w:val="24"/>
        </w:rPr>
        <w:t xml:space="preserve"> Available at:</w:t>
      </w:r>
      <w:hyperlink r:id="rId7">
        <w:r w:rsidRPr="00FB6E77">
          <w:rPr>
            <w:rFonts w:ascii="Times New Roman" w:eastAsia="Times New Roman" w:hAnsi="Times New Roman" w:cs="Times New Roman"/>
            <w:color w:val="000000" w:themeColor="text1"/>
            <w:sz w:val="24"/>
            <w:szCs w:val="24"/>
          </w:rPr>
          <w:t xml:space="preserve"> </w:t>
        </w:r>
      </w:hyperlink>
      <w:hyperlink r:id="rId8">
        <w:r w:rsidRPr="00FB6E77">
          <w:rPr>
            <w:rFonts w:ascii="Times New Roman" w:eastAsia="Times New Roman" w:hAnsi="Times New Roman" w:cs="Times New Roman"/>
            <w:color w:val="000000" w:themeColor="text1"/>
            <w:sz w:val="24"/>
            <w:szCs w:val="24"/>
            <w:u w:val="single"/>
          </w:rPr>
          <w:t>https://www.england.nhs.uk/personalisedcare/social-prescribing/</w:t>
        </w:r>
      </w:hyperlink>
      <w:r w:rsidRPr="00FB6E77">
        <w:rPr>
          <w:rFonts w:ascii="Times New Roman" w:eastAsia="Times New Roman" w:hAnsi="Times New Roman" w:cs="Times New Roman"/>
          <w:color w:val="000000" w:themeColor="text1"/>
          <w:sz w:val="24"/>
          <w:szCs w:val="24"/>
        </w:rPr>
        <w:t xml:space="preserve"> [Accessed on: 28</w:t>
      </w:r>
      <w:r w:rsidRPr="00FB6E77">
        <w:rPr>
          <w:rFonts w:ascii="Times New Roman" w:eastAsia="Times New Roman" w:hAnsi="Times New Roman" w:cs="Times New Roman"/>
          <w:color w:val="000000" w:themeColor="text1"/>
          <w:sz w:val="24"/>
          <w:szCs w:val="24"/>
          <w:vertAlign w:val="superscript"/>
        </w:rPr>
        <w:t>th</w:t>
      </w:r>
      <w:r w:rsidRPr="00FB6E77">
        <w:rPr>
          <w:rFonts w:ascii="Times New Roman" w:eastAsia="Times New Roman" w:hAnsi="Times New Roman" w:cs="Times New Roman"/>
          <w:color w:val="000000" w:themeColor="text1"/>
          <w:sz w:val="24"/>
          <w:szCs w:val="24"/>
        </w:rPr>
        <w:t xml:space="preserve"> November, 2023]</w:t>
      </w:r>
    </w:p>
    <w:p w14:paraId="073CA4B0"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Fixsen, A. and Polley, M., 2020. Social prescribing for stress related disorders and brain health. </w:t>
      </w:r>
      <w:r w:rsidRPr="00FB6E77">
        <w:rPr>
          <w:rFonts w:ascii="Times New Roman" w:eastAsia="Times New Roman" w:hAnsi="Times New Roman" w:cs="Times New Roman"/>
          <w:i/>
          <w:color w:val="000000" w:themeColor="text1"/>
          <w:sz w:val="24"/>
          <w:szCs w:val="24"/>
        </w:rPr>
        <w:t>International Review of Neurobiology</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152</w:t>
      </w:r>
      <w:r w:rsidRPr="00FB6E77">
        <w:rPr>
          <w:rFonts w:ascii="Times New Roman" w:eastAsia="Times New Roman" w:hAnsi="Times New Roman" w:cs="Times New Roman"/>
          <w:color w:val="000000" w:themeColor="text1"/>
          <w:sz w:val="24"/>
          <w:szCs w:val="24"/>
        </w:rPr>
        <w:t>, pp.237-257.</w:t>
      </w:r>
    </w:p>
    <w:p w14:paraId="3C86ADB5"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Fleming, M.D., 2023. Social prescribing and the search for value in health care. </w:t>
      </w:r>
      <w:r w:rsidRPr="00FB6E77">
        <w:rPr>
          <w:rFonts w:ascii="Times New Roman" w:eastAsia="Times New Roman" w:hAnsi="Times New Roman" w:cs="Times New Roman"/>
          <w:i/>
          <w:color w:val="000000" w:themeColor="text1"/>
          <w:sz w:val="24"/>
          <w:szCs w:val="24"/>
        </w:rPr>
        <w:t>Economy and Society</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52</w:t>
      </w:r>
      <w:r w:rsidRPr="00FB6E77">
        <w:rPr>
          <w:rFonts w:ascii="Times New Roman" w:eastAsia="Times New Roman" w:hAnsi="Times New Roman" w:cs="Times New Roman"/>
          <w:color w:val="000000" w:themeColor="text1"/>
          <w:sz w:val="24"/>
          <w:szCs w:val="24"/>
        </w:rPr>
        <w:t>(2), pp.325-348.</w:t>
      </w:r>
    </w:p>
    <w:p w14:paraId="15C2D452"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Hopkins, G., Winrow, E., Davies, C. and Seddon, D., 2023. Beyond social prescribing—The use of social return on investment (SROI) analysis in integrated health and social care interventions in England and Wales: A protocol for a systematic review. </w:t>
      </w:r>
      <w:r w:rsidRPr="00FB6E77">
        <w:rPr>
          <w:rFonts w:ascii="Times New Roman" w:eastAsia="Times New Roman" w:hAnsi="Times New Roman" w:cs="Times New Roman"/>
          <w:i/>
          <w:color w:val="000000" w:themeColor="text1"/>
          <w:sz w:val="24"/>
          <w:szCs w:val="24"/>
        </w:rPr>
        <w:t>Plos one</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18</w:t>
      </w:r>
      <w:r w:rsidRPr="00FB6E77">
        <w:rPr>
          <w:rFonts w:ascii="Times New Roman" w:eastAsia="Times New Roman" w:hAnsi="Times New Roman" w:cs="Times New Roman"/>
          <w:color w:val="000000" w:themeColor="text1"/>
          <w:sz w:val="24"/>
          <w:szCs w:val="24"/>
        </w:rPr>
        <w:t>(2), p.e0277386.</w:t>
      </w:r>
    </w:p>
    <w:p w14:paraId="6E57FFEA"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Kellezi, B., Wakefield, J.R.H., Stevenson, C., McNamara, N., Mair, E., Bowe, M., Wilson, I. and Halder, M.M., 2019. The social cure of social prescribing: a mixed-methods study on the benefits of social connectedness on quality and effectiveness of care provision. </w:t>
      </w:r>
      <w:r w:rsidRPr="00FB6E77">
        <w:rPr>
          <w:rFonts w:ascii="Times New Roman" w:eastAsia="Times New Roman" w:hAnsi="Times New Roman" w:cs="Times New Roman"/>
          <w:i/>
          <w:color w:val="000000" w:themeColor="text1"/>
          <w:sz w:val="24"/>
          <w:szCs w:val="24"/>
        </w:rPr>
        <w:t>BMJ open</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9</w:t>
      </w:r>
      <w:r w:rsidRPr="00FB6E77">
        <w:rPr>
          <w:rFonts w:ascii="Times New Roman" w:eastAsia="Times New Roman" w:hAnsi="Times New Roman" w:cs="Times New Roman"/>
          <w:color w:val="000000" w:themeColor="text1"/>
          <w:sz w:val="24"/>
          <w:szCs w:val="24"/>
        </w:rPr>
        <w:t>(11), p.e033137.</w:t>
      </w:r>
    </w:p>
    <w:p w14:paraId="4101A1B4"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Kleinman, M.B., Hines, A.C., Anvari, M.S., Bradley, V.D., Shields, A., Dean, D., Abidogun, T.M., Jack, H.E. and Magidson, J.F., 2023. “You rise up and then you start pulling people up with you”: Patient experiences with a peer-delivered behavioral activation intervention to support methadone treatment. </w:t>
      </w:r>
      <w:r w:rsidRPr="00FB6E77">
        <w:rPr>
          <w:rFonts w:ascii="Times New Roman" w:eastAsia="Times New Roman" w:hAnsi="Times New Roman" w:cs="Times New Roman"/>
          <w:i/>
          <w:color w:val="000000" w:themeColor="text1"/>
          <w:sz w:val="24"/>
          <w:szCs w:val="24"/>
        </w:rPr>
        <w:t>International Journal of Drug Policy</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122</w:t>
      </w:r>
      <w:r w:rsidRPr="00FB6E77">
        <w:rPr>
          <w:rFonts w:ascii="Times New Roman" w:eastAsia="Times New Roman" w:hAnsi="Times New Roman" w:cs="Times New Roman"/>
          <w:color w:val="000000" w:themeColor="text1"/>
          <w:sz w:val="24"/>
          <w:szCs w:val="24"/>
        </w:rPr>
        <w:t>, p.104234.</w:t>
      </w:r>
    </w:p>
    <w:p w14:paraId="76A54D3B"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Morris, D., Thomas, P., Ridley, J. and Webber, M., 2022. Community-Enhanced social prescribing: integrating community in policy and practice. </w:t>
      </w:r>
      <w:r w:rsidRPr="00FB6E77">
        <w:rPr>
          <w:rFonts w:ascii="Times New Roman" w:eastAsia="Times New Roman" w:hAnsi="Times New Roman" w:cs="Times New Roman"/>
          <w:i/>
          <w:color w:val="000000" w:themeColor="text1"/>
          <w:sz w:val="24"/>
          <w:szCs w:val="24"/>
        </w:rPr>
        <w:t>International Journal of Community Well-Being</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5</w:t>
      </w:r>
      <w:r w:rsidRPr="00FB6E77">
        <w:rPr>
          <w:rFonts w:ascii="Times New Roman" w:eastAsia="Times New Roman" w:hAnsi="Times New Roman" w:cs="Times New Roman"/>
          <w:color w:val="000000" w:themeColor="text1"/>
          <w:sz w:val="24"/>
          <w:szCs w:val="24"/>
        </w:rPr>
        <w:t>(1), pp.179-195.</w:t>
      </w:r>
    </w:p>
    <w:p w14:paraId="3E90BE47"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lastRenderedPageBreak/>
        <w:t xml:space="preserve">Patel, S., Craigen, G., Pinto da Costa, M. and Inkster, B., 2021. Opportunities and challenges for digital social prescribing in mental health: questionnaire study. </w:t>
      </w:r>
      <w:r w:rsidRPr="00FB6E77">
        <w:rPr>
          <w:rFonts w:ascii="Times New Roman" w:eastAsia="Times New Roman" w:hAnsi="Times New Roman" w:cs="Times New Roman"/>
          <w:i/>
          <w:color w:val="000000" w:themeColor="text1"/>
          <w:sz w:val="24"/>
          <w:szCs w:val="24"/>
        </w:rPr>
        <w:t>Journal of medical Internet research</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23</w:t>
      </w:r>
      <w:r w:rsidRPr="00FB6E77">
        <w:rPr>
          <w:rFonts w:ascii="Times New Roman" w:eastAsia="Times New Roman" w:hAnsi="Times New Roman" w:cs="Times New Roman"/>
          <w:color w:val="000000" w:themeColor="text1"/>
          <w:sz w:val="24"/>
          <w:szCs w:val="24"/>
        </w:rPr>
        <w:t>(3), p.e17438.</w:t>
      </w:r>
    </w:p>
    <w:p w14:paraId="51E08EB8" w14:textId="77777777" w:rsidR="0009142D" w:rsidRPr="00FB6E77" w:rsidRDefault="00D315C6" w:rsidP="00FB6E77">
      <w:pPr>
        <w:spacing w:before="240" w:after="240" w:line="360" w:lineRule="auto"/>
        <w:jc w:val="both"/>
        <w:rPr>
          <w:rFonts w:ascii="Times New Roman" w:eastAsia="Times New Roman" w:hAnsi="Times New Roman" w:cs="Times New Roman"/>
          <w:color w:val="000000" w:themeColor="text1"/>
          <w:sz w:val="24"/>
          <w:szCs w:val="24"/>
        </w:rPr>
      </w:pPr>
      <w:r w:rsidRPr="00FB6E77">
        <w:rPr>
          <w:rFonts w:ascii="Times New Roman" w:eastAsia="Times New Roman" w:hAnsi="Times New Roman" w:cs="Times New Roman"/>
          <w:color w:val="000000" w:themeColor="text1"/>
          <w:sz w:val="24"/>
          <w:szCs w:val="24"/>
        </w:rPr>
        <w:t xml:space="preserve">Vidovic, D., Reinhardt, G.Y. and Hammerton, C., 2021. Can social prescribing foster individual and community well-being? A systematic review of the evidence. </w:t>
      </w:r>
      <w:r w:rsidRPr="00FB6E77">
        <w:rPr>
          <w:rFonts w:ascii="Times New Roman" w:eastAsia="Times New Roman" w:hAnsi="Times New Roman" w:cs="Times New Roman"/>
          <w:i/>
          <w:color w:val="000000" w:themeColor="text1"/>
          <w:sz w:val="24"/>
          <w:szCs w:val="24"/>
        </w:rPr>
        <w:t>International journal of environmental research and public health</w:t>
      </w:r>
      <w:r w:rsidRPr="00FB6E77">
        <w:rPr>
          <w:rFonts w:ascii="Times New Roman" w:eastAsia="Times New Roman" w:hAnsi="Times New Roman" w:cs="Times New Roman"/>
          <w:color w:val="000000" w:themeColor="text1"/>
          <w:sz w:val="24"/>
          <w:szCs w:val="24"/>
        </w:rPr>
        <w:t xml:space="preserve">, </w:t>
      </w:r>
      <w:r w:rsidRPr="00FB6E77">
        <w:rPr>
          <w:rFonts w:ascii="Times New Roman" w:eastAsia="Times New Roman" w:hAnsi="Times New Roman" w:cs="Times New Roman"/>
          <w:i/>
          <w:color w:val="000000" w:themeColor="text1"/>
          <w:sz w:val="24"/>
          <w:szCs w:val="24"/>
        </w:rPr>
        <w:t>18</w:t>
      </w:r>
      <w:r w:rsidRPr="00FB6E77">
        <w:rPr>
          <w:rFonts w:ascii="Times New Roman" w:eastAsia="Times New Roman" w:hAnsi="Times New Roman" w:cs="Times New Roman"/>
          <w:color w:val="000000" w:themeColor="text1"/>
          <w:sz w:val="24"/>
          <w:szCs w:val="24"/>
        </w:rPr>
        <w:t>(10), p.5276.</w:t>
      </w:r>
    </w:p>
    <w:p w14:paraId="00000020" w14:textId="77777777" w:rsidR="007934E8" w:rsidRPr="00FB6E77" w:rsidRDefault="007934E8" w:rsidP="00FB6E77">
      <w:pPr>
        <w:spacing w:before="240" w:after="240" w:line="360" w:lineRule="auto"/>
        <w:jc w:val="both"/>
        <w:rPr>
          <w:rFonts w:ascii="Times New Roman" w:eastAsia="Times New Roman" w:hAnsi="Times New Roman" w:cs="Times New Roman"/>
          <w:color w:val="000000" w:themeColor="text1"/>
          <w:sz w:val="24"/>
          <w:szCs w:val="24"/>
        </w:rPr>
      </w:pPr>
    </w:p>
    <w:sectPr w:rsidR="007934E8" w:rsidRPr="00FB6E77" w:rsidSect="009E05C1">
      <w:footerReference w:type="default" r:id="rId9"/>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17EC0" w14:textId="77777777" w:rsidR="00DD10C3" w:rsidRDefault="00DD10C3">
      <w:pPr>
        <w:spacing w:line="240" w:lineRule="auto"/>
      </w:pPr>
      <w:r>
        <w:separator/>
      </w:r>
    </w:p>
  </w:endnote>
  <w:endnote w:type="continuationSeparator" w:id="0">
    <w:p w14:paraId="3844C739" w14:textId="77777777" w:rsidR="00DD10C3" w:rsidRDefault="00DD10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726101"/>
      <w:docPartObj>
        <w:docPartGallery w:val="Page Numbers (Bottom of Page)"/>
        <w:docPartUnique/>
      </w:docPartObj>
    </w:sdtPr>
    <w:sdtEndPr>
      <w:rPr>
        <w:noProof/>
      </w:rPr>
    </w:sdtEndPr>
    <w:sdtContent>
      <w:p w14:paraId="08B33D5B" w14:textId="0A3FE52B" w:rsidR="0009142D" w:rsidRDefault="00D315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6A9C2" w14:textId="77777777" w:rsidR="0009142D" w:rsidRDefault="00091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DB4CA" w14:textId="77777777" w:rsidR="00DD10C3" w:rsidRDefault="00DD10C3">
      <w:pPr>
        <w:spacing w:line="240" w:lineRule="auto"/>
      </w:pPr>
      <w:r>
        <w:separator/>
      </w:r>
    </w:p>
  </w:footnote>
  <w:footnote w:type="continuationSeparator" w:id="0">
    <w:p w14:paraId="2E3AF5FE" w14:textId="77777777" w:rsidR="00DD10C3" w:rsidRDefault="00DD10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4E8"/>
    <w:rsid w:val="000643C4"/>
    <w:rsid w:val="0009142D"/>
    <w:rsid w:val="001E72D8"/>
    <w:rsid w:val="00333DD3"/>
    <w:rsid w:val="00396C7F"/>
    <w:rsid w:val="006D0521"/>
    <w:rsid w:val="007934E8"/>
    <w:rsid w:val="009E05C1"/>
    <w:rsid w:val="00B56073"/>
    <w:rsid w:val="00C057C9"/>
    <w:rsid w:val="00C163DE"/>
    <w:rsid w:val="00C75E35"/>
    <w:rsid w:val="00C97609"/>
    <w:rsid w:val="00D315C6"/>
    <w:rsid w:val="00D9318F"/>
    <w:rsid w:val="00DD10C3"/>
    <w:rsid w:val="00FB6E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C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9142D"/>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9142D"/>
    <w:pPr>
      <w:tabs>
        <w:tab w:val="center" w:pos="4513"/>
        <w:tab w:val="right" w:pos="9026"/>
      </w:tabs>
      <w:spacing w:line="240" w:lineRule="auto"/>
    </w:pPr>
  </w:style>
  <w:style w:type="character" w:customStyle="1" w:styleId="HeaderChar">
    <w:name w:val="Header Char"/>
    <w:basedOn w:val="DefaultParagraphFont"/>
    <w:link w:val="Header"/>
    <w:uiPriority w:val="99"/>
    <w:rsid w:val="0009142D"/>
  </w:style>
  <w:style w:type="paragraph" w:styleId="Footer">
    <w:name w:val="footer"/>
    <w:basedOn w:val="Normal"/>
    <w:link w:val="FooterChar"/>
    <w:uiPriority w:val="99"/>
    <w:unhideWhenUsed/>
    <w:rsid w:val="0009142D"/>
    <w:pPr>
      <w:tabs>
        <w:tab w:val="center" w:pos="4513"/>
        <w:tab w:val="right" w:pos="9026"/>
      </w:tabs>
      <w:spacing w:line="240" w:lineRule="auto"/>
    </w:pPr>
  </w:style>
  <w:style w:type="character" w:customStyle="1" w:styleId="FooterChar">
    <w:name w:val="Footer Char"/>
    <w:basedOn w:val="DefaultParagraphFont"/>
    <w:link w:val="Footer"/>
    <w:uiPriority w:val="99"/>
    <w:rsid w:val="0009142D"/>
  </w:style>
  <w:style w:type="paragraph" w:styleId="TOCHeading">
    <w:name w:val="TOC Heading"/>
    <w:basedOn w:val="Heading1"/>
    <w:next w:val="Normal"/>
    <w:uiPriority w:val="39"/>
    <w:unhideWhenUsed/>
    <w:qFormat/>
    <w:rsid w:val="006D052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D0521"/>
    <w:pPr>
      <w:spacing w:after="100"/>
    </w:pPr>
  </w:style>
  <w:style w:type="character" w:styleId="Hyperlink">
    <w:name w:val="Hyperlink"/>
    <w:basedOn w:val="DefaultParagraphFont"/>
    <w:uiPriority w:val="99"/>
    <w:unhideWhenUsed/>
    <w:rsid w:val="006D05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social-prescribing/" TargetMode="External"/><Relationship Id="rId3" Type="http://schemas.openxmlformats.org/officeDocument/2006/relationships/settings" Target="settings.xml"/><Relationship Id="rId7" Type="http://schemas.openxmlformats.org/officeDocument/2006/relationships/hyperlink" Target="https://www.england.nhs.uk/personalisedcare/social-prescrib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E8BE5-429E-4F2C-B7E6-F6F18BBC8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2242</Words>
  <Characters>12786</Characters>
  <Application>Microsoft Office Word</Application>
  <DocSecurity>0</DocSecurity>
  <Lines>106</Lines>
  <Paragraphs>29</Paragraphs>
  <ScaleCrop>false</ScaleCrop>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2023-11-29T14:52:00Z</dcterms:created>
  <dcterms:modified xsi:type="dcterms:W3CDTF">2023-11-30T12:12:00Z</dcterms:modified>
</cp:coreProperties>
</file>