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039D88" w14:textId="77777777" w:rsidR="007C732F" w:rsidRDefault="007C732F" w:rsidP="007C732F">
      <w:pPr>
        <w:jc w:val="center"/>
        <w:rPr>
          <w:b/>
          <w:bCs/>
          <w:sz w:val="36"/>
          <w:szCs w:val="36"/>
        </w:rPr>
      </w:pPr>
      <w:r w:rsidRPr="007C732F">
        <w:rPr>
          <w:b/>
          <w:bCs/>
          <w:sz w:val="36"/>
          <w:szCs w:val="36"/>
        </w:rPr>
        <w:t>Age and the Critical Period Hypothesis: A Comparative Analysis of L2 Acquisition in Children and Adults</w:t>
      </w:r>
    </w:p>
    <w:p w14:paraId="3146ADA2" w14:textId="2CBA5C18" w:rsidR="007C732F" w:rsidRDefault="007C732F" w:rsidP="007C732F">
      <w:pPr>
        <w:jc w:val="center"/>
        <w:rPr>
          <w:rFonts w:cs="Times New Roman"/>
          <w:szCs w:val="22"/>
        </w:rPr>
      </w:pPr>
      <w:proofErr w:type="spellStart"/>
      <w:r>
        <w:rPr>
          <w:rFonts w:cs="Times New Roman" w:hint="eastAsia"/>
          <w:szCs w:val="22"/>
        </w:rPr>
        <w:t>Puyang</w:t>
      </w:r>
      <w:proofErr w:type="spellEnd"/>
      <w:r>
        <w:rPr>
          <w:rFonts w:cs="Times New Roman" w:hint="eastAsia"/>
          <w:szCs w:val="22"/>
        </w:rPr>
        <w:t xml:space="preserve"> Sun</w:t>
      </w:r>
    </w:p>
    <w:p w14:paraId="34E4D80F" w14:textId="4CDE2F13" w:rsidR="007C732F" w:rsidRPr="007C732F" w:rsidRDefault="007C732F" w:rsidP="007C732F">
      <w:pPr>
        <w:jc w:val="center"/>
        <w:rPr>
          <w:rFonts w:cs="Times New Roman"/>
          <w:szCs w:val="22"/>
        </w:rPr>
      </w:pPr>
      <w:r>
        <w:rPr>
          <w:rFonts w:cs="Times New Roman" w:hint="eastAsia"/>
          <w:szCs w:val="22"/>
        </w:rPr>
        <w:t>2405847</w:t>
      </w:r>
    </w:p>
    <w:p w14:paraId="294F2892" w14:textId="5C769A20" w:rsidR="00BE5284" w:rsidRPr="005B3CFA" w:rsidRDefault="00BE5284" w:rsidP="00A96C1A">
      <w:pPr>
        <w:rPr>
          <w:b/>
          <w:bCs/>
        </w:rPr>
      </w:pPr>
      <w:r w:rsidRPr="005B3CFA">
        <w:rPr>
          <w:b/>
          <w:bCs/>
        </w:rPr>
        <w:t>Introduction</w:t>
      </w:r>
    </w:p>
    <w:p w14:paraId="225F1874" w14:textId="532705C5" w:rsidR="009D111F" w:rsidRDefault="009D111F" w:rsidP="00A96C1A">
      <w:r w:rsidRPr="009D111F">
        <w:t xml:space="preserve">In the field of Second Language Acquisition (SLA), age has long been considered a crucial factor. </w:t>
      </w:r>
      <w:r w:rsidR="00BE5284">
        <w:rPr>
          <w:rFonts w:hint="eastAsia"/>
        </w:rPr>
        <w:t>A</w:t>
      </w:r>
      <w:r w:rsidRPr="009D111F">
        <w:t xml:space="preserve"> phenomenon that </w:t>
      </w:r>
      <w:r w:rsidR="00BE5284">
        <w:rPr>
          <w:rFonts w:hint="eastAsia"/>
        </w:rPr>
        <w:t>l</w:t>
      </w:r>
      <w:r w:rsidR="00BE5284" w:rsidRPr="009D111F">
        <w:t xml:space="preserve">earners at different ages exhibit significant differences in their language acquisition processes </w:t>
      </w:r>
      <w:r w:rsidRPr="009D111F">
        <w:t xml:space="preserve">has drawn widespread attention from researchers. Among the many theories proposed, the “Critical Period Hypothesis” (CPH) stands out as one of the most influential. </w:t>
      </w:r>
      <w:r w:rsidR="00E30D82">
        <w:t>T</w:t>
      </w:r>
      <w:r w:rsidRPr="009D111F">
        <w:t xml:space="preserve">his hypothesis argues that there exists a biologically and neurologically determined </w:t>
      </w:r>
      <w:r w:rsidR="00F75B16">
        <w:rPr>
          <w:rFonts w:hint="eastAsia"/>
        </w:rPr>
        <w:t>critical</w:t>
      </w:r>
      <w:r w:rsidR="00725A60">
        <w:rPr>
          <w:rFonts w:hint="eastAsia"/>
        </w:rPr>
        <w:t xml:space="preserve"> </w:t>
      </w:r>
      <w:r w:rsidR="00725A60">
        <w:t>period</w:t>
      </w:r>
      <w:r w:rsidR="00725A60">
        <w:rPr>
          <w:rFonts w:hint="eastAsia"/>
        </w:rPr>
        <w:t xml:space="preserve"> </w:t>
      </w:r>
      <w:r w:rsidRPr="009D111F">
        <w:t>during which language acquisition is most effective</w:t>
      </w:r>
      <w:r w:rsidR="00E30D82">
        <w:t xml:space="preserve"> </w:t>
      </w:r>
      <w:r w:rsidR="00E30D82" w:rsidRPr="00E30D82">
        <w:t>(Lenneberg, 1967)</w:t>
      </w:r>
      <w:r w:rsidRPr="009D111F">
        <w:t xml:space="preserve">. </w:t>
      </w:r>
      <w:r w:rsidR="001871F6" w:rsidRPr="001871F6">
        <w:t>Scholars generally agree that this period spans from early childhood to just before puberty, a time frame supported by research in neurodevelopment indicating heightened brain plasticity and optimal language receptivity.</w:t>
      </w:r>
      <w:r w:rsidR="001871F6">
        <w:rPr>
          <w:rFonts w:hint="eastAsia"/>
        </w:rPr>
        <w:t xml:space="preserve"> </w:t>
      </w:r>
      <w:r w:rsidRPr="009D111F">
        <w:t xml:space="preserve">If language learning begins within this specific </w:t>
      </w:r>
      <w:r w:rsidR="00725A60">
        <w:t>period</w:t>
      </w:r>
      <w:r w:rsidRPr="009D111F">
        <w:t>, learners are more likely to attain near-native proficiency, whereas those who begin after this period often find it difficult to achieve native-like fluency</w:t>
      </w:r>
      <w:r w:rsidR="00494804" w:rsidRPr="00494804">
        <w:t xml:space="preserve"> (Hartshorne, Tenenbaum and Pinker, 2018</w:t>
      </w:r>
      <w:r w:rsidR="00494804">
        <w:rPr>
          <w:rFonts w:hint="eastAsia"/>
        </w:rPr>
        <w:t>)</w:t>
      </w:r>
      <w:r w:rsidRPr="009D111F">
        <w:t>.</w:t>
      </w:r>
    </w:p>
    <w:p w14:paraId="28D6A446" w14:textId="29000940" w:rsidR="00624C4C" w:rsidRPr="009D111F" w:rsidRDefault="00624C4C" w:rsidP="00624C4C">
      <w:r>
        <w:t>The importance of the CPH extends beyond its theoretical novelty. In practical terms, it provides a foundational framework for explaining the variability in second language learning outcomes among different age groups. It has been widely used to interpret empirical findings related to phonological development, syntactic mastery, and the speed of language acquisition. Understanding the role of age in language learning not only contributes to SLA theory but also has direct implications for educational policies, curriculum design, and language teaching practices across formal and informal settings.</w:t>
      </w:r>
      <w:r w:rsidR="00F75B16">
        <w:t xml:space="preserve"> </w:t>
      </w:r>
      <w:r>
        <w:t xml:space="preserve">Moreover, the CPH intersects with research in developmental psychology and cognitive neuroscience. Recent advances in brain imaging techniques have supported some of its claims, showing that early language learners tend to </w:t>
      </w:r>
      <w:r>
        <w:lastRenderedPageBreak/>
        <w:t xml:space="preserve">engage more efficient and overlapping neural networks for L1 and L2 processing. In contrast, adult learners often require the recruitment of additional brain regions, which may reflect increased cognitive effort and less automaticity. These findings highlight how neurological plasticity interacts with environmental input, strengthening the argument for a biologically constrained </w:t>
      </w:r>
      <w:r w:rsidR="00F75B16">
        <w:t>period</w:t>
      </w:r>
      <w:r>
        <w:t xml:space="preserve"> of optimal language learning.</w:t>
      </w:r>
    </w:p>
    <w:p w14:paraId="17E6DEE8" w14:textId="6F1D5D43" w:rsidR="001E42EC" w:rsidRDefault="009D111F" w:rsidP="001E42EC">
      <w:r w:rsidRPr="009D111F">
        <w:t>This paper will first provide a detailed definition and explanation of the C</w:t>
      </w:r>
      <w:r w:rsidR="00A10EE8">
        <w:t>PH</w:t>
      </w:r>
      <w:r w:rsidRPr="009D111F">
        <w:t>. Then, it will examine key empirical studies</w:t>
      </w:r>
      <w:r w:rsidR="00191832">
        <w:t xml:space="preserve"> </w:t>
      </w:r>
      <w:r w:rsidRPr="009D111F">
        <w:t>to compare the language acquisition performance of children and adults. By exploring the similarities and differences between L2 children and L2 adults, this paper will investigate how age specifically impacts various dimensions of language acquisition, such as pronunciation, grammar, and metalinguistic awareness. Finally, based on these findings, the paper will analyze the pedagogical implications of the different learning characteristics of children and adults, and propose targeted teaching strategies to improve the effectiveness and appropriateness of language instruction.</w:t>
      </w:r>
    </w:p>
    <w:p w14:paraId="5CB77095" w14:textId="335D28ED" w:rsidR="009D111F" w:rsidRPr="005B3CFA" w:rsidRDefault="009D111F" w:rsidP="009D111F">
      <w:pPr>
        <w:rPr>
          <w:b/>
          <w:bCs/>
        </w:rPr>
      </w:pPr>
      <w:r w:rsidRPr="005B3CFA">
        <w:rPr>
          <w:b/>
          <w:bCs/>
        </w:rPr>
        <w:t>Definition of the Critical Period Hypothesis</w:t>
      </w:r>
    </w:p>
    <w:p w14:paraId="1727EB44" w14:textId="284C7FF1" w:rsidR="009D111F" w:rsidRDefault="009D111F" w:rsidP="009D111F">
      <w:r>
        <w:t>The CPH, first clearly articulated by Lenneberg in 1967, is one of the most important theoretical assumptions in the field of language acquisition. The core idea of the hypothesis is that the ability to acquire language is significantly stronger during a specific developmental period of human life—generally before puberty—than afterward. This specific developmental stage is referred to as the “critical period.” If an individual receives sufficient language input and stimulation during this period, they can acquire language naturally and efficiently and potentially reach a level very close to native speakers. However, if this period is missed, language acquisition tends to be slower and less effective, and learners often struggle to attain near-native fluency.</w:t>
      </w:r>
    </w:p>
    <w:p w14:paraId="16F7180E" w14:textId="29383622" w:rsidR="005812BF" w:rsidRDefault="005812BF" w:rsidP="005812BF">
      <w:r>
        <w:t xml:space="preserve">Later research has nuanced this view by suggesting that different linguistic components—such as phonology, morphosyntax, and pragmatics—may have slightly different sensitive </w:t>
      </w:r>
      <w:r w:rsidR="00F75B16">
        <w:t>period</w:t>
      </w:r>
      <w:r>
        <w:t>s, with phonology typically being the most constrained by age.</w:t>
      </w:r>
      <w:r>
        <w:rPr>
          <w:rFonts w:hint="eastAsia"/>
        </w:rPr>
        <w:t xml:space="preserve"> </w:t>
      </w:r>
      <w:r>
        <w:t xml:space="preserve">This has led to the development of “multiple critical periods” models, which propose </w:t>
      </w:r>
      <w:r w:rsidR="00EB5EEE">
        <w:t>those certain aspects of language</w:t>
      </w:r>
      <w:r>
        <w:t xml:space="preserve"> acquisition decline earlier than others, depending on their neurological demands.</w:t>
      </w:r>
    </w:p>
    <w:p w14:paraId="29F87EE7" w14:textId="73A1F43F" w:rsidR="009D111F" w:rsidRDefault="009D111F" w:rsidP="005812BF">
      <w:r w:rsidRPr="009D111F">
        <w:lastRenderedPageBreak/>
        <w:t xml:space="preserve">Lenneberg’s view was originally based on observations and research regarding the neurological development of the brain. He proposed that the brain, from birth to before puberty, is in a highly plastic state. During this time, the brain’s language-processing functions have not yet fully lateralized—meaning that language-related neural activity is not fixed in one hemisphere but distributed more flexibly. Children, under these neurological conditions, can acquire language quickly in natural environments without explicit instruction or formal rule learning. After puberty, however, neural plasticity decreases, and language functions become increasingly concentrated in specific areas of the left hemisphere. Consequently, language acquisition shifts from being an implicit, efficient process to a more rigid and less effective explicit learning task. This means that adults often require more cognitive strategies, explicit explanations, and conscious practice </w:t>
      </w:r>
      <w:r w:rsidR="005B3CFA" w:rsidRPr="009D111F">
        <w:t>to</w:t>
      </w:r>
      <w:r w:rsidRPr="009D111F">
        <w:t xml:space="preserve"> gradually master a new language.</w:t>
      </w:r>
      <w:r w:rsidR="005812BF">
        <w:rPr>
          <w:rFonts w:hint="eastAsia"/>
        </w:rPr>
        <w:t xml:space="preserve"> </w:t>
      </w:r>
      <w:r w:rsidR="005812BF">
        <w:t>Recent findings in neuroimaging have supported this developmental trajectory, showing that adult learners activate more distributed cortical regions when processing a second language, especially in grammar and pronunciation tasks.</w:t>
      </w:r>
      <w:r w:rsidR="005812BF">
        <w:rPr>
          <w:rFonts w:hint="eastAsia"/>
        </w:rPr>
        <w:t xml:space="preserve"> </w:t>
      </w:r>
      <w:r w:rsidR="005812BF">
        <w:t>These neural adaptations, while beneficial to some extent, are often less efficient than the natural acquisition processes observed in children.</w:t>
      </w:r>
    </w:p>
    <w:p w14:paraId="3DE0CCEC" w14:textId="3F89C4A8" w:rsidR="005B3CFA" w:rsidRDefault="005B3CFA" w:rsidP="005812BF">
      <w:r w:rsidRPr="005B3CFA">
        <w:t>The</w:t>
      </w:r>
      <w:r>
        <w:t xml:space="preserve"> </w:t>
      </w:r>
      <w:r w:rsidRPr="005B3CFA">
        <w:t>CP</w:t>
      </w:r>
      <w:r>
        <w:t>H</w:t>
      </w:r>
      <w:r w:rsidRPr="005B3CFA">
        <w:t xml:space="preserve"> holds particular significance in the field of SLA, as it emphasizes the impact of age on the effectiveness of language learning. It suggests that instructional design should be tailored to learners’ age-specific neurocognitive characteristics. </w:t>
      </w:r>
      <w:r w:rsidR="005812BF">
        <w:t>Specifically, it highlights the importance of early exposure programs and immersion environments for children, while also reinforcing the need for strategy-based, rule-oriented instruction for adults.</w:t>
      </w:r>
      <w:r w:rsidR="005812BF">
        <w:rPr>
          <w:rFonts w:hint="eastAsia"/>
        </w:rPr>
        <w:t xml:space="preserve"> </w:t>
      </w:r>
      <w:r w:rsidR="005812BF">
        <w:t>Such differentiation acknowledges not only learners’ biological predispositions but also their cognitive capacities and learning preferences.</w:t>
      </w:r>
    </w:p>
    <w:p w14:paraId="0BAEEE70" w14:textId="29F06876" w:rsidR="001B5EBB" w:rsidRDefault="005B3CFA" w:rsidP="005B3CFA">
      <w:r w:rsidRPr="005B3CFA">
        <w:t>In summary, the C</w:t>
      </w:r>
      <w:r>
        <w:t>PH</w:t>
      </w:r>
      <w:r w:rsidRPr="005B3CFA">
        <w:t xml:space="preserve"> clearly defines a key </w:t>
      </w:r>
      <w:r>
        <w:t>period</w:t>
      </w:r>
      <w:r w:rsidRPr="005B3CFA">
        <w:t xml:space="preserve"> for language acquisition</w:t>
      </w:r>
      <w:r>
        <w:t xml:space="preserve"> </w:t>
      </w:r>
      <w:r w:rsidRPr="005B3CFA">
        <w:t>based on changes in neural plasticity. Although the hypothesis has been subject to debate, it continues to provide a compelling theoretical framework for understanding the role of age in language learning and has profound implications for language education.</w:t>
      </w:r>
      <w:r w:rsidR="005812BF">
        <w:rPr>
          <w:rFonts w:hint="eastAsia"/>
        </w:rPr>
        <w:t xml:space="preserve"> </w:t>
      </w:r>
      <w:r w:rsidR="005812BF" w:rsidRPr="005812BF">
        <w:t xml:space="preserve">It challenges educators to critically consider the timing and methods of language </w:t>
      </w:r>
      <w:r w:rsidR="00E30D82" w:rsidRPr="005812BF">
        <w:t>instruction and</w:t>
      </w:r>
      <w:r w:rsidR="005812BF" w:rsidRPr="005812BF">
        <w:t xml:space="preserve"> encourages researchers to further investigate how neurodevelopment and language environment interact to shape multilingual outcomes over the lifespan.</w:t>
      </w:r>
    </w:p>
    <w:p w14:paraId="3B09315D" w14:textId="3F949A94" w:rsidR="005B3CFA" w:rsidRPr="00BD1F40" w:rsidRDefault="005B3CFA" w:rsidP="006F759E">
      <w:pPr>
        <w:rPr>
          <w:b/>
          <w:bCs/>
        </w:rPr>
      </w:pPr>
      <w:r w:rsidRPr="00BD1F40">
        <w:rPr>
          <w:b/>
          <w:bCs/>
        </w:rPr>
        <w:lastRenderedPageBreak/>
        <w:t>Comparative Studies of L2 Acquisition in Children and Adults</w:t>
      </w:r>
    </w:p>
    <w:p w14:paraId="105EE5AF" w14:textId="0C4641B8" w:rsidR="005B3CFA" w:rsidRDefault="005B3CFA" w:rsidP="006F759E">
      <w:r w:rsidRPr="005B3CFA">
        <w:t xml:space="preserve">The </w:t>
      </w:r>
      <w:r w:rsidR="00A10EE8">
        <w:t>CPH</w:t>
      </w:r>
      <w:r w:rsidRPr="005B3CFA">
        <w:t xml:space="preserve"> has sparked extensive empirical research in SLA, particularly in comparative studies between child and adult language learners. Learners of different age groups display significant variation in language acquisition speed, overall proficiency, pronunciation, and grammatical development. The following section discusses three representative studies—Johnson &amp; Newport (1989), </w:t>
      </w:r>
      <w:r w:rsidR="00EC52AF" w:rsidRPr="006F7087">
        <w:t>Flege et al.</w:t>
      </w:r>
      <w:r w:rsidR="00EC52AF">
        <w:t xml:space="preserve"> (</w:t>
      </w:r>
      <w:r w:rsidR="00EC52AF" w:rsidRPr="006F7087">
        <w:t>1995</w:t>
      </w:r>
      <w:r w:rsidR="00EC52AF">
        <w:t>)</w:t>
      </w:r>
      <w:r w:rsidRPr="005B3CFA">
        <w:t xml:space="preserve">, and </w:t>
      </w:r>
      <w:r w:rsidR="00DB46C6" w:rsidRPr="00DB46C6">
        <w:t>DeKeyser (2000)</w:t>
      </w:r>
      <w:r w:rsidRPr="005B3CFA">
        <w:t xml:space="preserve">—to illustrate how age influences various dimensions of </w:t>
      </w:r>
      <w:r w:rsidR="006D2657">
        <w:rPr>
          <w:rFonts w:hint="eastAsia"/>
        </w:rPr>
        <w:t>SLA</w:t>
      </w:r>
      <w:r w:rsidRPr="005B3CFA">
        <w:t>.</w:t>
      </w:r>
    </w:p>
    <w:p w14:paraId="7ACB768C" w14:textId="3E8337F1" w:rsidR="009D111F" w:rsidRDefault="009D111F" w:rsidP="0091412F">
      <w:pPr>
        <w:pStyle w:val="a9"/>
        <w:numPr>
          <w:ilvl w:val="0"/>
          <w:numId w:val="2"/>
        </w:numPr>
      </w:pPr>
      <w:r>
        <w:t xml:space="preserve">Johnson &amp; Newport (1989): The Relationship </w:t>
      </w:r>
      <w:r w:rsidR="009526E8">
        <w:rPr>
          <w:rFonts w:hint="eastAsia"/>
        </w:rPr>
        <w:t>B</w:t>
      </w:r>
      <w:r>
        <w:t>etween Grammar Acquisition and Age</w:t>
      </w:r>
    </w:p>
    <w:p w14:paraId="7E502039" w14:textId="6AE89BDA" w:rsidR="0091412F" w:rsidRDefault="0091412F" w:rsidP="004B59BF">
      <w:r>
        <w:t xml:space="preserve">The classic study conducted by Johnson and Newport (1989) is widely regarded as one of the most important empirical supports for the CPH. This study focused on 46 learners who had immigrated to the United States from China or Korea. These participants arrived in the U.S. between the ages of 3 and 39 and had lived in the country for more than five years. All had received formal education in the U.S. and demonstrated a high level of English proficiency. The main task of the study was to assess their ability to judge the grammaticality of English sentences. </w:t>
      </w:r>
      <w:r w:rsidRPr="009D111F">
        <w:t>The findings revealed that those who arrived in the United States before puberty—especially before the age of seven—performed at a level comparable to native speakers in the grammaticality judgment task. In contrast, participants who began learning English after puberty showed a gradual decline in grammatical performance as the age increased. This result demonstrates a clear negative correlation: the older the learner was when they began acquiring the second language, the weaker their grammatical ability tended to be.</w:t>
      </w:r>
      <w:r w:rsidR="004B59BF">
        <w:rPr>
          <w:rFonts w:hint="eastAsia"/>
        </w:rPr>
        <w:t xml:space="preserve"> </w:t>
      </w:r>
      <w:r w:rsidR="004B59BF">
        <w:t>Additional analysis of these participants revealed that the decline in grammatical performance was not abrupt but rather progressive, indicating a gradual waning of implicit learning efficiency rather than a sudden cognitive cutoff.</w:t>
      </w:r>
      <w:r w:rsidR="004B59BF">
        <w:rPr>
          <w:rFonts w:hint="eastAsia"/>
        </w:rPr>
        <w:t xml:space="preserve"> </w:t>
      </w:r>
      <w:r w:rsidR="004B59BF">
        <w:t>This nuance has important implications for understanding how second language input is processed differently depending on the learner’s age at onset.</w:t>
      </w:r>
    </w:p>
    <w:p w14:paraId="21D6244F" w14:textId="7992383B" w:rsidR="0091412F" w:rsidRDefault="0091412F" w:rsidP="0091412F">
      <w:r w:rsidRPr="009D111F">
        <w:t xml:space="preserve">This study provided strong empirical support for the </w:t>
      </w:r>
      <w:r>
        <w:t>CPH</w:t>
      </w:r>
      <w:r w:rsidRPr="009D111F">
        <w:t xml:space="preserve">. It confirmed the close relationship between the age of acquisition and ultimate language attainment, and it demonstrated that children are more likely to achieve near-native mastery of grammar. In contrast, adult learners, although capable of acquiring grammatical knowledge, are more likely to show inconsistencies </w:t>
      </w:r>
      <w:r w:rsidRPr="009D111F">
        <w:lastRenderedPageBreak/>
        <w:t>in rule application and difficulties in automatizing linguistic structures. These differences highlight the brain’s heightened sensitivity to language input and its processing efficiency during the critical period.</w:t>
      </w:r>
    </w:p>
    <w:p w14:paraId="34086B60" w14:textId="451B5AE9" w:rsidR="0091412F" w:rsidRDefault="006F7087" w:rsidP="009D111F">
      <w:pPr>
        <w:pStyle w:val="a9"/>
        <w:numPr>
          <w:ilvl w:val="0"/>
          <w:numId w:val="2"/>
        </w:numPr>
      </w:pPr>
      <w:r w:rsidRPr="006F7087">
        <w:t>Flege et al.</w:t>
      </w:r>
      <w:r w:rsidR="00EC52AF">
        <w:t xml:space="preserve"> (</w:t>
      </w:r>
      <w:r w:rsidRPr="006F7087">
        <w:t>1995</w:t>
      </w:r>
      <w:r w:rsidR="00EC52AF">
        <w:t>)</w:t>
      </w:r>
      <w:r w:rsidR="0091412F">
        <w:t>: Pronunciation and Age of Acquisition</w:t>
      </w:r>
    </w:p>
    <w:p w14:paraId="31BD486A" w14:textId="439DA0A9" w:rsidR="00302765" w:rsidRDefault="00302765" w:rsidP="00302765">
      <w:r>
        <w:t xml:space="preserve">In the area of pronunciation acquisition, a study conducted by </w:t>
      </w:r>
      <w:r w:rsidR="006F7087" w:rsidRPr="006F7087">
        <w:t>Flege et al.</w:t>
      </w:r>
      <w:r w:rsidR="00EC52AF">
        <w:t xml:space="preserve"> (</w:t>
      </w:r>
      <w:r w:rsidR="006F7087" w:rsidRPr="006F7087">
        <w:t>1995</w:t>
      </w:r>
      <w:r w:rsidR="00EC52AF">
        <w:t>)</w:t>
      </w:r>
      <w:r>
        <w:t xml:space="preserve"> offered further evidence in support of the CPH. This research focused on the impact of age on pronunciation, particularly whether a foreign accent could be successfully eliminated after puberty. The participants included immigrants who had started learning English at different ages, and their pronunciation was assessed through blind evaluations by native speakers.</w:t>
      </w:r>
    </w:p>
    <w:p w14:paraId="458FD390" w14:textId="40D4A062" w:rsidR="00302765" w:rsidRDefault="00302765" w:rsidP="004B59BF">
      <w:r w:rsidRPr="009D111F">
        <w:t xml:space="preserve">The results showed that those who began learning English before puberty often had pronunciation judged to be close to native speakers. On the other hand, those who started learning English after puberty—even after living in English-speaking environments for many years—still retained noticeable foreign accents. These findings further reinforced the applicability of the </w:t>
      </w:r>
      <w:r>
        <w:t>CPH</w:t>
      </w:r>
      <w:r w:rsidRPr="009D111F">
        <w:t xml:space="preserve"> in the domain of phonological development.</w:t>
      </w:r>
      <w:r w:rsidR="004B59BF">
        <w:rPr>
          <w:rFonts w:hint="eastAsia"/>
        </w:rPr>
        <w:t xml:space="preserve"> </w:t>
      </w:r>
      <w:r w:rsidR="004B59BF">
        <w:t>Furthermore, researchers observed that even when adults achieved relatively high intelligibility, subtle deviations in stress, rhythm, and intonation patterns consistently revealed their non-native status.</w:t>
      </w:r>
      <w:r w:rsidR="004B59BF">
        <w:rPr>
          <w:rFonts w:hint="eastAsia"/>
        </w:rPr>
        <w:t xml:space="preserve"> </w:t>
      </w:r>
      <w:r w:rsidR="004B59BF">
        <w:t>This suggests that phonological features tied to prosody are particularly resistant to change beyond the critical period.</w:t>
      </w:r>
    </w:p>
    <w:p w14:paraId="39B418F9" w14:textId="77777777" w:rsidR="00302765" w:rsidRDefault="00302765" w:rsidP="00302765">
      <w:r w:rsidRPr="009D111F">
        <w:t>Phonological acquisition is often considered the aspect of language learning most constrained by the critical period. Compared to grammar and vocabulary, pronunciation relies more heavily on perceptual systems and auditory imitation, both of which are strongly influenced by neural plasticity. Children within the critical period possess more acute abilities in phoneme discrimination and mimicking pronunciation, making it easier for them to develop native-like accent and intonation. In contrast, adult learners often struggle to completely overcome their native phonological patterns due to reduced perceptual flexibility and interference from their first language.</w:t>
      </w:r>
    </w:p>
    <w:p w14:paraId="62BA8CE2" w14:textId="73FD8FE4" w:rsidR="00302765" w:rsidRDefault="00DB46C6" w:rsidP="00302765">
      <w:pPr>
        <w:pStyle w:val="a9"/>
        <w:numPr>
          <w:ilvl w:val="0"/>
          <w:numId w:val="2"/>
        </w:numPr>
      </w:pPr>
      <w:r w:rsidRPr="00DB46C6">
        <w:t>DeKeyser (2000)</w:t>
      </w:r>
      <w:r w:rsidR="00302765">
        <w:t>: Metalinguistic Awareness and Explicit Learning Strategies</w:t>
      </w:r>
    </w:p>
    <w:p w14:paraId="4EEFEE74" w14:textId="24936258" w:rsidR="00DB46C6" w:rsidRDefault="00DB46C6" w:rsidP="00DB46C6">
      <w:r>
        <w:t xml:space="preserve">In contrast to the first two studies that emphasized children’s advantages, DeKeyser (2000) </w:t>
      </w:r>
      <w:r>
        <w:lastRenderedPageBreak/>
        <w:t xml:space="preserve">investigated the cognitive strengths of adult learners in </w:t>
      </w:r>
      <w:r w:rsidR="006D2657">
        <w:rPr>
          <w:rFonts w:hint="eastAsia"/>
        </w:rPr>
        <w:t>SLA</w:t>
      </w:r>
      <w:r>
        <w:t>. His research found that although adults may find it more difficult to attain native-like proficiency in pronunciation or spontaneous grammar use, they are often better at acquiring explicit grammatical knowledge and using it effectively in formal learning contexts.</w:t>
      </w:r>
    </w:p>
    <w:p w14:paraId="2412B8CF" w14:textId="716328D7" w:rsidR="00DB46C6" w:rsidRDefault="00DB46C6" w:rsidP="00DB46C6">
      <w:r>
        <w:t>Adults typically possess more advanced cognitive systems and well-developed logical reasoning skills, which enable them to learn rules analytically. DeKeyser’s study showed that adult learners excel in tasks requiring explicit knowledge, particularly in grammar-focused instruction. They can understand and apply abstract language rules more consistently than younger learners when taught explicitly. Although this learning is less intuitive than children’s implicit acquisition, it is especially effective in classroom settings where rule explanation and conscious control are emphasized.</w:t>
      </w:r>
    </w:p>
    <w:p w14:paraId="68EDB473" w14:textId="0422B380" w:rsidR="00DB46C6" w:rsidRDefault="00DB46C6" w:rsidP="00DB46C6">
      <w:r>
        <w:t>In addition, adult learners tend to use learning strategies such as rule deduction, error monitoring, and form-focused attention. These strategies support more systematic language development and are particularly useful for mastering complex syntactic structures. In contrast, children’s reliance on implicit learning often limits their metalinguistic awareness in the early stages. Adults, by contrast, are more likely to seek feedback, reflect on their errors, and adjust their usage accordingly—behaviors that DeKeyser identifies as essential to long-term language success.</w:t>
      </w:r>
    </w:p>
    <w:p w14:paraId="3237C1E1" w14:textId="291E2AA5" w:rsidR="00302765" w:rsidRDefault="00DB46C6" w:rsidP="00DB46C6">
      <w:r>
        <w:t>This study highlights that while the C</w:t>
      </w:r>
      <w:r w:rsidR="00EB5EEE">
        <w:t>PH</w:t>
      </w:r>
      <w:r>
        <w:t xml:space="preserve"> points to children’s neurological advantages, adult learners bring cognitive and strategic assets that should not be underestimated. Effective language instruction for adults should therefore harness these abilities through explicit teaching methods, strategic support, and opportunities for metacognitive reflection.</w:t>
      </w:r>
    </w:p>
    <w:p w14:paraId="3B25C31D" w14:textId="116433DB" w:rsidR="000E6FC7" w:rsidRDefault="00012DBB" w:rsidP="004B59BF">
      <w:r w:rsidRPr="00012DBB">
        <w:t xml:space="preserve">In conclusion, children and adults each have their own strengths and limitations in the process of </w:t>
      </w:r>
      <w:r w:rsidR="00302765">
        <w:t>SLA</w:t>
      </w:r>
      <w:r w:rsidRPr="00012DBB">
        <w:t>. These studies collectively suggest that language acquisition is not solely determined by age but is also closely related to learning methods, learning content, and strateg</w:t>
      </w:r>
      <w:r w:rsidR="00302765">
        <w:t>ies</w:t>
      </w:r>
      <w:r w:rsidRPr="00012DBB">
        <w:t xml:space="preserve">. Children rely more on natural input and immersive learning, while adults depend more on cognitive analysis and systematic rule learning. </w:t>
      </w:r>
      <w:r w:rsidR="004B59BF">
        <w:t xml:space="preserve">The evidence provided by these studies encourages a shift from age-deterministic perspectives toward more dynamic, experience-based understandings </w:t>
      </w:r>
      <w:r w:rsidR="004B59BF">
        <w:lastRenderedPageBreak/>
        <w:t>of SLA. By acknowledging the multiple dimensions influencing learning outcomes, researchers and practitioners can better address individual learner needs across age groups.</w:t>
      </w:r>
    </w:p>
    <w:p w14:paraId="26A9D0A8" w14:textId="6EFD5E3D" w:rsidR="00012DBB" w:rsidRPr="00302765" w:rsidRDefault="00012DBB" w:rsidP="000E6FC7">
      <w:pPr>
        <w:rPr>
          <w:b/>
          <w:bCs/>
        </w:rPr>
      </w:pPr>
      <w:r w:rsidRPr="00302765">
        <w:rPr>
          <w:b/>
          <w:bCs/>
        </w:rPr>
        <w:t>Similarities and Differences Between Children and Adults in L2 Acquisition</w:t>
      </w:r>
    </w:p>
    <w:p w14:paraId="44DADE59" w14:textId="28662950" w:rsidR="000E6FC7" w:rsidRDefault="00012DBB" w:rsidP="0002489D">
      <w:r w:rsidRPr="00012DBB">
        <w:t xml:space="preserve">Numerous empirical and theoretical studies have shown that while children and adults exhibit marked differences in </w:t>
      </w:r>
      <w:r w:rsidR="0002489D">
        <w:t>SLA</w:t>
      </w:r>
      <w:r w:rsidRPr="00012DBB">
        <w:t>, they also share several important similarities. In fact, the strategies, outcomes, and influencing factors in language acquisition are complex and multifaceted across age groups. A full understanding requires examining both similarities and differences, which also provides essential guidance for instructional design.</w:t>
      </w:r>
    </w:p>
    <w:p w14:paraId="202BBDA7" w14:textId="00959CE8" w:rsidR="00012DBB" w:rsidRDefault="00012DBB" w:rsidP="0002489D">
      <w:pPr>
        <w:pStyle w:val="a9"/>
        <w:numPr>
          <w:ilvl w:val="0"/>
          <w:numId w:val="3"/>
        </w:numPr>
      </w:pPr>
      <w:r w:rsidRPr="00012DBB">
        <w:t>Similarities Between Children and Adults in L2 Acquisition</w:t>
      </w:r>
    </w:p>
    <w:p w14:paraId="78CBF6B4" w14:textId="3B3589A3" w:rsidR="0002489D" w:rsidRDefault="0002489D" w:rsidP="0002489D">
      <w:pPr>
        <w:pStyle w:val="a9"/>
        <w:numPr>
          <w:ilvl w:val="0"/>
          <w:numId w:val="4"/>
        </w:numPr>
      </w:pPr>
      <w:r>
        <w:t>Dependence on Language Input and Environment</w:t>
      </w:r>
    </w:p>
    <w:p w14:paraId="42F2B228" w14:textId="28803049" w:rsidR="0002489D" w:rsidRDefault="0002489D" w:rsidP="0002489D">
      <w:r>
        <w:t>For both children and adults, language input and learning environment are fundamental to successful language acquisition. Krashen’s (1985</w:t>
      </w:r>
      <w:r w:rsidR="006729C3">
        <w:t>, p. 6</w:t>
      </w:r>
      <w:r>
        <w:t xml:space="preserve">) Input Hypothesis states that learners must receive comprehensible input that is slightly beyond their current level (i+1) </w:t>
      </w:r>
      <w:r w:rsidR="001856EC">
        <w:t>to</w:t>
      </w:r>
      <w:r>
        <w:t xml:space="preserve"> develop their language proficiency. This principle applies across all age groups.</w:t>
      </w:r>
    </w:p>
    <w:p w14:paraId="43C40358" w14:textId="1DEAB75A" w:rsidR="0002489D" w:rsidRDefault="0002489D" w:rsidP="0002489D">
      <w:r w:rsidRPr="00012DBB">
        <w:t>Studies have shown that although children have stronger imitation abilities during the critical period, they still require a rich linguistic environment to successfully acquire a second language. Even within the critical period, if learners lack sufficient and authentic input—such as immersive environments, family support, or peer interaction—their language development may still be hindered. Similarly, although adults face physiological limitations in phonology and grammar acquisition, they can make significant progress given high-quality input.</w:t>
      </w:r>
    </w:p>
    <w:p w14:paraId="0EC46386" w14:textId="1BA53FB2" w:rsidR="0002489D" w:rsidRPr="000E6FC7" w:rsidRDefault="0002489D" w:rsidP="0002489D">
      <w:pPr>
        <w:pStyle w:val="a9"/>
        <w:numPr>
          <w:ilvl w:val="0"/>
          <w:numId w:val="4"/>
        </w:numPr>
      </w:pPr>
      <w:r w:rsidRPr="00012DBB">
        <w:t xml:space="preserve">Interaction and Feedback </w:t>
      </w:r>
      <w:r w:rsidR="001856EC">
        <w:t>a</w:t>
      </w:r>
      <w:r w:rsidRPr="00012DBB">
        <w:t>re Equally Important</w:t>
      </w:r>
    </w:p>
    <w:p w14:paraId="48E55152" w14:textId="77777777" w:rsidR="0002489D" w:rsidRDefault="0002489D" w:rsidP="0002489D">
      <w:r w:rsidRPr="00012DBB">
        <w:t>Long’s (1996) Interaction Hypothesis suggests that language learning is facilitated through conversational interaction involving negotiation of meaning and feedback. Children often engage in such interaction through games, imitation, and teacher prompts, while adults tend to use classroom discussions, task-based learning, and speaking practice.</w:t>
      </w:r>
    </w:p>
    <w:p w14:paraId="256C4C82" w14:textId="77777777" w:rsidR="0002489D" w:rsidRDefault="0002489D" w:rsidP="0002489D">
      <w:r w:rsidRPr="00012DBB">
        <w:t>Research indicates that learners of all ages can benefit from meaningful interaction with others, allowing them to receive input, recognize errors, and make immediate or delayed self-</w:t>
      </w:r>
      <w:r w:rsidRPr="00012DBB">
        <w:lastRenderedPageBreak/>
        <w:t>corrections. Interaction not only strengthens language abilities but also builds learners’ confidence and fluency.</w:t>
      </w:r>
    </w:p>
    <w:p w14:paraId="5DD6EB1F" w14:textId="6E07DAFA" w:rsidR="0002489D" w:rsidRDefault="0002489D" w:rsidP="0002489D">
      <w:pPr>
        <w:pStyle w:val="a9"/>
        <w:numPr>
          <w:ilvl w:val="0"/>
          <w:numId w:val="4"/>
        </w:numPr>
      </w:pPr>
      <w:r>
        <w:t xml:space="preserve">Motivation and Affective Attitudes </w:t>
      </w:r>
      <w:r w:rsidR="007A6A03">
        <w:rPr>
          <w:rFonts w:hint="eastAsia"/>
        </w:rPr>
        <w:t>a</w:t>
      </w:r>
      <w:r>
        <w:t>re Crucial for All Learners</w:t>
      </w:r>
    </w:p>
    <w:p w14:paraId="1B9E27F8" w14:textId="3FC91799" w:rsidR="0002489D" w:rsidRPr="00012DBB" w:rsidRDefault="0002489D" w:rsidP="0002489D">
      <w:r>
        <w:t>Gardner’s (1985</w:t>
      </w:r>
      <w:r w:rsidR="00BD38DB">
        <w:t>, p.145</w:t>
      </w:r>
      <w:r>
        <w:t>) Socio-Educational Model emphasizes that motivation and attitude are key affective variables affecting language learning success. Children tend to be more engaged in relaxed and enjoyable learning environments, whereas adults are often driven by more goal-oriented motives such as studying abroad, career development, or standardized testing.</w:t>
      </w:r>
    </w:p>
    <w:p w14:paraId="5B947FB2" w14:textId="6A4E9047" w:rsidR="0002489D" w:rsidRDefault="0002489D" w:rsidP="0002489D">
      <w:r w:rsidRPr="00012DBB">
        <w:t>Studies have shown that both children’s and adults’ learning outcomes are closely related to their level of motivation. Highly motivated learners are more willing to invest time and effort and are more resilient in the face of challenges. Therefore, regardless of the learner’s age, teachers must prioritize the development of positive motivation and provide a supportive classroom environment.</w:t>
      </w:r>
    </w:p>
    <w:p w14:paraId="1F545034" w14:textId="493C1D4C" w:rsidR="0002489D" w:rsidRPr="000E6FC7" w:rsidRDefault="0002489D" w:rsidP="0002489D">
      <w:pPr>
        <w:pStyle w:val="a9"/>
        <w:numPr>
          <w:ilvl w:val="0"/>
          <w:numId w:val="3"/>
        </w:numPr>
      </w:pPr>
      <w:r>
        <w:t>Differences Between Children and Adults in L2 Acquisition</w:t>
      </w:r>
    </w:p>
    <w:p w14:paraId="2011365A" w14:textId="0BCD23F8" w:rsidR="00012DBB" w:rsidRDefault="00012DBB" w:rsidP="00012DBB">
      <w:r>
        <w:t xml:space="preserve">Despite the above similarities, children and adults demonstrate clear differences in the process of </w:t>
      </w:r>
      <w:r w:rsidR="00483AEC">
        <w:t>SLA</w:t>
      </w:r>
      <w:r>
        <w:t>. These differences are not only manifested in performance outcomes but are also rooted in developmental differences in brain function, cognition, and learning strategy.</w:t>
      </w:r>
    </w:p>
    <w:p w14:paraId="1E60D477" w14:textId="5C8789B0" w:rsidR="00012DBB" w:rsidRDefault="00012DBB" w:rsidP="00483AEC">
      <w:pPr>
        <w:pStyle w:val="a9"/>
        <w:numPr>
          <w:ilvl w:val="0"/>
          <w:numId w:val="5"/>
        </w:numPr>
      </w:pPr>
      <w:r>
        <w:t>Differences in Phonological Acquisition</w:t>
      </w:r>
    </w:p>
    <w:p w14:paraId="19B767DC" w14:textId="4C35EEBE" w:rsidR="00483AEC" w:rsidRDefault="00483AEC" w:rsidP="00483AEC">
      <w:r>
        <w:t>The phonological system is arguably the aspect of language most constrained by the critical period. Children before puberty possess more acute auditory discrimination and phonetic imitation skills, allowing them to adopt native-like pronunciation patterns unconsciously. Research shows that children who begin learning a second language before the age of five often develop phonological systems nearly indistinguishable from native speakers, with little or no detectable foreign accent (Flege et al., 199</w:t>
      </w:r>
      <w:r w:rsidR="007A6A03">
        <w:rPr>
          <w:rFonts w:hint="eastAsia"/>
        </w:rPr>
        <w:t>5</w:t>
      </w:r>
      <w:r>
        <w:t>).</w:t>
      </w:r>
    </w:p>
    <w:p w14:paraId="64ED66B1" w14:textId="117EE46F" w:rsidR="00483AEC" w:rsidRDefault="00483AEC" w:rsidP="00483AEC">
      <w:r w:rsidRPr="00012DBB">
        <w:t xml:space="preserve">In contrast, adult learners, having developed a stable phonological system in their native language, are often influenced by their first language in both phoneme perception and production. Even after long-term training, their pronunciation may still retain traces of their native accent. Therefore, in terms of pronunciation, children have a natural advantage over </w:t>
      </w:r>
      <w:r w:rsidRPr="00012DBB">
        <w:lastRenderedPageBreak/>
        <w:t>adults.</w:t>
      </w:r>
    </w:p>
    <w:p w14:paraId="457E10D6" w14:textId="77777777" w:rsidR="00483AEC" w:rsidRDefault="00483AEC" w:rsidP="00483AEC">
      <w:pPr>
        <w:pStyle w:val="a9"/>
        <w:numPr>
          <w:ilvl w:val="0"/>
          <w:numId w:val="5"/>
        </w:numPr>
      </w:pPr>
      <w:r>
        <w:t>Differences in Learning Styles and Language Processing Modes</w:t>
      </w:r>
    </w:p>
    <w:p w14:paraId="31B91A89" w14:textId="77777777" w:rsidR="00483AEC" w:rsidRDefault="00483AEC" w:rsidP="00483AEC">
      <w:r>
        <w:t>Children primarily rely on implicit learning to acquire a language—naturally absorbing linguistic rules through large amounts of input without the need for explicit explanation. For them, language is a tool for communication rather than a system of rules. They depend more on context, imitation, and repetition than on logical reasoning.</w:t>
      </w:r>
    </w:p>
    <w:p w14:paraId="03151AA4" w14:textId="77777777" w:rsidR="00483AEC" w:rsidRDefault="00483AEC" w:rsidP="00483AEC">
      <w:r w:rsidRPr="00012DBB">
        <w:t>In contrast, adults tend to prefer explicit learning, often favoring systematic grammar explanations and structural analysis to master language rules. They are inclined to summarize rules, take notes, use grammar books, and translate for understanding. While this approach may result in faster knowledge acquisition at early stages, it is generally less efficient than children’s methods in terms of automatized output and natural fluency.</w:t>
      </w:r>
    </w:p>
    <w:p w14:paraId="7852FE0D" w14:textId="77777777" w:rsidR="00483AEC" w:rsidRDefault="00483AEC" w:rsidP="00483AEC">
      <w:pPr>
        <w:pStyle w:val="a9"/>
        <w:numPr>
          <w:ilvl w:val="0"/>
          <w:numId w:val="5"/>
        </w:numPr>
      </w:pPr>
      <w:r>
        <w:t>Differences in Cognitive Abilities and Metalinguistic Awareness</w:t>
      </w:r>
    </w:p>
    <w:p w14:paraId="31D614DF" w14:textId="0D544F26" w:rsidR="00483AEC" w:rsidRDefault="00483AEC" w:rsidP="00483AEC">
      <w:r>
        <w:t>Metalinguistic awareness refers to the ability to reflect on and analyze language as an object. Adults, due to their cognitive maturity, possess stronger skills in analyzing linguistic structures. They can understand and apply complex grammatical concepts. They are also more capable of comparing linguistic forms and functions, enhancing the logical use of language.</w:t>
      </w:r>
    </w:p>
    <w:p w14:paraId="6FF14744" w14:textId="77777777" w:rsidR="00483AEC" w:rsidRDefault="00483AEC" w:rsidP="00483AEC">
      <w:r w:rsidRPr="00012DBB">
        <w:t>While children are highly sensitive to language input, their metalinguistic awareness is not yet fully developed, making abstract rule comprehension more difficult. For example, grammar terms like “present perfect tense” can be too abstract for young learners. Teachers must instead rely on examples, stories, and situational demonstrations to aid comprehension.</w:t>
      </w:r>
    </w:p>
    <w:p w14:paraId="458A9B6C" w14:textId="54E47D37" w:rsidR="00012DBB" w:rsidRDefault="00012DBB" w:rsidP="00012DBB">
      <w:pPr>
        <w:pStyle w:val="a9"/>
        <w:numPr>
          <w:ilvl w:val="0"/>
          <w:numId w:val="5"/>
        </w:numPr>
      </w:pPr>
      <w:r>
        <w:t>Differences in Social Contexts and Learning Goals</w:t>
      </w:r>
    </w:p>
    <w:p w14:paraId="5C45260F" w14:textId="717948A3" w:rsidR="00012DBB" w:rsidRDefault="00012DBB" w:rsidP="00012DBB">
      <w:r>
        <w:t>Children typically learn language in immersive or naturalistic settings, such as in immigrant families, bilingual schools, or through living abroad. Their primary motivation is often to socialize and integrate with peers, thus their communicative motivation is strong. Adults, on the other hand, often link language learning with concrete goals such as job requirements, test performance, or social expansion, reflecting a more instrumental motivation.</w:t>
      </w:r>
    </w:p>
    <w:p w14:paraId="37E77FC6" w14:textId="25C7A9D2" w:rsidR="00303CF4" w:rsidRDefault="00012DBB" w:rsidP="00D246E4">
      <w:r w:rsidRPr="00012DBB">
        <w:lastRenderedPageBreak/>
        <w:t xml:space="preserve">In summary, children and adults share some common ground in </w:t>
      </w:r>
      <w:r w:rsidR="00A83ED8">
        <w:t>SLA</w:t>
      </w:r>
      <w:r w:rsidRPr="00012DBB">
        <w:t>, such as the importance of input, interaction, and motivation. A supportive environment and communicative intent are vital for both groups. However, they differ significantly in phonological acquisition ability, learning methods, cognitive processing, and motivational context. Children rely more on natural, immersive input and implicit rule internalization, while adults depend more on explicit learning, conceptual understanding, and the use of cognitive strategies.</w:t>
      </w:r>
      <w:r w:rsidR="00A83ED8">
        <w:t xml:space="preserve"> </w:t>
      </w:r>
      <w:r w:rsidRPr="00012DBB">
        <w:t xml:space="preserve">These similarities and differences not only reflect the complexity of the language acquisition process but also underscore the critical role of age. Understanding the distinct learning paths of children and adults deepens our grasp of the </w:t>
      </w:r>
      <w:r w:rsidR="00A10EE8">
        <w:t>CPH</w:t>
      </w:r>
      <w:r w:rsidRPr="00012DBB">
        <w:t xml:space="preserve"> and provides empirical support for further studies on language development mechanisms.</w:t>
      </w:r>
    </w:p>
    <w:p w14:paraId="7457DED9" w14:textId="361298EB" w:rsidR="00012DBB" w:rsidRPr="00483AEC" w:rsidRDefault="00012DBB" w:rsidP="00303CF4">
      <w:pPr>
        <w:rPr>
          <w:b/>
          <w:bCs/>
        </w:rPr>
      </w:pPr>
      <w:r w:rsidRPr="00483AEC">
        <w:rPr>
          <w:b/>
          <w:bCs/>
        </w:rPr>
        <w:t>Implications for Language Teaching Practice</w:t>
      </w:r>
    </w:p>
    <w:p w14:paraId="32B7A740" w14:textId="6A6EE3B6" w:rsidR="00012DBB" w:rsidRDefault="00012DBB" w:rsidP="00303CF4">
      <w:r w:rsidRPr="00012DBB">
        <w:t xml:space="preserve">The previous sections explored the similarities and differences between children and adults in </w:t>
      </w:r>
      <w:r w:rsidR="007066DC">
        <w:t>SLA</w:t>
      </w:r>
      <w:r w:rsidRPr="00012DBB">
        <w:t>. Although language learning is a capacity shared across age groups, children and adults differ markedly in acquisition pathways, language development trajectories, and cognitive processing. These differences imply that language teaching should not follow a “one-size-fits-all”</w:t>
      </w:r>
      <w:r w:rsidR="00EB5EEE">
        <w:t xml:space="preserve"> </w:t>
      </w:r>
      <w:r w:rsidRPr="00012DBB">
        <w:t xml:space="preserve">approach but must instead adapt strategies based on learners’ age, acquisition characteristics, and learning goals. The effectiveness of a teaching strategy depends not only on content but also on the teacher’s understanding of the learner’s processing mechanisms and cognitive traits. </w:t>
      </w:r>
      <w:r w:rsidR="001871F6" w:rsidRPr="001871F6">
        <w:t>Building on the comparative findings, the following sections will offer age-sensitive instructional recommendations for children and adults, along with inclusive strategies suitable for diverse or mixed-age learning contexts.</w:t>
      </w:r>
    </w:p>
    <w:p w14:paraId="60EAB9EF" w14:textId="47F77A85" w:rsidR="00012DBB" w:rsidRDefault="00012DBB" w:rsidP="00483AEC">
      <w:pPr>
        <w:pStyle w:val="a9"/>
        <w:numPr>
          <w:ilvl w:val="0"/>
          <w:numId w:val="6"/>
        </w:numPr>
      </w:pPr>
      <w:r>
        <w:t>Instructional Recommendations for Children</w:t>
      </w:r>
    </w:p>
    <w:p w14:paraId="35B826B7" w14:textId="77777777" w:rsidR="007066DC" w:rsidRDefault="00483AEC" w:rsidP="00093CDE">
      <w:pPr>
        <w:pStyle w:val="a9"/>
        <w:numPr>
          <w:ilvl w:val="0"/>
          <w:numId w:val="7"/>
        </w:numPr>
      </w:pPr>
      <w:r>
        <w:t>Create a Natural Language Environment</w:t>
      </w:r>
    </w:p>
    <w:p w14:paraId="6BC725F5" w14:textId="68C4B2A6" w:rsidR="00483AEC" w:rsidRDefault="00483AEC" w:rsidP="007066DC">
      <w:r>
        <w:t>Children’s language learning advantage during the critical period lies in their high sensitivity to input. Unlike adults, children are often unable to grasp grammatical structures through explicit instruction; rather, they internalize language through authentic use. Teachers should thus focus on making language part of the child’s everyday experiences rather than isolated classroom knowledge.</w:t>
      </w:r>
      <w:r>
        <w:rPr>
          <w:rFonts w:hint="eastAsia"/>
        </w:rPr>
        <w:t xml:space="preserve"> </w:t>
      </w:r>
      <w:r w:rsidRPr="00012DBB">
        <w:t xml:space="preserve">For instance, using games, storytelling, songs, and role-play allows </w:t>
      </w:r>
      <w:r w:rsidRPr="00012DBB">
        <w:lastRenderedPageBreak/>
        <w:t xml:space="preserve">children to use the target language in communicative tasks. </w:t>
      </w:r>
      <w:r w:rsidR="006A59EC" w:rsidRPr="006A59EC">
        <w:t>Language games such as “Simon Says,” “Word Bingo,” or storytelling circles can make repetitive input more engaging and memorable for young learners.</w:t>
      </w:r>
      <w:r w:rsidR="006A59EC">
        <w:rPr>
          <w:rFonts w:hint="eastAsia"/>
        </w:rPr>
        <w:t xml:space="preserve"> </w:t>
      </w:r>
      <w:r w:rsidRPr="00012DBB">
        <w:t>Thi</w:t>
      </w:r>
      <w:r w:rsidR="006A59EC">
        <w:rPr>
          <w:rFonts w:hint="eastAsia"/>
        </w:rPr>
        <w:t>s</w:t>
      </w:r>
      <w:r w:rsidRPr="00012DBB">
        <w:t xml:space="preserve"> “learning by doing” approach promotes implicit language development and aligns well with children’s cognitive and emotional development.</w:t>
      </w:r>
    </w:p>
    <w:p w14:paraId="362A8B49" w14:textId="440D52BF" w:rsidR="00483AEC" w:rsidRDefault="00483AEC" w:rsidP="00483AEC">
      <w:pPr>
        <w:pStyle w:val="a9"/>
        <w:numPr>
          <w:ilvl w:val="0"/>
          <w:numId w:val="7"/>
        </w:numPr>
      </w:pPr>
      <w:r>
        <w:t>Minimize Abstract Grammar Terminology</w:t>
      </w:r>
    </w:p>
    <w:p w14:paraId="192E4C5C" w14:textId="77777777" w:rsidR="00483AEC" w:rsidRDefault="00483AEC" w:rsidP="00483AEC">
      <w:r>
        <w:t>Children’s abstract reasoning skills are not fully developed, making it difficult for them to understand technical grammar terms. Therefore, grammar instruction should avoid focusing on terms like “noun clauses” or “subjunctive mood” and instead use concrete, manipulable approaches to illustrate structures. For example, teachers can use familiar contexts, gestures, pictures, physical objects, or animations to repeatedly expose students to target structures.</w:t>
      </w:r>
      <w:r>
        <w:rPr>
          <w:rFonts w:hint="eastAsia"/>
        </w:rPr>
        <w:t xml:space="preserve"> </w:t>
      </w:r>
      <w:r>
        <w:t>Grammar awareness should be gradually developed through meaningful use rather than rule explanation. Long-term exposure in context will help children build grammatical intuition, enabling a natural transition from imitation to internalization.</w:t>
      </w:r>
    </w:p>
    <w:p w14:paraId="233916FD" w14:textId="39A05C4A" w:rsidR="00483AEC" w:rsidRDefault="00483AEC" w:rsidP="002D5D60">
      <w:pPr>
        <w:pStyle w:val="a9"/>
        <w:numPr>
          <w:ilvl w:val="0"/>
          <w:numId w:val="7"/>
        </w:numPr>
      </w:pPr>
      <w:r w:rsidRPr="00012DBB">
        <w:t>Emphasize Pronunciation Input and Imitation Opportunities</w:t>
      </w:r>
    </w:p>
    <w:p w14:paraId="6033BD2D" w14:textId="77777777" w:rsidR="00483AEC" w:rsidRDefault="00483AEC" w:rsidP="00483AEC">
      <w:r w:rsidRPr="00012DBB">
        <w:t>Children have a natural advantage in pronunciation acquisition. Teachers should fully utilize this period by providing abundant listening input and opportunities for imitation to help students develop a native-like phonological system. Activities such as reading rhymes, rhythm exercises, shadowing recordings, and situational dialogues allow students to acquire phonemes, intonation, and stress patterns in natural contexts. Pronunciation training should take place in a low-stress environment, avoiding mechanical repetition and punitive corrections. Instead, exaggerated performance and interactive activities can stimulate students’ interest in imitation and foster their confidence in pronunciation and expressive willingness.</w:t>
      </w:r>
    </w:p>
    <w:p w14:paraId="0F6631D8" w14:textId="4941BC92" w:rsidR="00483AEC" w:rsidRDefault="00483AEC" w:rsidP="00483AEC">
      <w:pPr>
        <w:pStyle w:val="a9"/>
        <w:numPr>
          <w:ilvl w:val="0"/>
          <w:numId w:val="7"/>
        </w:numPr>
      </w:pPr>
      <w:r>
        <w:t>Build a Supportive Learning Environment</w:t>
      </w:r>
    </w:p>
    <w:p w14:paraId="20ECF1A7" w14:textId="35F76E66" w:rsidR="00483AEC" w:rsidRDefault="00483AEC" w:rsidP="00483AEC">
      <w:r>
        <w:t xml:space="preserve">The success of children’s language learning heavily depends on emotional attitude and motivation. Teachers should provide positive emotional support and create a safe, open, and encouraging classroom atmosphere. Timely praise, nonjudgmental feedback, and gamified learning are crucial in unlocking children’s language potential. In addition, family support also plays a key role. Teachers can collaborate with parents to suggest language activities at home, </w:t>
      </w:r>
      <w:r>
        <w:lastRenderedPageBreak/>
        <w:t>enhancing both the frequency and quality of language exposure outside the classroom.</w:t>
      </w:r>
    </w:p>
    <w:p w14:paraId="0ACE1796" w14:textId="7E43E34D" w:rsidR="00012DBB" w:rsidRDefault="00012DBB" w:rsidP="00012DBB">
      <w:pPr>
        <w:pStyle w:val="a9"/>
        <w:numPr>
          <w:ilvl w:val="0"/>
          <w:numId w:val="6"/>
        </w:numPr>
      </w:pPr>
      <w:r>
        <w:t>Instructional Recommendations for Adult Learners</w:t>
      </w:r>
    </w:p>
    <w:p w14:paraId="5B4F3ECD" w14:textId="77777777" w:rsidR="002C693B" w:rsidRDefault="002C693B" w:rsidP="002C693B">
      <w:r>
        <w:t>Adult learners tend to have higher cognitive maturity and stronger metalinguistic awareness. They are accustomed to learning through rules and analytical reasoning, which can be a strength in language learning if effectively utilized. At the same time, their weaknesses in pronunciation imitation, language automatization, and intuitive fluency must be addressed.</w:t>
      </w:r>
    </w:p>
    <w:p w14:paraId="0A292C05" w14:textId="77777777" w:rsidR="002C693B" w:rsidRDefault="002C693B" w:rsidP="002C693B">
      <w:pPr>
        <w:pStyle w:val="a9"/>
        <w:numPr>
          <w:ilvl w:val="0"/>
          <w:numId w:val="8"/>
        </w:numPr>
      </w:pPr>
      <w:r>
        <w:t>Strengthen Explicit Grammar Instruction</w:t>
      </w:r>
    </w:p>
    <w:p w14:paraId="688A84B8" w14:textId="77777777" w:rsidR="002C693B" w:rsidRDefault="002C693B" w:rsidP="002C693B">
      <w:r>
        <w:t>Compared to children, adults are more capable of understanding language rules and their usage contexts. Teachers can provide a systematic grammar framework to help adults build a coherent knowledge system. For example, when teaching tenses, instruction can start with rule explanation followed by sentence drills. Using a “rule + example + practice” model helps students internalize explicit knowledge into usable language skills. However, grammar instruction should not remain at the level of abstract rules—it must be integrated into communicative practice to prevent the “knowing but not using” phenomenon.</w:t>
      </w:r>
    </w:p>
    <w:p w14:paraId="25127CEF" w14:textId="77777777" w:rsidR="002C693B" w:rsidRDefault="002C693B" w:rsidP="002C693B">
      <w:pPr>
        <w:pStyle w:val="a9"/>
        <w:numPr>
          <w:ilvl w:val="0"/>
          <w:numId w:val="8"/>
        </w:numPr>
      </w:pPr>
      <w:r>
        <w:t>Provide Targeted Pronunciation Training</w:t>
      </w:r>
    </w:p>
    <w:p w14:paraId="514F9A7D" w14:textId="77777777" w:rsidR="002C693B" w:rsidRPr="00303CF4" w:rsidRDefault="002C693B" w:rsidP="002C693B">
      <w:r>
        <w:t>Since adult learners have a stable native phonological system, it is difficult to eliminate first language interference. Thus, a strategic approach is essential in pronunciation instruction. Teachers can use techniques such as minimal pair drills, stress and intonation awareness training, recording and self-correction activities to help learners recognize and address pronunciation issues. Additionally, teachers can encourage learners to track and reflect on their own pronunciation, using AI speech tools or online platforms to enhance phonological awareness and pronunciation control.</w:t>
      </w:r>
    </w:p>
    <w:p w14:paraId="75E69A0E" w14:textId="77777777" w:rsidR="002C693B" w:rsidRDefault="002C693B" w:rsidP="002C693B">
      <w:pPr>
        <w:pStyle w:val="a9"/>
        <w:numPr>
          <w:ilvl w:val="0"/>
          <w:numId w:val="8"/>
        </w:numPr>
      </w:pPr>
      <w:r>
        <w:t>Use Strategy Training to Promote Autonomous Learning</w:t>
      </w:r>
    </w:p>
    <w:p w14:paraId="2AB0F376" w14:textId="77777777" w:rsidR="002C693B" w:rsidRDefault="002C693B" w:rsidP="002C693B">
      <w:r>
        <w:t xml:space="preserve">Adults generally have stronger independent learning abilities and can enhance learning efficiency through effective strategies such as note-taking, flashcards, translation comparisons, and self-testing. Teachers should explicitly teach these strategies and encourage their use beyond the classroom. Moreover, educators should help students set clear, attainable goals and </w:t>
      </w:r>
      <w:r>
        <w:lastRenderedPageBreak/>
        <w:t>support them in self-monitoring and reflecting on their learning. This “strategy + goal” orientation model can effectively increase adult learners’ motivation and persistence.</w:t>
      </w:r>
    </w:p>
    <w:p w14:paraId="17ED0D76" w14:textId="77777777" w:rsidR="002C693B" w:rsidRDefault="002C693B" w:rsidP="002C693B">
      <w:pPr>
        <w:pStyle w:val="a9"/>
        <w:numPr>
          <w:ilvl w:val="0"/>
          <w:numId w:val="8"/>
        </w:numPr>
      </w:pPr>
      <w:r>
        <w:t>Design Practical Tasks and Real-Life Scenarios</w:t>
      </w:r>
    </w:p>
    <w:p w14:paraId="3120D977" w14:textId="75765B80" w:rsidR="002C693B" w:rsidRDefault="002C693B" w:rsidP="002C693B">
      <w:r>
        <w:t>Adult learners often have specific learning goals such as job-related needs, exam preparation, or immigration. Teachers should design instruction around learners’ practical needs, including modules on business communication, job interviews, travel English, or academic writing. Integrating language learning with real-life tasks enhances engagement and achievement. Simulated real-world interactions (e.g., role-plays, debates, group discussions) can help learners develop practical communication skills and confidence, turning language learning from abstract knowledge into functional competence.</w:t>
      </w:r>
    </w:p>
    <w:p w14:paraId="51306E91" w14:textId="29DF2765" w:rsidR="00012DBB" w:rsidRDefault="00012DBB" w:rsidP="00012DBB">
      <w:pPr>
        <w:pStyle w:val="a9"/>
        <w:numPr>
          <w:ilvl w:val="0"/>
          <w:numId w:val="6"/>
        </w:numPr>
      </w:pPr>
      <w:r>
        <w:t>Integrated Pedagogical Reflection</w:t>
      </w:r>
    </w:p>
    <w:p w14:paraId="2309B7AA" w14:textId="4F202169" w:rsidR="00303CF4" w:rsidRDefault="00012DBB" w:rsidP="00F828D6">
      <w:r>
        <w:t>Despite clear differences between child and adult learners, this does not mean teaching must follow two separate systems. Teachers can adapt methods flexibly, based on a solid understanding of learners’ characteristics. For example:</w:t>
      </w:r>
    </w:p>
    <w:p w14:paraId="664F453F" w14:textId="0A2060AD" w:rsidR="00F828D6" w:rsidRDefault="00012DBB" w:rsidP="00F828D6">
      <w:pPr>
        <w:pStyle w:val="a9"/>
        <w:numPr>
          <w:ilvl w:val="0"/>
          <w:numId w:val="9"/>
        </w:numPr>
      </w:pPr>
      <w:r>
        <w:t>For cognitively advanced young learners (e.g., older elementary students), teachers may introduce basic grammar concepts to foster rule awareness.</w:t>
      </w:r>
    </w:p>
    <w:p w14:paraId="063403A9" w14:textId="77777777" w:rsidR="00F828D6" w:rsidRDefault="00012DBB" w:rsidP="00012DBB">
      <w:pPr>
        <w:pStyle w:val="a9"/>
        <w:numPr>
          <w:ilvl w:val="0"/>
          <w:numId w:val="9"/>
        </w:numPr>
      </w:pPr>
      <w:r>
        <w:t>For beginning adults with limited language foundations but high participation willingness, task-based learning can foster a communicative classroom environment.</w:t>
      </w:r>
    </w:p>
    <w:p w14:paraId="6D40CEB5" w14:textId="77777777" w:rsidR="00F828D6" w:rsidRDefault="00012DBB" w:rsidP="00303CF4">
      <w:pPr>
        <w:pStyle w:val="a9"/>
        <w:numPr>
          <w:ilvl w:val="0"/>
          <w:numId w:val="9"/>
        </w:numPr>
      </w:pPr>
      <w:r>
        <w:t>In mixed-age or diverse-level classes, differentiated instruction can be adopted, grouping students by proficiency and tailoring tasks accordingly to ensure that each learner engages at an appropriate level.</w:t>
      </w:r>
    </w:p>
    <w:p w14:paraId="5A895D02" w14:textId="65259137" w:rsidR="00E0351D" w:rsidRDefault="00E0351D" w:rsidP="00303CF4">
      <w:pPr>
        <w:pStyle w:val="a9"/>
        <w:numPr>
          <w:ilvl w:val="0"/>
          <w:numId w:val="9"/>
        </w:numPr>
      </w:pPr>
      <w:r w:rsidRPr="00E0351D">
        <w:t>Teachers should also maintain a reflective mindset, adjusting teaching strategies in response to learner feedback and observing their performance, interests, and challenges to continuously improve lesson structure and content.</w:t>
      </w:r>
    </w:p>
    <w:p w14:paraId="148ECEBC" w14:textId="4FC7993F" w:rsidR="006A6A41" w:rsidRDefault="00E0351D" w:rsidP="00E0351D">
      <w:r>
        <w:t xml:space="preserve">There are significant differences between children and adults in language acquisition, and these differences offer valuable insights for language instruction. Children benefit more from immersive, intuitive, usage-focused strategies, while adults rely on explicit instruction, analytical reasoning, and strategic training. Effective teaching must be tailored to learners’ age, </w:t>
      </w:r>
      <w:r>
        <w:lastRenderedPageBreak/>
        <w:t>cognitive abilities, and learning objectives, avoiding a “one-size-fits-all” model.</w:t>
      </w:r>
      <w:r w:rsidR="00A50699">
        <w:t xml:space="preserve"> </w:t>
      </w:r>
      <w:r>
        <w:t>Ultimately, language teaching is not merely the transmission of knowledge—it is a process of negotiating meaning and fostering cultural understanding between individuals. Only by deeply understanding learners, respecting their developmental paths, and offering appropriate support and guidance, can language instruction truly promote linguistic growth and intercultural communication competence.</w:t>
      </w:r>
    </w:p>
    <w:p w14:paraId="38AC4038" w14:textId="703508AE" w:rsidR="006A6A41" w:rsidRPr="002F1509" w:rsidRDefault="002F1509" w:rsidP="006A6A41">
      <w:pPr>
        <w:rPr>
          <w:b/>
          <w:bCs/>
        </w:rPr>
      </w:pPr>
      <w:r w:rsidRPr="002F1509">
        <w:rPr>
          <w:b/>
          <w:bCs/>
        </w:rPr>
        <w:t>Conclusion</w:t>
      </w:r>
    </w:p>
    <w:p w14:paraId="54D0FD4F" w14:textId="1BD9CFFF" w:rsidR="00E0351D" w:rsidRDefault="00E0351D" w:rsidP="00466648">
      <w:r w:rsidRPr="00E0351D">
        <w:t xml:space="preserve">This study focused on the CPH and its implications for SLA. It first defined the CPH as the biologically and neurologically determined </w:t>
      </w:r>
      <w:r w:rsidR="00F75B16">
        <w:t>period</w:t>
      </w:r>
      <w:r w:rsidRPr="00E0351D">
        <w:t xml:space="preserve"> before puberty when language learning is most efficient and native-like attainment is most likely. This theory, introduced by Lenneberg (1967), has been supported by numerous empirical studies.</w:t>
      </w:r>
      <w:r w:rsidR="00466648">
        <w:rPr>
          <w:rFonts w:hint="eastAsia"/>
        </w:rPr>
        <w:t xml:space="preserve"> </w:t>
      </w:r>
      <w:r w:rsidR="00466648">
        <w:t>Over the past few decades, the CPH has become a central point of reference in SLA research, influencing how scholars interpret age-related variation across different learning contexts.</w:t>
      </w:r>
      <w:r w:rsidR="00466648">
        <w:rPr>
          <w:rFonts w:hint="eastAsia"/>
        </w:rPr>
        <w:t xml:space="preserve"> </w:t>
      </w:r>
      <w:r w:rsidR="00466648">
        <w:t>It has not only shaped theoretical paradigms but also guided longitudinal investigations into the long-term outcomes of early versus late L2 exposure.</w:t>
      </w:r>
    </w:p>
    <w:p w14:paraId="5B52E491" w14:textId="5F3C187B" w:rsidR="00E0351D" w:rsidRDefault="00E0351D" w:rsidP="006A6A41">
      <w:r w:rsidRPr="00E0351D">
        <w:t xml:space="preserve">The paper then analyzed three key studies—Johnson &amp; Newport (1989), </w:t>
      </w:r>
      <w:r w:rsidR="00EC52AF" w:rsidRPr="006F7087">
        <w:t>Flege et al.</w:t>
      </w:r>
      <w:r w:rsidR="00EC52AF">
        <w:t xml:space="preserve"> (</w:t>
      </w:r>
      <w:r w:rsidR="00EC52AF" w:rsidRPr="006F7087">
        <w:t>1995</w:t>
      </w:r>
      <w:r w:rsidR="00EC52AF">
        <w:t>)</w:t>
      </w:r>
      <w:r w:rsidRPr="00E0351D">
        <w:t xml:space="preserve">, and </w:t>
      </w:r>
      <w:r w:rsidR="00DB46C6" w:rsidRPr="00DB46C6">
        <w:t>DeKeyser (2000)</w:t>
      </w:r>
      <w:r w:rsidRPr="00E0351D">
        <w:t>—comparing children and adults from grammatical, phonological, and cognitive perspectives. These studies show that children tend to achieve more native-like pronunciation and grammar, whereas adults, despite disadvantages, show strengths in metalinguistic awareness and strategic learning. These findings support CPH while also revealing that SLA is influenced by multiple interrelated factors, with age being only one of them.</w:t>
      </w:r>
    </w:p>
    <w:p w14:paraId="19A2E7C7" w14:textId="0AC1E766" w:rsidR="00E0351D" w:rsidRDefault="00E0351D" w:rsidP="00466648">
      <w:r w:rsidRPr="00E0351D">
        <w:t>By comparing similarities and differences between child and adult learners, the study demonstrates that language acquisition is shaped not only by biological factors but also by input quality, social interaction, motivation, and cognitive development. Children favor implicit, context-based learning, while adults prefer explicit, logical learning strategies.</w:t>
      </w:r>
      <w:r w:rsidR="00466648">
        <w:rPr>
          <w:rFonts w:hint="eastAsia"/>
        </w:rPr>
        <w:t xml:space="preserve"> </w:t>
      </w:r>
      <w:r w:rsidR="00466648">
        <w:t>This suggests that a rigid age-based model is insufficient to capture the full complexity of second language learning processes.</w:t>
      </w:r>
      <w:r w:rsidR="00466648">
        <w:rPr>
          <w:rFonts w:hint="eastAsia"/>
        </w:rPr>
        <w:t xml:space="preserve"> </w:t>
      </w:r>
      <w:r w:rsidR="00466648">
        <w:t xml:space="preserve">Educators must instead adopt a holistic approach that integrates both </w:t>
      </w:r>
      <w:r w:rsidR="00466648">
        <w:lastRenderedPageBreak/>
        <w:t>cognitive science and learner-centered pedagogy.</w:t>
      </w:r>
    </w:p>
    <w:p w14:paraId="0179D3EB" w14:textId="67D2FABE" w:rsidR="00E0351D" w:rsidRDefault="00E0351D" w:rsidP="006A6A41">
      <w:r w:rsidRPr="00E0351D">
        <w:t>Finally, the paper explored how these findings inform age-appropriate instructional strategies. For children, language teaching should emphasize natural input, minimal grammar explanation, and contextualized practice. For adults, instruction should involve clear rule explanations, pronunciation training, and strategy-based learning tied to real-life goals.</w:t>
      </w:r>
      <w:r w:rsidR="00466648">
        <w:rPr>
          <w:rFonts w:hint="eastAsia"/>
        </w:rPr>
        <w:t xml:space="preserve"> </w:t>
      </w:r>
      <w:r w:rsidR="00466648" w:rsidRPr="00466648">
        <w:t>Such approaches acknowledge the unique neurological and psychological profiles of learners at different stages and aim to maximize their individual potential.</w:t>
      </w:r>
    </w:p>
    <w:p w14:paraId="30D0568C" w14:textId="1EA66E87" w:rsidR="00E0351D" w:rsidRDefault="00E0351D" w:rsidP="00466648">
      <w:r w:rsidRPr="00E0351D">
        <w:t xml:space="preserve">In sum, the CPH provides a valuable framework for understanding age-related effects in SLA. The divergent learning paths of children and adults call for differentiated instructional approaches. Effective language teaching is grounded in an accurate understanding of learner characteristics, blending theory, pedagogy, and psychology to maximize </w:t>
      </w:r>
      <w:r w:rsidR="006D2657">
        <w:rPr>
          <w:rFonts w:hint="eastAsia"/>
        </w:rPr>
        <w:t>SLA</w:t>
      </w:r>
      <w:r w:rsidRPr="00E0351D">
        <w:t xml:space="preserve"> outcomes.</w:t>
      </w:r>
      <w:r w:rsidR="006A59EC">
        <w:rPr>
          <w:rFonts w:hint="eastAsia"/>
        </w:rPr>
        <w:t xml:space="preserve"> </w:t>
      </w:r>
      <w:r w:rsidR="006A59EC" w:rsidRPr="006A59EC">
        <w:t>Future research could further explore how digital tools and multimodal learning environments interact with age-related differences in language acquisition.</w:t>
      </w:r>
      <w:r w:rsidR="00466648">
        <w:rPr>
          <w:rFonts w:hint="eastAsia"/>
        </w:rPr>
        <w:t xml:space="preserve"> </w:t>
      </w:r>
      <w:r w:rsidR="00466648">
        <w:t>Additionally, it would be valuable to examine how sociocultural variables, such as identity, motivation, and exposure context, mediate the effects of age on long-term language development.</w:t>
      </w:r>
      <w:r w:rsidR="00466648">
        <w:rPr>
          <w:rFonts w:hint="eastAsia"/>
        </w:rPr>
        <w:t xml:space="preserve"> </w:t>
      </w:r>
      <w:r w:rsidR="00466648">
        <w:t>Such research would help refine both the theoretical contours of the CPH and its pedagogical applications in increasingly diverse and globalized learning settings.</w:t>
      </w:r>
    </w:p>
    <w:p w14:paraId="1CC5B1B7" w14:textId="299D3714" w:rsidR="00E30D82" w:rsidRDefault="00E30D82" w:rsidP="00466648">
      <w:pPr>
        <w:rPr>
          <w:b/>
          <w:bCs/>
        </w:rPr>
      </w:pPr>
      <w:r w:rsidRPr="00E30D82">
        <w:rPr>
          <w:b/>
          <w:bCs/>
        </w:rPr>
        <w:t>References</w:t>
      </w:r>
    </w:p>
    <w:p w14:paraId="6510EE7D" w14:textId="07758B2B" w:rsidR="00DB46C6" w:rsidRDefault="00DB46C6" w:rsidP="00E30D82">
      <w:r w:rsidRPr="00DB46C6">
        <w:t xml:space="preserve">DeKeyser, R. M. (2000). The robustness of critical period effects in second language acquisition. </w:t>
      </w:r>
      <w:r w:rsidRPr="00582B8A">
        <w:rPr>
          <w:i/>
          <w:iCs/>
        </w:rPr>
        <w:t>Studies in Second Language Acquisition</w:t>
      </w:r>
      <w:r w:rsidRPr="00DB46C6">
        <w:t>, 22(4), pp. 499–533.</w:t>
      </w:r>
      <w:r w:rsidR="00CD4E86">
        <w:rPr>
          <w:rFonts w:hint="eastAsia"/>
        </w:rPr>
        <w:t xml:space="preserve"> </w:t>
      </w:r>
      <w:r w:rsidRPr="00DB46C6">
        <w:t>https://doi.org/10.1017/S0272263100004022</w:t>
      </w:r>
    </w:p>
    <w:p w14:paraId="6B1BA3C8" w14:textId="15199FD6" w:rsidR="00E30D82" w:rsidRDefault="00E30D82" w:rsidP="00E30D82">
      <w:r>
        <w:t>Flege, J. E., Munro, M. J. and MacKay, I. R. A. (199</w:t>
      </w:r>
      <w:r w:rsidR="00E45108">
        <w:rPr>
          <w:rFonts w:hint="eastAsia"/>
        </w:rPr>
        <w:t>5</w:t>
      </w:r>
      <w:r>
        <w:t xml:space="preserve">) Factors affecting strength of perceived foreign accent in a second language, </w:t>
      </w:r>
      <w:r w:rsidRPr="00582B8A">
        <w:rPr>
          <w:i/>
          <w:iCs/>
        </w:rPr>
        <w:t>The Journal of the Acoustical Society of America</w:t>
      </w:r>
      <w:r>
        <w:t xml:space="preserve">, </w:t>
      </w:r>
      <w:r w:rsidR="00E45108">
        <w:rPr>
          <w:rFonts w:hint="eastAsia"/>
        </w:rPr>
        <w:t>97</w:t>
      </w:r>
      <w:r>
        <w:t xml:space="preserve">(5), pp. </w:t>
      </w:r>
      <w:r w:rsidR="00E45108">
        <w:rPr>
          <w:rFonts w:hint="eastAsia"/>
        </w:rPr>
        <w:t>3125-3134</w:t>
      </w:r>
      <w:r>
        <w:t>.</w:t>
      </w:r>
      <w:r w:rsidR="004316FE">
        <w:t xml:space="preserve"> </w:t>
      </w:r>
      <w:r w:rsidR="004316FE" w:rsidRPr="004316FE">
        <w:t>https://doi.org/10.1121/1.413041</w:t>
      </w:r>
    </w:p>
    <w:p w14:paraId="1E6725AC" w14:textId="77777777" w:rsidR="00E30D82" w:rsidRDefault="00E30D82" w:rsidP="00E30D82">
      <w:pPr>
        <w:rPr>
          <w:color w:val="000000" w:themeColor="text1"/>
        </w:rPr>
      </w:pPr>
      <w:r w:rsidRPr="00820D43">
        <w:rPr>
          <w:color w:val="000000" w:themeColor="text1"/>
        </w:rPr>
        <w:t xml:space="preserve">Gardner, R. C. (1985) </w:t>
      </w:r>
      <w:r w:rsidRPr="00582B8A">
        <w:rPr>
          <w:i/>
          <w:iCs/>
          <w:color w:val="000000" w:themeColor="text1"/>
        </w:rPr>
        <w:t>Social psychology and second language learning: The role of attitudes and motivation</w:t>
      </w:r>
      <w:r w:rsidRPr="00582B8A">
        <w:rPr>
          <w:color w:val="000000" w:themeColor="text1"/>
        </w:rPr>
        <w:t>.</w:t>
      </w:r>
      <w:r w:rsidRPr="00820D43">
        <w:rPr>
          <w:color w:val="000000" w:themeColor="text1"/>
        </w:rPr>
        <w:t xml:space="preserve"> London: Edward Arnold.</w:t>
      </w:r>
    </w:p>
    <w:p w14:paraId="70B9C61F" w14:textId="0C16092B" w:rsidR="00B110E6" w:rsidRDefault="00B110E6" w:rsidP="00B110E6">
      <w:pPr>
        <w:rPr>
          <w:color w:val="000000" w:themeColor="text1"/>
        </w:rPr>
      </w:pPr>
      <w:r w:rsidRPr="00B110E6">
        <w:rPr>
          <w:color w:val="000000" w:themeColor="text1"/>
        </w:rPr>
        <w:t>Hartshorne, J. K., Tenenbaum, J. B., &amp; Pinker, S. (2018)</w:t>
      </w:r>
      <w:r>
        <w:rPr>
          <w:rFonts w:hint="eastAsia"/>
          <w:color w:val="000000" w:themeColor="text1"/>
        </w:rPr>
        <w:t xml:space="preserve"> </w:t>
      </w:r>
      <w:r w:rsidRPr="00B110E6">
        <w:rPr>
          <w:color w:val="000000" w:themeColor="text1"/>
        </w:rPr>
        <w:t xml:space="preserve">A critical period for second language </w:t>
      </w:r>
      <w:r w:rsidRPr="00B110E6">
        <w:rPr>
          <w:color w:val="000000" w:themeColor="text1"/>
        </w:rPr>
        <w:lastRenderedPageBreak/>
        <w:t>acquisition: Evidence from 2/3 million English speakers</w:t>
      </w:r>
      <w:r>
        <w:rPr>
          <w:color w:val="000000" w:themeColor="text1"/>
        </w:rPr>
        <w:t xml:space="preserve">, </w:t>
      </w:r>
      <w:r w:rsidRPr="00B110E6">
        <w:rPr>
          <w:i/>
          <w:iCs/>
          <w:color w:val="000000" w:themeColor="text1"/>
        </w:rPr>
        <w:t>Cognition</w:t>
      </w:r>
      <w:r w:rsidRPr="00B110E6">
        <w:rPr>
          <w:color w:val="000000" w:themeColor="text1"/>
        </w:rPr>
        <w:t>, 177, pp. 263–277.</w:t>
      </w:r>
      <w:r>
        <w:rPr>
          <w:color w:val="000000" w:themeColor="text1"/>
        </w:rPr>
        <w:t xml:space="preserve"> </w:t>
      </w:r>
      <w:r w:rsidRPr="00B110E6">
        <w:rPr>
          <w:color w:val="000000" w:themeColor="text1"/>
        </w:rPr>
        <w:t xml:space="preserve">https://doi.org/10.1016/j.cognition.2018.04.007 </w:t>
      </w:r>
    </w:p>
    <w:p w14:paraId="761CEE41" w14:textId="430D4064" w:rsidR="00E30D82" w:rsidRPr="00B110E6" w:rsidRDefault="00E30D82" w:rsidP="00B110E6">
      <w:pPr>
        <w:rPr>
          <w:color w:val="000000" w:themeColor="text1"/>
        </w:rPr>
      </w:pPr>
      <w:r>
        <w:t xml:space="preserve">Johnson, J. S. and Newport, E. L. (1989) Critical period effects in second language learning: The influence of maturational state on the acquisition of English as a second language, </w:t>
      </w:r>
      <w:r w:rsidRPr="00582B8A">
        <w:rPr>
          <w:i/>
          <w:iCs/>
        </w:rPr>
        <w:t>Cognitive Psychology</w:t>
      </w:r>
      <w:r>
        <w:t>, 21(1), pp. 60–99.</w:t>
      </w:r>
      <w:r w:rsidR="004316FE">
        <w:t xml:space="preserve"> </w:t>
      </w:r>
      <w:r w:rsidR="004316FE" w:rsidRPr="004316FE">
        <w:t>https://doi.org/10.1016/0010-0285(89)90003-0</w:t>
      </w:r>
    </w:p>
    <w:p w14:paraId="4EED2B59" w14:textId="77777777" w:rsidR="00E30D82" w:rsidRPr="006729C3" w:rsidRDefault="00E30D82" w:rsidP="00E30D82">
      <w:pPr>
        <w:rPr>
          <w:color w:val="000000" w:themeColor="text1"/>
        </w:rPr>
      </w:pPr>
      <w:r w:rsidRPr="006729C3">
        <w:rPr>
          <w:color w:val="000000" w:themeColor="text1"/>
        </w:rPr>
        <w:t xml:space="preserve">Krashen, S. D. (1985) </w:t>
      </w:r>
      <w:r w:rsidRPr="005D4429">
        <w:rPr>
          <w:i/>
          <w:iCs/>
          <w:color w:val="000000" w:themeColor="text1"/>
        </w:rPr>
        <w:t>The Input Hypothesis: Issues and Implications</w:t>
      </w:r>
      <w:r w:rsidRPr="006729C3">
        <w:rPr>
          <w:color w:val="000000" w:themeColor="text1"/>
        </w:rPr>
        <w:t>. London: Longman.</w:t>
      </w:r>
    </w:p>
    <w:p w14:paraId="7BA4D935" w14:textId="77777777" w:rsidR="00E30D82" w:rsidRPr="00EB5EEE" w:rsidRDefault="00E30D82" w:rsidP="00E30D82">
      <w:pPr>
        <w:rPr>
          <w:color w:val="000000" w:themeColor="text1"/>
        </w:rPr>
      </w:pPr>
      <w:r w:rsidRPr="00EB5EEE">
        <w:rPr>
          <w:color w:val="000000" w:themeColor="text1"/>
        </w:rPr>
        <w:t xml:space="preserve">Lenneberg, E. H. (1967) </w:t>
      </w:r>
      <w:r w:rsidRPr="00582B8A">
        <w:rPr>
          <w:i/>
          <w:iCs/>
          <w:color w:val="000000" w:themeColor="text1"/>
        </w:rPr>
        <w:t>Biological foundations of language</w:t>
      </w:r>
      <w:r w:rsidRPr="00EB5EEE">
        <w:rPr>
          <w:color w:val="000000" w:themeColor="text1"/>
        </w:rPr>
        <w:t>. New York: Wiley.</w:t>
      </w:r>
    </w:p>
    <w:p w14:paraId="0CC13346" w14:textId="20EB4A9F" w:rsidR="00E30D82" w:rsidRPr="00EC52AF" w:rsidRDefault="00E30D82" w:rsidP="00466648">
      <w:pPr>
        <w:rPr>
          <w:color w:val="000000" w:themeColor="text1"/>
        </w:rPr>
      </w:pPr>
      <w:r w:rsidRPr="005D4429">
        <w:rPr>
          <w:color w:val="000000" w:themeColor="text1"/>
        </w:rPr>
        <w:t>Long, M. H. (1996) The role of the linguistic environment in second language acquisition,</w:t>
      </w:r>
      <w:r w:rsidR="00B110E6">
        <w:rPr>
          <w:color w:val="000000" w:themeColor="text1"/>
        </w:rPr>
        <w:t xml:space="preserve"> </w:t>
      </w:r>
      <w:r w:rsidRPr="00582B8A">
        <w:rPr>
          <w:i/>
          <w:iCs/>
          <w:color w:val="000000" w:themeColor="text1"/>
        </w:rPr>
        <w:t>Handbook of second language acquisition</w:t>
      </w:r>
      <w:r w:rsidRPr="005D4429">
        <w:rPr>
          <w:color w:val="000000" w:themeColor="text1"/>
        </w:rPr>
        <w:t>. San Diego: Academic Press, pp. 413–468.</w:t>
      </w:r>
      <w:r w:rsidR="004316FE" w:rsidRPr="005D4429">
        <w:rPr>
          <w:color w:val="000000" w:themeColor="text1"/>
        </w:rPr>
        <w:t xml:space="preserve"> https://doi.org/10.1016/B978-012589042-7/50015-3</w:t>
      </w:r>
    </w:p>
    <w:sectPr w:rsidR="00E30D82" w:rsidRPr="00EC52AF">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0220E9"/>
    <w:multiLevelType w:val="hybridMultilevel"/>
    <w:tmpl w:val="DD36DE3A"/>
    <w:lvl w:ilvl="0" w:tplc="D35C004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21D81A9C"/>
    <w:multiLevelType w:val="hybridMultilevel"/>
    <w:tmpl w:val="9C8E89F4"/>
    <w:lvl w:ilvl="0" w:tplc="ADBCAE0C">
      <w:start w:val="1"/>
      <w:numFmt w:val="lowerLetter"/>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22D86BC6"/>
    <w:multiLevelType w:val="hybridMultilevel"/>
    <w:tmpl w:val="4A68DB5A"/>
    <w:lvl w:ilvl="0" w:tplc="D5C20C1E">
      <w:start w:val="1"/>
      <w:numFmt w:val="japaneseCounting"/>
      <w:lvlText w:val="%1、"/>
      <w:lvlJc w:val="left"/>
      <w:pPr>
        <w:ind w:left="440" w:hanging="44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241E492B"/>
    <w:multiLevelType w:val="hybridMultilevel"/>
    <w:tmpl w:val="10B8DFC8"/>
    <w:lvl w:ilvl="0" w:tplc="DF7C2CE8">
      <w:start w:val="1"/>
      <w:numFmt w:val="lowerLetter"/>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25AF5740"/>
    <w:multiLevelType w:val="hybridMultilevel"/>
    <w:tmpl w:val="52026EC2"/>
    <w:lvl w:ilvl="0" w:tplc="6648375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48E95D0E"/>
    <w:multiLevelType w:val="hybridMultilevel"/>
    <w:tmpl w:val="64EC3086"/>
    <w:lvl w:ilvl="0" w:tplc="14F2F9A8">
      <w:start w:val="1"/>
      <w:numFmt w:val="lowerLetter"/>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6" w15:restartNumberingAfterBreak="0">
    <w:nsid w:val="591E0C9D"/>
    <w:multiLevelType w:val="hybridMultilevel"/>
    <w:tmpl w:val="61FEC480"/>
    <w:lvl w:ilvl="0" w:tplc="F4E46356">
      <w:start w:val="1"/>
      <w:numFmt w:val="lowerLetter"/>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7" w15:restartNumberingAfterBreak="0">
    <w:nsid w:val="5AF95411"/>
    <w:multiLevelType w:val="hybridMultilevel"/>
    <w:tmpl w:val="6A04AC86"/>
    <w:lvl w:ilvl="0" w:tplc="46AE045A">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8" w15:restartNumberingAfterBreak="0">
    <w:nsid w:val="75592AAA"/>
    <w:multiLevelType w:val="hybridMultilevel"/>
    <w:tmpl w:val="8246497E"/>
    <w:lvl w:ilvl="0" w:tplc="E4C6392A">
      <w:start w:val="1"/>
      <w:numFmt w:val="lowerLetter"/>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565263510">
    <w:abstractNumId w:val="2"/>
  </w:num>
  <w:num w:numId="2" w16cid:durableId="1256401751">
    <w:abstractNumId w:val="0"/>
  </w:num>
  <w:num w:numId="3" w16cid:durableId="982271661">
    <w:abstractNumId w:val="7"/>
  </w:num>
  <w:num w:numId="4" w16cid:durableId="323630789">
    <w:abstractNumId w:val="1"/>
  </w:num>
  <w:num w:numId="5" w16cid:durableId="1093740869">
    <w:abstractNumId w:val="8"/>
  </w:num>
  <w:num w:numId="6" w16cid:durableId="1009721757">
    <w:abstractNumId w:val="4"/>
  </w:num>
  <w:num w:numId="7" w16cid:durableId="908265855">
    <w:abstractNumId w:val="5"/>
  </w:num>
  <w:num w:numId="8" w16cid:durableId="1725517614">
    <w:abstractNumId w:val="3"/>
  </w:num>
  <w:num w:numId="9" w16cid:durableId="92302648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14E4"/>
    <w:rsid w:val="00012DBB"/>
    <w:rsid w:val="0002489D"/>
    <w:rsid w:val="000E6FC7"/>
    <w:rsid w:val="00106EFD"/>
    <w:rsid w:val="00121CCE"/>
    <w:rsid w:val="00150C2F"/>
    <w:rsid w:val="00155BC4"/>
    <w:rsid w:val="001851A4"/>
    <w:rsid w:val="001856EC"/>
    <w:rsid w:val="001871F6"/>
    <w:rsid w:val="00191832"/>
    <w:rsid w:val="001A339B"/>
    <w:rsid w:val="001B5EBB"/>
    <w:rsid w:val="001E374B"/>
    <w:rsid w:val="001E42EC"/>
    <w:rsid w:val="002C693B"/>
    <w:rsid w:val="002F1509"/>
    <w:rsid w:val="00302765"/>
    <w:rsid w:val="00303CF4"/>
    <w:rsid w:val="00357A09"/>
    <w:rsid w:val="00394006"/>
    <w:rsid w:val="004316FE"/>
    <w:rsid w:val="00466648"/>
    <w:rsid w:val="00483AEC"/>
    <w:rsid w:val="00494804"/>
    <w:rsid w:val="004A14E4"/>
    <w:rsid w:val="004B59BF"/>
    <w:rsid w:val="005521F6"/>
    <w:rsid w:val="005812BF"/>
    <w:rsid w:val="00582B8A"/>
    <w:rsid w:val="005B3CFA"/>
    <w:rsid w:val="005D4429"/>
    <w:rsid w:val="00624C4C"/>
    <w:rsid w:val="00626DA2"/>
    <w:rsid w:val="006729C3"/>
    <w:rsid w:val="006A59EC"/>
    <w:rsid w:val="006A6A41"/>
    <w:rsid w:val="006B37C2"/>
    <w:rsid w:val="006D2657"/>
    <w:rsid w:val="006F7087"/>
    <w:rsid w:val="006F759E"/>
    <w:rsid w:val="007066DC"/>
    <w:rsid w:val="00725A60"/>
    <w:rsid w:val="0076788F"/>
    <w:rsid w:val="007770FD"/>
    <w:rsid w:val="007A6A03"/>
    <w:rsid w:val="007B13A6"/>
    <w:rsid w:val="007C732F"/>
    <w:rsid w:val="007D3B2D"/>
    <w:rsid w:val="007E5E31"/>
    <w:rsid w:val="00820D43"/>
    <w:rsid w:val="00861E61"/>
    <w:rsid w:val="00874028"/>
    <w:rsid w:val="008B62B1"/>
    <w:rsid w:val="008F32C5"/>
    <w:rsid w:val="0091412F"/>
    <w:rsid w:val="009526E8"/>
    <w:rsid w:val="00960A23"/>
    <w:rsid w:val="009955BC"/>
    <w:rsid w:val="009D111F"/>
    <w:rsid w:val="009F2BB2"/>
    <w:rsid w:val="00A10EE8"/>
    <w:rsid w:val="00A50699"/>
    <w:rsid w:val="00A83ED8"/>
    <w:rsid w:val="00A96C1A"/>
    <w:rsid w:val="00AE538B"/>
    <w:rsid w:val="00B0427A"/>
    <w:rsid w:val="00B110E6"/>
    <w:rsid w:val="00BD1F40"/>
    <w:rsid w:val="00BD38DB"/>
    <w:rsid w:val="00BE5284"/>
    <w:rsid w:val="00CD4E86"/>
    <w:rsid w:val="00D246E4"/>
    <w:rsid w:val="00DB46C6"/>
    <w:rsid w:val="00E0351D"/>
    <w:rsid w:val="00E30D82"/>
    <w:rsid w:val="00E411CD"/>
    <w:rsid w:val="00E45108"/>
    <w:rsid w:val="00EB5EEE"/>
    <w:rsid w:val="00EC52AF"/>
    <w:rsid w:val="00F10541"/>
    <w:rsid w:val="00F5402A"/>
    <w:rsid w:val="00F75B16"/>
    <w:rsid w:val="00F828D6"/>
    <w:rsid w:val="00FD4CFE"/>
    <w:rsid w:val="00FE628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27D4F1"/>
  <w15:chartTrackingRefBased/>
  <w15:docId w15:val="{D48E5CB1-A499-FF47-B8CD-D6409C3AD9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E5284"/>
    <w:pPr>
      <w:widowControl w:val="0"/>
      <w:spacing w:line="360" w:lineRule="auto"/>
      <w:jc w:val="both"/>
    </w:pPr>
    <w:rPr>
      <w:rFonts w:ascii="Times New Roman" w:eastAsia="宋体" w:hAnsi="Times New Roman"/>
    </w:rPr>
  </w:style>
  <w:style w:type="paragraph" w:styleId="1">
    <w:name w:val="heading 1"/>
    <w:basedOn w:val="a"/>
    <w:next w:val="a"/>
    <w:link w:val="10"/>
    <w:uiPriority w:val="9"/>
    <w:qFormat/>
    <w:rsid w:val="004A14E4"/>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4A14E4"/>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4A14E4"/>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4A14E4"/>
    <w:pPr>
      <w:keepNext/>
      <w:keepLines/>
      <w:spacing w:before="80" w:after="40"/>
      <w:outlineLvl w:val="3"/>
    </w:pPr>
    <w:rPr>
      <w:rFonts w:eastAsiaTheme="minorEastAsia" w:cstheme="majorBidi"/>
      <w:color w:val="0F4761" w:themeColor="accent1" w:themeShade="BF"/>
      <w:sz w:val="28"/>
      <w:szCs w:val="28"/>
    </w:rPr>
  </w:style>
  <w:style w:type="paragraph" w:styleId="5">
    <w:name w:val="heading 5"/>
    <w:basedOn w:val="a"/>
    <w:next w:val="a"/>
    <w:link w:val="50"/>
    <w:uiPriority w:val="9"/>
    <w:semiHidden/>
    <w:unhideWhenUsed/>
    <w:qFormat/>
    <w:rsid w:val="004A14E4"/>
    <w:pPr>
      <w:keepNext/>
      <w:keepLines/>
      <w:spacing w:before="80" w:after="40"/>
      <w:outlineLvl w:val="4"/>
    </w:pPr>
    <w:rPr>
      <w:rFonts w:eastAsiaTheme="minorEastAsia" w:cstheme="majorBidi"/>
      <w:color w:val="0F4761" w:themeColor="accent1" w:themeShade="BF"/>
      <w:sz w:val="24"/>
    </w:rPr>
  </w:style>
  <w:style w:type="paragraph" w:styleId="6">
    <w:name w:val="heading 6"/>
    <w:basedOn w:val="a"/>
    <w:next w:val="a"/>
    <w:link w:val="60"/>
    <w:uiPriority w:val="9"/>
    <w:semiHidden/>
    <w:unhideWhenUsed/>
    <w:qFormat/>
    <w:rsid w:val="004A14E4"/>
    <w:pPr>
      <w:keepNext/>
      <w:keepLines/>
      <w:spacing w:before="40" w:after="0"/>
      <w:outlineLvl w:val="5"/>
    </w:pPr>
    <w:rPr>
      <w:rFonts w:eastAsiaTheme="minorEastAsia" w:cstheme="majorBidi"/>
      <w:b/>
      <w:bCs/>
      <w:color w:val="0F4761" w:themeColor="accent1" w:themeShade="BF"/>
    </w:rPr>
  </w:style>
  <w:style w:type="paragraph" w:styleId="7">
    <w:name w:val="heading 7"/>
    <w:basedOn w:val="a"/>
    <w:next w:val="a"/>
    <w:link w:val="70"/>
    <w:uiPriority w:val="9"/>
    <w:semiHidden/>
    <w:unhideWhenUsed/>
    <w:qFormat/>
    <w:rsid w:val="004A14E4"/>
    <w:pPr>
      <w:keepNext/>
      <w:keepLines/>
      <w:spacing w:before="40" w:after="0"/>
      <w:outlineLvl w:val="6"/>
    </w:pPr>
    <w:rPr>
      <w:rFonts w:eastAsiaTheme="minorEastAsia" w:cstheme="majorBidi"/>
      <w:b/>
      <w:bCs/>
      <w:color w:val="595959" w:themeColor="text1" w:themeTint="A6"/>
    </w:rPr>
  </w:style>
  <w:style w:type="paragraph" w:styleId="8">
    <w:name w:val="heading 8"/>
    <w:basedOn w:val="a"/>
    <w:next w:val="a"/>
    <w:link w:val="80"/>
    <w:uiPriority w:val="9"/>
    <w:semiHidden/>
    <w:unhideWhenUsed/>
    <w:qFormat/>
    <w:rsid w:val="004A14E4"/>
    <w:pPr>
      <w:keepNext/>
      <w:keepLines/>
      <w:spacing w:after="0"/>
      <w:outlineLvl w:val="7"/>
    </w:pPr>
    <w:rPr>
      <w:rFonts w:eastAsiaTheme="minorEastAsia" w:cstheme="majorBidi"/>
      <w:color w:val="595959" w:themeColor="text1" w:themeTint="A6"/>
    </w:rPr>
  </w:style>
  <w:style w:type="paragraph" w:styleId="9">
    <w:name w:val="heading 9"/>
    <w:basedOn w:val="a"/>
    <w:next w:val="a"/>
    <w:link w:val="90"/>
    <w:uiPriority w:val="9"/>
    <w:semiHidden/>
    <w:unhideWhenUsed/>
    <w:qFormat/>
    <w:rsid w:val="004A14E4"/>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4A14E4"/>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4A14E4"/>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4A14E4"/>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4A14E4"/>
    <w:rPr>
      <w:rFonts w:cstheme="majorBidi"/>
      <w:color w:val="0F4761" w:themeColor="accent1" w:themeShade="BF"/>
      <w:sz w:val="28"/>
      <w:szCs w:val="28"/>
    </w:rPr>
  </w:style>
  <w:style w:type="character" w:customStyle="1" w:styleId="50">
    <w:name w:val="标题 5 字符"/>
    <w:basedOn w:val="a0"/>
    <w:link w:val="5"/>
    <w:uiPriority w:val="9"/>
    <w:semiHidden/>
    <w:rsid w:val="004A14E4"/>
    <w:rPr>
      <w:rFonts w:cstheme="majorBidi"/>
      <w:color w:val="0F4761" w:themeColor="accent1" w:themeShade="BF"/>
      <w:sz w:val="24"/>
    </w:rPr>
  </w:style>
  <w:style w:type="character" w:customStyle="1" w:styleId="60">
    <w:name w:val="标题 6 字符"/>
    <w:basedOn w:val="a0"/>
    <w:link w:val="6"/>
    <w:uiPriority w:val="9"/>
    <w:semiHidden/>
    <w:rsid w:val="004A14E4"/>
    <w:rPr>
      <w:rFonts w:cstheme="majorBidi"/>
      <w:b/>
      <w:bCs/>
      <w:color w:val="0F4761" w:themeColor="accent1" w:themeShade="BF"/>
    </w:rPr>
  </w:style>
  <w:style w:type="character" w:customStyle="1" w:styleId="70">
    <w:name w:val="标题 7 字符"/>
    <w:basedOn w:val="a0"/>
    <w:link w:val="7"/>
    <w:uiPriority w:val="9"/>
    <w:semiHidden/>
    <w:rsid w:val="004A14E4"/>
    <w:rPr>
      <w:rFonts w:cstheme="majorBidi"/>
      <w:b/>
      <w:bCs/>
      <w:color w:val="595959" w:themeColor="text1" w:themeTint="A6"/>
    </w:rPr>
  </w:style>
  <w:style w:type="character" w:customStyle="1" w:styleId="80">
    <w:name w:val="标题 8 字符"/>
    <w:basedOn w:val="a0"/>
    <w:link w:val="8"/>
    <w:uiPriority w:val="9"/>
    <w:semiHidden/>
    <w:rsid w:val="004A14E4"/>
    <w:rPr>
      <w:rFonts w:cstheme="majorBidi"/>
      <w:color w:val="595959" w:themeColor="text1" w:themeTint="A6"/>
    </w:rPr>
  </w:style>
  <w:style w:type="character" w:customStyle="1" w:styleId="90">
    <w:name w:val="标题 9 字符"/>
    <w:basedOn w:val="a0"/>
    <w:link w:val="9"/>
    <w:uiPriority w:val="9"/>
    <w:semiHidden/>
    <w:rsid w:val="004A14E4"/>
    <w:rPr>
      <w:rFonts w:eastAsiaTheme="majorEastAsia" w:cstheme="majorBidi"/>
      <w:color w:val="595959" w:themeColor="text1" w:themeTint="A6"/>
    </w:rPr>
  </w:style>
  <w:style w:type="paragraph" w:styleId="a3">
    <w:name w:val="Title"/>
    <w:basedOn w:val="a"/>
    <w:next w:val="a"/>
    <w:link w:val="a4"/>
    <w:uiPriority w:val="10"/>
    <w:qFormat/>
    <w:rsid w:val="004A14E4"/>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4A14E4"/>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4A14E4"/>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4A14E4"/>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4A14E4"/>
    <w:pPr>
      <w:spacing w:before="160"/>
      <w:jc w:val="center"/>
    </w:pPr>
    <w:rPr>
      <w:i/>
      <w:iCs/>
      <w:color w:val="404040" w:themeColor="text1" w:themeTint="BF"/>
    </w:rPr>
  </w:style>
  <w:style w:type="character" w:customStyle="1" w:styleId="a8">
    <w:name w:val="引用 字符"/>
    <w:basedOn w:val="a0"/>
    <w:link w:val="a7"/>
    <w:uiPriority w:val="29"/>
    <w:rsid w:val="004A14E4"/>
    <w:rPr>
      <w:rFonts w:eastAsia="宋体"/>
      <w:i/>
      <w:iCs/>
      <w:color w:val="404040" w:themeColor="text1" w:themeTint="BF"/>
    </w:rPr>
  </w:style>
  <w:style w:type="paragraph" w:styleId="a9">
    <w:name w:val="List Paragraph"/>
    <w:basedOn w:val="a"/>
    <w:uiPriority w:val="34"/>
    <w:qFormat/>
    <w:rsid w:val="004A14E4"/>
    <w:pPr>
      <w:ind w:left="720"/>
      <w:contextualSpacing/>
    </w:pPr>
  </w:style>
  <w:style w:type="character" w:styleId="aa">
    <w:name w:val="Intense Emphasis"/>
    <w:basedOn w:val="a0"/>
    <w:uiPriority w:val="21"/>
    <w:qFormat/>
    <w:rsid w:val="004A14E4"/>
    <w:rPr>
      <w:i/>
      <w:iCs/>
      <w:color w:val="0F4761" w:themeColor="accent1" w:themeShade="BF"/>
    </w:rPr>
  </w:style>
  <w:style w:type="paragraph" w:styleId="ab">
    <w:name w:val="Intense Quote"/>
    <w:basedOn w:val="a"/>
    <w:next w:val="a"/>
    <w:link w:val="ac"/>
    <w:uiPriority w:val="30"/>
    <w:qFormat/>
    <w:rsid w:val="004A14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4A14E4"/>
    <w:rPr>
      <w:rFonts w:eastAsia="宋体"/>
      <w:i/>
      <w:iCs/>
      <w:color w:val="0F4761" w:themeColor="accent1" w:themeShade="BF"/>
    </w:rPr>
  </w:style>
  <w:style w:type="character" w:styleId="ad">
    <w:name w:val="Intense Reference"/>
    <w:basedOn w:val="a0"/>
    <w:uiPriority w:val="32"/>
    <w:qFormat/>
    <w:rsid w:val="004A14E4"/>
    <w:rPr>
      <w:b/>
      <w:bCs/>
      <w:smallCaps/>
      <w:color w:val="0F4761" w:themeColor="accent1" w:themeShade="BF"/>
      <w:spacing w:val="5"/>
    </w:rPr>
  </w:style>
  <w:style w:type="character" w:styleId="ae">
    <w:name w:val="Hyperlink"/>
    <w:basedOn w:val="a0"/>
    <w:uiPriority w:val="99"/>
    <w:unhideWhenUsed/>
    <w:rsid w:val="00B110E6"/>
    <w:rPr>
      <w:color w:val="467886" w:themeColor="hyperlink"/>
      <w:u w:val="single"/>
    </w:rPr>
  </w:style>
  <w:style w:type="character" w:styleId="af">
    <w:name w:val="Unresolved Mention"/>
    <w:basedOn w:val="a0"/>
    <w:uiPriority w:val="99"/>
    <w:semiHidden/>
    <w:unhideWhenUsed/>
    <w:rsid w:val="00B110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58692290">
      <w:bodyDiv w:val="1"/>
      <w:marLeft w:val="0"/>
      <w:marRight w:val="0"/>
      <w:marTop w:val="0"/>
      <w:marBottom w:val="0"/>
      <w:divBdr>
        <w:top w:val="none" w:sz="0" w:space="0" w:color="auto"/>
        <w:left w:val="none" w:sz="0" w:space="0" w:color="auto"/>
        <w:bottom w:val="none" w:sz="0" w:space="0" w:color="auto"/>
        <w:right w:val="none" w:sz="0" w:space="0" w:color="auto"/>
      </w:divBdr>
      <w:divsChild>
        <w:div w:id="1351181718">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1526093943">
      <w:bodyDiv w:val="1"/>
      <w:marLeft w:val="0"/>
      <w:marRight w:val="0"/>
      <w:marTop w:val="0"/>
      <w:marBottom w:val="0"/>
      <w:divBdr>
        <w:top w:val="none" w:sz="0" w:space="0" w:color="auto"/>
        <w:left w:val="none" w:sz="0" w:space="0" w:color="auto"/>
        <w:bottom w:val="none" w:sz="0" w:space="0" w:color="auto"/>
        <w:right w:val="none" w:sz="0" w:space="0" w:color="auto"/>
      </w:divBdr>
    </w:div>
    <w:div w:id="2038896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262</TotalTime>
  <Pages>16</Pages>
  <Words>5225</Words>
  <Characters>29783</Characters>
  <Application>Microsoft Office Word</Application>
  <DocSecurity>0</DocSecurity>
  <Lines>248</Lines>
  <Paragraphs>69</Paragraphs>
  <ScaleCrop>false</ScaleCrop>
  <Company/>
  <LinksUpToDate>false</LinksUpToDate>
  <CharactersWithSpaces>34939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Puyang Sun (2405847)</dc:creator>
  <cp:keywords/>
  <dc:description/>
  <cp:lastModifiedBy>Puyang Sun (2405847)</cp:lastModifiedBy>
  <cp:revision>70</cp:revision>
  <dcterms:created xsi:type="dcterms:W3CDTF">2025-04-07T12:11:00Z</dcterms:created>
  <dcterms:modified xsi:type="dcterms:W3CDTF">2025-04-11T16:00:00Z</dcterms:modified>
</cp:coreProperties>
</file>