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D0A0184" w:rsidP="6502FB4D" w:rsidRDefault="0D0A0184" w14:paraId="3B3F295E" w14:textId="7104B5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0A0184">
        <w:rPr/>
        <w:t xml:space="preserve">Bannister Primary School </w:t>
      </w:r>
    </w:p>
    <w:p w:rsidR="0D0A0184" w:rsidRDefault="0D0A0184" w14:paraId="642A774F" w14:textId="200C2B10">
      <w:r w:rsidR="0D0A0184">
        <w:rPr/>
        <w:t>Sienna Davies 2404042</w:t>
      </w:r>
    </w:p>
    <w:p w:rsidR="0D0A0184" w:rsidRDefault="0D0A0184" w14:paraId="00DBA2AC" w14:textId="4448CEF3">
      <w:r w:rsidR="0D0A0184">
        <w:rPr/>
        <w:t>BMLC5015</w:t>
      </w:r>
    </w:p>
    <w:p w:rsidR="6502FB4D" w:rsidRDefault="6502FB4D" w14:paraId="41204B13" w14:textId="7B62552A"/>
    <w:p w:rsidR="2697E9BC" w:rsidRDefault="2697E9BC" w14:paraId="16AC71AE" w14:textId="02BB4F47">
      <w:r w:rsidR="2697E9BC">
        <w:rPr/>
        <w:t>I can confirm that I have not used any AI tools in the research and creation of this assignment. I can confirm that I have not presented an</w:t>
      </w:r>
      <w:r w:rsidR="30F99B71">
        <w:rPr/>
        <w:t>y</w:t>
      </w:r>
      <w:r w:rsidR="2697E9BC">
        <w:rPr/>
        <w:t xml:space="preserve"> AI generated materials as my own work. I confi</w:t>
      </w:r>
      <w:r w:rsidR="50861D8C">
        <w:rPr/>
        <w:t>rm</w:t>
      </w:r>
      <w:r w:rsidR="2697E9BC">
        <w:rPr/>
        <w:t xml:space="preserve"> I</w:t>
      </w:r>
      <w:r w:rsidR="6D5F5C17">
        <w:rPr/>
        <w:t xml:space="preserve"> have copies of my drafts, notes, and other </w:t>
      </w:r>
      <w:r w:rsidR="20C75177">
        <w:rPr/>
        <w:t>resources</w:t>
      </w:r>
      <w:r w:rsidR="6D5F5C17">
        <w:rPr/>
        <w:t xml:space="preserve"> </w:t>
      </w:r>
      <w:r w:rsidR="39C3A4A5">
        <w:rPr/>
        <w:t>I used, which may be asked to provide in evidence.</w:t>
      </w:r>
    </w:p>
    <w:p w:rsidR="6502FB4D" w:rsidP="6502FB4D" w:rsidRDefault="6502FB4D" w14:paraId="5B140145" w14:textId="0E7D8E6D">
      <w:pPr>
        <w:pStyle w:val="Normal"/>
      </w:pPr>
    </w:p>
    <w:p w:rsidR="6502FB4D" w:rsidP="6502FB4D" w:rsidRDefault="6502FB4D" w14:paraId="3CCBC0C9" w14:textId="58275866">
      <w:pPr>
        <w:pStyle w:val="Normal"/>
      </w:pPr>
    </w:p>
    <w:p w:rsidR="5148D157" w:rsidP="6502FB4D" w:rsidRDefault="5148D157" w14:paraId="558892F2" w14:textId="2D79561C">
      <w:pPr>
        <w:pStyle w:val="Normal"/>
      </w:pPr>
      <w:r w:rsidR="5148D157">
        <w:rPr/>
        <w:t xml:space="preserve">In this </w:t>
      </w:r>
      <w:r w:rsidR="3679D723">
        <w:rPr/>
        <w:t>scenario</w:t>
      </w:r>
      <w:r w:rsidR="5148D157">
        <w:rPr/>
        <w:t xml:space="preserve">, Bannister Primary School is faced with two </w:t>
      </w:r>
      <w:r w:rsidR="09BD93E9">
        <w:rPr/>
        <w:t xml:space="preserve">boys </w:t>
      </w:r>
      <w:r w:rsidR="5148D157">
        <w:rPr/>
        <w:t xml:space="preserve">who </w:t>
      </w:r>
      <w:r w:rsidR="17156FFB">
        <w:rPr/>
        <w:t xml:space="preserve">are </w:t>
      </w:r>
      <w:r w:rsidR="407D8A4B">
        <w:rPr/>
        <w:t>raising</w:t>
      </w:r>
      <w:r w:rsidR="17156FFB">
        <w:rPr/>
        <w:t xml:space="preserve"> </w:t>
      </w:r>
      <w:bookmarkStart w:name="_Int_29iPuDfW" w:id="1388092026"/>
      <w:r w:rsidR="17156FFB">
        <w:rPr/>
        <w:t>the concern</w:t>
      </w:r>
      <w:bookmarkEnd w:id="1388092026"/>
      <w:r w:rsidR="17156FFB">
        <w:rPr/>
        <w:t xml:space="preserve"> </w:t>
      </w:r>
      <w:bookmarkStart w:name="_Int_rK8glRvB" w:id="873398443"/>
      <w:r w:rsidR="17156FFB">
        <w:rPr/>
        <w:t>of</w:t>
      </w:r>
      <w:bookmarkEnd w:id="873398443"/>
      <w:r w:rsidR="17156FFB">
        <w:rPr/>
        <w:t xml:space="preserve"> negligence. The first </w:t>
      </w:r>
      <w:r w:rsidR="451C0193">
        <w:rPr/>
        <w:t>boy</w:t>
      </w:r>
      <w:r w:rsidR="17156FFB">
        <w:rPr/>
        <w:t xml:space="preserve">, Bohdi, is a </w:t>
      </w:r>
      <w:bookmarkStart w:name="_Int_WtW7A5Hd" w:id="453099860"/>
      <w:r w:rsidR="17156FFB">
        <w:rPr/>
        <w:t>7 year old</w:t>
      </w:r>
      <w:bookmarkEnd w:id="453099860"/>
      <w:r w:rsidR="17156FFB">
        <w:rPr/>
        <w:t xml:space="preserve"> </w:t>
      </w:r>
      <w:r w:rsidR="1031508B">
        <w:rPr/>
        <w:t xml:space="preserve">student </w:t>
      </w:r>
      <w:r w:rsidR="17156FFB">
        <w:rPr/>
        <w:t>who had an encounter with the school’s dinner lady that resulted in hi</w:t>
      </w:r>
      <w:r w:rsidR="0875DF88">
        <w:rPr/>
        <w:t xml:space="preserve">m being sent to the </w:t>
      </w:r>
      <w:r w:rsidR="035E0CB6">
        <w:rPr/>
        <w:t>nurse's</w:t>
      </w:r>
      <w:r w:rsidR="0875DF88">
        <w:rPr/>
        <w:t xml:space="preserve"> office to get burn treatment</w:t>
      </w:r>
      <w:r w:rsidR="16E8AC47">
        <w:rPr/>
        <w:t xml:space="preserve">. The second </w:t>
      </w:r>
      <w:r w:rsidR="5E880108">
        <w:rPr/>
        <w:t>boy</w:t>
      </w:r>
      <w:r w:rsidR="16E8AC47">
        <w:rPr/>
        <w:t>, Elijah</w:t>
      </w:r>
      <w:r w:rsidR="05853303">
        <w:rPr/>
        <w:t xml:space="preserve">, is a </w:t>
      </w:r>
      <w:bookmarkStart w:name="_Int_kxwnRr7U" w:id="733265392"/>
      <w:r w:rsidR="0942AA53">
        <w:rPr/>
        <w:t>6 year old</w:t>
      </w:r>
      <w:bookmarkEnd w:id="733265392"/>
      <w:r w:rsidR="05853303">
        <w:rPr/>
        <w:t xml:space="preserve"> who came to see the school with his mother where he ended up with a </w:t>
      </w:r>
      <w:r w:rsidR="473C4E02">
        <w:rPr/>
        <w:t>damaged</w:t>
      </w:r>
      <w:r w:rsidR="05853303">
        <w:rPr/>
        <w:t xml:space="preserve"> jumper and </w:t>
      </w:r>
      <w:r w:rsidR="34CF9F69">
        <w:rPr/>
        <w:t xml:space="preserve">being diagnosed with a concussion. </w:t>
      </w:r>
      <w:r w:rsidR="37BCA3C1">
        <w:rPr/>
        <w:t xml:space="preserve">The facts of both cases will be discussed alongside answering this question. </w:t>
      </w:r>
      <w:r w:rsidR="4B166FC2">
        <w:rPr/>
        <w:t xml:space="preserve">To answer this question, topics will be covered in turn such as duty of care, causation, remoteness, </w:t>
      </w:r>
      <w:r w:rsidR="4B166FC2">
        <w:rPr/>
        <w:t>defence</w:t>
      </w:r>
      <w:r w:rsidR="217D910B">
        <w:rPr/>
        <w:t>s</w:t>
      </w:r>
      <w:r w:rsidR="217D910B">
        <w:rPr/>
        <w:t xml:space="preserve"> and remedies. This </w:t>
      </w:r>
      <w:r w:rsidR="3C60C77A">
        <w:rPr/>
        <w:t xml:space="preserve">essay will address all relevant </w:t>
      </w:r>
      <w:bookmarkStart w:name="_Int_oE5hzrVQ" w:id="2064285164"/>
      <w:r w:rsidR="3C60C77A">
        <w:rPr/>
        <w:t>law</w:t>
      </w:r>
      <w:bookmarkEnd w:id="2064285164"/>
      <w:r w:rsidR="3C60C77A">
        <w:rPr/>
        <w:t xml:space="preserve"> and advice</w:t>
      </w:r>
      <w:r w:rsidR="3623E24F">
        <w:rPr/>
        <w:t xml:space="preserve"> whilst </w:t>
      </w:r>
      <w:r w:rsidR="75E642E2">
        <w:rPr/>
        <w:t>coming</w:t>
      </w:r>
      <w:r w:rsidR="3623E24F">
        <w:rPr/>
        <w:t xml:space="preserve"> to the conclusion</w:t>
      </w:r>
      <w:r w:rsidR="3623E24F">
        <w:rPr/>
        <w:t xml:space="preserve"> that Bannister Primary School is only partly to blame. </w:t>
      </w:r>
    </w:p>
    <w:p w:rsidR="6502FB4D" w:rsidP="6502FB4D" w:rsidRDefault="6502FB4D" w14:paraId="31406E0D" w14:textId="66698BC9">
      <w:pPr>
        <w:pStyle w:val="Normal"/>
      </w:pPr>
    </w:p>
    <w:p w:rsidR="58C8D937" w:rsidP="6502FB4D" w:rsidRDefault="58C8D937" w14:paraId="753CDEE5" w14:textId="02D8D9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8C8D937">
        <w:rPr/>
        <w:t xml:space="preserve">The case of ‘Blyth v Birmingham Waterworks’ (1856) defined negligence as </w:t>
      </w:r>
      <w:r w:rsidR="25832B8C">
        <w:rPr/>
        <w:t>in the context of unforeseeable events</w:t>
      </w:r>
      <w:r w:rsidR="6B8F5E41">
        <w:rPr/>
        <w:t xml:space="preserve">, </w:t>
      </w:r>
      <w:r w:rsidR="2C84CC3D">
        <w:rPr/>
        <w:t>failing</w:t>
      </w:r>
      <w:r w:rsidR="25832B8C">
        <w:rPr/>
        <w:t xml:space="preserve"> t</w:t>
      </w:r>
      <w:r w:rsidR="58C8D937">
        <w:rPr/>
        <w:t>o do</w:t>
      </w:r>
      <w:r w:rsidR="58C8D937">
        <w:rPr/>
        <w:t xml:space="preserve"> t</w:t>
      </w:r>
      <w:r w:rsidR="031B4F08">
        <w:rPr/>
        <w:t xml:space="preserve">hat which a reasonable person would do, or </w:t>
      </w:r>
      <w:r w:rsidR="569C916F">
        <w:rPr/>
        <w:t>doing</w:t>
      </w:r>
      <w:r w:rsidR="72F081E0">
        <w:rPr/>
        <w:t xml:space="preserve"> </w:t>
      </w:r>
      <w:r w:rsidR="031B4F08">
        <w:rPr/>
        <w:t>that which a reasonable person would not do</w:t>
      </w:r>
      <w:r w:rsidR="78833501">
        <w:rPr/>
        <w:t xml:space="preserve">. </w:t>
      </w:r>
      <w:r w:rsidR="4A216A82">
        <w:rPr/>
        <w:t>However, it is up to the court to decide whether a tort has been committed</w:t>
      </w:r>
      <w:r w:rsidR="0FDDAE9D">
        <w:rPr/>
        <w:t xml:space="preserve"> as was said in the case of ‘Donoghue v Stevenson’ (1932)</w:t>
      </w:r>
      <w:r w:rsidR="4A216A82">
        <w:rPr/>
        <w:t>; tort meaning a civil wrong.</w:t>
      </w:r>
      <w:r w:rsidR="63204440">
        <w:rPr/>
        <w:t xml:space="preserve"> The first factor that will be looked at is duty of care. </w:t>
      </w:r>
      <w:r w:rsidR="3C2EC181">
        <w:rPr/>
        <w:t xml:space="preserve">The neighbour principle </w:t>
      </w:r>
      <w:r w:rsidR="3C2EC181">
        <w:rPr/>
        <w:t>established</w:t>
      </w:r>
      <w:r w:rsidR="3C2EC181">
        <w:rPr/>
        <w:t xml:space="preserve"> in the case of ‘Donoghue v Stevenson’ </w:t>
      </w:r>
      <w:r w:rsidR="5AEBC30C">
        <w:rPr/>
        <w:t xml:space="preserve">highlights </w:t>
      </w:r>
      <w:bookmarkStart w:name="_Int_ZQBgvsDQ" w:id="1423249403"/>
      <w:r w:rsidR="3C2EC181">
        <w:rPr/>
        <w:t>those</w:t>
      </w:r>
      <w:bookmarkEnd w:id="1423249403"/>
      <w:r w:rsidR="3C2EC181">
        <w:rPr/>
        <w:t xml:space="preserve"> </w:t>
      </w:r>
      <w:r w:rsidR="24ABF99F">
        <w:rPr/>
        <w:t xml:space="preserve">who </w:t>
      </w:r>
      <w:r w:rsidR="008A459C">
        <w:rPr/>
        <w:t xml:space="preserve">an individual would </w:t>
      </w:r>
      <w:r w:rsidR="3C2EC181">
        <w:rPr/>
        <w:t xml:space="preserve">owe a duty </w:t>
      </w:r>
      <w:r w:rsidR="0CD22F35">
        <w:rPr/>
        <w:t xml:space="preserve">of care </w:t>
      </w:r>
      <w:r w:rsidR="253B28C5">
        <w:rPr/>
        <w:t>to which are “persons who are so closely and directly affected by my act that I ought reasonably to have them in contemplation</w:t>
      </w:r>
      <w:r w:rsidR="253B28C5">
        <w:rPr/>
        <w:t>”.</w:t>
      </w:r>
      <w:r w:rsidR="190F25A6">
        <w:rPr/>
        <w:t xml:space="preserve"> </w:t>
      </w:r>
      <w:r w:rsidR="26ACC6D5">
        <w:rPr/>
        <w:t xml:space="preserve">This principle can be kept in mind; however, </w:t>
      </w:r>
      <w:r w:rsidR="0DB658F6">
        <w:rPr/>
        <w:t xml:space="preserve">it can be </w:t>
      </w:r>
      <w:r w:rsidR="26ACC6D5">
        <w:rPr/>
        <w:t>test</w:t>
      </w:r>
      <w:r w:rsidR="4F9BF77B">
        <w:rPr/>
        <w:t>ed</w:t>
      </w:r>
      <w:r w:rsidR="26ACC6D5">
        <w:rPr/>
        <w:t xml:space="preserve"> if a duty of care is owed from the presumption that it is not unless it passes the Caparo Test. </w:t>
      </w:r>
      <w:r w:rsidR="791246EB">
        <w:rPr/>
        <w:t>The Caparo Test was laid in the case of ‘Caparo</w:t>
      </w:r>
      <w:r w:rsidR="34DE834E">
        <w:rPr/>
        <w:t xml:space="preserve"> Industries plc v Dickman’ (1990).</w:t>
      </w:r>
      <w:r w:rsidR="791246EB">
        <w:rPr/>
        <w:t xml:space="preserve"> </w:t>
      </w:r>
      <w:r w:rsidR="2F1825AA">
        <w:rPr/>
        <w:t xml:space="preserve">To satisfy this </w:t>
      </w:r>
      <w:r w:rsidR="6329879C">
        <w:rPr/>
        <w:t>test</w:t>
      </w:r>
      <w:r w:rsidR="4040F442">
        <w:rPr/>
        <w:t xml:space="preserve">, </w:t>
      </w:r>
      <w:r w:rsidR="7392CF16">
        <w:rPr/>
        <w:t xml:space="preserve">a reasonable </w:t>
      </w:r>
      <w:r w:rsidR="4040F442">
        <w:rPr/>
        <w:t>foreseeab</w:t>
      </w:r>
      <w:r w:rsidR="5F2B68BD">
        <w:rPr/>
        <w:t>ility</w:t>
      </w:r>
      <w:r w:rsidR="4040F442">
        <w:rPr/>
        <w:t xml:space="preserve"> </w:t>
      </w:r>
      <w:r w:rsidR="1BA9C04E">
        <w:rPr/>
        <w:t xml:space="preserve">of </w:t>
      </w:r>
      <w:r w:rsidR="4040F442">
        <w:rPr/>
        <w:t xml:space="preserve">harm </w:t>
      </w:r>
      <w:r w:rsidR="54530A4D">
        <w:rPr/>
        <w:t>is questioned</w:t>
      </w:r>
      <w:r w:rsidR="755C58A1">
        <w:rPr/>
        <w:t xml:space="preserve"> a</w:t>
      </w:r>
      <w:r w:rsidR="54530A4D">
        <w:rPr/>
        <w:t xml:space="preserve">s well as </w:t>
      </w:r>
      <w:r w:rsidR="54530A4D">
        <w:rPr/>
        <w:t>proximity between the partie</w:t>
      </w:r>
      <w:r w:rsidR="74688733">
        <w:rPr/>
        <w:t>s. Alon</w:t>
      </w:r>
      <w:r w:rsidR="50E545C1">
        <w:rPr/>
        <w:t>g</w:t>
      </w:r>
      <w:r w:rsidR="74688733">
        <w:rPr/>
        <w:t xml:space="preserve">side these steps </w:t>
      </w:r>
      <w:bookmarkStart w:name="_Int_QdVhvU9q" w:id="563769622"/>
      <w:r w:rsidR="74688733">
        <w:rPr/>
        <w:t>is</w:t>
      </w:r>
      <w:bookmarkEnd w:id="563769622"/>
      <w:r w:rsidR="74688733">
        <w:rPr/>
        <w:t xml:space="preserve"> to decide whether it is just and fair to impose a duty of care.</w:t>
      </w:r>
      <w:r w:rsidR="54530A4D">
        <w:rPr/>
        <w:t xml:space="preserve"> </w:t>
      </w:r>
      <w:r w:rsidR="54530A4D">
        <w:rPr/>
        <w:t>In relation to the case of Bohdi</w:t>
      </w:r>
      <w:r w:rsidR="554F8845">
        <w:rPr/>
        <w:t xml:space="preserve">, it would be </w:t>
      </w:r>
      <w:r w:rsidR="554F8845">
        <w:rPr/>
        <w:t>reasonably foreseeable</w:t>
      </w:r>
      <w:r w:rsidR="554F8845">
        <w:rPr/>
        <w:t xml:space="preserve"> that passing a child a plate of hot food could be a risk of harm. </w:t>
      </w:r>
      <w:r w:rsidR="7EB5420F">
        <w:rPr/>
        <w:t xml:space="preserve">In Bodi’s case, the dinner lady passed him a plate of hot food </w:t>
      </w:r>
      <w:r w:rsidR="4934C0E0">
        <w:rPr/>
        <w:t xml:space="preserve">and </w:t>
      </w:r>
      <w:r w:rsidR="4934C0E0">
        <w:rPr/>
        <w:t>boiling hot gravy spilt on his hand. This harm resulted in Bodi being sent to the nurse's office where burn cream was applied to his blistering skin.</w:t>
      </w:r>
      <w:r w:rsidR="292741C1">
        <w:rPr/>
        <w:t xml:space="preserve"> Also in this case, it would be right to say there was proximity between both parties as a dinner lady works for</w:t>
      </w:r>
      <w:r w:rsidR="450F8595">
        <w:rPr/>
        <w:t xml:space="preserve"> </w:t>
      </w:r>
      <w:r w:rsidR="01084CBD">
        <w:rPr/>
        <w:t>and is expected to safeguard children</w:t>
      </w:r>
      <w:r w:rsidR="54339B8B">
        <w:rPr/>
        <w:t xml:space="preserve">. </w:t>
      </w:r>
      <w:r w:rsidR="13668A02">
        <w:rPr/>
        <w:t xml:space="preserve">Imposing a duty of care here would be just and fair as there are no points </w:t>
      </w:r>
      <w:r w:rsidR="233DAD9B">
        <w:rPr/>
        <w:t xml:space="preserve">that would </w:t>
      </w:r>
      <w:r w:rsidR="13668A02">
        <w:rPr/>
        <w:t xml:space="preserve">otherwise overrule. </w:t>
      </w:r>
      <w:r w:rsidR="57503FDC">
        <w:rPr/>
        <w:t>In the case of Elijah</w:t>
      </w:r>
      <w:r w:rsidR="2BF45E30">
        <w:rPr/>
        <w:t xml:space="preserve">, there is a difference as Elijah is not yet a student but </w:t>
      </w:r>
      <w:r w:rsidR="50504485">
        <w:rPr/>
        <w:t>classes as a visitor.</w:t>
      </w:r>
      <w:r w:rsidR="2CA58132">
        <w:rPr/>
        <w:t xml:space="preserve"> </w:t>
      </w:r>
      <w:r w:rsidR="5FAA0568">
        <w:rPr/>
        <w:t>On the day in question, Elijah’s mother Jade was attending an open day at Bannister Primary School as a prospective parent</w:t>
      </w:r>
      <w:r w:rsidR="64A99542">
        <w:rPr/>
        <w:t xml:space="preserve">. This would make her a visitor under </w:t>
      </w:r>
      <w:r w:rsidR="4F68A8FD">
        <w:rPr/>
        <w:t xml:space="preserve">'The </w:t>
      </w:r>
      <w:r w:rsidR="64A99542">
        <w:rPr/>
        <w:t>Occupiers Liability Act</w:t>
      </w:r>
      <w:r w:rsidR="0C3EBC8C">
        <w:rPr/>
        <w:t>’ (1957)</w:t>
      </w:r>
      <w:r w:rsidR="64A99542">
        <w:rPr/>
        <w:t xml:space="preserve">. Furthermore, as she brought </w:t>
      </w:r>
      <w:r w:rsidR="78053263">
        <w:rPr/>
        <w:t xml:space="preserve">her </w:t>
      </w:r>
      <w:bookmarkStart w:name="_Int_a13Kg4He" w:id="2030198675"/>
      <w:r w:rsidR="64A99542">
        <w:rPr/>
        <w:t>6 year old</w:t>
      </w:r>
      <w:bookmarkEnd w:id="2030198675"/>
      <w:r w:rsidR="64A99542">
        <w:rPr/>
        <w:t xml:space="preserve"> </w:t>
      </w:r>
      <w:r w:rsidR="2A3D63F3">
        <w:rPr/>
        <w:t xml:space="preserve">son </w:t>
      </w:r>
      <w:r w:rsidR="64A99542">
        <w:rPr/>
        <w:t xml:space="preserve">Elijah with her then he </w:t>
      </w:r>
      <w:r w:rsidR="4398CB8D">
        <w:rPr/>
        <w:t xml:space="preserve">could </w:t>
      </w:r>
      <w:r w:rsidR="01C612CA">
        <w:rPr/>
        <w:t xml:space="preserve">be classed as a visitor </w:t>
      </w:r>
      <w:r w:rsidR="7EAECB4E">
        <w:rPr/>
        <w:t xml:space="preserve">also. </w:t>
      </w:r>
      <w:r w:rsidR="39F03693">
        <w:rPr/>
        <w:t xml:space="preserve">There is a duty of care here between the school and Elijah because under the Occupiers Liability Act </w:t>
      </w:r>
      <w:r w:rsidR="2C9B2626">
        <w:rPr/>
        <w:t>(</w:t>
      </w:r>
      <w:r w:rsidR="39F03693">
        <w:rPr/>
        <w:t>1957</w:t>
      </w:r>
      <w:r w:rsidR="46E081CB">
        <w:rPr/>
        <w:t>)</w:t>
      </w:r>
      <w:r w:rsidR="39F03693">
        <w:rPr/>
        <w:t xml:space="preserve">, the case of </w:t>
      </w:r>
      <w:r w:rsidR="0B655D58">
        <w:rPr/>
        <w:t>‘</w:t>
      </w:r>
      <w:r w:rsidR="39F03693">
        <w:rPr/>
        <w:t xml:space="preserve">Maguire v Sefton </w:t>
      </w:r>
      <w:r w:rsidR="615889A3">
        <w:rPr/>
        <w:t>Metropolitan Borough Council</w:t>
      </w:r>
      <w:r w:rsidR="7BD04361">
        <w:rPr/>
        <w:t>’</w:t>
      </w:r>
      <w:r w:rsidR="615889A3">
        <w:rPr/>
        <w:t xml:space="preserve"> (2006) </w:t>
      </w:r>
      <w:r w:rsidR="5232DCF1">
        <w:rPr/>
        <w:t>states that reasonable care must be taken.</w:t>
      </w:r>
      <w:r w:rsidR="7D59700A">
        <w:rPr/>
        <w:t xml:space="preserve"> It is also known that a duty of care is owed should there be a rescuer. It could be a</w:t>
      </w:r>
      <w:r w:rsidR="4BA5988B">
        <w:rPr/>
        <w:t xml:space="preserve">rgued that Jade acted as a </w:t>
      </w:r>
      <w:r w:rsidR="0FEB9329">
        <w:rPr/>
        <w:t>rescuer,</w:t>
      </w:r>
      <w:r w:rsidR="4BA5988B">
        <w:rPr/>
        <w:t xml:space="preserve"> and should that be acknowledged then the </w:t>
      </w:r>
      <w:r w:rsidR="14DEB48C">
        <w:rPr/>
        <w:t xml:space="preserve">defendant would owe a duty of care if a reasonable person in the </w:t>
      </w:r>
      <w:r w:rsidR="7AC6751D">
        <w:rPr/>
        <w:t>rescuer's</w:t>
      </w:r>
      <w:r w:rsidR="14DEB48C">
        <w:rPr/>
        <w:t xml:space="preserve"> situation would feel obliged to help. </w:t>
      </w:r>
      <w:r w:rsidR="081C64EA">
        <w:rPr/>
        <w:t xml:space="preserve">Within this case however are circumstances that would </w:t>
      </w:r>
      <w:r w:rsidR="081C64EA">
        <w:rPr/>
        <w:t>ultimately make</w:t>
      </w:r>
      <w:r w:rsidR="081C64EA">
        <w:rPr/>
        <w:t xml:space="preserve"> placing a duty of care between the school and Elijah unju</w:t>
      </w:r>
      <w:r w:rsidR="2DCBB702">
        <w:rPr/>
        <w:t xml:space="preserve">st; these problems will be raised throughout the essay. </w:t>
      </w:r>
    </w:p>
    <w:p w:rsidR="6502FB4D" w:rsidP="6502FB4D" w:rsidRDefault="6502FB4D" w14:paraId="67F3E3F4" w14:textId="1BD759BC">
      <w:pPr>
        <w:pStyle w:val="Normal"/>
      </w:pPr>
    </w:p>
    <w:p w:rsidR="59DE3B36" w:rsidP="6502FB4D" w:rsidRDefault="59DE3B36" w14:paraId="39601E6A" w14:textId="4347AB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9DE3B36">
        <w:rPr/>
        <w:t xml:space="preserve">Now that a duty of care has been </w:t>
      </w:r>
      <w:r w:rsidR="59DE3B36">
        <w:rPr/>
        <w:t>established</w:t>
      </w:r>
      <w:r w:rsidR="59DE3B36">
        <w:rPr/>
        <w:t xml:space="preserve"> in both cases, the second factor that will be looked at is a breach of duty of care.</w:t>
      </w:r>
      <w:r w:rsidR="18C6303E">
        <w:rPr/>
        <w:t xml:space="preserve"> To </w:t>
      </w:r>
      <w:r w:rsidR="18C6303E">
        <w:rPr/>
        <w:t>determine</w:t>
      </w:r>
      <w:r w:rsidR="18C6303E">
        <w:rPr/>
        <w:t xml:space="preserve"> if there has been a breach, </w:t>
      </w:r>
      <w:r w:rsidR="3F3E3365">
        <w:rPr/>
        <w:t xml:space="preserve">a judge will </w:t>
      </w:r>
      <w:r w:rsidR="3F3E3365">
        <w:rPr/>
        <w:t xml:space="preserve">look </w:t>
      </w:r>
      <w:bookmarkStart w:name="_Int_rgLYfNeU" w:id="167315258"/>
      <w:r w:rsidR="18C6303E">
        <w:rPr/>
        <w:t>into</w:t>
      </w:r>
      <w:bookmarkEnd w:id="167315258"/>
      <w:r w:rsidR="18C6303E">
        <w:rPr/>
        <w:t xml:space="preserve"> the standard of care and whether it has been met or not</w:t>
      </w:r>
      <w:r w:rsidR="27817418">
        <w:rPr/>
        <w:t xml:space="preserve"> </w:t>
      </w:r>
      <w:r w:rsidR="30B994FC">
        <w:rPr/>
        <w:t>(Cooke, 2019</w:t>
      </w:r>
      <w:r w:rsidR="108E10CC">
        <w:rPr/>
        <w:t>, pp. 188</w:t>
      </w:r>
      <w:r w:rsidR="30B994FC">
        <w:rPr/>
        <w:t>)</w:t>
      </w:r>
      <w:r w:rsidR="18C6303E">
        <w:rPr/>
        <w:t xml:space="preserve">. </w:t>
      </w:r>
      <w:r w:rsidR="140B0E68">
        <w:rPr/>
        <w:t>Numerous things are taken into account when considering the standard of care and if i</w:t>
      </w:r>
      <w:r w:rsidR="20116085">
        <w:rPr/>
        <w:t xml:space="preserve">t has </w:t>
      </w:r>
      <w:r w:rsidR="140B0E68">
        <w:rPr/>
        <w:t>been met</w:t>
      </w:r>
      <w:r w:rsidR="1F241E19">
        <w:rPr/>
        <w:t xml:space="preserve">, such as to consider children and characteristics of the claimant, the more experienced the </w:t>
      </w:r>
      <w:r w:rsidR="0AB82F8C">
        <w:rPr/>
        <w:t>individual</w:t>
      </w:r>
      <w:r w:rsidR="1F241E19">
        <w:rPr/>
        <w:t xml:space="preserve"> the higher standard of care they</w:t>
      </w:r>
      <w:r w:rsidR="2FB76FC8">
        <w:rPr/>
        <w:t xml:space="preserve"> a</w:t>
      </w:r>
      <w:r w:rsidR="1F241E19">
        <w:rPr/>
        <w:t>re held to, reaso</w:t>
      </w:r>
      <w:r w:rsidR="568F620C">
        <w:rPr/>
        <w:t>nable foreseeability and magnitude of risk, how vulnerable the victim is, what length</w:t>
      </w:r>
      <w:r w:rsidR="4752F759">
        <w:rPr/>
        <w:t>s</w:t>
      </w:r>
      <w:r w:rsidR="568F620C">
        <w:rPr/>
        <w:t xml:space="preserve"> mus</w:t>
      </w:r>
      <w:r w:rsidR="695E71A4">
        <w:rPr/>
        <w:t xml:space="preserve">t be gone to in precautions and the objective of the defendant. </w:t>
      </w:r>
      <w:r w:rsidR="50EE22B0">
        <w:rPr/>
        <w:t>In th</w:t>
      </w:r>
      <w:r w:rsidR="38C072AC">
        <w:rPr/>
        <w:t xml:space="preserve">e </w:t>
      </w:r>
      <w:r w:rsidR="50EE22B0">
        <w:rPr/>
        <w:t xml:space="preserve">case of Bohdi, as this </w:t>
      </w:r>
      <w:r w:rsidR="748594CB">
        <w:rPr/>
        <w:t xml:space="preserve">concerns </w:t>
      </w:r>
      <w:r w:rsidR="50EE22B0">
        <w:rPr/>
        <w:t>a child and the vulnerability is higher, the standard of care is higher</w:t>
      </w:r>
      <w:r w:rsidR="4BA7CBC0">
        <w:rPr/>
        <w:t xml:space="preserve"> as a result</w:t>
      </w:r>
      <w:r w:rsidR="6C34729B">
        <w:rPr/>
        <w:t xml:space="preserve">. A breach of duty is seen by the dinner lady as extra precautions should have been taken </w:t>
      </w:r>
      <w:r w:rsidR="59349EB3">
        <w:rPr/>
        <w:t xml:space="preserve">to protect the child from </w:t>
      </w:r>
      <w:r w:rsidR="511452CB">
        <w:rPr/>
        <w:t>harm,</w:t>
      </w:r>
      <w:r w:rsidR="59349EB3">
        <w:rPr/>
        <w:t xml:space="preserve"> </w:t>
      </w:r>
      <w:r w:rsidR="6C34729B">
        <w:rPr/>
        <w:t>yet the chi</w:t>
      </w:r>
      <w:r w:rsidR="7DF1F793">
        <w:rPr/>
        <w:t>l</w:t>
      </w:r>
      <w:r w:rsidR="6C34729B">
        <w:rPr/>
        <w:t>d was injured</w:t>
      </w:r>
      <w:r w:rsidR="2CC7C7FB">
        <w:rPr/>
        <w:t xml:space="preserve">. Similarly, in the case of Elijah the standard of care would have been </w:t>
      </w:r>
      <w:r w:rsidR="2ED24400">
        <w:rPr/>
        <w:t xml:space="preserve">higher again due to the fact he is a child and more vulnerable. </w:t>
      </w:r>
      <w:r w:rsidR="1250FF56">
        <w:rPr/>
        <w:t xml:space="preserve">One potential fault </w:t>
      </w:r>
      <w:r w:rsidR="00010967">
        <w:rPr/>
        <w:t xml:space="preserve">of Bannister Primary School </w:t>
      </w:r>
      <w:r w:rsidR="1250FF56">
        <w:rPr/>
        <w:t xml:space="preserve">and breach of duty </w:t>
      </w:r>
      <w:bookmarkStart w:name="_Int_WCpqBW4k" w:id="1887238549"/>
      <w:r w:rsidR="1250FF56">
        <w:rPr/>
        <w:t>comes</w:t>
      </w:r>
      <w:bookmarkEnd w:id="1887238549"/>
      <w:r w:rsidR="1250FF56">
        <w:rPr/>
        <w:t xml:space="preserve"> from warning sufficiency. Section (4) (A) of the Occupiers Liability Act (1957) h</w:t>
      </w:r>
      <w:r w:rsidR="10D078B8">
        <w:rPr/>
        <w:t>ighlights the need for sufficient warnings. It could be argued that</w:t>
      </w:r>
      <w:r w:rsidR="2ED24400">
        <w:rPr/>
        <w:t xml:space="preserve"> better preca</w:t>
      </w:r>
      <w:r w:rsidR="5D83100F">
        <w:rPr/>
        <w:t>utions should have been taken</w:t>
      </w:r>
      <w:r w:rsidR="653DB767">
        <w:rPr/>
        <w:t xml:space="preserve"> by the school </w:t>
      </w:r>
      <w:r w:rsidR="5D83100F">
        <w:rPr/>
        <w:t xml:space="preserve">as the hand painted sign </w:t>
      </w:r>
      <w:r w:rsidR="58B40C35">
        <w:rPr/>
        <w:t xml:space="preserve">saying “Keep away” </w:t>
      </w:r>
      <w:r w:rsidR="5D83100F">
        <w:rPr/>
        <w:t xml:space="preserve">on </w:t>
      </w:r>
      <w:r w:rsidR="6A0117AE">
        <w:rPr/>
        <w:t>the on</w:t>
      </w:r>
      <w:r w:rsidR="5D83100F">
        <w:rPr/>
        <w:t xml:space="preserve">e side of the Koi pond </w:t>
      </w:r>
      <w:r w:rsidR="092E88B6">
        <w:rPr/>
        <w:t xml:space="preserve">is not as impactful as it could have been. </w:t>
      </w:r>
      <w:r w:rsidR="659C692F">
        <w:rPr/>
        <w:t>In their defence however, the school might not have known that a child would be attending an open day for parents and therefore they would not have</w:t>
      </w:r>
      <w:r w:rsidR="2F567A50">
        <w:rPr/>
        <w:t xml:space="preserve"> had</w:t>
      </w:r>
      <w:r w:rsidR="659C692F">
        <w:rPr/>
        <w:t xml:space="preserve"> to improve </w:t>
      </w:r>
      <w:r w:rsidR="0762912E">
        <w:rPr/>
        <w:t xml:space="preserve">warnings </w:t>
      </w:r>
      <w:r w:rsidR="253995D0">
        <w:rPr/>
        <w:t xml:space="preserve">as the case of ‘Edwards v Sutton London Borough Council’ (2016) says that adults are well aware of dangers and therefore there would be no liability should </w:t>
      </w:r>
      <w:r w:rsidR="78CCFD4E">
        <w:rPr/>
        <w:t xml:space="preserve">a lack of awareness by the adult take place. </w:t>
      </w:r>
      <w:r w:rsidR="22FA6E17">
        <w:rPr/>
        <w:t>In relation to Elijah and Jade</w:t>
      </w:r>
      <w:r w:rsidR="4B03FACF">
        <w:rPr/>
        <w:t xml:space="preserve">, </w:t>
      </w:r>
      <w:r w:rsidR="22FA6E17">
        <w:rPr/>
        <w:t xml:space="preserve">as visitors the duty of care can be </w:t>
      </w:r>
      <w:r w:rsidR="32F81714">
        <w:rPr/>
        <w:t xml:space="preserve">lowered for </w:t>
      </w:r>
      <w:r w:rsidR="28CB0AAD">
        <w:rPr/>
        <w:t xml:space="preserve">the occupiers should a parent of their child be supervising. </w:t>
      </w:r>
      <w:r w:rsidR="039C9967">
        <w:rPr/>
        <w:t xml:space="preserve">This principle </w:t>
      </w:r>
      <w:r w:rsidR="6B51ABF2">
        <w:rPr/>
        <w:t xml:space="preserve">was set and seen in the case of ‘Phipps v Rochester Corporation’ (1955) where a child was injured </w:t>
      </w:r>
      <w:r w:rsidR="626D181A">
        <w:rPr/>
        <w:t xml:space="preserve">from a fall, yet </w:t>
      </w:r>
      <w:r w:rsidR="5AEE39A0">
        <w:rPr/>
        <w:t xml:space="preserve">the defendant was not in breach as </w:t>
      </w:r>
      <w:r w:rsidR="626D181A">
        <w:rPr/>
        <w:t>it was ruled that</w:t>
      </w:r>
      <w:r w:rsidR="042A0FCE">
        <w:rPr/>
        <w:t xml:space="preserve"> the reasonable parents would not permit their children to be sent into danger without protection. As well as this it was ruled that the </w:t>
      </w:r>
      <w:r w:rsidR="237FDD00">
        <w:rPr/>
        <w:t>guardians</w:t>
      </w:r>
      <w:r w:rsidR="042A0FCE">
        <w:rPr/>
        <w:t xml:space="preserve"> of the child and of the place</w:t>
      </w:r>
      <w:r w:rsidR="5B7A5102">
        <w:rPr/>
        <w:t xml:space="preserve"> </w:t>
      </w:r>
      <w:r w:rsidR="3992CC46">
        <w:rPr/>
        <w:t>should act reasonably and that each child was entitled to assume that the other would so act.</w:t>
      </w:r>
      <w:r w:rsidR="626D181A">
        <w:rPr/>
        <w:t xml:space="preserve"> </w:t>
      </w:r>
      <w:r w:rsidR="6FCDDA66">
        <w:rPr/>
        <w:t xml:space="preserve">Furthermore, in </w:t>
      </w:r>
      <w:r w:rsidR="61D89169">
        <w:rPr/>
        <w:t xml:space="preserve">the case of Elijah, section 2 (3) (B) </w:t>
      </w:r>
      <w:r w:rsidR="784D873F">
        <w:rPr/>
        <w:t xml:space="preserve">of the Occupiers Liability Act (1957) </w:t>
      </w:r>
      <w:r w:rsidR="61D89169">
        <w:rPr/>
        <w:t>could also be argued. This section says that the standa</w:t>
      </w:r>
      <w:r w:rsidR="45CF2E39">
        <w:rPr/>
        <w:t xml:space="preserve">rd of care owed by the occupier is lowered should the occupier share occupation with the individual. In this case, the occupation of the occupier </w:t>
      </w:r>
      <w:r w:rsidR="7B5E41C0">
        <w:rPr/>
        <w:t xml:space="preserve">being Bannister Primary School </w:t>
      </w:r>
      <w:r w:rsidR="45CF2E39">
        <w:rPr/>
        <w:t xml:space="preserve">is </w:t>
      </w:r>
      <w:r w:rsidR="45CF2E39">
        <w:rPr/>
        <w:t>essentially childcare</w:t>
      </w:r>
      <w:r w:rsidR="1E31F6D9">
        <w:rPr/>
        <w:t xml:space="preserve">. Likewise, childcare is the role of </w:t>
      </w:r>
      <w:r w:rsidR="451C2210">
        <w:rPr/>
        <w:t xml:space="preserve">Elijah’s mother </w:t>
      </w:r>
      <w:r w:rsidR="1E31F6D9">
        <w:rPr/>
        <w:t>Jade. Should this section be referred to, both parties would be aware of the</w:t>
      </w:r>
      <w:r w:rsidR="33BB6500">
        <w:rPr/>
        <w:t xml:space="preserve"> same</w:t>
      </w:r>
      <w:r w:rsidR="1E31F6D9">
        <w:rPr/>
        <w:t xml:space="preserve"> risk and therefore </w:t>
      </w:r>
      <w:r w:rsidR="0D85BEFC">
        <w:rPr/>
        <w:t>the occupier would not be solely liable</w:t>
      </w:r>
      <w:r w:rsidR="5B5FA513">
        <w:rPr/>
        <w:t xml:space="preserve"> if Jade did not take care of the risk</w:t>
      </w:r>
      <w:r w:rsidR="0D85BEFC">
        <w:rPr/>
        <w:t xml:space="preserve">. </w:t>
      </w:r>
    </w:p>
    <w:p w:rsidR="6502FB4D" w:rsidP="6502FB4D" w:rsidRDefault="6502FB4D" w14:paraId="76ED0E17" w14:textId="585206C4">
      <w:pPr>
        <w:pStyle w:val="Normal"/>
      </w:pPr>
    </w:p>
    <w:p w:rsidR="51DB9245" w:rsidP="6502FB4D" w:rsidRDefault="51DB9245" w14:paraId="615D9DCC" w14:textId="7B936B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1DB9245">
        <w:rPr/>
        <w:t xml:space="preserve">After a breach of duty of care has been </w:t>
      </w:r>
      <w:r w:rsidR="51DB9245">
        <w:rPr/>
        <w:t>identified</w:t>
      </w:r>
      <w:r w:rsidR="51DB9245">
        <w:rPr/>
        <w:t xml:space="preserve">, the third factor that will be looked at is causation. </w:t>
      </w:r>
      <w:r w:rsidR="3394FD6A">
        <w:rPr/>
        <w:t xml:space="preserve">Causation looks at the chain </w:t>
      </w:r>
      <w:r w:rsidR="5DD6AC2F">
        <w:rPr/>
        <w:t xml:space="preserve">of events and whether anything has broken the chain. For causation to be </w:t>
      </w:r>
      <w:r w:rsidR="5DD6AC2F">
        <w:rPr/>
        <w:t>established</w:t>
      </w:r>
      <w:r w:rsidR="5DD6AC2F">
        <w:rPr/>
        <w:t>, the defendant must be the factual cause before</w:t>
      </w:r>
      <w:r w:rsidR="36C00BFE">
        <w:rPr/>
        <w:t xml:space="preserve"> they are the legal cause. </w:t>
      </w:r>
      <w:r w:rsidR="4E751188">
        <w:rPr/>
        <w:t xml:space="preserve">For these factors to be decided, they will be weighed on the </w:t>
      </w:r>
      <w:r w:rsidR="203F1044">
        <w:rPr/>
        <w:t xml:space="preserve">balance of probabilities which was a principle set out in ‘Gregg v Scott’ (2005) to </w:t>
      </w:r>
      <w:r w:rsidR="203F1044">
        <w:rPr/>
        <w:t>determine</w:t>
      </w:r>
      <w:r w:rsidR="203F1044">
        <w:rPr/>
        <w:t xml:space="preserve"> liability.</w:t>
      </w:r>
      <w:r w:rsidR="61AC8CC6">
        <w:rPr/>
        <w:t xml:space="preserve"> </w:t>
      </w:r>
      <w:r w:rsidR="2520CBEA">
        <w:rPr/>
        <w:t>In Bohdi’s case, factual causation looks at something called the ‘but for’ test where</w:t>
      </w:r>
      <w:r w:rsidR="57B5A5AA">
        <w:rPr/>
        <w:t>,</w:t>
      </w:r>
      <w:r w:rsidR="2520CBEA">
        <w:rPr/>
        <w:t xml:space="preserve"> had it not been for the </w:t>
      </w:r>
      <w:r w:rsidR="519FF6FB">
        <w:rPr/>
        <w:t>defendant's</w:t>
      </w:r>
      <w:r w:rsidR="2520CBEA">
        <w:rPr/>
        <w:t xml:space="preserve"> act, the claimant would not have </w:t>
      </w:r>
      <w:r w:rsidR="304FED07">
        <w:rPr/>
        <w:t>acquired</w:t>
      </w:r>
      <w:r w:rsidR="304FED07">
        <w:rPr/>
        <w:t xml:space="preserve"> </w:t>
      </w:r>
      <w:r w:rsidR="2520CBEA">
        <w:rPr/>
        <w:t>the result.</w:t>
      </w:r>
      <w:r w:rsidR="2B19BC46">
        <w:rPr/>
        <w:t xml:space="preserve"> In this case the dinner lady satisfies the but for test as had it not been for her act in spilling the boiling hot gravy, Bohdi would not have been burnt. </w:t>
      </w:r>
      <w:r w:rsidR="56849D9A">
        <w:rPr/>
        <w:t>In Elijah’s case,</w:t>
      </w:r>
      <w:r w:rsidR="36C45B15">
        <w:rPr/>
        <w:t xml:space="preserve"> it could be argued that but for the poor blocking off the Koi pond</w:t>
      </w:r>
      <w:r w:rsidR="54AB05E8">
        <w:rPr/>
        <w:t xml:space="preserve"> as section 2 (3) (A) of the Occupiers Liability Act (1957) says children are less careful than adults</w:t>
      </w:r>
      <w:r w:rsidR="36C45B15">
        <w:rPr/>
        <w:t>, Elijah would not have fallen in</w:t>
      </w:r>
      <w:r w:rsidR="07DEF3F7">
        <w:rPr/>
        <w:t>.</w:t>
      </w:r>
      <w:r w:rsidR="571C226B">
        <w:rPr/>
        <w:t xml:space="preserve"> This way of thinking can be seen in the case of ‘Taylor</w:t>
      </w:r>
      <w:r w:rsidR="691DADBF">
        <w:rPr/>
        <w:t xml:space="preserve"> v Glasgow Corporation</w:t>
      </w:r>
      <w:r w:rsidR="571C226B">
        <w:rPr/>
        <w:t xml:space="preserve">’ (1922) when a </w:t>
      </w:r>
      <w:bookmarkStart w:name="_Int_VXT6t1e9" w:id="1036943103"/>
      <w:r w:rsidR="571C226B">
        <w:rPr/>
        <w:t>7 year old</w:t>
      </w:r>
      <w:bookmarkEnd w:id="1036943103"/>
      <w:r w:rsidR="571C226B">
        <w:rPr/>
        <w:t xml:space="preserve"> died from eating poisonous berries </w:t>
      </w:r>
      <w:r w:rsidR="613CF43B">
        <w:rPr/>
        <w:t>from a tree that was not fenced in. In that case there was no warning signs and there was liability. This case shows the importance of securely rest</w:t>
      </w:r>
      <w:r w:rsidR="440C9390">
        <w:rPr/>
        <w:t>ricting a danger.</w:t>
      </w:r>
      <w:r w:rsidR="07DEF3F7">
        <w:rPr/>
        <w:t xml:space="preserve"> </w:t>
      </w:r>
      <w:r w:rsidR="07DEF3F7">
        <w:rPr/>
        <w:t xml:space="preserve">However, there were many variables in </w:t>
      </w:r>
      <w:r w:rsidR="553F5E71">
        <w:rPr/>
        <w:t>Elija</w:t>
      </w:r>
      <w:r w:rsidR="74CBACDF">
        <w:rPr/>
        <w:t>h</w:t>
      </w:r>
      <w:r w:rsidR="553F5E71">
        <w:rPr/>
        <w:t xml:space="preserve">’s </w:t>
      </w:r>
      <w:r w:rsidR="07DEF3F7">
        <w:rPr/>
        <w:t xml:space="preserve">case that </w:t>
      </w:r>
      <w:r w:rsidR="45C3E435">
        <w:rPr/>
        <w:t>contributed</w:t>
      </w:r>
      <w:r w:rsidR="07DEF3F7">
        <w:rPr/>
        <w:t xml:space="preserve"> to the </w:t>
      </w:r>
      <w:r w:rsidR="363C5F60">
        <w:rPr/>
        <w:t>result</w:t>
      </w:r>
      <w:r w:rsidR="07DEF3F7">
        <w:rPr/>
        <w:t xml:space="preserve">. </w:t>
      </w:r>
      <w:r w:rsidR="0347DAFC">
        <w:rPr/>
        <w:t>Some examples are</w:t>
      </w:r>
      <w:r w:rsidR="7E3EEE43">
        <w:rPr/>
        <w:t xml:space="preserve"> asking the question of should Elijah have even attended an open day f</w:t>
      </w:r>
      <w:r w:rsidR="2205BFD5">
        <w:rPr/>
        <w:t>or</w:t>
      </w:r>
      <w:r w:rsidR="7E3EEE43">
        <w:rPr/>
        <w:t xml:space="preserve"> </w:t>
      </w:r>
      <w:bookmarkStart w:name="_Int_NnjPtRzF" w:id="369600636"/>
      <w:r w:rsidR="0DA8C0A4">
        <w:rPr/>
        <w:t>parents?,</w:t>
      </w:r>
      <w:bookmarkEnd w:id="369600636"/>
      <w:r w:rsidR="7E3EEE43">
        <w:rPr/>
        <w:t xml:space="preserve"> it was not specified to the </w:t>
      </w:r>
      <w:r w:rsidR="7E3EEE43">
        <w:rPr/>
        <w:t>headmistress</w:t>
      </w:r>
      <w:r w:rsidR="7E3EEE43">
        <w:rPr/>
        <w:t xml:space="preserve"> that Elijah would also be </w:t>
      </w:r>
      <w:bookmarkStart w:name="_Int_uD91hdQF" w:id="2099954087"/>
      <w:r w:rsidR="7E3EEE43">
        <w:rPr/>
        <w:t>taking a look</w:t>
      </w:r>
      <w:bookmarkEnd w:id="2099954087"/>
      <w:r w:rsidR="7E3EEE43">
        <w:rPr/>
        <w:t xml:space="preserve"> outside</w:t>
      </w:r>
      <w:r w:rsidR="68A99A09">
        <w:rPr/>
        <w:t>,</w:t>
      </w:r>
      <w:r w:rsidR="14C27167">
        <w:rPr/>
        <w:t xml:space="preserve"> and the mothers neglect </w:t>
      </w:r>
      <w:r w:rsidR="2EA69E2F">
        <w:rPr/>
        <w:t xml:space="preserve">in </w:t>
      </w:r>
      <w:r w:rsidR="14C27167">
        <w:rPr/>
        <w:t xml:space="preserve">getting distracted and not watching her son. </w:t>
      </w:r>
      <w:r w:rsidR="07DEF3F7">
        <w:rPr/>
        <w:t>Therefore,</w:t>
      </w:r>
      <w:r w:rsidR="0FDABF87">
        <w:rPr/>
        <w:t xml:space="preserve"> the relevant factual causation </w:t>
      </w:r>
      <w:r w:rsidR="67B04FAD">
        <w:rPr/>
        <w:t>here would be material contribution. This is when the inju</w:t>
      </w:r>
      <w:r w:rsidR="6F40DEC0">
        <w:rPr/>
        <w:t xml:space="preserve">ry can be </w:t>
      </w:r>
      <w:r w:rsidR="25AE4B4A">
        <w:rPr/>
        <w:t>divided</w:t>
      </w:r>
      <w:r w:rsidR="6F40DEC0">
        <w:rPr/>
        <w:t xml:space="preserve"> into </w:t>
      </w:r>
      <w:r w:rsidR="6F40DEC0">
        <w:rPr/>
        <w:t>different parts</w:t>
      </w:r>
      <w:r w:rsidR="6F40DEC0">
        <w:rPr/>
        <w:t xml:space="preserve"> </w:t>
      </w:r>
      <w:r w:rsidR="5B0E97CF">
        <w:rPr/>
        <w:t xml:space="preserve">and </w:t>
      </w:r>
      <w:r w:rsidR="5B0E97CF">
        <w:rPr/>
        <w:t>subsequently</w:t>
      </w:r>
      <w:r w:rsidR="5B0E97CF">
        <w:rPr/>
        <w:t xml:space="preserve"> liability can be divided too. Moving on from factual causation is legal causation</w:t>
      </w:r>
      <w:r w:rsidR="6BC03E92">
        <w:rPr/>
        <w:t xml:space="preserve">. Legal causation addresses foreseeability and if it </w:t>
      </w:r>
      <w:r w:rsidR="6BC03E92">
        <w:rPr/>
        <w:t>was</w:t>
      </w:r>
      <w:r w:rsidR="6BC03E92">
        <w:rPr/>
        <w:t xml:space="preserve"> not foreseeable that th</w:t>
      </w:r>
      <w:r w:rsidR="59441CB9">
        <w:rPr/>
        <w:t xml:space="preserve">e </w:t>
      </w:r>
      <w:r w:rsidR="6BC03E92">
        <w:rPr/>
        <w:t xml:space="preserve">result would have </w:t>
      </w:r>
      <w:r w:rsidR="64D7498F">
        <w:rPr/>
        <w:t>occurred</w:t>
      </w:r>
      <w:r w:rsidR="6BC03E92">
        <w:rPr/>
        <w:t xml:space="preserve"> th</w:t>
      </w:r>
      <w:r w:rsidR="6BC03E92">
        <w:rPr/>
        <w:t>e</w:t>
      </w:r>
      <w:r w:rsidR="08F692F6">
        <w:rPr/>
        <w:t xml:space="preserve">n it </w:t>
      </w:r>
      <w:r w:rsidR="08F692F6">
        <w:rPr/>
        <w:t xml:space="preserve">would be classed as too remote. </w:t>
      </w:r>
      <w:r w:rsidR="27C039CE">
        <w:rPr/>
        <w:t>In the case of Bo</w:t>
      </w:r>
      <w:r w:rsidR="430D56BC">
        <w:rPr/>
        <w:t>h</w:t>
      </w:r>
      <w:r w:rsidR="27C039CE">
        <w:rPr/>
        <w:t xml:space="preserve">di, it has already been mentioned that the harm that took place was </w:t>
      </w:r>
      <w:r w:rsidR="27C039CE">
        <w:rPr/>
        <w:t xml:space="preserve">reasonably </w:t>
      </w:r>
      <w:r w:rsidR="58E8F982">
        <w:rPr/>
        <w:t>foreseeable</w:t>
      </w:r>
      <w:r w:rsidR="27C039CE">
        <w:rPr/>
        <w:t xml:space="preserve"> an</w:t>
      </w:r>
      <w:r w:rsidR="648B2B69">
        <w:rPr/>
        <w:t>d</w:t>
      </w:r>
      <w:r w:rsidR="27C039CE">
        <w:rPr/>
        <w:t xml:space="preserve"> so both factual and legal causation c</w:t>
      </w:r>
      <w:r w:rsidR="0A52DF19">
        <w:rPr/>
        <w:t>a</w:t>
      </w:r>
      <w:r w:rsidR="27C039CE">
        <w:rPr/>
        <w:t xml:space="preserve">n be satisfied in that case. </w:t>
      </w:r>
      <w:bookmarkStart w:name="_Int_o7B8vjOO" w:id="1335648927"/>
      <w:r w:rsidR="595A5A27">
        <w:rPr/>
        <w:t>In regard to</w:t>
      </w:r>
      <w:bookmarkEnd w:id="1335648927"/>
      <w:r w:rsidR="595A5A27">
        <w:rPr/>
        <w:t xml:space="preserve"> Elijah, </w:t>
      </w:r>
      <w:r w:rsidR="43A9FDB3">
        <w:rPr/>
        <w:t xml:space="preserve">it could be argued that the result </w:t>
      </w:r>
      <w:r w:rsidR="61E64538">
        <w:rPr/>
        <w:t xml:space="preserve">was </w:t>
      </w:r>
      <w:r w:rsidR="43A9FDB3">
        <w:rPr/>
        <w:t>reasonably foresee</w:t>
      </w:r>
      <w:r w:rsidR="1840FFFC">
        <w:rPr/>
        <w:t>able</w:t>
      </w:r>
      <w:r w:rsidR="1840FFFC">
        <w:rPr/>
        <w:t xml:space="preserve"> </w:t>
      </w:r>
      <w:r w:rsidR="43A9FDB3">
        <w:rPr/>
        <w:t xml:space="preserve">if it was only down to how the Koi pond </w:t>
      </w:r>
      <w:r w:rsidR="1447707A">
        <w:rPr/>
        <w:t xml:space="preserve">was </w:t>
      </w:r>
      <w:r w:rsidR="55738939">
        <w:rPr/>
        <w:t xml:space="preserve">blocked off. However, on the other hand, it could be </w:t>
      </w:r>
      <w:r w:rsidR="55738939">
        <w:rPr/>
        <w:t>deemed</w:t>
      </w:r>
      <w:r w:rsidR="55738939">
        <w:rPr/>
        <w:t xml:space="preserve"> as not a </w:t>
      </w:r>
      <w:r w:rsidR="55738939">
        <w:rPr/>
        <w:t>reasonably foreseeable</w:t>
      </w:r>
      <w:r w:rsidR="55738939">
        <w:rPr/>
        <w:t xml:space="preserve"> result </w:t>
      </w:r>
      <w:r w:rsidR="5CC5057C">
        <w:rPr/>
        <w:t>had Jade being his mother watched him more appropriately and carefully</w:t>
      </w:r>
      <w:r w:rsidR="5CC5057C">
        <w:rPr/>
        <w:t xml:space="preserve">. </w:t>
      </w:r>
    </w:p>
    <w:p w:rsidR="6502FB4D" w:rsidP="6502FB4D" w:rsidRDefault="6502FB4D" w14:paraId="3D14DB55" w14:textId="1FBA19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8F692F6" w:rsidP="6502FB4D" w:rsidRDefault="08F692F6" w14:paraId="7FA9EE52" w14:textId="3835E0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bookmarkStart w:name="_Int_peIyIEOO" w:id="26290950"/>
      <w:r w:rsidR="08F692F6">
        <w:rPr/>
        <w:t>With that being said, once</w:t>
      </w:r>
      <w:bookmarkEnd w:id="26290950"/>
      <w:r w:rsidR="08F692F6">
        <w:rPr/>
        <w:t xml:space="preserve"> </w:t>
      </w:r>
      <w:r w:rsidR="08F692F6">
        <w:rPr/>
        <w:t>factual</w:t>
      </w:r>
      <w:r w:rsidR="08F692F6">
        <w:rPr/>
        <w:t xml:space="preserve"> and legal causation have been satisfied, the fourth factor that will be looked at is remoteness. </w:t>
      </w:r>
      <w:r w:rsidR="1EA815A2">
        <w:rPr/>
        <w:t xml:space="preserve">In Bodhi’s case, his burn injury was </w:t>
      </w:r>
      <w:r w:rsidR="61D0D822">
        <w:rPr/>
        <w:t>sufficient</w:t>
      </w:r>
      <w:r w:rsidR="1EA815A2">
        <w:rPr/>
        <w:t xml:space="preserve"> en</w:t>
      </w:r>
      <w:r w:rsidR="12EF13AE">
        <w:rPr/>
        <w:t>ough</w:t>
      </w:r>
      <w:r w:rsidR="12EF13AE">
        <w:rPr/>
        <w:t xml:space="preserve"> to </w:t>
      </w:r>
      <w:r w:rsidR="12EF13AE">
        <w:rPr/>
        <w:t>warrant</w:t>
      </w:r>
      <w:r w:rsidR="12EF13AE">
        <w:rPr/>
        <w:t xml:space="preserve"> </w:t>
      </w:r>
      <w:r w:rsidR="498D6091">
        <w:rPr/>
        <w:t xml:space="preserve">treatment and therefore </w:t>
      </w:r>
      <w:r w:rsidR="2841C6A8">
        <w:rPr/>
        <w:t>compensation as the injury was caused b</w:t>
      </w:r>
      <w:r w:rsidR="53AE9D14">
        <w:rPr/>
        <w:t xml:space="preserve">y </w:t>
      </w:r>
      <w:r w:rsidR="2841C6A8">
        <w:rPr/>
        <w:t xml:space="preserve">negligence. However, this negligence could also be argued to have been an accident and therefore not </w:t>
      </w:r>
      <w:r w:rsidR="456BF8E9">
        <w:rPr/>
        <w:t>sufficient enough</w:t>
      </w:r>
      <w:r w:rsidR="456BF8E9">
        <w:rPr/>
        <w:t xml:space="preserve"> to </w:t>
      </w:r>
      <w:r w:rsidR="73B55CB6">
        <w:rPr/>
        <w:t xml:space="preserve">require </w:t>
      </w:r>
      <w:r w:rsidR="456BF8E9">
        <w:rPr/>
        <w:t xml:space="preserve">legal action. In Elijah’s case, </w:t>
      </w:r>
      <w:r w:rsidR="4538B71A">
        <w:rPr/>
        <w:t>his concussion injury was severe, yet the chain of causation was not clear</w:t>
      </w:r>
      <w:r w:rsidR="7B9F8284">
        <w:rPr/>
        <w:t xml:space="preserve"> enough to </w:t>
      </w:r>
      <w:r w:rsidR="7B9F8284">
        <w:rPr/>
        <w:t>determine</w:t>
      </w:r>
      <w:r w:rsidR="7B9F8284">
        <w:rPr/>
        <w:t xml:space="preserve"> remoteness</w:t>
      </w:r>
      <w:r w:rsidR="4538B71A">
        <w:rPr/>
        <w:t xml:space="preserve">. The </w:t>
      </w:r>
      <w:r w:rsidR="1A4D79F4">
        <w:rPr/>
        <w:t>d</w:t>
      </w:r>
      <w:r w:rsidR="4538B71A">
        <w:rPr/>
        <w:t xml:space="preserve">amage to his jumper could </w:t>
      </w:r>
      <w:r w:rsidR="1529159D">
        <w:rPr/>
        <w:t xml:space="preserve">be awarded back although the </w:t>
      </w:r>
      <w:r w:rsidR="553C2078">
        <w:rPr/>
        <w:t xml:space="preserve">needed </w:t>
      </w:r>
      <w:r w:rsidR="1529159D">
        <w:rPr/>
        <w:t xml:space="preserve">level of remoteness and severity for that reward would be </w:t>
      </w:r>
      <w:r w:rsidR="4E801A58">
        <w:rPr/>
        <w:t>unproportionate</w:t>
      </w:r>
      <w:r w:rsidR="21254EB8">
        <w:rPr/>
        <w:t>.</w:t>
      </w:r>
    </w:p>
    <w:p w:rsidR="6502FB4D" w:rsidP="6502FB4D" w:rsidRDefault="6502FB4D" w14:paraId="088F3021" w14:textId="4F6AC4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EA815A2" w:rsidP="6502FB4D" w:rsidRDefault="1EA815A2" w14:paraId="1D5C428C" w14:textId="5D8F14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EA815A2">
        <w:rPr/>
        <w:t xml:space="preserve">With all that in mind, </w:t>
      </w:r>
      <w:r w:rsidR="26681D24">
        <w:rPr/>
        <w:t xml:space="preserve">the fifth factor that will be looked at is if there are any defences available to Bannister Primary School. In relation to Bodhi’s </w:t>
      </w:r>
      <w:r w:rsidR="6044B131">
        <w:rPr/>
        <w:t>case,</w:t>
      </w:r>
      <w:r w:rsidR="26681D24">
        <w:rPr/>
        <w:t xml:space="preserve"> I</w:t>
      </w:r>
      <w:r w:rsidR="3C9C5DD0">
        <w:rPr/>
        <w:t xml:space="preserve"> would </w:t>
      </w:r>
      <w:r w:rsidR="0398B428">
        <w:rPr/>
        <w:t xml:space="preserve">say </w:t>
      </w:r>
      <w:r w:rsidR="43407F13">
        <w:rPr/>
        <w:t>the s</w:t>
      </w:r>
      <w:r w:rsidR="0398B428">
        <w:rPr/>
        <w:t>chool has no adequate defence for the act that took place. With Elijah’s case however,</w:t>
      </w:r>
      <w:r w:rsidR="08B85F6B">
        <w:rPr/>
        <w:t xml:space="preserve"> I would </w:t>
      </w:r>
      <w:r w:rsidR="08B85F6B">
        <w:rPr/>
        <w:t>advise</w:t>
      </w:r>
      <w:r w:rsidR="08B85F6B">
        <w:rPr/>
        <w:t xml:space="preserve"> the defence of contributory negligence. This is a partial defence whereby </w:t>
      </w:r>
      <w:r w:rsidR="2057BEE1">
        <w:rPr/>
        <w:t xml:space="preserve">the school </w:t>
      </w:r>
      <w:r w:rsidR="2B727CBA">
        <w:rPr/>
        <w:t xml:space="preserve">would </w:t>
      </w:r>
      <w:r w:rsidR="5B5F0FC5">
        <w:rPr/>
        <w:t xml:space="preserve">only </w:t>
      </w:r>
      <w:r w:rsidR="2B727CBA">
        <w:rPr/>
        <w:t xml:space="preserve">be </w:t>
      </w:r>
      <w:r w:rsidR="0C194FD6">
        <w:rPr/>
        <w:t xml:space="preserve">admitting partial liability. I would </w:t>
      </w:r>
      <w:r w:rsidR="0C194FD6">
        <w:rPr/>
        <w:t>advise</w:t>
      </w:r>
      <w:r w:rsidR="0C194FD6">
        <w:rPr/>
        <w:t xml:space="preserve"> that their warning sufficiency </w:t>
      </w:r>
      <w:r w:rsidR="75D3AC01">
        <w:rPr/>
        <w:t xml:space="preserve">could </w:t>
      </w:r>
      <w:r w:rsidR="0C194FD6">
        <w:rPr/>
        <w:t xml:space="preserve">make them </w:t>
      </w:r>
      <w:r w:rsidR="621EB87A">
        <w:rPr/>
        <w:t xml:space="preserve">partially </w:t>
      </w:r>
      <w:r w:rsidR="0C194FD6">
        <w:rPr/>
        <w:t>lia</w:t>
      </w:r>
      <w:r w:rsidR="404FD7CF">
        <w:rPr/>
        <w:t xml:space="preserve">ble </w:t>
      </w:r>
      <w:r w:rsidR="1FDF578B">
        <w:rPr/>
        <w:t xml:space="preserve">however the other </w:t>
      </w:r>
      <w:r w:rsidR="0DD27D6D">
        <w:rPr/>
        <w:t>prevalent</w:t>
      </w:r>
      <w:r w:rsidR="1FDF578B">
        <w:rPr/>
        <w:t xml:space="preserve"> circumstances </w:t>
      </w:r>
      <w:r w:rsidR="50F5813B">
        <w:rPr/>
        <w:t xml:space="preserve">that have been </w:t>
      </w:r>
      <w:r w:rsidR="08887FB5">
        <w:rPr/>
        <w:t>mentioned</w:t>
      </w:r>
      <w:r w:rsidR="5A374C2A">
        <w:rPr/>
        <w:t xml:space="preserve"> have</w:t>
      </w:r>
      <w:r w:rsidR="50F5813B">
        <w:rPr/>
        <w:t xml:space="preserve"> </w:t>
      </w:r>
      <w:r w:rsidR="1FDF578B">
        <w:rPr/>
        <w:t>contributed to a degree that woul</w:t>
      </w:r>
      <w:r w:rsidR="4E1609E2">
        <w:rPr/>
        <w:t xml:space="preserve">d not </w:t>
      </w:r>
      <w:r w:rsidR="1FDF578B">
        <w:rPr/>
        <w:t>put sole liability on the school but w</w:t>
      </w:r>
      <w:r w:rsidR="6FDBAF65">
        <w:rPr/>
        <w:t xml:space="preserve">ould </w:t>
      </w:r>
      <w:r w:rsidR="1FDF578B">
        <w:rPr/>
        <w:t xml:space="preserve">also put </w:t>
      </w:r>
      <w:r w:rsidR="1FDF578B">
        <w:rPr/>
        <w:t>liability o</w:t>
      </w:r>
      <w:r w:rsidR="0CF86DE6">
        <w:rPr/>
        <w:t xml:space="preserve">n </w:t>
      </w:r>
      <w:r w:rsidR="1FDF578B">
        <w:rPr/>
        <w:t xml:space="preserve">Elijah’s mother Jade. </w:t>
      </w:r>
    </w:p>
    <w:p w:rsidR="6502FB4D" w:rsidP="6502FB4D" w:rsidRDefault="6502FB4D" w14:paraId="64CB8EB2" w14:textId="230057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8B86219" w:rsidP="6502FB4D" w:rsidRDefault="58B86219" w14:paraId="1E4BC4E8" w14:textId="06D5F2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8B86219">
        <w:rPr/>
        <w:t xml:space="preserve">The last factor that will be looked at is remedies. </w:t>
      </w:r>
      <w:r w:rsidR="1BBF0665">
        <w:rPr/>
        <w:t xml:space="preserve">When looking at Bohdi’s case, as he endured a burn injury, the </w:t>
      </w:r>
      <w:r w:rsidR="1BBF0665">
        <w:rPr/>
        <w:t>appropriate remedy</w:t>
      </w:r>
      <w:r w:rsidR="1BBF0665">
        <w:rPr/>
        <w:t xml:space="preserve"> for his case would be general damages. To </w:t>
      </w:r>
      <w:r w:rsidR="67154798">
        <w:rPr/>
        <w:t>receive</w:t>
      </w:r>
      <w:r w:rsidR="1BBF0665">
        <w:rPr/>
        <w:t xml:space="preserve"> </w:t>
      </w:r>
      <w:r w:rsidR="34A8C224">
        <w:rPr/>
        <w:t>general</w:t>
      </w:r>
      <w:r w:rsidR="25D8B855">
        <w:rPr/>
        <w:t xml:space="preserve"> </w:t>
      </w:r>
      <w:r w:rsidR="28FFCF6D">
        <w:rPr/>
        <w:t>damages</w:t>
      </w:r>
      <w:r w:rsidR="25D8B855">
        <w:rPr/>
        <w:t xml:space="preserve"> </w:t>
      </w:r>
      <w:r w:rsidR="47AAA951">
        <w:rPr/>
        <w:t xml:space="preserve">the claimant must have gone through pain and suffering which is something Bohdi’s case could satisfy. </w:t>
      </w:r>
      <w:r w:rsidR="1A094C00">
        <w:rPr/>
        <w:t xml:space="preserve">The amount of the damages, </w:t>
      </w:r>
      <w:r w:rsidR="7FA0A76D">
        <w:rPr/>
        <w:t xml:space="preserve">meaning </w:t>
      </w:r>
      <w:r w:rsidR="1A094C00">
        <w:rPr/>
        <w:t xml:space="preserve">money, would be calculated by either using case law and/or the </w:t>
      </w:r>
      <w:r w:rsidR="69A169D3">
        <w:rPr/>
        <w:t>‘</w:t>
      </w:r>
      <w:r w:rsidR="1A094C00">
        <w:rPr/>
        <w:t>Judicial College Guidelines</w:t>
      </w:r>
      <w:r w:rsidR="3BA26CBC">
        <w:rPr/>
        <w:t>’ (2019)</w:t>
      </w:r>
      <w:r w:rsidR="1A094C00">
        <w:rPr/>
        <w:t xml:space="preserve">. </w:t>
      </w:r>
      <w:r w:rsidR="47AAA951">
        <w:rPr/>
        <w:t>In regard to</w:t>
      </w:r>
      <w:r w:rsidR="47AAA951">
        <w:rPr/>
        <w:t xml:space="preserve"> Elijah’s case</w:t>
      </w:r>
      <w:r w:rsidR="13EC5103">
        <w:rPr/>
        <w:t>, his injury of a fall resulting in hitting his head and being diagnosed with a concussion could also</w:t>
      </w:r>
      <w:r w:rsidR="3AB5CD0D">
        <w:rPr/>
        <w:t xml:space="preserve"> satisfy the pain and suffering element of receiving the remedy of general damages</w:t>
      </w:r>
      <w:r w:rsidR="4919D577">
        <w:rPr/>
        <w:t xml:space="preserve">. In addition, Elijah’s case included damage to his </w:t>
      </w:r>
      <w:bookmarkStart w:name="_Int_2IpYZeCn" w:id="1245139007"/>
      <w:r w:rsidR="4919D577">
        <w:rPr/>
        <w:t>brand new</w:t>
      </w:r>
      <w:bookmarkEnd w:id="1245139007"/>
      <w:r w:rsidR="4919D577">
        <w:rPr/>
        <w:t xml:space="preserve"> expensive jumper. Should this case receive </w:t>
      </w:r>
      <w:r w:rsidR="7CAA0D5F">
        <w:rPr/>
        <w:t>remedies</w:t>
      </w:r>
      <w:r w:rsidR="4919D577">
        <w:rPr/>
        <w:t xml:space="preserve"> then </w:t>
      </w:r>
      <w:r w:rsidR="31F04152">
        <w:rPr/>
        <w:t>special damages could</w:t>
      </w:r>
      <w:r w:rsidR="7FCA4E87">
        <w:rPr/>
        <w:t xml:space="preserve"> also </w:t>
      </w:r>
      <w:r w:rsidR="31F04152">
        <w:rPr/>
        <w:t xml:space="preserve">apply. </w:t>
      </w:r>
      <w:r w:rsidR="14C66B08">
        <w:rPr/>
        <w:t xml:space="preserve">A special damage is a loss that can be </w:t>
      </w:r>
      <w:r w:rsidR="7094785B">
        <w:rPr/>
        <w:t xml:space="preserve">quantified, and </w:t>
      </w:r>
      <w:r w:rsidR="14C66B08">
        <w:rPr/>
        <w:t xml:space="preserve">a price could be put on Elijah’s new </w:t>
      </w:r>
      <w:r w:rsidR="1516D6F0">
        <w:rPr/>
        <w:t>jumper</w:t>
      </w:r>
      <w:r w:rsidR="04246142">
        <w:rPr/>
        <w:t xml:space="preserve">. </w:t>
      </w:r>
    </w:p>
    <w:p w:rsidR="6502FB4D" w:rsidP="6502FB4D" w:rsidRDefault="6502FB4D" w14:paraId="17A3796D" w14:textId="1BB42E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33B1CCA" w:rsidP="6502FB4D" w:rsidRDefault="533B1CCA" w14:paraId="6A45691E" w14:textId="0538D6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33B1CCA">
        <w:rPr/>
        <w:t xml:space="preserve">To conclude this essay, both cases have been analysed </w:t>
      </w:r>
      <w:r w:rsidR="533B1CCA">
        <w:rPr/>
        <w:t>in relation to neglect</w:t>
      </w:r>
      <w:r w:rsidR="4961CB84">
        <w:rPr/>
        <w:t xml:space="preserve">. From </w:t>
      </w:r>
      <w:r w:rsidR="4961CB84">
        <w:rPr/>
        <w:t>establishing</w:t>
      </w:r>
      <w:r w:rsidR="4961CB84">
        <w:rPr/>
        <w:t xml:space="preserve"> a duty of care to </w:t>
      </w:r>
      <w:r w:rsidR="4961CB84">
        <w:rPr/>
        <w:t>identifying</w:t>
      </w:r>
      <w:r w:rsidR="4961CB84">
        <w:rPr/>
        <w:t xml:space="preserve"> potential remedies</w:t>
      </w:r>
      <w:r w:rsidR="4127AB93">
        <w:rPr/>
        <w:t xml:space="preserve">, </w:t>
      </w:r>
      <w:r w:rsidR="5C91D87F">
        <w:rPr/>
        <w:t xml:space="preserve">this would be my </w:t>
      </w:r>
      <w:r w:rsidR="3547BD45">
        <w:rPr/>
        <w:t>advice</w:t>
      </w:r>
      <w:r w:rsidR="5C91D87F">
        <w:rPr/>
        <w:t xml:space="preserve"> to </w:t>
      </w:r>
      <w:r w:rsidR="4127AB93">
        <w:rPr/>
        <w:t>Bannister Primary School</w:t>
      </w:r>
      <w:r w:rsidR="41CE6EAF">
        <w:rPr/>
        <w:t xml:space="preserve">. Firstly, </w:t>
      </w:r>
      <w:r w:rsidR="4127AB93">
        <w:rPr/>
        <w:t xml:space="preserve">the odds are </w:t>
      </w:r>
      <w:r w:rsidR="365BDFED">
        <w:rPr/>
        <w:t xml:space="preserve">unlikely to be </w:t>
      </w:r>
      <w:r w:rsidR="4127AB93">
        <w:rPr/>
        <w:t xml:space="preserve">in their favour </w:t>
      </w:r>
      <w:r w:rsidR="2B099DCA">
        <w:rPr/>
        <w:t>with the case of Boh</w:t>
      </w:r>
      <w:r w:rsidR="3FC6749D">
        <w:rPr/>
        <w:t>d</w:t>
      </w:r>
      <w:r w:rsidR="2B099DCA">
        <w:rPr/>
        <w:t>i</w:t>
      </w:r>
      <w:r w:rsidR="225E2BED">
        <w:rPr/>
        <w:t xml:space="preserve">. The standard of care in that case was not met and for that reason they would need a good defence which they do not have available to them. The outcome of that case would </w:t>
      </w:r>
      <w:r w:rsidR="111E2D85">
        <w:rPr/>
        <w:t xml:space="preserve">most probably be for Bohdi to </w:t>
      </w:r>
      <w:r w:rsidR="25178E2A">
        <w:rPr/>
        <w:t>receive</w:t>
      </w:r>
      <w:r w:rsidR="111E2D85">
        <w:rPr/>
        <w:t xml:space="preserve"> the remedy of general damages</w:t>
      </w:r>
      <w:r w:rsidR="5A5CE682">
        <w:rPr/>
        <w:t xml:space="preserve"> due to pain and suffering</w:t>
      </w:r>
      <w:r w:rsidR="111E2D85">
        <w:rPr/>
        <w:t>.</w:t>
      </w:r>
      <w:r w:rsidR="2CA3FFE5">
        <w:rPr/>
        <w:t xml:space="preserve"> Secondly, </w:t>
      </w:r>
      <w:r w:rsidR="31F53969">
        <w:rPr/>
        <w:t xml:space="preserve">this is my advice speaking into Elijah’s case. </w:t>
      </w:r>
      <w:r w:rsidR="2CA3FFE5">
        <w:rPr/>
        <w:t xml:space="preserve">I would </w:t>
      </w:r>
      <w:r w:rsidR="2CA3FFE5">
        <w:rPr/>
        <w:t>advise</w:t>
      </w:r>
      <w:r w:rsidR="2CA3FFE5">
        <w:rPr/>
        <w:t xml:space="preserve"> Bannister Primary School that Jade would have grounds to </w:t>
      </w:r>
      <w:r w:rsidR="574049E4">
        <w:rPr/>
        <w:t xml:space="preserve">take legal action </w:t>
      </w:r>
      <w:r w:rsidR="6C834C9A">
        <w:rPr/>
        <w:t>for material contribution</w:t>
      </w:r>
      <w:r w:rsidR="6D52D04C">
        <w:rPr/>
        <w:t>, however, the school would be able to use the partial defence of contributory negligence</w:t>
      </w:r>
      <w:r w:rsidR="3C58E48D">
        <w:rPr/>
        <w:t xml:space="preserve"> which more likely than not will be successful</w:t>
      </w:r>
      <w:r w:rsidR="1DFF412F">
        <w:rPr/>
        <w:t xml:space="preserve"> in response to the responsibility of a mother concerning supervision</w:t>
      </w:r>
      <w:r w:rsidR="3C58E48D">
        <w:rPr/>
        <w:t xml:space="preserve">. Should Elijah’s case receive remedy then there could be the possibility of </w:t>
      </w:r>
      <w:r w:rsidR="1CDA2057">
        <w:rPr/>
        <w:t xml:space="preserve">general damages for pain and suffering and/or special damages for the damaged jumper. </w:t>
      </w:r>
    </w:p>
    <w:p w:rsidR="6502FB4D" w:rsidP="6502FB4D" w:rsidRDefault="6502FB4D" w14:paraId="106C199A" w14:textId="488F8B63">
      <w:pPr>
        <w:pStyle w:val="Normal"/>
      </w:pPr>
    </w:p>
    <w:p w:rsidR="6502FB4D" w:rsidP="6502FB4D" w:rsidRDefault="6502FB4D" w14:paraId="279AC093" w14:textId="6547ACF2">
      <w:pPr>
        <w:pStyle w:val="Normal"/>
      </w:pPr>
    </w:p>
    <w:p w:rsidR="6502FB4D" w:rsidP="6502FB4D" w:rsidRDefault="6502FB4D" w14:paraId="1690A756" w14:textId="153E4D5B">
      <w:pPr>
        <w:pStyle w:val="Normal"/>
      </w:pPr>
    </w:p>
    <w:p w:rsidR="6502FB4D" w:rsidP="6502FB4D" w:rsidRDefault="6502FB4D" w14:paraId="7EB83EC3" w14:textId="26388C9A">
      <w:pPr>
        <w:pStyle w:val="Normal"/>
      </w:pPr>
    </w:p>
    <w:p w:rsidR="6502FB4D" w:rsidP="6502FB4D" w:rsidRDefault="6502FB4D" w14:paraId="5695F0D5" w14:textId="235CDD3A">
      <w:pPr>
        <w:pStyle w:val="Normal"/>
      </w:pPr>
    </w:p>
    <w:p w:rsidR="6502FB4D" w:rsidP="6502FB4D" w:rsidRDefault="6502FB4D" w14:paraId="6E27F92B" w14:textId="113BFFBB">
      <w:pPr>
        <w:pStyle w:val="Normal"/>
      </w:pPr>
    </w:p>
    <w:p w:rsidR="6502FB4D" w:rsidP="6502FB4D" w:rsidRDefault="6502FB4D" w14:paraId="7E131108" w14:textId="0B0BF3F8">
      <w:pPr>
        <w:pStyle w:val="Normal"/>
      </w:pPr>
    </w:p>
    <w:p w:rsidR="6502FB4D" w:rsidP="6502FB4D" w:rsidRDefault="6502FB4D" w14:paraId="7E3181F2" w14:textId="782F5885">
      <w:pPr>
        <w:pStyle w:val="Normal"/>
      </w:pPr>
    </w:p>
    <w:p w:rsidR="6502FB4D" w:rsidP="6502FB4D" w:rsidRDefault="6502FB4D" w14:paraId="7267F5E2" w14:textId="1ECC6B54">
      <w:pPr>
        <w:pStyle w:val="Normal"/>
      </w:pPr>
    </w:p>
    <w:p w:rsidR="6502FB4D" w:rsidP="6502FB4D" w:rsidRDefault="6502FB4D" w14:paraId="55E747CE" w14:textId="2A1CD84D">
      <w:pPr>
        <w:pStyle w:val="Normal"/>
      </w:pPr>
    </w:p>
    <w:p w:rsidR="6502FB4D" w:rsidP="6502FB4D" w:rsidRDefault="6502FB4D" w14:paraId="6B5B770F" w14:textId="08BA1A39">
      <w:pPr>
        <w:pStyle w:val="Normal"/>
      </w:pPr>
    </w:p>
    <w:p w:rsidR="6502FB4D" w:rsidP="6502FB4D" w:rsidRDefault="6502FB4D" w14:paraId="220B9E31" w14:textId="001A2513">
      <w:pPr>
        <w:pStyle w:val="Normal"/>
      </w:pPr>
    </w:p>
    <w:p w:rsidR="6502FB4D" w:rsidP="6502FB4D" w:rsidRDefault="6502FB4D" w14:paraId="67AAC42D" w14:textId="2F044A6A">
      <w:pPr>
        <w:pStyle w:val="Normal"/>
      </w:pPr>
    </w:p>
    <w:p w:rsidR="6502FB4D" w:rsidP="6502FB4D" w:rsidRDefault="6502FB4D" w14:paraId="706ACC44" w14:textId="319FEFD5">
      <w:pPr>
        <w:pStyle w:val="Normal"/>
      </w:pPr>
    </w:p>
    <w:p w:rsidR="6502FB4D" w:rsidP="6502FB4D" w:rsidRDefault="6502FB4D" w14:paraId="6E1BE4A4" w14:textId="65C59865">
      <w:pPr>
        <w:pStyle w:val="Normal"/>
      </w:pPr>
    </w:p>
    <w:p w:rsidR="6502FB4D" w:rsidP="6502FB4D" w:rsidRDefault="6502FB4D" w14:paraId="6C67233F" w14:textId="52E77B90">
      <w:pPr>
        <w:pStyle w:val="Normal"/>
      </w:pPr>
    </w:p>
    <w:p w:rsidR="6502FB4D" w:rsidP="6502FB4D" w:rsidRDefault="6502FB4D" w14:paraId="610EF0C8" w14:textId="00451327">
      <w:pPr>
        <w:pStyle w:val="Normal"/>
      </w:pPr>
    </w:p>
    <w:p w:rsidR="6502FB4D" w:rsidP="6502FB4D" w:rsidRDefault="6502FB4D" w14:paraId="308EF652" w14:textId="2A9F55EE">
      <w:pPr>
        <w:pStyle w:val="Normal"/>
      </w:pPr>
    </w:p>
    <w:p w:rsidR="6502FB4D" w:rsidP="6502FB4D" w:rsidRDefault="6502FB4D" w14:paraId="7E72B3B1" w14:textId="0B6B8067">
      <w:pPr>
        <w:pStyle w:val="Normal"/>
      </w:pPr>
    </w:p>
    <w:p w:rsidR="6502FB4D" w:rsidP="6502FB4D" w:rsidRDefault="6502FB4D" w14:paraId="3F742676" w14:textId="19D78AA5">
      <w:pPr>
        <w:pStyle w:val="Normal"/>
      </w:pPr>
    </w:p>
    <w:p w:rsidR="6502FB4D" w:rsidP="6502FB4D" w:rsidRDefault="6502FB4D" w14:paraId="1D4BC1BE" w14:textId="25183C74">
      <w:pPr>
        <w:pStyle w:val="Normal"/>
      </w:pPr>
    </w:p>
    <w:p w:rsidR="6502FB4D" w:rsidP="6502FB4D" w:rsidRDefault="6502FB4D" w14:paraId="3D939E38" w14:textId="43831645">
      <w:pPr>
        <w:pStyle w:val="Normal"/>
      </w:pPr>
    </w:p>
    <w:p w:rsidR="4D81931E" w:rsidP="6502FB4D" w:rsidRDefault="4D81931E" w14:paraId="01457785" w14:textId="2F956A95">
      <w:pPr>
        <w:pStyle w:val="Normal"/>
      </w:pPr>
      <w:r w:rsidR="4D81931E">
        <w:rPr/>
        <w:t xml:space="preserve">Reference list: </w:t>
      </w:r>
    </w:p>
    <w:p w:rsidR="064AEEF0" w:rsidP="6502FB4D" w:rsidRDefault="064AEEF0" w14:paraId="7EAFB435" w14:textId="2CC08CE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64AEEF0">
        <w:rPr/>
        <w:t>‘Blyth v Birmingham Waterworks Co’ (1856) 20</w:t>
      </w:r>
      <w:r w:rsidR="4023DC8D">
        <w:rPr/>
        <w:t>,</w:t>
      </w:r>
      <w:r w:rsidR="064AEEF0">
        <w:rPr/>
        <w:t xml:space="preserve"> JP</w:t>
      </w:r>
      <w:r w:rsidR="270758D2">
        <w:rPr/>
        <w:t>,</w:t>
      </w:r>
      <w:r w:rsidR="064AEEF0">
        <w:rPr/>
        <w:t xml:space="preserve"> 247</w:t>
      </w:r>
      <w:r w:rsidR="2795ED6B">
        <w:rPr/>
        <w:t>.</w:t>
      </w:r>
      <w:r w:rsidR="064AEEF0">
        <w:rPr/>
        <w:t xml:space="preserve"> </w:t>
      </w:r>
      <w:r w:rsidRPr="6502FB4D" w:rsidR="064AEEF0">
        <w:rPr>
          <w:i w:val="1"/>
          <w:iCs w:val="1"/>
        </w:rPr>
        <w:t>Lexis Plus UK</w:t>
      </w:r>
      <w:r w:rsidR="064AEEF0">
        <w:rPr/>
        <w:t xml:space="preserve">. Available at: </w:t>
      </w:r>
      <w:hyperlink r:id="R5635b9424fba4c11">
        <w:r w:rsidRPr="6502FB4D" w:rsidR="167DC5A0">
          <w:rPr>
            <w:rStyle w:val="Hyperlink"/>
          </w:rPr>
          <w:t>https://plus-lexis-com.ezproxy.uwtsd.ac.uk/uk/cases-uk/blyth-v-birmingham-waterworks-co/?crid=1d34cac7-1485-4218-a94c-f4b6276614e9&amp;pddocumentnumber=1</w:t>
        </w:r>
      </w:hyperlink>
      <w:r w:rsidR="167DC5A0">
        <w:rPr/>
        <w:t xml:space="preserve"> </w:t>
      </w:r>
      <w:r w:rsidRPr="6502FB4D" w:rsidR="064AEEF0">
        <w:rPr>
          <w:rFonts w:ascii="Aptos" w:hAnsi="Aptos" w:eastAsia="Aptos" w:cs="Aptos"/>
          <w:sz w:val="24"/>
          <w:szCs w:val="24"/>
        </w:rPr>
        <w:t xml:space="preserve">(Accessed: </w:t>
      </w:r>
      <w:r w:rsidRPr="6502FB4D" w:rsidR="12583FE3">
        <w:rPr>
          <w:rFonts w:ascii="Aptos" w:hAnsi="Aptos" w:eastAsia="Aptos" w:cs="Aptos"/>
          <w:sz w:val="24"/>
          <w:szCs w:val="24"/>
        </w:rPr>
        <w:t>3 November 2025)</w:t>
      </w:r>
    </w:p>
    <w:p w:rsidR="274D522E" w:rsidP="6502FB4D" w:rsidRDefault="274D522E" w14:paraId="463EF4F7" w14:textId="2751DFE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274D522E">
        <w:rPr>
          <w:rFonts w:ascii="Aptos" w:hAnsi="Aptos" w:eastAsia="Aptos" w:cs="Aptos"/>
          <w:sz w:val="24"/>
          <w:szCs w:val="24"/>
        </w:rPr>
        <w:t xml:space="preserve">‘Caparo Industries plc v Dickman’ (1990) 2, AC, 605. </w:t>
      </w:r>
      <w:r w:rsidRPr="6502FB4D" w:rsidR="274D522E">
        <w:rPr>
          <w:rFonts w:ascii="Aptos" w:hAnsi="Aptos" w:eastAsia="Aptos" w:cs="Aptos"/>
          <w:i w:val="1"/>
          <w:iCs w:val="1"/>
          <w:sz w:val="24"/>
          <w:szCs w:val="24"/>
        </w:rPr>
        <w:t>Lexis Plus UK.</w:t>
      </w:r>
      <w:r w:rsidRPr="6502FB4D" w:rsidR="274D522E">
        <w:rPr>
          <w:rFonts w:ascii="Aptos" w:hAnsi="Aptos" w:eastAsia="Aptos" w:cs="Aptos"/>
          <w:sz w:val="24"/>
          <w:szCs w:val="24"/>
        </w:rPr>
        <w:t xml:space="preserve"> Available at: </w:t>
      </w:r>
      <w:hyperlink r:id="Rdc1a8b2887bc4fd5">
        <w:r w:rsidRPr="6502FB4D" w:rsidR="65826E02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https://plus-lexis-com.ezproxy.uwtsd.ac.uk/uk/cases-uk/caparo-industries-plc-v-dickman_2/?crid=7935d83f-e7c3-40b7-b5ff-b636c641ee65&amp;pddocumentnumber=1</w:t>
        </w:r>
      </w:hyperlink>
      <w:r w:rsidRPr="6502FB4D" w:rsidR="65826E02">
        <w:rPr>
          <w:rFonts w:ascii="Aptos" w:hAnsi="Aptos" w:eastAsia="Aptos" w:cs="Aptos"/>
          <w:sz w:val="24"/>
          <w:szCs w:val="24"/>
        </w:rPr>
        <w:t xml:space="preserve"> </w:t>
      </w:r>
      <w:r w:rsidRPr="6502FB4D" w:rsidR="274D522E">
        <w:rPr>
          <w:rFonts w:ascii="Aptos" w:hAnsi="Aptos" w:eastAsia="Aptos" w:cs="Aptos"/>
          <w:sz w:val="24"/>
          <w:szCs w:val="24"/>
        </w:rPr>
        <w:t xml:space="preserve">(Accessed: </w:t>
      </w:r>
      <w:r w:rsidRPr="6502FB4D" w:rsidR="61B39698">
        <w:rPr>
          <w:rFonts w:ascii="Aptos" w:hAnsi="Aptos" w:eastAsia="Aptos" w:cs="Aptos"/>
          <w:noProof w:val="0"/>
          <w:sz w:val="24"/>
          <w:szCs w:val="24"/>
          <w:lang w:val="en-GB"/>
        </w:rPr>
        <w:t>4 November 2025)</w:t>
      </w:r>
    </w:p>
    <w:p w:rsidR="1880FA0A" w:rsidP="6502FB4D" w:rsidRDefault="1880FA0A" w14:paraId="6520CB45" w14:textId="47F797D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1880FA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Cooke, J. (2019) </w:t>
      </w:r>
      <w:r w:rsidRPr="6502FB4D" w:rsidR="1880FA0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Law of Tort</w:t>
      </w:r>
      <w:r w:rsidRPr="6502FB4D" w:rsidR="1880FA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Pearson Education Limited. </w:t>
      </w:r>
    </w:p>
    <w:p w:rsidR="61FE90D4" w:rsidP="6502FB4D" w:rsidRDefault="61FE90D4" w14:paraId="75E67EEC" w14:textId="53E9833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502FB4D" w:rsidR="61FE90D4">
        <w:rPr>
          <w:rFonts w:ascii="Aptos" w:hAnsi="Aptos" w:eastAsia="Aptos" w:cs="Aptos"/>
          <w:sz w:val="24"/>
          <w:szCs w:val="24"/>
        </w:rPr>
        <w:t xml:space="preserve">‘Donoghue v Stevenson’ (1932) </w:t>
      </w:r>
      <w:r w:rsidRPr="6502FB4D" w:rsidR="6D863B01">
        <w:rPr>
          <w:rFonts w:ascii="Aptos" w:hAnsi="Aptos" w:eastAsia="Aptos" w:cs="Aptos"/>
          <w:sz w:val="24"/>
          <w:szCs w:val="24"/>
        </w:rPr>
        <w:t xml:space="preserve">AC, 562. </w:t>
      </w:r>
      <w:r w:rsidRPr="6502FB4D" w:rsidR="6D863B01">
        <w:rPr>
          <w:rFonts w:ascii="Aptos" w:hAnsi="Aptos" w:eastAsia="Aptos" w:cs="Aptos"/>
          <w:i w:val="1"/>
          <w:iCs w:val="1"/>
          <w:sz w:val="24"/>
          <w:szCs w:val="24"/>
        </w:rPr>
        <w:t>Lexis Plus UK.</w:t>
      </w:r>
      <w:r w:rsidRPr="6502FB4D" w:rsidR="6D863B01">
        <w:rPr>
          <w:rFonts w:ascii="Aptos" w:hAnsi="Aptos" w:eastAsia="Aptos" w:cs="Aptos"/>
          <w:sz w:val="24"/>
          <w:szCs w:val="24"/>
        </w:rPr>
        <w:t xml:space="preserve"> Available at: </w:t>
      </w:r>
      <w:hyperlink r:id="R723dbc9a1a6b48e1">
        <w:r w:rsidRPr="6502FB4D" w:rsidR="767BC12D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https://plus-lexis-com.ezproxy.uwtsd.ac.uk/uk/cases-uk/malister-or-donoghue-v-stevenson-sub-nom-dono/?crid=dbfdd0b4-a749-4f1a-a097-e7c8ce4f76bc&amp;pddocumentnumber=1</w:t>
        </w:r>
      </w:hyperlink>
      <w:r w:rsidRPr="6502FB4D" w:rsidR="767BC12D">
        <w:rPr>
          <w:rFonts w:ascii="Aptos" w:hAnsi="Aptos" w:eastAsia="Aptos" w:cs="Aptos"/>
          <w:sz w:val="24"/>
          <w:szCs w:val="24"/>
        </w:rPr>
        <w:t xml:space="preserve"> </w:t>
      </w:r>
      <w:r w:rsidRPr="6502FB4D" w:rsidR="6D863B01">
        <w:rPr>
          <w:rFonts w:ascii="Aptos" w:hAnsi="Aptos" w:eastAsia="Aptos" w:cs="Aptos"/>
          <w:sz w:val="24"/>
          <w:szCs w:val="24"/>
        </w:rPr>
        <w:t>(Accessed: 3 November 2025)</w:t>
      </w:r>
    </w:p>
    <w:p w:rsidR="6E9DBCBE" w:rsidP="6502FB4D" w:rsidRDefault="6E9DBCBE" w14:paraId="0335DE47" w14:textId="76516A6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6E9DBCBE">
        <w:rPr>
          <w:rFonts w:ascii="Aptos" w:hAnsi="Aptos" w:eastAsia="Aptos" w:cs="Aptos"/>
          <w:sz w:val="24"/>
          <w:szCs w:val="24"/>
        </w:rPr>
        <w:t xml:space="preserve">‘Edwards v Sutton London Borough’ (2016) EWCA, </w:t>
      </w:r>
      <w:r w:rsidRPr="6502FB4D" w:rsidR="6E9DBCBE">
        <w:rPr>
          <w:rFonts w:ascii="Aptos" w:hAnsi="Aptos" w:eastAsia="Aptos" w:cs="Aptos"/>
          <w:sz w:val="24"/>
          <w:szCs w:val="24"/>
        </w:rPr>
        <w:t>Civ</w:t>
      </w:r>
      <w:r w:rsidRPr="6502FB4D" w:rsidR="6E9DBCBE">
        <w:rPr>
          <w:rFonts w:ascii="Aptos" w:hAnsi="Aptos" w:eastAsia="Aptos" w:cs="Aptos"/>
          <w:sz w:val="24"/>
          <w:szCs w:val="24"/>
        </w:rPr>
        <w:t xml:space="preserve">, 1005. </w:t>
      </w:r>
      <w:r w:rsidRPr="6502FB4D" w:rsidR="6E9DBCBE">
        <w:rPr>
          <w:rFonts w:ascii="Aptos" w:hAnsi="Aptos" w:eastAsia="Aptos" w:cs="Aptos"/>
          <w:i w:val="1"/>
          <w:iCs w:val="1"/>
          <w:sz w:val="24"/>
          <w:szCs w:val="24"/>
        </w:rPr>
        <w:t>Lexis Plus UK</w:t>
      </w:r>
      <w:r w:rsidRPr="6502FB4D" w:rsidR="6E9DBCBE">
        <w:rPr>
          <w:rFonts w:ascii="Aptos" w:hAnsi="Aptos" w:eastAsia="Aptos" w:cs="Aptos"/>
          <w:sz w:val="24"/>
          <w:szCs w:val="24"/>
        </w:rPr>
        <w:t xml:space="preserve">. Available at: </w:t>
      </w:r>
      <w:hyperlink r:id="R99234a7e0e7d4827">
        <w:r w:rsidRPr="6502FB4D" w:rsidR="4E611F25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https://plus-lexis-com.ezproxy.uwtsd.ac.uk/uk/cases-uk/edwards-v-sutton-london-borough/?crid=cf05efd8-27d8-4b51-87f9-f3397a9888a9&amp;pddocumentnumber=3</w:t>
        </w:r>
      </w:hyperlink>
      <w:r w:rsidRPr="6502FB4D" w:rsidR="4E611F25">
        <w:rPr>
          <w:rFonts w:ascii="Aptos" w:hAnsi="Aptos" w:eastAsia="Aptos" w:cs="Aptos"/>
          <w:sz w:val="24"/>
          <w:szCs w:val="24"/>
        </w:rPr>
        <w:t xml:space="preserve"> </w:t>
      </w:r>
      <w:r w:rsidRPr="6502FB4D" w:rsidR="6E9DBCBE">
        <w:rPr>
          <w:rFonts w:ascii="Aptos" w:hAnsi="Aptos" w:eastAsia="Aptos" w:cs="Aptos"/>
          <w:sz w:val="24"/>
          <w:szCs w:val="24"/>
        </w:rPr>
        <w:t>(Accessed: 4 November 2025)</w:t>
      </w:r>
    </w:p>
    <w:p w:rsidR="04477E07" w:rsidP="6502FB4D" w:rsidRDefault="04477E07" w14:paraId="21418568" w14:textId="4A813A3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04477E07">
        <w:rPr>
          <w:rFonts w:ascii="Aptos" w:hAnsi="Aptos" w:eastAsia="Aptos" w:cs="Aptos"/>
          <w:sz w:val="24"/>
          <w:szCs w:val="24"/>
        </w:rPr>
        <w:t xml:space="preserve">‘Gregg v Scott’ (2005) UKHL, 2. </w:t>
      </w:r>
      <w:r w:rsidRPr="6502FB4D" w:rsidR="04477E07">
        <w:rPr>
          <w:rFonts w:ascii="Aptos" w:hAnsi="Aptos" w:eastAsia="Aptos" w:cs="Aptos"/>
          <w:i w:val="1"/>
          <w:iCs w:val="1"/>
          <w:sz w:val="24"/>
          <w:szCs w:val="24"/>
        </w:rPr>
        <w:t>Lexis Plus UK.</w:t>
      </w:r>
      <w:r w:rsidRPr="6502FB4D" w:rsidR="04477E07">
        <w:rPr>
          <w:rFonts w:ascii="Aptos" w:hAnsi="Aptos" w:eastAsia="Aptos" w:cs="Aptos"/>
          <w:sz w:val="24"/>
          <w:szCs w:val="24"/>
        </w:rPr>
        <w:t xml:space="preserve"> Available at: </w:t>
      </w:r>
      <w:hyperlink r:id="R3d089ea252d049c5">
        <w:r w:rsidRPr="6502FB4D" w:rsidR="657A3807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https://plus-lexis-com.ezproxy.uwtsd.ac.uk/uk/cases-uk/gregg-v-scott-2005-ukhl-2/?crid=269aee4d-9bb5-462c-b1b6-017c40a13166&amp;pddocumentnumber=1</w:t>
        </w:r>
      </w:hyperlink>
      <w:r w:rsidRPr="6502FB4D" w:rsidR="657A3807">
        <w:rPr>
          <w:rFonts w:ascii="Aptos" w:hAnsi="Aptos" w:eastAsia="Aptos" w:cs="Aptos"/>
          <w:sz w:val="24"/>
          <w:szCs w:val="24"/>
        </w:rPr>
        <w:t xml:space="preserve"> (Accessed: 4 November 2025)</w:t>
      </w:r>
    </w:p>
    <w:p w:rsidR="187372C0" w:rsidP="6502FB4D" w:rsidRDefault="187372C0" w14:paraId="5EE9AB94" w14:textId="0962A1B4">
      <w:pPr>
        <w:pStyle w:val="Normal"/>
        <w:rPr>
          <w:rFonts w:ascii="Aptos" w:hAnsi="Aptos" w:eastAsia="Aptos" w:cs="Aptos"/>
          <w:sz w:val="24"/>
          <w:szCs w:val="24"/>
        </w:rPr>
      </w:pPr>
      <w:r w:rsidRPr="6502FB4D" w:rsidR="187372C0">
        <w:rPr>
          <w:rFonts w:ascii="Aptos" w:hAnsi="Aptos" w:eastAsia="Aptos" w:cs="Aptos"/>
          <w:sz w:val="24"/>
          <w:szCs w:val="24"/>
        </w:rPr>
        <w:t xml:space="preserve">‘Judicial College Guidelines’ (2019) </w:t>
      </w:r>
      <w:r w:rsidRPr="6502FB4D" w:rsidR="187372C0">
        <w:rPr>
          <w:rFonts w:ascii="Aptos" w:hAnsi="Aptos" w:eastAsia="Aptos" w:cs="Aptos"/>
          <w:i w:val="1"/>
          <w:iCs w:val="1"/>
          <w:sz w:val="24"/>
          <w:szCs w:val="24"/>
        </w:rPr>
        <w:t>Lexis Plus UK.</w:t>
      </w:r>
      <w:r w:rsidRPr="6502FB4D" w:rsidR="187372C0">
        <w:rPr>
          <w:rFonts w:ascii="Aptos" w:hAnsi="Aptos" w:eastAsia="Aptos" w:cs="Aptos"/>
          <w:sz w:val="24"/>
          <w:szCs w:val="24"/>
        </w:rPr>
        <w:t xml:space="preserve"> Ava</w:t>
      </w:r>
      <w:r w:rsidRPr="6502FB4D" w:rsidR="29A8391F">
        <w:rPr>
          <w:rFonts w:ascii="Aptos" w:hAnsi="Aptos" w:eastAsia="Aptos" w:cs="Aptos"/>
          <w:sz w:val="24"/>
          <w:szCs w:val="24"/>
        </w:rPr>
        <w:t>ilabl</w:t>
      </w:r>
      <w:r w:rsidRPr="6502FB4D" w:rsidR="4ADED920">
        <w:rPr>
          <w:rFonts w:ascii="Aptos" w:hAnsi="Aptos" w:eastAsia="Aptos" w:cs="Aptos"/>
          <w:sz w:val="24"/>
          <w:szCs w:val="24"/>
        </w:rPr>
        <w:t xml:space="preserve">e at: </w:t>
      </w:r>
      <w:hyperlink r:id="Rda9fe7bea5be42c8">
        <w:r w:rsidRPr="6502FB4D" w:rsidR="4ADED9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lus-lexis-com.ezproxy.uwtsd.ac.uk/uk/document/?pddocfullpath=%2Fshared%2Fdocument%2Fanalytical-materials-uk%2Furn:contentItem:6BPN-RKW3-SH74-C3DN-00000-00&amp;tocnodeid=TAAB&amp;isviewwholeof=true&amp;fontType=verdana&amp;fontSize=Small&amp;doccollection=analytical-materials-uk&amp;tocid=urn:contentItem:5NH3-KTG1-FC54-7000-00000-00&amp;docProviderId=dg4k&amp;pct=urn:pct:237&amp;hlct=urn:hlct:50&amp;pageNumber=0&amp;new-toc=1&amp;docLni=6BPN-RKW3-SH74-C3DN-00000-00&amp;crid=5377d86b-52c1-4b69-bed8-351aa6715643</w:t>
        </w:r>
      </w:hyperlink>
      <w:r w:rsidRPr="6502FB4D" w:rsidR="4ADED9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5 November 2025)</w:t>
      </w:r>
    </w:p>
    <w:p w:rsidR="4D849C9A" w:rsidP="6502FB4D" w:rsidRDefault="4D849C9A" w14:paraId="456960C5" w14:textId="1158256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4D849C9A">
        <w:rPr>
          <w:rFonts w:ascii="Aptos" w:hAnsi="Aptos" w:eastAsia="Aptos" w:cs="Aptos"/>
          <w:sz w:val="24"/>
          <w:szCs w:val="24"/>
        </w:rPr>
        <w:t>‘Maguire v Sefton Metropolitan Borough Council’ (2006) ALL, ER (D), 3</w:t>
      </w:r>
      <w:r w:rsidRPr="6502FB4D" w:rsidR="7464AD54">
        <w:rPr>
          <w:rFonts w:ascii="Aptos" w:hAnsi="Aptos" w:eastAsia="Aptos" w:cs="Aptos"/>
          <w:sz w:val="24"/>
          <w:szCs w:val="24"/>
        </w:rPr>
        <w:t xml:space="preserve">47. </w:t>
      </w:r>
      <w:r w:rsidRPr="6502FB4D" w:rsidR="7464AD54">
        <w:rPr>
          <w:rFonts w:ascii="Aptos" w:hAnsi="Aptos" w:eastAsia="Aptos" w:cs="Aptos"/>
          <w:i w:val="1"/>
          <w:iCs w:val="1"/>
          <w:sz w:val="24"/>
          <w:szCs w:val="24"/>
        </w:rPr>
        <w:t>Lexis Plus UK.</w:t>
      </w:r>
      <w:r w:rsidRPr="6502FB4D" w:rsidR="7464AD54">
        <w:rPr>
          <w:rFonts w:ascii="Aptos" w:hAnsi="Aptos" w:eastAsia="Aptos" w:cs="Aptos"/>
          <w:sz w:val="24"/>
          <w:szCs w:val="24"/>
        </w:rPr>
        <w:t xml:space="preserve"> Available at: </w:t>
      </w:r>
      <w:hyperlink r:id="R930eeced35bf4d1a">
        <w:r w:rsidRPr="6502FB4D" w:rsidR="13B4773C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https://plus-lexis-com.ezproxy.uwtsd.ac.uk/uk/cases-uk/maguire-v-sefton-metropolitan-borough-council_4/?crid=87bf38fb-7099-4e99-a30b-f51db08d6942&amp;pddocumentnumber=1</w:t>
        </w:r>
      </w:hyperlink>
      <w:r w:rsidRPr="6502FB4D" w:rsidR="13B4773C">
        <w:rPr>
          <w:rFonts w:ascii="Aptos" w:hAnsi="Aptos" w:eastAsia="Aptos" w:cs="Aptos"/>
          <w:sz w:val="24"/>
          <w:szCs w:val="24"/>
        </w:rPr>
        <w:t xml:space="preserve"> </w:t>
      </w:r>
      <w:r w:rsidRPr="6502FB4D" w:rsidR="7464AD54">
        <w:rPr>
          <w:rFonts w:ascii="Aptos" w:hAnsi="Aptos" w:eastAsia="Aptos" w:cs="Aptos"/>
          <w:sz w:val="24"/>
          <w:szCs w:val="24"/>
        </w:rPr>
        <w:t>(Accessed: 3 November 2025)</w:t>
      </w:r>
    </w:p>
    <w:p w:rsidR="7FBFB411" w:rsidP="6502FB4D" w:rsidRDefault="7FBFB411" w14:paraId="08B9BA96" w14:textId="5F65F2A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7FBFB411">
        <w:rPr>
          <w:rFonts w:ascii="Aptos" w:hAnsi="Aptos" w:eastAsia="Aptos" w:cs="Aptos"/>
          <w:sz w:val="24"/>
          <w:szCs w:val="24"/>
        </w:rPr>
        <w:t xml:space="preserve">‘Phipps v Rochester Corporation’ (1955) 1, QB, 450. </w:t>
      </w:r>
      <w:r w:rsidRPr="6502FB4D" w:rsidR="7FBFB411">
        <w:rPr>
          <w:rFonts w:ascii="Aptos" w:hAnsi="Aptos" w:eastAsia="Aptos" w:cs="Aptos"/>
          <w:i w:val="1"/>
          <w:iCs w:val="1"/>
          <w:sz w:val="24"/>
          <w:szCs w:val="24"/>
        </w:rPr>
        <w:t>Lexis Plus UK</w:t>
      </w:r>
      <w:r w:rsidRPr="6502FB4D" w:rsidR="7FBFB411">
        <w:rPr>
          <w:rFonts w:ascii="Aptos" w:hAnsi="Aptos" w:eastAsia="Aptos" w:cs="Aptos"/>
          <w:sz w:val="24"/>
          <w:szCs w:val="24"/>
        </w:rPr>
        <w:t xml:space="preserve">. Available at: </w:t>
      </w:r>
      <w:hyperlink r:id="R42bc4d9c23cb44d5">
        <w:r w:rsidRPr="6502FB4D" w:rsidR="19351D71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https://plus-lexis-com.ezproxy.uwtsd.ac.uk/uk/cases-uk/phipps-v-rochester-corpn/?crid=265658dd-6fec-4f0e-81d3-8d28dfb51459&amp;pddocumentnumber=1</w:t>
        </w:r>
      </w:hyperlink>
      <w:r w:rsidRPr="6502FB4D" w:rsidR="19351D71">
        <w:rPr>
          <w:rFonts w:ascii="Aptos" w:hAnsi="Aptos" w:eastAsia="Aptos" w:cs="Aptos"/>
          <w:sz w:val="24"/>
          <w:szCs w:val="24"/>
        </w:rPr>
        <w:t xml:space="preserve"> </w:t>
      </w:r>
      <w:r w:rsidRPr="6502FB4D" w:rsidR="0C1A1966">
        <w:rPr>
          <w:rFonts w:ascii="Aptos" w:hAnsi="Aptos" w:eastAsia="Aptos" w:cs="Aptos"/>
          <w:noProof w:val="0"/>
          <w:sz w:val="24"/>
          <w:szCs w:val="24"/>
          <w:lang w:val="en-GB"/>
        </w:rPr>
        <w:t>(Accessed</w:t>
      </w:r>
      <w:r w:rsidRPr="6502FB4D" w:rsidR="4D66E084">
        <w:rPr>
          <w:rFonts w:ascii="Aptos" w:hAnsi="Aptos" w:eastAsia="Aptos" w:cs="Aptos"/>
          <w:noProof w:val="0"/>
          <w:sz w:val="24"/>
          <w:szCs w:val="24"/>
          <w:lang w:val="en-GB"/>
        </w:rPr>
        <w:t>: 4 November 2025)</w:t>
      </w:r>
    </w:p>
    <w:p w:rsidR="787B0860" w:rsidP="6502FB4D" w:rsidRDefault="787B0860" w14:paraId="6F53BC7C" w14:textId="73CB44A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02FB4D" w:rsidR="787B0860">
        <w:rPr>
          <w:rFonts w:ascii="Aptos" w:hAnsi="Aptos" w:eastAsia="Aptos" w:cs="Aptos"/>
          <w:noProof w:val="0"/>
          <w:sz w:val="24"/>
          <w:szCs w:val="24"/>
          <w:lang w:val="en-GB"/>
        </w:rPr>
        <w:t>‘Taylor v Glasgow Corporation’ (1922’ SC, 263.</w:t>
      </w:r>
      <w:r w:rsidRPr="6502FB4D" w:rsidR="787B086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Lexis Plus UK</w:t>
      </w:r>
      <w:r w:rsidRPr="6502FB4D" w:rsidR="787B0860">
        <w:rPr>
          <w:rFonts w:ascii="Aptos" w:hAnsi="Aptos" w:eastAsia="Aptos" w:cs="Aptos"/>
          <w:noProof w:val="0"/>
          <w:sz w:val="24"/>
          <w:szCs w:val="24"/>
          <w:lang w:val="en-GB"/>
        </w:rPr>
        <w:t>. Available at:</w:t>
      </w:r>
      <w:r w:rsidRPr="6502FB4D" w:rsidR="57E1B1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563b25da33784d6c">
        <w:r w:rsidRPr="6502FB4D" w:rsidR="57E1B1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https://plus-lexis-com.ezproxy.uwtsd.ac.uk/uk/cases-uk/taylor-v-glasgow-corporation/?crid=76a89566-9355-4701-a42a-45eaff0c3659&amp;pddocumentnumber=2</w:t>
        </w:r>
      </w:hyperlink>
      <w:r w:rsidRPr="6502FB4D" w:rsidR="57E1B1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502FB4D" w:rsidR="787B08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4 </w:t>
      </w:r>
      <w:r w:rsidRPr="6502FB4D" w:rsidR="78D22DA8">
        <w:rPr>
          <w:rFonts w:ascii="Aptos" w:hAnsi="Aptos" w:eastAsia="Aptos" w:cs="Aptos"/>
          <w:noProof w:val="0"/>
          <w:sz w:val="24"/>
          <w:szCs w:val="24"/>
          <w:lang w:val="en-GB"/>
        </w:rPr>
        <w:t>November 2025)</w:t>
      </w:r>
    </w:p>
    <w:p w:rsidR="5A454652" w:rsidP="6502FB4D" w:rsidRDefault="5A454652" w14:paraId="20EAE434" w14:textId="251C5B76">
      <w:pPr>
        <w:pStyle w:val="Normal"/>
        <w:rPr>
          <w:rFonts w:ascii="Aptos" w:hAnsi="Aptos" w:eastAsia="Aptos" w:cs="Aptos"/>
          <w:sz w:val="24"/>
          <w:szCs w:val="24"/>
        </w:rPr>
      </w:pPr>
      <w:r w:rsidRPr="6502FB4D" w:rsidR="5A454652">
        <w:rPr>
          <w:rFonts w:ascii="Aptos" w:hAnsi="Aptos" w:eastAsia="Aptos" w:cs="Aptos"/>
          <w:sz w:val="24"/>
          <w:szCs w:val="24"/>
        </w:rPr>
        <w:t xml:space="preserve">‘The Occupiers Liability Act’ (1957) </w:t>
      </w:r>
      <w:r w:rsidRPr="6502FB4D" w:rsidR="5A454652">
        <w:rPr>
          <w:rFonts w:ascii="Aptos" w:hAnsi="Aptos" w:eastAsia="Aptos" w:cs="Aptos"/>
          <w:i w:val="1"/>
          <w:iCs w:val="1"/>
          <w:sz w:val="24"/>
          <w:szCs w:val="24"/>
        </w:rPr>
        <w:t>Lexis Plus UK.</w:t>
      </w:r>
      <w:r w:rsidRPr="6502FB4D" w:rsidR="5670E281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6502FB4D" w:rsidR="5670E281">
        <w:rPr>
          <w:rFonts w:ascii="Aptos" w:hAnsi="Aptos" w:eastAsia="Aptos" w:cs="Aptos"/>
          <w:sz w:val="24"/>
          <w:szCs w:val="24"/>
        </w:rPr>
        <w:t xml:space="preserve">Available at: </w:t>
      </w:r>
      <w:hyperlink r:id="R3d21ca35cdaa4e89">
        <w:r w:rsidRPr="6502FB4D" w:rsidR="5670E281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document/?pdmfid=1001073&amp;crid=fd9008e7-06a9-491f-bb61-99ded45b1e2b&amp;pddocfullpath=%2Fshared%2Fdocument%2Fanalytical-materials-uk%2Furn:contentItem:634Y-MVC3-CGXG-02Y1-00000-00&amp;pdcontentcomponentid=280156&amp;pdteaserkey=&amp;pdislpamode=false&amp;pddocumentnumber=2&amp;ecomp=Lt5k&amp;earg=sr1&amp;prid=05468d20-ce2b-4292-9774-c298668273dc</w:t>
        </w:r>
      </w:hyperlink>
      <w:r w:rsidRPr="6502FB4D" w:rsidR="5670E281">
        <w:rPr>
          <w:rFonts w:ascii="Aptos" w:hAnsi="Aptos" w:eastAsia="Aptos" w:cs="Aptos"/>
          <w:sz w:val="24"/>
          <w:szCs w:val="24"/>
        </w:rPr>
        <w:t xml:space="preserve"> (Accessed</w:t>
      </w:r>
      <w:r w:rsidRPr="6502FB4D" w:rsidR="5863082C">
        <w:rPr>
          <w:rFonts w:ascii="Aptos" w:hAnsi="Aptos" w:eastAsia="Aptos" w:cs="Aptos"/>
          <w:sz w:val="24"/>
          <w:szCs w:val="24"/>
        </w:rPr>
        <w:t xml:space="preserve">: </w:t>
      </w:r>
      <w:r w:rsidRPr="6502FB4D" w:rsidR="5670E281">
        <w:rPr>
          <w:rFonts w:ascii="Aptos" w:hAnsi="Aptos" w:eastAsia="Aptos" w:cs="Aptos"/>
          <w:sz w:val="24"/>
          <w:szCs w:val="24"/>
        </w:rPr>
        <w:t>3 November 2025)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KgYhXy+Y+G5ke" int2:id="JKH2gILV">
      <int2:state int2:type="spell" int2:value="Rejected"/>
    </int2:textHash>
    <int2:textHash int2:hashCode="wNZtcQP2OLctw0" int2:id="T7GXxuSe">
      <int2:state int2:type="spell" int2:value="Rejected"/>
    </int2:textHash>
    <int2:bookmark int2:bookmarkName="_Int_2IpYZeCn" int2:invalidationBookmarkName="" int2:hashCode="n1CIIpXT8K9uag" int2:id="CXUsbmob">
      <int2:state int2:type="gram" int2:value="Rejected"/>
    </int2:bookmark>
    <int2:bookmark int2:bookmarkName="_Int_VXT6t1e9" int2:invalidationBookmarkName="" int2:hashCode="D1LR2og1HYrhh7" int2:id="C2CgpeBd">
      <int2:state int2:type="gram" int2:value="Rejected"/>
    </int2:bookmark>
    <int2:bookmark int2:bookmarkName="_Int_WCpqBW4k" int2:invalidationBookmarkName="" int2:hashCode="dPXKyxf+fwsLe6" int2:id="9vFgtojU">
      <int2:state int2:type="gram" int2:value="Rejected"/>
    </int2:bookmark>
    <int2:bookmark int2:bookmarkName="_Int_QdVhvU9q" int2:invalidationBookmarkName="" int2:hashCode="tH82PitDDAZH8U" int2:id="hpTnX9kn">
      <int2:state int2:type="gram" int2:value="Rejected"/>
    </int2:bookmark>
    <int2:bookmark int2:bookmarkName="_Int_o7B8vjOO" int2:invalidationBookmarkName="" int2:hashCode="D4JDEQ/HN5+s4C" int2:id="eXlNguKQ">
      <int2:state int2:type="style" int2:value="Rejected"/>
    </int2:bookmark>
    <int2:bookmark int2:bookmarkName="_Int_peIyIEOO" int2:invalidationBookmarkName="" int2:hashCode="O/nWNygwR0vpxr" int2:id="43OzsIOU">
      <int2:state int2:type="style" int2:value="Rejected"/>
    </int2:bookmark>
    <int2:bookmark int2:bookmarkName="_Int_uD91hdQF" int2:invalidationBookmarkName="" int2:hashCode="KNM+JOZ+uIQVIL" int2:id="5YexxIaq">
      <int2:state int2:type="style" int2:value="Rejected"/>
    </int2:bookmark>
    <int2:bookmark int2:bookmarkName="_Int_NnjPtRzF" int2:invalidationBookmarkName="" int2:hashCode="Z4Jf4lAHg5GmRU" int2:id="Y2aUpNsH">
      <int2:state int2:type="gram" int2:value="Rejected"/>
    </int2:bookmark>
    <int2:bookmark int2:bookmarkName="_Int_rgLYfNeU" int2:invalidationBookmarkName="" int2:hashCode="ArnC6cB1ss7L74" int2:id="Cmd6Njpk">
      <int2:state int2:type="style" int2:value="Rejected"/>
    </int2:bookmark>
    <int2:bookmark int2:bookmarkName="_Int_a13Kg4He" int2:invalidationBookmarkName="" int2:hashCode="H6g2NX92XNjFBe" int2:id="BKJLjSUF">
      <int2:state int2:type="gram" int2:value="Rejected"/>
    </int2:bookmark>
    <int2:bookmark int2:bookmarkName="_Int_ZQBgvsDQ" int2:invalidationBookmarkName="" int2:hashCode="bM9yCuKmW/Qg0w" int2:id="WzNNgYfW">
      <int2:state int2:type="gram" int2:value="Rejected"/>
    </int2:bookmark>
    <int2:bookmark int2:bookmarkName="_Int_oE5hzrVQ" int2:invalidationBookmarkName="" int2:hashCode="xmDy8y2vq+T6Bb" int2:id="qY1unkQV">
      <int2:state int2:type="gram" int2:value="Rejected"/>
    </int2:bookmark>
    <int2:bookmark int2:bookmarkName="_Int_kxwnRr7U" int2:invalidationBookmarkName="" int2:hashCode="H6g2NX92XNjFBe" int2:id="qrg1fQ9J">
      <int2:state int2:type="gram" int2:value="Rejected"/>
    </int2:bookmark>
    <int2:bookmark int2:bookmarkName="_Int_WtW7A5Hd" int2:invalidationBookmarkName="" int2:hashCode="D1LR2og1HYrhh7" int2:id="fBYibJjB">
      <int2:state int2:type="gram" int2:value="Rejected"/>
    </int2:bookmark>
    <int2:bookmark int2:bookmarkName="_Int_rK8glRvB" int2:invalidationBookmarkName="" int2:hashCode="3gT6Din5s14kkF" int2:id="crCFouoN">
      <int2:state int2:type="gram" int2:value="Rejected"/>
    </int2:bookmark>
    <int2:bookmark int2:bookmarkName="_Int_29iPuDfW" int2:invalidationBookmarkName="" int2:hashCode="WHRhll6RNzqv5x" int2:id="MYNiJ98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6d0cc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31d0b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59CA88"/>
    <w:rsid w:val="00010967"/>
    <w:rsid w:val="008A459C"/>
    <w:rsid w:val="00DBD61D"/>
    <w:rsid w:val="00F3B770"/>
    <w:rsid w:val="00FA38AE"/>
    <w:rsid w:val="01084CBD"/>
    <w:rsid w:val="010A7AEF"/>
    <w:rsid w:val="0194ADAD"/>
    <w:rsid w:val="01AD1680"/>
    <w:rsid w:val="01C612CA"/>
    <w:rsid w:val="020BB3AC"/>
    <w:rsid w:val="02CE944C"/>
    <w:rsid w:val="031B4F08"/>
    <w:rsid w:val="0347DAFC"/>
    <w:rsid w:val="035E0CB6"/>
    <w:rsid w:val="0398B428"/>
    <w:rsid w:val="039C9967"/>
    <w:rsid w:val="04022BDF"/>
    <w:rsid w:val="0414D72B"/>
    <w:rsid w:val="04246142"/>
    <w:rsid w:val="042A0FCE"/>
    <w:rsid w:val="04477E07"/>
    <w:rsid w:val="047E7A3E"/>
    <w:rsid w:val="04AA02E4"/>
    <w:rsid w:val="04DCCE3D"/>
    <w:rsid w:val="04E492DB"/>
    <w:rsid w:val="05085606"/>
    <w:rsid w:val="051948ED"/>
    <w:rsid w:val="05696BC1"/>
    <w:rsid w:val="05853303"/>
    <w:rsid w:val="05E0E618"/>
    <w:rsid w:val="05EA45CC"/>
    <w:rsid w:val="064AEEF0"/>
    <w:rsid w:val="06C7BBD1"/>
    <w:rsid w:val="06D05A5D"/>
    <w:rsid w:val="0744A52C"/>
    <w:rsid w:val="074F0E76"/>
    <w:rsid w:val="0762912E"/>
    <w:rsid w:val="077434CC"/>
    <w:rsid w:val="078E976A"/>
    <w:rsid w:val="079CA066"/>
    <w:rsid w:val="07C62C91"/>
    <w:rsid w:val="07DEF3F7"/>
    <w:rsid w:val="081C64EA"/>
    <w:rsid w:val="08645AF7"/>
    <w:rsid w:val="0875DF88"/>
    <w:rsid w:val="08887FB5"/>
    <w:rsid w:val="08B85F6B"/>
    <w:rsid w:val="08F692F6"/>
    <w:rsid w:val="0918E41D"/>
    <w:rsid w:val="09216373"/>
    <w:rsid w:val="092E88B6"/>
    <w:rsid w:val="0942AA53"/>
    <w:rsid w:val="0974278D"/>
    <w:rsid w:val="09A51D9B"/>
    <w:rsid w:val="09BD93E9"/>
    <w:rsid w:val="09D98120"/>
    <w:rsid w:val="09F7326F"/>
    <w:rsid w:val="0A41BBC5"/>
    <w:rsid w:val="0A52DF19"/>
    <w:rsid w:val="0A7BE173"/>
    <w:rsid w:val="0A8A82ED"/>
    <w:rsid w:val="0AB82F8C"/>
    <w:rsid w:val="0B5B22AB"/>
    <w:rsid w:val="0B655D58"/>
    <w:rsid w:val="0B6E2686"/>
    <w:rsid w:val="0BDC5516"/>
    <w:rsid w:val="0BF36059"/>
    <w:rsid w:val="0C1330C2"/>
    <w:rsid w:val="0C194FD6"/>
    <w:rsid w:val="0C1A1966"/>
    <w:rsid w:val="0C2E038C"/>
    <w:rsid w:val="0C3EBC8C"/>
    <w:rsid w:val="0CD22F35"/>
    <w:rsid w:val="0CF86DE6"/>
    <w:rsid w:val="0D06996E"/>
    <w:rsid w:val="0D0A0184"/>
    <w:rsid w:val="0D30FE56"/>
    <w:rsid w:val="0D35F706"/>
    <w:rsid w:val="0D85BEFC"/>
    <w:rsid w:val="0D95A6E3"/>
    <w:rsid w:val="0DA8C0A4"/>
    <w:rsid w:val="0DB658F6"/>
    <w:rsid w:val="0DD27D6D"/>
    <w:rsid w:val="0DFAFD6E"/>
    <w:rsid w:val="0E9200E5"/>
    <w:rsid w:val="0FDABF87"/>
    <w:rsid w:val="0FDDAE9D"/>
    <w:rsid w:val="0FEB9329"/>
    <w:rsid w:val="1031508B"/>
    <w:rsid w:val="1036D77F"/>
    <w:rsid w:val="108E10CC"/>
    <w:rsid w:val="10D078B8"/>
    <w:rsid w:val="10DFBEC1"/>
    <w:rsid w:val="111E2D85"/>
    <w:rsid w:val="11781FF0"/>
    <w:rsid w:val="119425E5"/>
    <w:rsid w:val="11D17CBC"/>
    <w:rsid w:val="1250FF56"/>
    <w:rsid w:val="12583FE3"/>
    <w:rsid w:val="12EF13AE"/>
    <w:rsid w:val="13377450"/>
    <w:rsid w:val="13668A02"/>
    <w:rsid w:val="13703242"/>
    <w:rsid w:val="13B4773C"/>
    <w:rsid w:val="13EC5103"/>
    <w:rsid w:val="140B0E68"/>
    <w:rsid w:val="1447707A"/>
    <w:rsid w:val="145852CF"/>
    <w:rsid w:val="14C27167"/>
    <w:rsid w:val="14C66B08"/>
    <w:rsid w:val="14DEB48C"/>
    <w:rsid w:val="1516D6F0"/>
    <w:rsid w:val="1529159D"/>
    <w:rsid w:val="152B29C5"/>
    <w:rsid w:val="15302A24"/>
    <w:rsid w:val="15381AA0"/>
    <w:rsid w:val="158DD09A"/>
    <w:rsid w:val="15C26999"/>
    <w:rsid w:val="15E12D58"/>
    <w:rsid w:val="15F48BA1"/>
    <w:rsid w:val="1663C146"/>
    <w:rsid w:val="167DC5A0"/>
    <w:rsid w:val="167DCA64"/>
    <w:rsid w:val="168340A4"/>
    <w:rsid w:val="16E8AC47"/>
    <w:rsid w:val="17156FFB"/>
    <w:rsid w:val="17B2A12F"/>
    <w:rsid w:val="1840FFFC"/>
    <w:rsid w:val="187372C0"/>
    <w:rsid w:val="1880FA0A"/>
    <w:rsid w:val="18C6303E"/>
    <w:rsid w:val="190F25A6"/>
    <w:rsid w:val="19351D71"/>
    <w:rsid w:val="19BFC14F"/>
    <w:rsid w:val="1A094C00"/>
    <w:rsid w:val="1A4D79F4"/>
    <w:rsid w:val="1B0AA53E"/>
    <w:rsid w:val="1BA9C04E"/>
    <w:rsid w:val="1BBF0665"/>
    <w:rsid w:val="1BC134F9"/>
    <w:rsid w:val="1BC8AB41"/>
    <w:rsid w:val="1BFFE7D9"/>
    <w:rsid w:val="1CDA2057"/>
    <w:rsid w:val="1D3F2234"/>
    <w:rsid w:val="1D504B35"/>
    <w:rsid w:val="1DFF412F"/>
    <w:rsid w:val="1E31F6D9"/>
    <w:rsid w:val="1E630870"/>
    <w:rsid w:val="1EA815A2"/>
    <w:rsid w:val="1F241E19"/>
    <w:rsid w:val="1F38F201"/>
    <w:rsid w:val="1FDAD273"/>
    <w:rsid w:val="1FDF578B"/>
    <w:rsid w:val="200B21F0"/>
    <w:rsid w:val="20116085"/>
    <w:rsid w:val="203F1044"/>
    <w:rsid w:val="2057BEE1"/>
    <w:rsid w:val="2061F571"/>
    <w:rsid w:val="206F78BC"/>
    <w:rsid w:val="20706438"/>
    <w:rsid w:val="20867812"/>
    <w:rsid w:val="20C75177"/>
    <w:rsid w:val="20D85ACC"/>
    <w:rsid w:val="20F9F3D4"/>
    <w:rsid w:val="21254EB8"/>
    <w:rsid w:val="213C86ED"/>
    <w:rsid w:val="21682ACA"/>
    <w:rsid w:val="217D910B"/>
    <w:rsid w:val="21958B69"/>
    <w:rsid w:val="2205BFD5"/>
    <w:rsid w:val="225E2BED"/>
    <w:rsid w:val="22FA6E17"/>
    <w:rsid w:val="23224763"/>
    <w:rsid w:val="233DAD9B"/>
    <w:rsid w:val="237FDD00"/>
    <w:rsid w:val="23EDBB4C"/>
    <w:rsid w:val="24698455"/>
    <w:rsid w:val="247D8FA2"/>
    <w:rsid w:val="24ABF99F"/>
    <w:rsid w:val="24C7856F"/>
    <w:rsid w:val="25178E2A"/>
    <w:rsid w:val="2520CBEA"/>
    <w:rsid w:val="253995D0"/>
    <w:rsid w:val="253B28C5"/>
    <w:rsid w:val="25832B8C"/>
    <w:rsid w:val="25AE4B4A"/>
    <w:rsid w:val="25D8B855"/>
    <w:rsid w:val="25F22458"/>
    <w:rsid w:val="26406988"/>
    <w:rsid w:val="26681D24"/>
    <w:rsid w:val="2694B424"/>
    <w:rsid w:val="2697E9BC"/>
    <w:rsid w:val="26ACC6D5"/>
    <w:rsid w:val="26DC2D03"/>
    <w:rsid w:val="26DED0FC"/>
    <w:rsid w:val="26ECE0C6"/>
    <w:rsid w:val="270758D2"/>
    <w:rsid w:val="27230FE2"/>
    <w:rsid w:val="27274892"/>
    <w:rsid w:val="274D522E"/>
    <w:rsid w:val="277A84BB"/>
    <w:rsid w:val="27817418"/>
    <w:rsid w:val="2795ED6B"/>
    <w:rsid w:val="27C039CE"/>
    <w:rsid w:val="2841C6A8"/>
    <w:rsid w:val="28531738"/>
    <w:rsid w:val="2877816F"/>
    <w:rsid w:val="28CB0AAD"/>
    <w:rsid w:val="28FFCF6D"/>
    <w:rsid w:val="292741C1"/>
    <w:rsid w:val="295A5A15"/>
    <w:rsid w:val="29A8391F"/>
    <w:rsid w:val="2A08E0E8"/>
    <w:rsid w:val="2A2C10A0"/>
    <w:rsid w:val="2A3D63F3"/>
    <w:rsid w:val="2A7B93E6"/>
    <w:rsid w:val="2AED7DF6"/>
    <w:rsid w:val="2B099DCA"/>
    <w:rsid w:val="2B19BC46"/>
    <w:rsid w:val="2B55D8D7"/>
    <w:rsid w:val="2B727CBA"/>
    <w:rsid w:val="2B8DC8B2"/>
    <w:rsid w:val="2BA6F977"/>
    <w:rsid w:val="2BF45E30"/>
    <w:rsid w:val="2C3B71F5"/>
    <w:rsid w:val="2C75B891"/>
    <w:rsid w:val="2C84CC3D"/>
    <w:rsid w:val="2C9B2626"/>
    <w:rsid w:val="2CA3FFE5"/>
    <w:rsid w:val="2CA58132"/>
    <w:rsid w:val="2CC7C7FB"/>
    <w:rsid w:val="2CEE95A8"/>
    <w:rsid w:val="2D0B75BC"/>
    <w:rsid w:val="2D31844B"/>
    <w:rsid w:val="2D5EEF37"/>
    <w:rsid w:val="2DCBB702"/>
    <w:rsid w:val="2E3CD6A2"/>
    <w:rsid w:val="2EA0B025"/>
    <w:rsid w:val="2EA69E2F"/>
    <w:rsid w:val="2ED24400"/>
    <w:rsid w:val="2EEDE991"/>
    <w:rsid w:val="2F1825AA"/>
    <w:rsid w:val="2F567A50"/>
    <w:rsid w:val="2F6FD4D6"/>
    <w:rsid w:val="2FB76FC8"/>
    <w:rsid w:val="2FF39957"/>
    <w:rsid w:val="2FFAA791"/>
    <w:rsid w:val="304FED07"/>
    <w:rsid w:val="30B994FC"/>
    <w:rsid w:val="30F99B71"/>
    <w:rsid w:val="313A9DA3"/>
    <w:rsid w:val="316836E3"/>
    <w:rsid w:val="3184A520"/>
    <w:rsid w:val="31B96378"/>
    <w:rsid w:val="31F04152"/>
    <w:rsid w:val="31F53969"/>
    <w:rsid w:val="32B8CAFD"/>
    <w:rsid w:val="32F81714"/>
    <w:rsid w:val="331B9299"/>
    <w:rsid w:val="33509E21"/>
    <w:rsid w:val="33776453"/>
    <w:rsid w:val="33924FC1"/>
    <w:rsid w:val="3394FD6A"/>
    <w:rsid w:val="33BB6500"/>
    <w:rsid w:val="33BEFA1C"/>
    <w:rsid w:val="33C5E735"/>
    <w:rsid w:val="342EE954"/>
    <w:rsid w:val="3457A67A"/>
    <w:rsid w:val="34A8C224"/>
    <w:rsid w:val="34CF132F"/>
    <w:rsid w:val="34CF9F69"/>
    <w:rsid w:val="34DE834E"/>
    <w:rsid w:val="34F5DD0C"/>
    <w:rsid w:val="35038E36"/>
    <w:rsid w:val="3546EC44"/>
    <w:rsid w:val="3547BD45"/>
    <w:rsid w:val="35DB511D"/>
    <w:rsid w:val="3623E24F"/>
    <w:rsid w:val="363C5F60"/>
    <w:rsid w:val="365BDFED"/>
    <w:rsid w:val="3679D723"/>
    <w:rsid w:val="36987342"/>
    <w:rsid w:val="36C00BFE"/>
    <w:rsid w:val="36C45B15"/>
    <w:rsid w:val="375EC6AB"/>
    <w:rsid w:val="37BCA3C1"/>
    <w:rsid w:val="37FB6E2D"/>
    <w:rsid w:val="380B9318"/>
    <w:rsid w:val="387B3406"/>
    <w:rsid w:val="38C072AC"/>
    <w:rsid w:val="395CA764"/>
    <w:rsid w:val="3992CC46"/>
    <w:rsid w:val="399C7C27"/>
    <w:rsid w:val="39C3A4A5"/>
    <w:rsid w:val="39C723A1"/>
    <w:rsid w:val="39E0E0B1"/>
    <w:rsid w:val="39EAA981"/>
    <w:rsid w:val="39F03693"/>
    <w:rsid w:val="3A0484CB"/>
    <w:rsid w:val="3A44B6AE"/>
    <w:rsid w:val="3A5F4744"/>
    <w:rsid w:val="3AB5CD0D"/>
    <w:rsid w:val="3AE43CF9"/>
    <w:rsid w:val="3B38285F"/>
    <w:rsid w:val="3B4C212D"/>
    <w:rsid w:val="3B63419A"/>
    <w:rsid w:val="3BA26CBC"/>
    <w:rsid w:val="3BB2E28D"/>
    <w:rsid w:val="3BD5D169"/>
    <w:rsid w:val="3BFAED78"/>
    <w:rsid w:val="3C2EC181"/>
    <w:rsid w:val="3C58E48D"/>
    <w:rsid w:val="3C60C77A"/>
    <w:rsid w:val="3C9C5DD0"/>
    <w:rsid w:val="3D04F1A1"/>
    <w:rsid w:val="3D0A0191"/>
    <w:rsid w:val="3D19FF26"/>
    <w:rsid w:val="3D35E0DD"/>
    <w:rsid w:val="3D3F9C76"/>
    <w:rsid w:val="3D66537E"/>
    <w:rsid w:val="3DCB2416"/>
    <w:rsid w:val="3E1B7566"/>
    <w:rsid w:val="3E42BA9B"/>
    <w:rsid w:val="3F3E3365"/>
    <w:rsid w:val="3F899A0B"/>
    <w:rsid w:val="3FC6749D"/>
    <w:rsid w:val="3FF419F2"/>
    <w:rsid w:val="4023DC8D"/>
    <w:rsid w:val="4040F442"/>
    <w:rsid w:val="404FD7CF"/>
    <w:rsid w:val="407D8A4B"/>
    <w:rsid w:val="4127AB93"/>
    <w:rsid w:val="41CE6EAF"/>
    <w:rsid w:val="41E327AA"/>
    <w:rsid w:val="4260928A"/>
    <w:rsid w:val="42DDE203"/>
    <w:rsid w:val="42E9F94A"/>
    <w:rsid w:val="430D56BC"/>
    <w:rsid w:val="432C210B"/>
    <w:rsid w:val="43407F13"/>
    <w:rsid w:val="4398CB8D"/>
    <w:rsid w:val="43991CDF"/>
    <w:rsid w:val="43A9FDB3"/>
    <w:rsid w:val="43C4765E"/>
    <w:rsid w:val="440C9390"/>
    <w:rsid w:val="44249C38"/>
    <w:rsid w:val="4475F5B3"/>
    <w:rsid w:val="4482FCF1"/>
    <w:rsid w:val="4482FF01"/>
    <w:rsid w:val="448C3FC0"/>
    <w:rsid w:val="44FD6E31"/>
    <w:rsid w:val="450F8595"/>
    <w:rsid w:val="451C0193"/>
    <w:rsid w:val="451C2210"/>
    <w:rsid w:val="452D2671"/>
    <w:rsid w:val="4538B71A"/>
    <w:rsid w:val="456BF8E9"/>
    <w:rsid w:val="45C3E435"/>
    <w:rsid w:val="45CF2E39"/>
    <w:rsid w:val="45D6D4F2"/>
    <w:rsid w:val="45EED08F"/>
    <w:rsid w:val="469CB54A"/>
    <w:rsid w:val="46E081CB"/>
    <w:rsid w:val="47163741"/>
    <w:rsid w:val="473C4E02"/>
    <w:rsid w:val="4752F759"/>
    <w:rsid w:val="4759F777"/>
    <w:rsid w:val="475DAF33"/>
    <w:rsid w:val="47AAA951"/>
    <w:rsid w:val="4850BA34"/>
    <w:rsid w:val="485BA4FF"/>
    <w:rsid w:val="4919D577"/>
    <w:rsid w:val="4934C0E0"/>
    <w:rsid w:val="4961CB84"/>
    <w:rsid w:val="498D6091"/>
    <w:rsid w:val="498DEBF5"/>
    <w:rsid w:val="49B90679"/>
    <w:rsid w:val="4A216A82"/>
    <w:rsid w:val="4A787E61"/>
    <w:rsid w:val="4AA98617"/>
    <w:rsid w:val="4AAA56D9"/>
    <w:rsid w:val="4AB39000"/>
    <w:rsid w:val="4AD634EF"/>
    <w:rsid w:val="4ADED920"/>
    <w:rsid w:val="4B03FACF"/>
    <w:rsid w:val="4B166FC2"/>
    <w:rsid w:val="4B21CBB4"/>
    <w:rsid w:val="4BA5988B"/>
    <w:rsid w:val="4BA7CBC0"/>
    <w:rsid w:val="4BB33064"/>
    <w:rsid w:val="4BD2881B"/>
    <w:rsid w:val="4BF04CA0"/>
    <w:rsid w:val="4C5539AE"/>
    <w:rsid w:val="4C6D11DF"/>
    <w:rsid w:val="4CCD1A26"/>
    <w:rsid w:val="4CFD493B"/>
    <w:rsid w:val="4D66E084"/>
    <w:rsid w:val="4D81931E"/>
    <w:rsid w:val="4D849C9A"/>
    <w:rsid w:val="4DC7BB85"/>
    <w:rsid w:val="4E1609E2"/>
    <w:rsid w:val="4E497DCE"/>
    <w:rsid w:val="4E611F25"/>
    <w:rsid w:val="4E751188"/>
    <w:rsid w:val="4E801A58"/>
    <w:rsid w:val="4EE63DC7"/>
    <w:rsid w:val="4F073C7E"/>
    <w:rsid w:val="4F0871BE"/>
    <w:rsid w:val="4F18DDAB"/>
    <w:rsid w:val="4F1D2215"/>
    <w:rsid w:val="4F68A8FD"/>
    <w:rsid w:val="4F7082C7"/>
    <w:rsid w:val="4F8B2FCB"/>
    <w:rsid w:val="4F9BF77B"/>
    <w:rsid w:val="50504485"/>
    <w:rsid w:val="50861D8C"/>
    <w:rsid w:val="508B9005"/>
    <w:rsid w:val="50E545C1"/>
    <w:rsid w:val="50EE22B0"/>
    <w:rsid w:val="50F5813B"/>
    <w:rsid w:val="511452CB"/>
    <w:rsid w:val="511F4374"/>
    <w:rsid w:val="5137BF3E"/>
    <w:rsid w:val="5148D157"/>
    <w:rsid w:val="516191EF"/>
    <w:rsid w:val="519FF6FB"/>
    <w:rsid w:val="51BDA5A3"/>
    <w:rsid w:val="51CD7DFD"/>
    <w:rsid w:val="51DB9245"/>
    <w:rsid w:val="522F2D04"/>
    <w:rsid w:val="5232DCF1"/>
    <w:rsid w:val="5247E5FC"/>
    <w:rsid w:val="525886D3"/>
    <w:rsid w:val="52AB8E0A"/>
    <w:rsid w:val="533B1CCA"/>
    <w:rsid w:val="537E7232"/>
    <w:rsid w:val="53AE9D14"/>
    <w:rsid w:val="53B272C0"/>
    <w:rsid w:val="53B5F1B5"/>
    <w:rsid w:val="53D1FB15"/>
    <w:rsid w:val="53D73DBD"/>
    <w:rsid w:val="53E5BE85"/>
    <w:rsid w:val="54339B8B"/>
    <w:rsid w:val="54530A4D"/>
    <w:rsid w:val="54744EC2"/>
    <w:rsid w:val="54AB05E8"/>
    <w:rsid w:val="54D60195"/>
    <w:rsid w:val="54FE2009"/>
    <w:rsid w:val="553C2078"/>
    <w:rsid w:val="553F5E71"/>
    <w:rsid w:val="554F8845"/>
    <w:rsid w:val="555D4C22"/>
    <w:rsid w:val="555ED565"/>
    <w:rsid w:val="55738939"/>
    <w:rsid w:val="55A8E5FD"/>
    <w:rsid w:val="55B7000E"/>
    <w:rsid w:val="55DB5E33"/>
    <w:rsid w:val="5670E281"/>
    <w:rsid w:val="56849D9A"/>
    <w:rsid w:val="568F620C"/>
    <w:rsid w:val="569A7273"/>
    <w:rsid w:val="569C916F"/>
    <w:rsid w:val="571C226B"/>
    <w:rsid w:val="573B1387"/>
    <w:rsid w:val="574049E4"/>
    <w:rsid w:val="57503FDC"/>
    <w:rsid w:val="57B5A5AA"/>
    <w:rsid w:val="57E1B157"/>
    <w:rsid w:val="5863082C"/>
    <w:rsid w:val="58B40C35"/>
    <w:rsid w:val="58B86219"/>
    <w:rsid w:val="58C8D937"/>
    <w:rsid w:val="58E8F982"/>
    <w:rsid w:val="59031D73"/>
    <w:rsid w:val="592FF483"/>
    <w:rsid w:val="59349EB3"/>
    <w:rsid w:val="59441CB9"/>
    <w:rsid w:val="595A5A27"/>
    <w:rsid w:val="599F306B"/>
    <w:rsid w:val="59AA9515"/>
    <w:rsid w:val="59C8415A"/>
    <w:rsid w:val="59DE3B36"/>
    <w:rsid w:val="5A036646"/>
    <w:rsid w:val="5A374C2A"/>
    <w:rsid w:val="5A454652"/>
    <w:rsid w:val="5A53ECE9"/>
    <w:rsid w:val="5A5CE682"/>
    <w:rsid w:val="5AEBC30C"/>
    <w:rsid w:val="5AEE39A0"/>
    <w:rsid w:val="5B0E97CF"/>
    <w:rsid w:val="5B419FAA"/>
    <w:rsid w:val="5B5F0FC5"/>
    <w:rsid w:val="5B5FA513"/>
    <w:rsid w:val="5B7A5102"/>
    <w:rsid w:val="5BB82789"/>
    <w:rsid w:val="5C237B55"/>
    <w:rsid w:val="5C646351"/>
    <w:rsid w:val="5C8F57D8"/>
    <w:rsid w:val="5C90EB06"/>
    <w:rsid w:val="5C91D87F"/>
    <w:rsid w:val="5CC5057C"/>
    <w:rsid w:val="5CDD8556"/>
    <w:rsid w:val="5D83100F"/>
    <w:rsid w:val="5DA7A631"/>
    <w:rsid w:val="5DAB0760"/>
    <w:rsid w:val="5DBC17A9"/>
    <w:rsid w:val="5DD6AC2F"/>
    <w:rsid w:val="5DEB4D6E"/>
    <w:rsid w:val="5E7906DE"/>
    <w:rsid w:val="5E880108"/>
    <w:rsid w:val="5ED2A687"/>
    <w:rsid w:val="5F03EF73"/>
    <w:rsid w:val="5F1BF606"/>
    <w:rsid w:val="5F238A1B"/>
    <w:rsid w:val="5F2B68BD"/>
    <w:rsid w:val="5F328962"/>
    <w:rsid w:val="5F3E1DAE"/>
    <w:rsid w:val="5F59CA88"/>
    <w:rsid w:val="5F8777E1"/>
    <w:rsid w:val="5FAA0568"/>
    <w:rsid w:val="6044B131"/>
    <w:rsid w:val="60460160"/>
    <w:rsid w:val="60569D54"/>
    <w:rsid w:val="609112BC"/>
    <w:rsid w:val="60E141E3"/>
    <w:rsid w:val="6121A909"/>
    <w:rsid w:val="613CF43B"/>
    <w:rsid w:val="615889A3"/>
    <w:rsid w:val="618C85D2"/>
    <w:rsid w:val="61AC8CC6"/>
    <w:rsid w:val="61B39698"/>
    <w:rsid w:val="61CE6A41"/>
    <w:rsid w:val="61D0D822"/>
    <w:rsid w:val="61D89169"/>
    <w:rsid w:val="61E64538"/>
    <w:rsid w:val="61EAB89A"/>
    <w:rsid w:val="61FE90D4"/>
    <w:rsid w:val="620BE23F"/>
    <w:rsid w:val="621AA30D"/>
    <w:rsid w:val="621EB87A"/>
    <w:rsid w:val="626B70B5"/>
    <w:rsid w:val="626D181A"/>
    <w:rsid w:val="628B7AD8"/>
    <w:rsid w:val="62B5A489"/>
    <w:rsid w:val="62B9B41A"/>
    <w:rsid w:val="63204440"/>
    <w:rsid w:val="6329879C"/>
    <w:rsid w:val="63CAADB3"/>
    <w:rsid w:val="63F81F9D"/>
    <w:rsid w:val="64195954"/>
    <w:rsid w:val="641B5A0F"/>
    <w:rsid w:val="641F0359"/>
    <w:rsid w:val="64248C24"/>
    <w:rsid w:val="644EE116"/>
    <w:rsid w:val="648B2B69"/>
    <w:rsid w:val="6492D690"/>
    <w:rsid w:val="64A06FBB"/>
    <w:rsid w:val="64A99542"/>
    <w:rsid w:val="64D7498F"/>
    <w:rsid w:val="6502FB4D"/>
    <w:rsid w:val="653DB767"/>
    <w:rsid w:val="657A3807"/>
    <w:rsid w:val="65826E02"/>
    <w:rsid w:val="658CDE16"/>
    <w:rsid w:val="659C692F"/>
    <w:rsid w:val="65B6793B"/>
    <w:rsid w:val="660EFBB8"/>
    <w:rsid w:val="664E595F"/>
    <w:rsid w:val="6660D128"/>
    <w:rsid w:val="66903541"/>
    <w:rsid w:val="6695029F"/>
    <w:rsid w:val="67154798"/>
    <w:rsid w:val="673E6C64"/>
    <w:rsid w:val="67B04FAD"/>
    <w:rsid w:val="680ACB52"/>
    <w:rsid w:val="682B0040"/>
    <w:rsid w:val="68A99A09"/>
    <w:rsid w:val="68BF28CE"/>
    <w:rsid w:val="69014C66"/>
    <w:rsid w:val="691DADBF"/>
    <w:rsid w:val="694F7D74"/>
    <w:rsid w:val="695C8888"/>
    <w:rsid w:val="695E71A4"/>
    <w:rsid w:val="69A169D3"/>
    <w:rsid w:val="6A0117AE"/>
    <w:rsid w:val="6AC69096"/>
    <w:rsid w:val="6B51ABF2"/>
    <w:rsid w:val="6B8F5E41"/>
    <w:rsid w:val="6BC03E92"/>
    <w:rsid w:val="6BF6B04E"/>
    <w:rsid w:val="6C34729B"/>
    <w:rsid w:val="6C558491"/>
    <w:rsid w:val="6C834C9A"/>
    <w:rsid w:val="6CF5F9DB"/>
    <w:rsid w:val="6D52D04C"/>
    <w:rsid w:val="6D5F5C17"/>
    <w:rsid w:val="6D65D548"/>
    <w:rsid w:val="6D6DDA8B"/>
    <w:rsid w:val="6D863B01"/>
    <w:rsid w:val="6DBA4E0F"/>
    <w:rsid w:val="6DDD324D"/>
    <w:rsid w:val="6E9DBCBE"/>
    <w:rsid w:val="6F40DEC0"/>
    <w:rsid w:val="6FCDDA66"/>
    <w:rsid w:val="6FDB883C"/>
    <w:rsid w:val="6FDBAF65"/>
    <w:rsid w:val="704B797A"/>
    <w:rsid w:val="704FCAE3"/>
    <w:rsid w:val="7094785B"/>
    <w:rsid w:val="70BCD3EC"/>
    <w:rsid w:val="7192B5CB"/>
    <w:rsid w:val="71FEF2F2"/>
    <w:rsid w:val="720F1DF3"/>
    <w:rsid w:val="72150266"/>
    <w:rsid w:val="721AED7F"/>
    <w:rsid w:val="72F081E0"/>
    <w:rsid w:val="73273BE9"/>
    <w:rsid w:val="7392CF16"/>
    <w:rsid w:val="73B55CB6"/>
    <w:rsid w:val="73C320B7"/>
    <w:rsid w:val="73E4B1CE"/>
    <w:rsid w:val="73F8AE41"/>
    <w:rsid w:val="740E6570"/>
    <w:rsid w:val="7464AD54"/>
    <w:rsid w:val="74688733"/>
    <w:rsid w:val="747934DF"/>
    <w:rsid w:val="748594CB"/>
    <w:rsid w:val="7487911A"/>
    <w:rsid w:val="749D0393"/>
    <w:rsid w:val="74AAD8BA"/>
    <w:rsid w:val="74B08FE6"/>
    <w:rsid w:val="74BA0E2E"/>
    <w:rsid w:val="74CBACDF"/>
    <w:rsid w:val="74FCD0EA"/>
    <w:rsid w:val="75111FF5"/>
    <w:rsid w:val="75538118"/>
    <w:rsid w:val="755C58A1"/>
    <w:rsid w:val="7578D656"/>
    <w:rsid w:val="75D3AC01"/>
    <w:rsid w:val="75E642E2"/>
    <w:rsid w:val="764BDC8F"/>
    <w:rsid w:val="767BC12D"/>
    <w:rsid w:val="76A96333"/>
    <w:rsid w:val="7778A437"/>
    <w:rsid w:val="78053263"/>
    <w:rsid w:val="780CFA43"/>
    <w:rsid w:val="784D873F"/>
    <w:rsid w:val="78794A1B"/>
    <w:rsid w:val="787B0860"/>
    <w:rsid w:val="78833501"/>
    <w:rsid w:val="788FE2AA"/>
    <w:rsid w:val="78CCFD4E"/>
    <w:rsid w:val="78D22DA8"/>
    <w:rsid w:val="791246EB"/>
    <w:rsid w:val="7985B327"/>
    <w:rsid w:val="79D95738"/>
    <w:rsid w:val="79E7AEFF"/>
    <w:rsid w:val="7A356952"/>
    <w:rsid w:val="7A61E524"/>
    <w:rsid w:val="7AC6751D"/>
    <w:rsid w:val="7B0515C8"/>
    <w:rsid w:val="7B5E41C0"/>
    <w:rsid w:val="7B6C328C"/>
    <w:rsid w:val="7B9F8284"/>
    <w:rsid w:val="7BD04361"/>
    <w:rsid w:val="7C388656"/>
    <w:rsid w:val="7C70CF45"/>
    <w:rsid w:val="7CA0FAF2"/>
    <w:rsid w:val="7CAA0D5F"/>
    <w:rsid w:val="7CADDD47"/>
    <w:rsid w:val="7CC98AC3"/>
    <w:rsid w:val="7CF68DB3"/>
    <w:rsid w:val="7D4988D4"/>
    <w:rsid w:val="7D59700A"/>
    <w:rsid w:val="7D963A21"/>
    <w:rsid w:val="7DC167F6"/>
    <w:rsid w:val="7DC1A8ED"/>
    <w:rsid w:val="7DF1F793"/>
    <w:rsid w:val="7E02697D"/>
    <w:rsid w:val="7E3EEE43"/>
    <w:rsid w:val="7E931A9C"/>
    <w:rsid w:val="7EAECB4E"/>
    <w:rsid w:val="7EB5420F"/>
    <w:rsid w:val="7F4DAFF8"/>
    <w:rsid w:val="7F738263"/>
    <w:rsid w:val="7FA0A76D"/>
    <w:rsid w:val="7FB1578A"/>
    <w:rsid w:val="7FBFB411"/>
    <w:rsid w:val="7FCA4E87"/>
    <w:rsid w:val="7FCEA2C9"/>
    <w:rsid w:val="7FE14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9CA88"/>
  <w15:chartTrackingRefBased/>
  <w15:docId w15:val="{EF8A4B30-C716-4230-925F-4F152E750E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502FB4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502FB4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502FB4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lus-lexis-com.ezproxy.uwtsd.ac.uk/uk/cases-uk/blyth-v-birmingham-waterworks-co/?crid=1d34cac7-1485-4218-a94c-f4b6276614e9&amp;pddocumentnumber=1" TargetMode="External" Id="R5635b9424fba4c11" /><Relationship Type="http://schemas.openxmlformats.org/officeDocument/2006/relationships/hyperlink" Target="https://plus-lexis-com.ezproxy.uwtsd.ac.uk/uk/cases-uk/caparo-industries-plc-v-dickman_2/?crid=7935d83f-e7c3-40b7-b5ff-b636c641ee65&amp;pddocumentnumber=1" TargetMode="External" Id="Rdc1a8b2887bc4fd5" /><Relationship Type="http://schemas.openxmlformats.org/officeDocument/2006/relationships/hyperlink" Target="https://plus-lexis-com.ezproxy.uwtsd.ac.uk/uk/cases-uk/malister-or-donoghue-v-stevenson-sub-nom-dono/?crid=dbfdd0b4-a749-4f1a-a097-e7c8ce4f76bc&amp;pddocumentnumber=1" TargetMode="External" Id="R723dbc9a1a6b48e1" /><Relationship Type="http://schemas.openxmlformats.org/officeDocument/2006/relationships/hyperlink" Target="https://plus-lexis-com.ezproxy.uwtsd.ac.uk/uk/cases-uk/edwards-v-sutton-london-borough/?crid=cf05efd8-27d8-4b51-87f9-f3397a9888a9&amp;pddocumentnumber=3" TargetMode="External" Id="R99234a7e0e7d4827" /><Relationship Type="http://schemas.openxmlformats.org/officeDocument/2006/relationships/hyperlink" Target="https://plus-lexis-com.ezproxy.uwtsd.ac.uk/uk/cases-uk/gregg-v-scott-2005-ukhl-2/?crid=269aee4d-9bb5-462c-b1b6-017c40a13166&amp;pddocumentnumber=1" TargetMode="External" Id="R3d089ea252d049c5" /><Relationship Type="http://schemas.openxmlformats.org/officeDocument/2006/relationships/hyperlink" Target="https://plus-lexis-com.ezproxy.uwtsd.ac.uk/uk/document/?pddocfullpath=%2Fshared%2Fdocument%2Fanalytical-materials-uk%2Furn:contentItem:6BPN-RKW3-SH74-C3DN-00000-00&amp;tocnodeid=TAAB&amp;isviewwholeof=true&amp;fontType=verdana&amp;fontSize=Small&amp;doccollection=analytical-materials-uk&amp;tocid=urn:contentItem:5NH3-KTG1-FC54-7000-00000-00&amp;docProviderId=dg4k&amp;pct=urn:pct:237&amp;hlct=urn:hlct:50&amp;pageNumber=0&amp;new-toc=1&amp;docLni=6BPN-RKW3-SH74-C3DN-00000-00&amp;crid=5377d86b-52c1-4b69-bed8-351aa6715643" TargetMode="External" Id="Rda9fe7bea5be42c8" /><Relationship Type="http://schemas.openxmlformats.org/officeDocument/2006/relationships/hyperlink" Target="https://plus-lexis-com.ezproxy.uwtsd.ac.uk/uk/cases-uk/maguire-v-sefton-metropolitan-borough-council_4/?crid=87bf38fb-7099-4e99-a30b-f51db08d6942&amp;pddocumentnumber=1" TargetMode="External" Id="R930eeced35bf4d1a" /><Relationship Type="http://schemas.openxmlformats.org/officeDocument/2006/relationships/hyperlink" Target="https://plus-lexis-com.ezproxy.uwtsd.ac.uk/uk/cases-uk/phipps-v-rochester-corpn/?crid=265658dd-6fec-4f0e-81d3-8d28dfb51459&amp;pddocumentnumber=1" TargetMode="External" Id="R42bc4d9c23cb44d5" /><Relationship Type="http://schemas.openxmlformats.org/officeDocument/2006/relationships/hyperlink" Target="https://plus-lexis-com.ezproxy.uwtsd.ac.uk/uk/cases-uk/taylor-v-glasgow-corporation/?crid=76a89566-9355-4701-a42a-45eaff0c3659&amp;pddocumentnumber=2" TargetMode="External" Id="R563b25da33784d6c" /><Relationship Type="http://schemas.openxmlformats.org/officeDocument/2006/relationships/hyperlink" Target="https://plus-lexis-com.ezproxy.uwtsd.ac.uk/uk/document/?pdmfid=1001073&amp;crid=fd9008e7-06a9-491f-bb61-99ded45b1e2b&amp;pddocfullpath=%2Fshared%2Fdocument%2Fanalytical-materials-uk%2Furn:contentItem:634Y-MVC3-CGXG-02Y1-00000-00&amp;pdcontentcomponentid=280156&amp;pdteaserkey=&amp;pdislpamode=false&amp;pddocumentnumber=2&amp;ecomp=Lt5k&amp;earg=sr1&amp;prid=05468d20-ce2b-4292-9774-c298668273dc" TargetMode="External" Id="R3d21ca35cdaa4e89" /><Relationship Type="http://schemas.microsoft.com/office/2020/10/relationships/intelligence" Target="intelligence2.xml" Id="R83cdaf71e5474a79" /><Relationship Type="http://schemas.openxmlformats.org/officeDocument/2006/relationships/numbering" Target="numbering.xml" Id="Ra18f2361e8a843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2025-11-06T21:32:07.7657553Z</dcterms:created>
  <dcterms:modified xsi:type="dcterms:W3CDTF">2025-11-07T15:39:30.6028994Z</dcterms:modified>
  <dc:creator>Sienna Davies (2404042)</dc:creator>
  <lastModifiedBy>Sienna Davies (2404042)</lastModifiedBy>
</coreProperties>
</file>