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01263026"/>
        <w:docPartObj>
          <w:docPartGallery w:val="Cover Pages"/>
          <w:docPartUnique/>
        </w:docPartObj>
      </w:sdtPr>
      <w:sdtEndPr>
        <w:rPr>
          <w:sz w:val="48"/>
          <w:szCs w:val="48"/>
        </w:rPr>
      </w:sdtEndPr>
      <w:sdtContent>
        <w:p w14:paraId="69CF0B32" w14:textId="51C19ECA" w:rsidR="008E1D17" w:rsidRDefault="008E1D17">
          <w:r>
            <w:rPr>
              <w:noProof/>
            </w:rPr>
            <mc:AlternateContent>
              <mc:Choice Requires="wpg">
                <w:drawing>
                  <wp:anchor distT="0" distB="0" distL="114300" distR="114300" simplePos="0" relativeHeight="251658240" behindDoc="1" locked="0" layoutInCell="1" allowOverlap="1" wp14:anchorId="46ED786C" wp14:editId="1F31995C">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17E87AC" w14:textId="2A8FAAAC" w:rsidR="008E1D17" w:rsidRDefault="008E1D17">
                                      <w:pPr>
                                        <w:pStyle w:val="NoSpacing"/>
                                        <w:rPr>
                                          <w:color w:val="FFFFFF" w:themeColor="background1"/>
                                          <w:sz w:val="32"/>
                                          <w:szCs w:val="32"/>
                                        </w:rPr>
                                      </w:pPr>
                                      <w:r>
                                        <w:rPr>
                                          <w:color w:val="FFFFFF" w:themeColor="background1"/>
                                          <w:sz w:val="32"/>
                                          <w:szCs w:val="32"/>
                                        </w:rPr>
                                        <w:t>John Shanks Paton (2336252)</w:t>
                                      </w:r>
                                    </w:p>
                                  </w:sdtContent>
                                </w:sdt>
                                <w:p w14:paraId="0E279E4A" w14:textId="0A551B59" w:rsidR="008E1D17" w:rsidRDefault="00F329FF">
                                  <w:pPr>
                                    <w:pStyle w:val="NoSpacing"/>
                                  </w:pPr>
                                  <w:r>
                                    <w:t>BA (Hons) Leadership and Management Skills for the Workplace</w:t>
                                  </w:r>
                                </w:p>
                                <w:p w14:paraId="62044705" w14:textId="4F3BE205" w:rsidR="00423286" w:rsidRDefault="00423286">
                                  <w:pPr>
                                    <w:pStyle w:val="NoSpacing"/>
                                  </w:pPr>
                                  <w:r>
                                    <w:t>Originisatinal Culture</w:t>
                                  </w:r>
                                </w:p>
                                <w:p w14:paraId="7C69142F" w14:textId="7CD64C35" w:rsidR="00423286" w:rsidRDefault="008259E0">
                                  <w:pPr>
                                    <w:pStyle w:val="NoSpacing"/>
                                    <w:rPr>
                                      <w:caps/>
                                      <w:color w:val="FFFFFF" w:themeColor="background1"/>
                                    </w:rPr>
                                  </w:pPr>
                                  <w:r>
                                    <w:t xml:space="preserve">Amir </w:t>
                                  </w:r>
                                  <w:r w:rsidR="00251537">
                                    <w:t>H</w:t>
                                  </w:r>
                                  <w:r w:rsidR="00F450B7">
                                    <w:t>omayounfard</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A875F11" w14:textId="370AE292" w:rsidR="008E1D17" w:rsidRPr="0035338B" w:rsidRDefault="005A16A4">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35338B">
                                        <w:rPr>
                                          <w:rFonts w:asciiTheme="majorHAnsi" w:eastAsiaTheme="majorEastAsia" w:hAnsiTheme="majorHAnsi" w:cstheme="majorBidi"/>
                                          <w:color w:val="595959" w:themeColor="text1" w:themeTint="A6"/>
                                          <w:sz w:val="72"/>
                                          <w:szCs w:val="72"/>
                                        </w:rPr>
                                        <w:t>Organisational Culture</w:t>
                                      </w:r>
                                      <w:r w:rsidR="00041B5F" w:rsidRPr="0035338B">
                                        <w:rPr>
                                          <w:rFonts w:asciiTheme="majorHAnsi" w:eastAsiaTheme="majorEastAsia" w:hAnsiTheme="majorHAnsi" w:cstheme="majorBidi"/>
                                          <w:color w:val="595959" w:themeColor="text1" w:themeTint="A6"/>
                                          <w:sz w:val="72"/>
                                          <w:szCs w:val="72"/>
                                        </w:rPr>
                                        <w:t xml:space="preserve"> </w:t>
                                      </w:r>
                                      <w:r w:rsidR="005D7310" w:rsidRPr="0035338B">
                                        <w:rPr>
                                          <w:rFonts w:asciiTheme="majorHAnsi" w:eastAsiaTheme="majorEastAsia" w:hAnsiTheme="majorHAnsi" w:cstheme="majorBidi"/>
                                          <w:color w:val="595959" w:themeColor="text1" w:themeTint="A6"/>
                                          <w:sz w:val="72"/>
                                          <w:szCs w:val="72"/>
                                        </w:rPr>
                                        <w:t>LCL</w:t>
                                      </w:r>
                                      <w:r w:rsidR="00944358" w:rsidRPr="0035338B">
                                        <w:rPr>
                                          <w:rFonts w:asciiTheme="majorHAnsi" w:eastAsiaTheme="majorEastAsia" w:hAnsiTheme="majorHAnsi" w:cstheme="majorBidi"/>
                                          <w:color w:val="595959" w:themeColor="text1" w:themeTint="A6"/>
                                          <w:sz w:val="72"/>
                                          <w:szCs w:val="72"/>
                                        </w:rPr>
                                        <w:t>M5005</w:t>
                                      </w:r>
                                      <w:r w:rsidR="0035338B" w:rsidRPr="0035338B">
                                        <w:rPr>
                                          <w:rFonts w:asciiTheme="majorHAnsi" w:eastAsiaTheme="majorEastAsia" w:hAnsiTheme="majorHAnsi" w:cstheme="majorBidi"/>
                                          <w:color w:val="595959" w:themeColor="text1" w:themeTint="A6"/>
                                          <w:sz w:val="72"/>
                                          <w:szCs w:val="72"/>
                                        </w:rPr>
                                        <w:t>_LON</w:t>
                                      </w:r>
                                    </w:p>
                                  </w:sdtContent>
                                </w:sdt>
                                <w:p w14:paraId="7656E8F0" w14:textId="51402436" w:rsidR="008E1D17" w:rsidRDefault="00272AFF">
                                  <w:pPr>
                                    <w:pStyle w:val="NoSpacing"/>
                                    <w:spacing w:before="240"/>
                                    <w:rPr>
                                      <w:caps/>
                                      <w:color w:val="0E2841" w:themeColor="text2"/>
                                      <w:sz w:val="36"/>
                                      <w:szCs w:val="36"/>
                                    </w:rPr>
                                  </w:pPr>
                                  <w:r>
                                    <w:rPr>
                                      <w:caps/>
                                      <w:color w:val="0E2841" w:themeColor="text2"/>
                                      <w:sz w:val="36"/>
                                      <w:szCs w:val="36"/>
                                    </w:rPr>
                                    <w:t>individual report</w:t>
                                  </w:r>
                                  <w:r w:rsidR="00F450B7">
                                    <w:rPr>
                                      <w:caps/>
                                      <w:color w:val="0E2841" w:themeColor="text2"/>
                                      <w:sz w:val="36"/>
                                      <w:szCs w:val="36"/>
                                    </w:rPr>
                                    <w:t xml:space="preserve"> on toyota</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ED786C" id="Group 121"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17E87AC" w14:textId="2A8FAAAC" w:rsidR="008E1D17" w:rsidRDefault="008E1D17">
                                <w:pPr>
                                  <w:pStyle w:val="NoSpacing"/>
                                  <w:rPr>
                                    <w:color w:val="FFFFFF" w:themeColor="background1"/>
                                    <w:sz w:val="32"/>
                                    <w:szCs w:val="32"/>
                                  </w:rPr>
                                </w:pPr>
                                <w:r>
                                  <w:rPr>
                                    <w:color w:val="FFFFFF" w:themeColor="background1"/>
                                    <w:sz w:val="32"/>
                                    <w:szCs w:val="32"/>
                                  </w:rPr>
                                  <w:t>John Shanks Paton (2336252)</w:t>
                                </w:r>
                              </w:p>
                            </w:sdtContent>
                          </w:sdt>
                          <w:p w14:paraId="0E279E4A" w14:textId="0A551B59" w:rsidR="008E1D17" w:rsidRDefault="00F329FF">
                            <w:pPr>
                              <w:pStyle w:val="NoSpacing"/>
                            </w:pPr>
                            <w:r>
                              <w:t>BA (Hons) Leadership and Management Skills for the Workplace</w:t>
                            </w:r>
                          </w:p>
                          <w:p w14:paraId="62044705" w14:textId="4F3BE205" w:rsidR="00423286" w:rsidRDefault="00423286">
                            <w:pPr>
                              <w:pStyle w:val="NoSpacing"/>
                            </w:pPr>
                            <w:r>
                              <w:t>Originisatinal Culture</w:t>
                            </w:r>
                          </w:p>
                          <w:p w14:paraId="7C69142F" w14:textId="7CD64C35" w:rsidR="00423286" w:rsidRDefault="008259E0">
                            <w:pPr>
                              <w:pStyle w:val="NoSpacing"/>
                              <w:rPr>
                                <w:caps/>
                                <w:color w:val="FFFFFF" w:themeColor="background1"/>
                              </w:rPr>
                            </w:pPr>
                            <w:r>
                              <w:t xml:space="preserve">Amir </w:t>
                            </w:r>
                            <w:r w:rsidR="00251537">
                              <w:t>H</w:t>
                            </w:r>
                            <w:r w:rsidR="00F450B7">
                              <w:t>omayounfard</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A875F11" w14:textId="370AE292" w:rsidR="008E1D17" w:rsidRPr="0035338B" w:rsidRDefault="005A16A4">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35338B">
                                  <w:rPr>
                                    <w:rFonts w:asciiTheme="majorHAnsi" w:eastAsiaTheme="majorEastAsia" w:hAnsiTheme="majorHAnsi" w:cstheme="majorBidi"/>
                                    <w:color w:val="595959" w:themeColor="text1" w:themeTint="A6"/>
                                    <w:sz w:val="72"/>
                                    <w:szCs w:val="72"/>
                                  </w:rPr>
                                  <w:t>Organisational Culture</w:t>
                                </w:r>
                                <w:r w:rsidR="00041B5F" w:rsidRPr="0035338B">
                                  <w:rPr>
                                    <w:rFonts w:asciiTheme="majorHAnsi" w:eastAsiaTheme="majorEastAsia" w:hAnsiTheme="majorHAnsi" w:cstheme="majorBidi"/>
                                    <w:color w:val="595959" w:themeColor="text1" w:themeTint="A6"/>
                                    <w:sz w:val="72"/>
                                    <w:szCs w:val="72"/>
                                  </w:rPr>
                                  <w:t xml:space="preserve"> </w:t>
                                </w:r>
                                <w:r w:rsidR="005D7310" w:rsidRPr="0035338B">
                                  <w:rPr>
                                    <w:rFonts w:asciiTheme="majorHAnsi" w:eastAsiaTheme="majorEastAsia" w:hAnsiTheme="majorHAnsi" w:cstheme="majorBidi"/>
                                    <w:color w:val="595959" w:themeColor="text1" w:themeTint="A6"/>
                                    <w:sz w:val="72"/>
                                    <w:szCs w:val="72"/>
                                  </w:rPr>
                                  <w:t>LCL</w:t>
                                </w:r>
                                <w:r w:rsidR="00944358" w:rsidRPr="0035338B">
                                  <w:rPr>
                                    <w:rFonts w:asciiTheme="majorHAnsi" w:eastAsiaTheme="majorEastAsia" w:hAnsiTheme="majorHAnsi" w:cstheme="majorBidi"/>
                                    <w:color w:val="595959" w:themeColor="text1" w:themeTint="A6"/>
                                    <w:sz w:val="72"/>
                                    <w:szCs w:val="72"/>
                                  </w:rPr>
                                  <w:t>M5005</w:t>
                                </w:r>
                                <w:r w:rsidR="0035338B" w:rsidRPr="0035338B">
                                  <w:rPr>
                                    <w:rFonts w:asciiTheme="majorHAnsi" w:eastAsiaTheme="majorEastAsia" w:hAnsiTheme="majorHAnsi" w:cstheme="majorBidi"/>
                                    <w:color w:val="595959" w:themeColor="text1" w:themeTint="A6"/>
                                    <w:sz w:val="72"/>
                                    <w:szCs w:val="72"/>
                                  </w:rPr>
                                  <w:t>_LON</w:t>
                                </w:r>
                              </w:p>
                            </w:sdtContent>
                          </w:sdt>
                          <w:p w14:paraId="7656E8F0" w14:textId="51402436" w:rsidR="008E1D17" w:rsidRDefault="00272AFF">
                            <w:pPr>
                              <w:pStyle w:val="NoSpacing"/>
                              <w:spacing w:before="240"/>
                              <w:rPr>
                                <w:caps/>
                                <w:color w:val="0E2841" w:themeColor="text2"/>
                                <w:sz w:val="36"/>
                                <w:szCs w:val="36"/>
                              </w:rPr>
                            </w:pPr>
                            <w:r>
                              <w:rPr>
                                <w:caps/>
                                <w:color w:val="0E2841" w:themeColor="text2"/>
                                <w:sz w:val="36"/>
                                <w:szCs w:val="36"/>
                              </w:rPr>
                              <w:t>individual report</w:t>
                            </w:r>
                            <w:r w:rsidR="00F450B7">
                              <w:rPr>
                                <w:caps/>
                                <w:color w:val="0E2841" w:themeColor="text2"/>
                                <w:sz w:val="36"/>
                                <w:szCs w:val="36"/>
                              </w:rPr>
                              <w:t xml:space="preserve"> on toyota</w:t>
                            </w:r>
                          </w:p>
                        </w:txbxContent>
                      </v:textbox>
                    </v:shape>
                    <w10:wrap anchorx="page" anchory="page"/>
                  </v:group>
                </w:pict>
              </mc:Fallback>
            </mc:AlternateContent>
          </w:r>
        </w:p>
        <w:p w14:paraId="33E01AA6" w14:textId="0AF0F417" w:rsidR="008E1D17" w:rsidRDefault="008E1D17">
          <w:pPr>
            <w:rPr>
              <w:sz w:val="48"/>
              <w:szCs w:val="48"/>
            </w:rPr>
          </w:pPr>
          <w:r>
            <w:rPr>
              <w:sz w:val="48"/>
              <w:szCs w:val="48"/>
            </w:rPr>
            <w:br w:type="page"/>
          </w:r>
        </w:p>
      </w:sdtContent>
    </w:sdt>
    <w:p w14:paraId="0B04136D" w14:textId="1FFE64E9" w:rsidR="4EFCE8A2" w:rsidRDefault="4EFCE8A2" w:rsidP="4EFCE8A2"/>
    <w:sdt>
      <w:sdtPr>
        <w:rPr>
          <w:rFonts w:asciiTheme="minorHAnsi" w:eastAsiaTheme="minorEastAsia" w:hAnsiTheme="minorHAnsi" w:cstheme="minorBidi"/>
          <w:color w:val="auto"/>
          <w:sz w:val="24"/>
          <w:szCs w:val="24"/>
          <w:lang w:eastAsia="ja-JP"/>
        </w:rPr>
        <w:id w:val="798887369"/>
        <w:docPartObj>
          <w:docPartGallery w:val="Table of Contents"/>
          <w:docPartUnique/>
        </w:docPartObj>
      </w:sdtPr>
      <w:sdtEndPr>
        <w:rPr>
          <w:b/>
          <w:bCs/>
          <w:noProof/>
        </w:rPr>
      </w:sdtEndPr>
      <w:sdtContent>
        <w:p w14:paraId="48DD3485" w14:textId="4E4713CC" w:rsidR="00DD17B8" w:rsidRDefault="00DD17B8">
          <w:pPr>
            <w:pStyle w:val="TOCHeading"/>
          </w:pPr>
          <w:r>
            <w:t>Contents</w:t>
          </w:r>
        </w:p>
        <w:p w14:paraId="4C2B7F49" w14:textId="3BBDE1BE" w:rsidR="00DD17B8" w:rsidRDefault="00DD17B8">
          <w:pPr>
            <w:pStyle w:val="TOC2"/>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27655258" w:history="1">
            <w:r w:rsidRPr="00A21D4F">
              <w:rPr>
                <w:rStyle w:val="Hyperlink"/>
                <w:rFonts w:ascii="Times New Roman" w:eastAsia="Times New Roman" w:hAnsi="Times New Roman" w:cs="Times New Roman"/>
                <w:b/>
                <w:bCs/>
                <w:noProof/>
                <w:lang w:val="en-GB" w:eastAsia="en-GB"/>
              </w:rPr>
              <w:t>1. Introduction</w:t>
            </w:r>
            <w:r>
              <w:rPr>
                <w:noProof/>
                <w:webHidden/>
              </w:rPr>
              <w:tab/>
            </w:r>
            <w:r>
              <w:rPr>
                <w:noProof/>
                <w:webHidden/>
              </w:rPr>
              <w:fldChar w:fldCharType="begin"/>
            </w:r>
            <w:r>
              <w:rPr>
                <w:noProof/>
                <w:webHidden/>
              </w:rPr>
              <w:instrText xml:space="preserve"> PAGEREF _Toc227655258 \h </w:instrText>
            </w:r>
            <w:r>
              <w:rPr>
                <w:noProof/>
                <w:webHidden/>
              </w:rPr>
            </w:r>
            <w:r>
              <w:rPr>
                <w:noProof/>
                <w:webHidden/>
              </w:rPr>
              <w:fldChar w:fldCharType="separate"/>
            </w:r>
            <w:r>
              <w:rPr>
                <w:noProof/>
                <w:webHidden/>
              </w:rPr>
              <w:t>2</w:t>
            </w:r>
            <w:r>
              <w:rPr>
                <w:noProof/>
                <w:webHidden/>
              </w:rPr>
              <w:fldChar w:fldCharType="end"/>
            </w:r>
          </w:hyperlink>
        </w:p>
        <w:p w14:paraId="3BBEFF6B" w14:textId="10DA4B1C" w:rsidR="00DD17B8" w:rsidRDefault="00DD17B8">
          <w:pPr>
            <w:pStyle w:val="TOC2"/>
            <w:tabs>
              <w:tab w:val="right" w:leader="dot" w:pos="9350"/>
            </w:tabs>
            <w:rPr>
              <w:noProof/>
              <w:kern w:val="2"/>
              <w:lang w:val="en-GB" w:eastAsia="en-GB"/>
              <w14:ligatures w14:val="standardContextual"/>
            </w:rPr>
          </w:pPr>
          <w:hyperlink w:anchor="_Toc227655259" w:history="1">
            <w:r w:rsidRPr="00A21D4F">
              <w:rPr>
                <w:rStyle w:val="Hyperlink"/>
                <w:rFonts w:ascii="Times New Roman" w:eastAsia="Times New Roman" w:hAnsi="Times New Roman" w:cs="Times New Roman"/>
                <w:b/>
                <w:bCs/>
                <w:noProof/>
                <w:lang w:val="en-GB" w:eastAsia="en-GB"/>
              </w:rPr>
              <w:t>2. The Influence of Organisational Culture on Structure and Decision-Making</w:t>
            </w:r>
            <w:r>
              <w:rPr>
                <w:noProof/>
                <w:webHidden/>
              </w:rPr>
              <w:tab/>
            </w:r>
            <w:r>
              <w:rPr>
                <w:noProof/>
                <w:webHidden/>
              </w:rPr>
              <w:fldChar w:fldCharType="begin"/>
            </w:r>
            <w:r>
              <w:rPr>
                <w:noProof/>
                <w:webHidden/>
              </w:rPr>
              <w:instrText xml:space="preserve"> PAGEREF _Toc227655259 \h </w:instrText>
            </w:r>
            <w:r>
              <w:rPr>
                <w:noProof/>
                <w:webHidden/>
              </w:rPr>
            </w:r>
            <w:r>
              <w:rPr>
                <w:noProof/>
                <w:webHidden/>
              </w:rPr>
              <w:fldChar w:fldCharType="separate"/>
            </w:r>
            <w:r>
              <w:rPr>
                <w:noProof/>
                <w:webHidden/>
              </w:rPr>
              <w:t>2</w:t>
            </w:r>
            <w:r>
              <w:rPr>
                <w:noProof/>
                <w:webHidden/>
              </w:rPr>
              <w:fldChar w:fldCharType="end"/>
            </w:r>
          </w:hyperlink>
        </w:p>
        <w:p w14:paraId="295974EE" w14:textId="4AA65603" w:rsidR="00DD17B8" w:rsidRDefault="00DD17B8">
          <w:pPr>
            <w:pStyle w:val="TOC2"/>
            <w:tabs>
              <w:tab w:val="right" w:leader="dot" w:pos="9350"/>
            </w:tabs>
            <w:rPr>
              <w:noProof/>
              <w:kern w:val="2"/>
              <w:lang w:val="en-GB" w:eastAsia="en-GB"/>
              <w14:ligatures w14:val="standardContextual"/>
            </w:rPr>
          </w:pPr>
          <w:hyperlink w:anchor="_Toc227655260" w:history="1">
            <w:r w:rsidRPr="00A21D4F">
              <w:rPr>
                <w:rStyle w:val="Hyperlink"/>
                <w:rFonts w:ascii="Times New Roman" w:eastAsia="Times New Roman" w:hAnsi="Times New Roman" w:cs="Times New Roman"/>
                <w:b/>
                <w:bCs/>
                <w:noProof/>
                <w:lang w:val="en-GB" w:eastAsia="en-GB"/>
              </w:rPr>
              <w:t>3. Theoretical Analysis of Toyota’s Organisational Culture</w:t>
            </w:r>
            <w:r>
              <w:rPr>
                <w:noProof/>
                <w:webHidden/>
              </w:rPr>
              <w:tab/>
            </w:r>
            <w:r>
              <w:rPr>
                <w:noProof/>
                <w:webHidden/>
              </w:rPr>
              <w:fldChar w:fldCharType="begin"/>
            </w:r>
            <w:r>
              <w:rPr>
                <w:noProof/>
                <w:webHidden/>
              </w:rPr>
              <w:instrText xml:space="preserve"> PAGEREF _Toc227655260 \h </w:instrText>
            </w:r>
            <w:r>
              <w:rPr>
                <w:noProof/>
                <w:webHidden/>
              </w:rPr>
            </w:r>
            <w:r>
              <w:rPr>
                <w:noProof/>
                <w:webHidden/>
              </w:rPr>
              <w:fldChar w:fldCharType="separate"/>
            </w:r>
            <w:r>
              <w:rPr>
                <w:noProof/>
                <w:webHidden/>
              </w:rPr>
              <w:t>3</w:t>
            </w:r>
            <w:r>
              <w:rPr>
                <w:noProof/>
                <w:webHidden/>
              </w:rPr>
              <w:fldChar w:fldCharType="end"/>
            </w:r>
          </w:hyperlink>
        </w:p>
        <w:p w14:paraId="67E785C2" w14:textId="7E2AC9B2" w:rsidR="00DD17B8" w:rsidRDefault="00DD17B8">
          <w:pPr>
            <w:pStyle w:val="TOC3"/>
            <w:tabs>
              <w:tab w:val="right" w:leader="dot" w:pos="9350"/>
            </w:tabs>
            <w:rPr>
              <w:noProof/>
              <w:kern w:val="2"/>
              <w:lang w:val="en-GB" w:eastAsia="en-GB"/>
              <w14:ligatures w14:val="standardContextual"/>
            </w:rPr>
          </w:pPr>
          <w:hyperlink w:anchor="_Toc227655261" w:history="1">
            <w:r w:rsidRPr="00A21D4F">
              <w:rPr>
                <w:rStyle w:val="Hyperlink"/>
                <w:rFonts w:ascii="Times New Roman" w:eastAsia="Times New Roman" w:hAnsi="Times New Roman" w:cs="Times New Roman"/>
                <w:b/>
                <w:bCs/>
                <w:noProof/>
                <w:lang w:val="en-GB" w:eastAsia="en-GB"/>
              </w:rPr>
              <w:t>3.1 Schein’s Model of Organisational Culture</w:t>
            </w:r>
            <w:r>
              <w:rPr>
                <w:noProof/>
                <w:webHidden/>
              </w:rPr>
              <w:tab/>
            </w:r>
            <w:r>
              <w:rPr>
                <w:noProof/>
                <w:webHidden/>
              </w:rPr>
              <w:fldChar w:fldCharType="begin"/>
            </w:r>
            <w:r>
              <w:rPr>
                <w:noProof/>
                <w:webHidden/>
              </w:rPr>
              <w:instrText xml:space="preserve"> PAGEREF _Toc227655261 \h </w:instrText>
            </w:r>
            <w:r>
              <w:rPr>
                <w:noProof/>
                <w:webHidden/>
              </w:rPr>
            </w:r>
            <w:r>
              <w:rPr>
                <w:noProof/>
                <w:webHidden/>
              </w:rPr>
              <w:fldChar w:fldCharType="separate"/>
            </w:r>
            <w:r>
              <w:rPr>
                <w:noProof/>
                <w:webHidden/>
              </w:rPr>
              <w:t>4</w:t>
            </w:r>
            <w:r>
              <w:rPr>
                <w:noProof/>
                <w:webHidden/>
              </w:rPr>
              <w:fldChar w:fldCharType="end"/>
            </w:r>
          </w:hyperlink>
        </w:p>
        <w:p w14:paraId="38033F44" w14:textId="7933625C" w:rsidR="00DD17B8" w:rsidRDefault="00DD17B8">
          <w:pPr>
            <w:pStyle w:val="TOC3"/>
            <w:tabs>
              <w:tab w:val="right" w:leader="dot" w:pos="9350"/>
            </w:tabs>
            <w:rPr>
              <w:noProof/>
              <w:kern w:val="2"/>
              <w:lang w:val="en-GB" w:eastAsia="en-GB"/>
              <w14:ligatures w14:val="standardContextual"/>
            </w:rPr>
          </w:pPr>
          <w:hyperlink w:anchor="_Toc227655262" w:history="1">
            <w:r w:rsidRPr="00A21D4F">
              <w:rPr>
                <w:rStyle w:val="Hyperlink"/>
                <w:rFonts w:ascii="Times New Roman" w:eastAsia="Times New Roman" w:hAnsi="Times New Roman" w:cs="Times New Roman"/>
                <w:b/>
                <w:bCs/>
                <w:noProof/>
                <w:lang w:val="en-GB" w:eastAsia="en-GB"/>
              </w:rPr>
              <w:t>3.2 Hofstede’s Cultural Dimensions</w:t>
            </w:r>
            <w:r>
              <w:rPr>
                <w:noProof/>
                <w:webHidden/>
              </w:rPr>
              <w:tab/>
            </w:r>
            <w:r>
              <w:rPr>
                <w:noProof/>
                <w:webHidden/>
              </w:rPr>
              <w:fldChar w:fldCharType="begin"/>
            </w:r>
            <w:r>
              <w:rPr>
                <w:noProof/>
                <w:webHidden/>
              </w:rPr>
              <w:instrText xml:space="preserve"> PAGEREF _Toc227655262 \h </w:instrText>
            </w:r>
            <w:r>
              <w:rPr>
                <w:noProof/>
                <w:webHidden/>
              </w:rPr>
            </w:r>
            <w:r>
              <w:rPr>
                <w:noProof/>
                <w:webHidden/>
              </w:rPr>
              <w:fldChar w:fldCharType="separate"/>
            </w:r>
            <w:r>
              <w:rPr>
                <w:noProof/>
                <w:webHidden/>
              </w:rPr>
              <w:t>4</w:t>
            </w:r>
            <w:r>
              <w:rPr>
                <w:noProof/>
                <w:webHidden/>
              </w:rPr>
              <w:fldChar w:fldCharType="end"/>
            </w:r>
          </w:hyperlink>
        </w:p>
        <w:p w14:paraId="6F9EDABC" w14:textId="2071109A" w:rsidR="00DD17B8" w:rsidRDefault="00DD17B8">
          <w:pPr>
            <w:pStyle w:val="TOC3"/>
            <w:tabs>
              <w:tab w:val="right" w:leader="dot" w:pos="9350"/>
            </w:tabs>
            <w:rPr>
              <w:noProof/>
              <w:kern w:val="2"/>
              <w:lang w:val="en-GB" w:eastAsia="en-GB"/>
              <w14:ligatures w14:val="standardContextual"/>
            </w:rPr>
          </w:pPr>
          <w:hyperlink w:anchor="_Toc227655263" w:history="1">
            <w:r w:rsidRPr="00A21D4F">
              <w:rPr>
                <w:rStyle w:val="Hyperlink"/>
                <w:rFonts w:ascii="Times New Roman" w:eastAsia="Times New Roman" w:hAnsi="Times New Roman" w:cs="Times New Roman"/>
                <w:b/>
                <w:bCs/>
                <w:noProof/>
                <w:lang w:val="en-GB" w:eastAsia="en-GB"/>
              </w:rPr>
              <w:t>3.3 Synthesis of Theoretical Perspectives</w:t>
            </w:r>
            <w:r>
              <w:rPr>
                <w:noProof/>
                <w:webHidden/>
              </w:rPr>
              <w:tab/>
            </w:r>
            <w:r>
              <w:rPr>
                <w:noProof/>
                <w:webHidden/>
              </w:rPr>
              <w:fldChar w:fldCharType="begin"/>
            </w:r>
            <w:r>
              <w:rPr>
                <w:noProof/>
                <w:webHidden/>
              </w:rPr>
              <w:instrText xml:space="preserve"> PAGEREF _Toc227655263 \h </w:instrText>
            </w:r>
            <w:r>
              <w:rPr>
                <w:noProof/>
                <w:webHidden/>
              </w:rPr>
            </w:r>
            <w:r>
              <w:rPr>
                <w:noProof/>
                <w:webHidden/>
              </w:rPr>
              <w:fldChar w:fldCharType="separate"/>
            </w:r>
            <w:r>
              <w:rPr>
                <w:noProof/>
                <w:webHidden/>
              </w:rPr>
              <w:t>5</w:t>
            </w:r>
            <w:r>
              <w:rPr>
                <w:noProof/>
                <w:webHidden/>
              </w:rPr>
              <w:fldChar w:fldCharType="end"/>
            </w:r>
          </w:hyperlink>
        </w:p>
        <w:p w14:paraId="3C3A3FA1" w14:textId="29CB69EE" w:rsidR="00DD17B8" w:rsidRDefault="00DD17B8">
          <w:pPr>
            <w:pStyle w:val="TOC2"/>
            <w:tabs>
              <w:tab w:val="right" w:leader="dot" w:pos="9350"/>
            </w:tabs>
            <w:rPr>
              <w:noProof/>
              <w:kern w:val="2"/>
              <w:lang w:val="en-GB" w:eastAsia="en-GB"/>
              <w14:ligatures w14:val="standardContextual"/>
            </w:rPr>
          </w:pPr>
          <w:hyperlink w:anchor="_Toc227655264" w:history="1">
            <w:r w:rsidRPr="00A21D4F">
              <w:rPr>
                <w:rStyle w:val="Hyperlink"/>
                <w:rFonts w:ascii="Times New Roman" w:eastAsia="Times New Roman" w:hAnsi="Times New Roman" w:cs="Times New Roman"/>
                <w:b/>
                <w:bCs/>
                <w:noProof/>
                <w:lang w:val="en-GB" w:eastAsia="en-GB"/>
              </w:rPr>
              <w:t>4. Organisational Culture and Adaptation to the External Environment</w:t>
            </w:r>
            <w:r>
              <w:rPr>
                <w:noProof/>
                <w:webHidden/>
              </w:rPr>
              <w:tab/>
            </w:r>
            <w:r>
              <w:rPr>
                <w:noProof/>
                <w:webHidden/>
              </w:rPr>
              <w:fldChar w:fldCharType="begin"/>
            </w:r>
            <w:r>
              <w:rPr>
                <w:noProof/>
                <w:webHidden/>
              </w:rPr>
              <w:instrText xml:space="preserve"> PAGEREF _Toc227655264 \h </w:instrText>
            </w:r>
            <w:r>
              <w:rPr>
                <w:noProof/>
                <w:webHidden/>
              </w:rPr>
            </w:r>
            <w:r>
              <w:rPr>
                <w:noProof/>
                <w:webHidden/>
              </w:rPr>
              <w:fldChar w:fldCharType="separate"/>
            </w:r>
            <w:r>
              <w:rPr>
                <w:noProof/>
                <w:webHidden/>
              </w:rPr>
              <w:t>5</w:t>
            </w:r>
            <w:r>
              <w:rPr>
                <w:noProof/>
                <w:webHidden/>
              </w:rPr>
              <w:fldChar w:fldCharType="end"/>
            </w:r>
          </w:hyperlink>
        </w:p>
        <w:p w14:paraId="21A7DB88" w14:textId="03DE1CE6" w:rsidR="00DD17B8" w:rsidRDefault="00DD17B8">
          <w:pPr>
            <w:pStyle w:val="TOC2"/>
            <w:tabs>
              <w:tab w:val="right" w:leader="dot" w:pos="9350"/>
            </w:tabs>
            <w:rPr>
              <w:noProof/>
              <w:kern w:val="2"/>
              <w:lang w:val="en-GB" w:eastAsia="en-GB"/>
              <w14:ligatures w14:val="standardContextual"/>
            </w:rPr>
          </w:pPr>
          <w:hyperlink w:anchor="_Toc227655265" w:history="1">
            <w:r w:rsidRPr="00A21D4F">
              <w:rPr>
                <w:rStyle w:val="Hyperlink"/>
                <w:rFonts w:ascii="Times New Roman" w:eastAsia="Times New Roman" w:hAnsi="Times New Roman" w:cs="Times New Roman"/>
                <w:b/>
                <w:bCs/>
                <w:noProof/>
                <w:lang w:val="en-GB" w:eastAsia="en-GB"/>
              </w:rPr>
              <w:t>5. Organisational Culture as an Enabler or Barrier to Effective Functioning</w:t>
            </w:r>
            <w:r>
              <w:rPr>
                <w:noProof/>
                <w:webHidden/>
              </w:rPr>
              <w:tab/>
            </w:r>
            <w:r>
              <w:rPr>
                <w:noProof/>
                <w:webHidden/>
              </w:rPr>
              <w:fldChar w:fldCharType="begin"/>
            </w:r>
            <w:r>
              <w:rPr>
                <w:noProof/>
                <w:webHidden/>
              </w:rPr>
              <w:instrText xml:space="preserve"> PAGEREF _Toc227655265 \h </w:instrText>
            </w:r>
            <w:r>
              <w:rPr>
                <w:noProof/>
                <w:webHidden/>
              </w:rPr>
            </w:r>
            <w:r>
              <w:rPr>
                <w:noProof/>
                <w:webHidden/>
              </w:rPr>
              <w:fldChar w:fldCharType="separate"/>
            </w:r>
            <w:r>
              <w:rPr>
                <w:noProof/>
                <w:webHidden/>
              </w:rPr>
              <w:t>6</w:t>
            </w:r>
            <w:r>
              <w:rPr>
                <w:noProof/>
                <w:webHidden/>
              </w:rPr>
              <w:fldChar w:fldCharType="end"/>
            </w:r>
          </w:hyperlink>
        </w:p>
        <w:p w14:paraId="3F9DB44B" w14:textId="62EAA7DA" w:rsidR="00DD17B8" w:rsidRDefault="00DD17B8">
          <w:pPr>
            <w:pStyle w:val="TOC2"/>
            <w:tabs>
              <w:tab w:val="right" w:leader="dot" w:pos="9350"/>
            </w:tabs>
            <w:rPr>
              <w:noProof/>
              <w:kern w:val="2"/>
              <w:lang w:val="en-GB" w:eastAsia="en-GB"/>
              <w14:ligatures w14:val="standardContextual"/>
            </w:rPr>
          </w:pPr>
          <w:hyperlink w:anchor="_Toc227655266" w:history="1">
            <w:r w:rsidRPr="00A21D4F">
              <w:rPr>
                <w:rStyle w:val="Hyperlink"/>
                <w:rFonts w:ascii="Times New Roman" w:eastAsia="Times New Roman" w:hAnsi="Times New Roman" w:cs="Times New Roman"/>
                <w:b/>
                <w:bCs/>
                <w:noProof/>
                <w:lang w:val="en-GB" w:eastAsia="en-GB"/>
              </w:rPr>
              <w:t>6. The Impact of Organisational Culture on Performance and Recommendations for Improvement</w:t>
            </w:r>
            <w:r>
              <w:rPr>
                <w:noProof/>
                <w:webHidden/>
              </w:rPr>
              <w:tab/>
            </w:r>
            <w:r>
              <w:rPr>
                <w:noProof/>
                <w:webHidden/>
              </w:rPr>
              <w:fldChar w:fldCharType="begin"/>
            </w:r>
            <w:r>
              <w:rPr>
                <w:noProof/>
                <w:webHidden/>
              </w:rPr>
              <w:instrText xml:space="preserve"> PAGEREF _Toc227655266 \h </w:instrText>
            </w:r>
            <w:r>
              <w:rPr>
                <w:noProof/>
                <w:webHidden/>
              </w:rPr>
            </w:r>
            <w:r>
              <w:rPr>
                <w:noProof/>
                <w:webHidden/>
              </w:rPr>
              <w:fldChar w:fldCharType="separate"/>
            </w:r>
            <w:r>
              <w:rPr>
                <w:noProof/>
                <w:webHidden/>
              </w:rPr>
              <w:t>7</w:t>
            </w:r>
            <w:r>
              <w:rPr>
                <w:noProof/>
                <w:webHidden/>
              </w:rPr>
              <w:fldChar w:fldCharType="end"/>
            </w:r>
          </w:hyperlink>
        </w:p>
        <w:p w14:paraId="201A6A74" w14:textId="41D9E185" w:rsidR="00DD17B8" w:rsidRDefault="00DD17B8">
          <w:pPr>
            <w:pStyle w:val="TOC2"/>
            <w:tabs>
              <w:tab w:val="right" w:leader="dot" w:pos="9350"/>
            </w:tabs>
            <w:rPr>
              <w:noProof/>
              <w:kern w:val="2"/>
              <w:lang w:val="en-GB" w:eastAsia="en-GB"/>
              <w14:ligatures w14:val="standardContextual"/>
            </w:rPr>
          </w:pPr>
          <w:hyperlink w:anchor="_Toc227655267" w:history="1">
            <w:r w:rsidRPr="00A21D4F">
              <w:rPr>
                <w:rStyle w:val="Hyperlink"/>
                <w:rFonts w:ascii="Times New Roman" w:eastAsia="Times New Roman" w:hAnsi="Times New Roman" w:cs="Times New Roman"/>
                <w:b/>
                <w:bCs/>
                <w:noProof/>
                <w:lang w:val="en-GB" w:eastAsia="en-GB"/>
              </w:rPr>
              <w:t>7. Conclusion</w:t>
            </w:r>
            <w:r>
              <w:rPr>
                <w:noProof/>
                <w:webHidden/>
              </w:rPr>
              <w:tab/>
            </w:r>
            <w:r>
              <w:rPr>
                <w:noProof/>
                <w:webHidden/>
              </w:rPr>
              <w:fldChar w:fldCharType="begin"/>
            </w:r>
            <w:r>
              <w:rPr>
                <w:noProof/>
                <w:webHidden/>
              </w:rPr>
              <w:instrText xml:space="preserve"> PAGEREF _Toc227655267 \h </w:instrText>
            </w:r>
            <w:r>
              <w:rPr>
                <w:noProof/>
                <w:webHidden/>
              </w:rPr>
            </w:r>
            <w:r>
              <w:rPr>
                <w:noProof/>
                <w:webHidden/>
              </w:rPr>
              <w:fldChar w:fldCharType="separate"/>
            </w:r>
            <w:r>
              <w:rPr>
                <w:noProof/>
                <w:webHidden/>
              </w:rPr>
              <w:t>8</w:t>
            </w:r>
            <w:r>
              <w:rPr>
                <w:noProof/>
                <w:webHidden/>
              </w:rPr>
              <w:fldChar w:fldCharType="end"/>
            </w:r>
          </w:hyperlink>
        </w:p>
        <w:p w14:paraId="3072A960" w14:textId="43894DCE" w:rsidR="00DD17B8" w:rsidRDefault="00DD17B8">
          <w:pPr>
            <w:pStyle w:val="TOC2"/>
            <w:tabs>
              <w:tab w:val="right" w:leader="dot" w:pos="9350"/>
            </w:tabs>
            <w:rPr>
              <w:noProof/>
              <w:kern w:val="2"/>
              <w:lang w:val="en-GB" w:eastAsia="en-GB"/>
              <w14:ligatures w14:val="standardContextual"/>
            </w:rPr>
          </w:pPr>
          <w:hyperlink w:anchor="_Toc227655268" w:history="1">
            <w:r w:rsidRPr="00A21D4F">
              <w:rPr>
                <w:rStyle w:val="Hyperlink"/>
                <w:rFonts w:ascii="Times New Roman" w:eastAsia="Times New Roman" w:hAnsi="Times New Roman" w:cs="Times New Roman"/>
                <w:b/>
                <w:bCs/>
                <w:noProof/>
                <w:lang w:val="en-GB" w:eastAsia="en-GB"/>
              </w:rPr>
              <w:t>Reference List</w:t>
            </w:r>
            <w:r>
              <w:rPr>
                <w:noProof/>
                <w:webHidden/>
              </w:rPr>
              <w:tab/>
            </w:r>
            <w:r>
              <w:rPr>
                <w:noProof/>
                <w:webHidden/>
              </w:rPr>
              <w:fldChar w:fldCharType="begin"/>
            </w:r>
            <w:r>
              <w:rPr>
                <w:noProof/>
                <w:webHidden/>
              </w:rPr>
              <w:instrText xml:space="preserve"> PAGEREF _Toc227655268 \h </w:instrText>
            </w:r>
            <w:r>
              <w:rPr>
                <w:noProof/>
                <w:webHidden/>
              </w:rPr>
            </w:r>
            <w:r>
              <w:rPr>
                <w:noProof/>
                <w:webHidden/>
              </w:rPr>
              <w:fldChar w:fldCharType="separate"/>
            </w:r>
            <w:r>
              <w:rPr>
                <w:noProof/>
                <w:webHidden/>
              </w:rPr>
              <w:t>9</w:t>
            </w:r>
            <w:r>
              <w:rPr>
                <w:noProof/>
                <w:webHidden/>
              </w:rPr>
              <w:fldChar w:fldCharType="end"/>
            </w:r>
          </w:hyperlink>
        </w:p>
        <w:p w14:paraId="69349EAB" w14:textId="057AACE2" w:rsidR="00DD17B8" w:rsidRDefault="00DD17B8">
          <w:r>
            <w:rPr>
              <w:b/>
              <w:bCs/>
              <w:noProof/>
            </w:rPr>
            <w:fldChar w:fldCharType="end"/>
          </w:r>
        </w:p>
      </w:sdtContent>
    </w:sdt>
    <w:p w14:paraId="1486D370" w14:textId="30A8FADE" w:rsidR="4EFCE8A2" w:rsidRDefault="4EFCE8A2">
      <w:r>
        <w:br w:type="page"/>
      </w:r>
    </w:p>
    <w:p w14:paraId="421A7F4A" w14:textId="3BFD3CA5" w:rsidR="30B644CC" w:rsidRDefault="30B644CC" w:rsidP="4EFCE8A2">
      <w:pPr>
        <w:rPr>
          <w:sz w:val="28"/>
          <w:szCs w:val="28"/>
        </w:rPr>
      </w:pPr>
    </w:p>
    <w:p w14:paraId="639B703E" w14:textId="77777777" w:rsidR="00100205" w:rsidRPr="00100205" w:rsidRDefault="00100205" w:rsidP="00100205">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bookmarkStart w:id="0" w:name="_Toc227655258"/>
      <w:r w:rsidRPr="00100205">
        <w:rPr>
          <w:rFonts w:ascii="Times New Roman" w:eastAsia="Times New Roman" w:hAnsi="Times New Roman" w:cs="Times New Roman"/>
          <w:b/>
          <w:bCs/>
          <w:sz w:val="36"/>
          <w:szCs w:val="36"/>
          <w:lang w:val="en-GB" w:eastAsia="en-GB"/>
        </w:rPr>
        <w:t>1. Introduction</w:t>
      </w:r>
      <w:bookmarkEnd w:id="0"/>
    </w:p>
    <w:p w14:paraId="5D2DEA2A" w14:textId="5231B695" w:rsidR="00100205" w:rsidRPr="00100205" w:rsidRDefault="00100205" w:rsidP="00100205">
      <w:pPr>
        <w:spacing w:before="100" w:beforeAutospacing="1" w:after="100" w:afterAutospacing="1" w:line="240" w:lineRule="auto"/>
        <w:rPr>
          <w:rFonts w:ascii="Arial" w:eastAsia="Times New Roman" w:hAnsi="Arial" w:cs="Arial"/>
          <w:sz w:val="22"/>
          <w:szCs w:val="22"/>
          <w:lang w:val="en-GB" w:eastAsia="en-GB"/>
        </w:rPr>
      </w:pPr>
      <w:r w:rsidRPr="00100205">
        <w:rPr>
          <w:rFonts w:ascii="Arial" w:eastAsia="Times New Roman" w:hAnsi="Arial" w:cs="Arial"/>
          <w:sz w:val="22"/>
          <w:szCs w:val="22"/>
          <w:lang w:val="en-GB" w:eastAsia="en-GB"/>
        </w:rPr>
        <w:t xml:space="preserve">Organisational culture </w:t>
      </w:r>
      <w:r w:rsidR="00792577">
        <w:rPr>
          <w:rFonts w:ascii="Arial" w:eastAsia="Times New Roman" w:hAnsi="Arial" w:cs="Arial"/>
          <w:sz w:val="22"/>
          <w:szCs w:val="22"/>
          <w:lang w:val="en-GB" w:eastAsia="en-GB"/>
        </w:rPr>
        <w:t xml:space="preserve">plays </w:t>
      </w:r>
      <w:r w:rsidR="006A4815">
        <w:rPr>
          <w:rFonts w:ascii="Arial" w:eastAsia="Times New Roman" w:hAnsi="Arial" w:cs="Arial"/>
          <w:sz w:val="22"/>
          <w:szCs w:val="22"/>
          <w:lang w:val="en-GB" w:eastAsia="en-GB"/>
        </w:rPr>
        <w:t>a central role in</w:t>
      </w:r>
      <w:r w:rsidRPr="00100205">
        <w:rPr>
          <w:rFonts w:ascii="Arial" w:eastAsia="Times New Roman" w:hAnsi="Arial" w:cs="Arial"/>
          <w:sz w:val="22"/>
          <w:szCs w:val="22"/>
          <w:lang w:val="en-GB" w:eastAsia="en-GB"/>
        </w:rPr>
        <w:t xml:space="preserve"> how organisations function, influencing behaviour, decision-making processes, and overall performance. Mullins and Christy (2016) define organisational culture as the shared values, beliefs, and assumptions that shape “how things are done around here,” highlighting its pervasive impact on organisational processes such as structure, motivation, and control. In an increasingly globalised business environment, the management of organisational culture has become more complex, requiring companies to integrate diverse workforces while maintaining a cohesive identity.</w:t>
      </w:r>
    </w:p>
    <w:p w14:paraId="457D3FD3" w14:textId="77777777" w:rsidR="00100205" w:rsidRPr="00100205" w:rsidRDefault="00100205" w:rsidP="00100205">
      <w:pPr>
        <w:spacing w:before="100" w:beforeAutospacing="1" w:after="100" w:afterAutospacing="1" w:line="240" w:lineRule="auto"/>
        <w:rPr>
          <w:rFonts w:ascii="Arial" w:eastAsia="Times New Roman" w:hAnsi="Arial" w:cs="Arial"/>
          <w:sz w:val="22"/>
          <w:szCs w:val="22"/>
          <w:lang w:val="en-GB" w:eastAsia="en-GB"/>
        </w:rPr>
      </w:pPr>
      <w:r w:rsidRPr="00100205">
        <w:rPr>
          <w:rFonts w:ascii="Arial" w:eastAsia="Times New Roman" w:hAnsi="Arial" w:cs="Arial"/>
          <w:sz w:val="22"/>
          <w:szCs w:val="22"/>
          <w:lang w:val="en-GB" w:eastAsia="en-GB"/>
        </w:rPr>
        <w:t>This report critically examines the organisational culture of Toyota Motor Corporation, a globally renowned automotive manufacturer known for its distinctive management philosophy and operational excellence. Toyota provides a valuable case study due to its deeply embedded cultural principles, particularly those associated with the Toyota Production System (TPS), which emphasises continuous improvement (Kaizen) and respect for people (Liker, 2004). These principles have not only shaped Toyota’s internal operations but have also influenced global manufacturing practices.</w:t>
      </w:r>
    </w:p>
    <w:p w14:paraId="71065113" w14:textId="5FCE351B" w:rsidR="00100205" w:rsidRPr="00100205" w:rsidRDefault="00100205" w:rsidP="00100205">
      <w:pPr>
        <w:spacing w:before="100" w:beforeAutospacing="1" w:after="100" w:afterAutospacing="1" w:line="240" w:lineRule="auto"/>
        <w:rPr>
          <w:rFonts w:ascii="Arial" w:eastAsia="Times New Roman" w:hAnsi="Arial" w:cs="Arial"/>
          <w:sz w:val="22"/>
          <w:szCs w:val="22"/>
          <w:lang w:val="en-GB" w:eastAsia="en-GB"/>
        </w:rPr>
      </w:pPr>
      <w:r w:rsidRPr="00100205">
        <w:rPr>
          <w:rFonts w:ascii="Arial" w:eastAsia="Times New Roman" w:hAnsi="Arial" w:cs="Arial"/>
          <w:sz w:val="22"/>
          <w:szCs w:val="22"/>
          <w:lang w:val="en-GB" w:eastAsia="en-GB"/>
        </w:rPr>
        <w:t xml:space="preserve">The purpose of this report is to analyse how Toyota’s organisational culture influences its structure and decision-making processes, using established theoretical frameworks such as Schein’s Model of Organisational Culture, Handy’s Cultural Types, and Hofstede’s Cultural Dimensions. Furthermore, the report evaluates how Toyota leverages its culture to adapt to external environmental </w:t>
      </w:r>
      <w:r w:rsidR="009D610E" w:rsidRPr="00100205">
        <w:rPr>
          <w:rFonts w:ascii="Arial" w:eastAsia="Times New Roman" w:hAnsi="Arial" w:cs="Arial"/>
          <w:sz w:val="22"/>
          <w:szCs w:val="22"/>
          <w:lang w:val="en-GB" w:eastAsia="en-GB"/>
        </w:rPr>
        <w:t>pressures and</w:t>
      </w:r>
      <w:r w:rsidRPr="00100205">
        <w:rPr>
          <w:rFonts w:ascii="Arial" w:eastAsia="Times New Roman" w:hAnsi="Arial" w:cs="Arial"/>
          <w:sz w:val="22"/>
          <w:szCs w:val="22"/>
          <w:lang w:val="en-GB" w:eastAsia="en-GB"/>
        </w:rPr>
        <w:t xml:space="preserve"> assesses whether its culture acts as an enabler or barrier to effective organisational functioning. Finally, the report examines the impact of culture on Toyota’s overall performance and proposes evidence-based recommendations for improvement.</w:t>
      </w:r>
    </w:p>
    <w:p w14:paraId="1A61346D" w14:textId="77777777" w:rsidR="00100205" w:rsidRPr="009D610E" w:rsidRDefault="00100205" w:rsidP="00100205">
      <w:pPr>
        <w:spacing w:before="100" w:beforeAutospacing="1" w:after="100" w:afterAutospacing="1" w:line="240" w:lineRule="auto"/>
        <w:rPr>
          <w:rFonts w:ascii="Arial" w:eastAsia="Times New Roman" w:hAnsi="Arial" w:cs="Arial"/>
          <w:sz w:val="22"/>
          <w:szCs w:val="22"/>
          <w:lang w:val="en-GB" w:eastAsia="en-GB"/>
        </w:rPr>
      </w:pPr>
      <w:r w:rsidRPr="00100205">
        <w:rPr>
          <w:rFonts w:ascii="Arial" w:eastAsia="Times New Roman" w:hAnsi="Arial" w:cs="Arial"/>
          <w:sz w:val="22"/>
          <w:szCs w:val="22"/>
          <w:lang w:val="en-GB" w:eastAsia="en-GB"/>
        </w:rPr>
        <w:t>By integrating academic theory with real-world organisational practice, this report aims to provide a critical understanding of the role of organisational culture in shaping the success and challenges of multinational organisations such as Toyota.</w:t>
      </w:r>
    </w:p>
    <w:p w14:paraId="5FD79E9F" w14:textId="77777777" w:rsidR="00C92E50" w:rsidRDefault="00C92E50" w:rsidP="00100205">
      <w:pPr>
        <w:spacing w:before="100" w:beforeAutospacing="1" w:after="100" w:afterAutospacing="1" w:line="240" w:lineRule="auto"/>
        <w:rPr>
          <w:rFonts w:ascii="Times New Roman" w:eastAsia="Times New Roman" w:hAnsi="Times New Roman" w:cs="Times New Roman"/>
          <w:lang w:val="en-GB" w:eastAsia="en-GB"/>
        </w:rPr>
      </w:pPr>
    </w:p>
    <w:p w14:paraId="74FF41C2" w14:textId="77777777" w:rsidR="00C92E50" w:rsidRPr="00C92E50" w:rsidRDefault="00C92E50" w:rsidP="00C92E50">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bookmarkStart w:id="1" w:name="_Toc227655259"/>
      <w:r w:rsidRPr="00C92E50">
        <w:rPr>
          <w:rFonts w:ascii="Times New Roman" w:eastAsia="Times New Roman" w:hAnsi="Times New Roman" w:cs="Times New Roman"/>
          <w:b/>
          <w:bCs/>
          <w:sz w:val="36"/>
          <w:szCs w:val="36"/>
          <w:lang w:val="en-GB" w:eastAsia="en-GB"/>
        </w:rPr>
        <w:t>2. The Influence of Organisational Culture on Structure and Decision-Making</w:t>
      </w:r>
      <w:bookmarkEnd w:id="1"/>
    </w:p>
    <w:p w14:paraId="7F8A9D18" w14:textId="77777777" w:rsidR="00C92E50" w:rsidRPr="00C92E50" w:rsidRDefault="00C92E50" w:rsidP="00C92E50">
      <w:pPr>
        <w:spacing w:before="100" w:beforeAutospacing="1" w:after="100" w:afterAutospacing="1" w:line="240" w:lineRule="auto"/>
        <w:rPr>
          <w:rFonts w:ascii="Arial" w:eastAsia="Times New Roman" w:hAnsi="Arial" w:cs="Arial"/>
          <w:sz w:val="22"/>
          <w:szCs w:val="22"/>
          <w:lang w:val="en-GB" w:eastAsia="en-GB"/>
        </w:rPr>
      </w:pPr>
      <w:r w:rsidRPr="00C92E50">
        <w:rPr>
          <w:rFonts w:ascii="Arial" w:eastAsia="Times New Roman" w:hAnsi="Arial" w:cs="Arial"/>
          <w:sz w:val="22"/>
          <w:szCs w:val="22"/>
          <w:lang w:val="en-GB" w:eastAsia="en-GB"/>
        </w:rPr>
        <w:t>Organisational culture plays a central role in shaping both the structural design of an organisation and its approach to decision-making. In the case of Toyota Motor Corporation, its culture—deeply rooted in the principles of the Toyota Production System (TPS)—has significantly influenced the development of a structured yet flexible organisational framework, as well as a distinctive consensus-based decision-making process.</w:t>
      </w:r>
    </w:p>
    <w:p w14:paraId="03B99809" w14:textId="77777777" w:rsidR="00C92E50" w:rsidRPr="00C92E50" w:rsidRDefault="00C92E50" w:rsidP="00C92E50">
      <w:pPr>
        <w:spacing w:before="100" w:beforeAutospacing="1" w:after="100" w:afterAutospacing="1" w:line="240" w:lineRule="auto"/>
        <w:rPr>
          <w:rFonts w:ascii="Arial" w:eastAsia="Times New Roman" w:hAnsi="Arial" w:cs="Arial"/>
          <w:sz w:val="22"/>
          <w:szCs w:val="22"/>
          <w:lang w:val="en-GB" w:eastAsia="en-GB"/>
        </w:rPr>
      </w:pPr>
      <w:r w:rsidRPr="00C92E50">
        <w:rPr>
          <w:rFonts w:ascii="Arial" w:eastAsia="Times New Roman" w:hAnsi="Arial" w:cs="Arial"/>
          <w:sz w:val="22"/>
          <w:szCs w:val="22"/>
          <w:lang w:val="en-GB" w:eastAsia="en-GB"/>
        </w:rPr>
        <w:t xml:space="preserve">Toyota’s organisational structure reflects a combination of hierarchical control and decentralised responsibility. While the company maintains clear lines of authority typical of a traditional hierarchical organisation, it simultaneously empowers employees at various levels to contribute </w:t>
      </w:r>
      <w:r w:rsidRPr="00C92E50">
        <w:rPr>
          <w:rFonts w:ascii="Arial" w:eastAsia="Times New Roman" w:hAnsi="Arial" w:cs="Arial"/>
          <w:sz w:val="22"/>
          <w:szCs w:val="22"/>
          <w:lang w:val="en-GB" w:eastAsia="en-GB"/>
        </w:rPr>
        <w:lastRenderedPageBreak/>
        <w:t xml:space="preserve">to problem-solving and continuous improvement initiatives. This hybrid structure is largely driven by Toyota’s cultural emphasis on </w:t>
      </w:r>
      <w:r w:rsidRPr="00C92E50">
        <w:rPr>
          <w:rFonts w:ascii="Arial" w:eastAsia="Times New Roman" w:hAnsi="Arial" w:cs="Arial"/>
          <w:i/>
          <w:iCs/>
          <w:sz w:val="22"/>
          <w:szCs w:val="22"/>
          <w:lang w:val="en-GB" w:eastAsia="en-GB"/>
        </w:rPr>
        <w:t>Kaizen</w:t>
      </w:r>
      <w:r w:rsidRPr="00C92E50">
        <w:rPr>
          <w:rFonts w:ascii="Arial" w:eastAsia="Times New Roman" w:hAnsi="Arial" w:cs="Arial"/>
          <w:sz w:val="22"/>
          <w:szCs w:val="22"/>
          <w:lang w:val="en-GB" w:eastAsia="en-GB"/>
        </w:rPr>
        <w:t xml:space="preserve"> (continuous improvement) and respect for people, which encourages active employee involvement in operational processes (Liker, 2004). As a result, work is often organised around teams, particularly within manufacturing environments, where employees are expected to identify inefficiencies and suggest improvements.</w:t>
      </w:r>
    </w:p>
    <w:p w14:paraId="020A3D8E" w14:textId="77777777" w:rsidR="00C92E50" w:rsidRPr="00C92E50" w:rsidRDefault="00C92E50" w:rsidP="00C92E50">
      <w:pPr>
        <w:spacing w:before="100" w:beforeAutospacing="1" w:after="100" w:afterAutospacing="1" w:line="240" w:lineRule="auto"/>
        <w:rPr>
          <w:rFonts w:ascii="Arial" w:eastAsia="Times New Roman" w:hAnsi="Arial" w:cs="Arial"/>
          <w:sz w:val="22"/>
          <w:szCs w:val="22"/>
          <w:lang w:val="en-GB" w:eastAsia="en-GB"/>
        </w:rPr>
      </w:pPr>
      <w:r w:rsidRPr="00C92E50">
        <w:rPr>
          <w:rFonts w:ascii="Arial" w:eastAsia="Times New Roman" w:hAnsi="Arial" w:cs="Arial"/>
          <w:sz w:val="22"/>
          <w:szCs w:val="22"/>
          <w:lang w:val="en-GB" w:eastAsia="en-GB"/>
        </w:rPr>
        <w:t>Critically, this structure enables a high degree of operational efficiency and quality control. The standardisation of processes ensures consistency across global operations, while team-based working enhances collaboration and accountability. However, the structured nature of Toyota’s organisation can also limit flexibility in certain contexts, particularly when rapid decision-making is required in response to external pressures. This highlights a key tension between control and adaptability within culturally driven organisational structures.</w:t>
      </w:r>
    </w:p>
    <w:p w14:paraId="5DE83179" w14:textId="77777777" w:rsidR="00C92E50" w:rsidRPr="00C92E50" w:rsidRDefault="00C92E50" w:rsidP="00C92E50">
      <w:pPr>
        <w:spacing w:before="100" w:beforeAutospacing="1" w:after="100" w:afterAutospacing="1" w:line="240" w:lineRule="auto"/>
        <w:rPr>
          <w:rFonts w:ascii="Arial" w:eastAsia="Times New Roman" w:hAnsi="Arial" w:cs="Arial"/>
          <w:sz w:val="22"/>
          <w:szCs w:val="22"/>
          <w:lang w:val="en-GB" w:eastAsia="en-GB"/>
        </w:rPr>
      </w:pPr>
      <w:r w:rsidRPr="00C92E50">
        <w:rPr>
          <w:rFonts w:ascii="Arial" w:eastAsia="Times New Roman" w:hAnsi="Arial" w:cs="Arial"/>
          <w:sz w:val="22"/>
          <w:szCs w:val="22"/>
          <w:lang w:val="en-GB" w:eastAsia="en-GB"/>
        </w:rPr>
        <w:t>In terms of decision-making, Toyota is well known for its use of a consensus-based approach, often referred to as the “Ringi” system. This process involves the circulation of proposals across multiple levels of the organisation for feedback and approval before final decisions are made. Such an approach reflects the organisation’s collectivist cultural orientation, which prioritises group harmony and shared responsibility over individual authority (Hofstede, 2001). From a critical perspective, this method enhances the quality of decisions by incorporating diverse viewpoints and reducing the likelihood of errors.</w:t>
      </w:r>
    </w:p>
    <w:p w14:paraId="2FBED457" w14:textId="77777777" w:rsidR="00C92E50" w:rsidRPr="00C92E50" w:rsidRDefault="00C92E50" w:rsidP="00C92E50">
      <w:pPr>
        <w:spacing w:before="100" w:beforeAutospacing="1" w:after="100" w:afterAutospacing="1" w:line="240" w:lineRule="auto"/>
        <w:rPr>
          <w:rFonts w:ascii="Arial" w:eastAsia="Times New Roman" w:hAnsi="Arial" w:cs="Arial"/>
          <w:sz w:val="22"/>
          <w:szCs w:val="22"/>
          <w:lang w:val="en-GB" w:eastAsia="en-GB"/>
        </w:rPr>
      </w:pPr>
      <w:r w:rsidRPr="00C92E50">
        <w:rPr>
          <w:rFonts w:ascii="Arial" w:eastAsia="Times New Roman" w:hAnsi="Arial" w:cs="Arial"/>
          <w:sz w:val="22"/>
          <w:szCs w:val="22"/>
          <w:lang w:val="en-GB" w:eastAsia="en-GB"/>
        </w:rPr>
        <w:t>Nevertheless, the consensus-driven approach can also result in slower decision-making processes. During periods of crisis or rapid environmental change, such as the global vehicle recall issues faced by Toyota between 2009 and 2010, the organisation was criticised for delayed responses, which some analysts attributed to its internal decision-making culture (Cole, 2011). This suggests that while Toyota’s culture promotes thoroughness and inclusivity, it may hinder organisational agility in time-sensitive situations.</w:t>
      </w:r>
    </w:p>
    <w:p w14:paraId="46E4CEDE" w14:textId="77777777" w:rsidR="00C92E50" w:rsidRPr="00C92E50" w:rsidRDefault="00C92E50" w:rsidP="00C92E50">
      <w:pPr>
        <w:spacing w:before="100" w:beforeAutospacing="1" w:after="100" w:afterAutospacing="1" w:line="240" w:lineRule="auto"/>
        <w:rPr>
          <w:rFonts w:ascii="Arial" w:eastAsia="Times New Roman" w:hAnsi="Arial" w:cs="Arial"/>
          <w:sz w:val="22"/>
          <w:szCs w:val="22"/>
          <w:lang w:val="en-GB" w:eastAsia="en-GB"/>
        </w:rPr>
      </w:pPr>
      <w:r w:rsidRPr="00C92E50">
        <w:rPr>
          <w:rFonts w:ascii="Arial" w:eastAsia="Times New Roman" w:hAnsi="Arial" w:cs="Arial"/>
          <w:sz w:val="22"/>
          <w:szCs w:val="22"/>
          <w:lang w:val="en-GB" w:eastAsia="en-GB"/>
        </w:rPr>
        <w:t>Furthermore, Toyota’s emphasis on respect for hierarchy, influenced by its Japanese cultural roots, may discourage lower-level employees from challenging senior management decisions. Although the company promotes open communication in principle, cultural norms relating to authority and respect can create implicit barriers to upward feedback. This highlights the complexity of organisational culture, where espoused values may not always fully align with actual practices.</w:t>
      </w:r>
    </w:p>
    <w:p w14:paraId="52E0FC81" w14:textId="77777777" w:rsidR="00C92E50" w:rsidRPr="00C92E50" w:rsidRDefault="00C92E50" w:rsidP="00C92E50">
      <w:pPr>
        <w:spacing w:before="100" w:beforeAutospacing="1" w:after="100" w:afterAutospacing="1" w:line="240" w:lineRule="auto"/>
        <w:rPr>
          <w:rFonts w:ascii="Arial" w:eastAsia="Times New Roman" w:hAnsi="Arial" w:cs="Arial"/>
          <w:sz w:val="22"/>
          <w:szCs w:val="22"/>
          <w:lang w:val="en-GB" w:eastAsia="en-GB"/>
        </w:rPr>
      </w:pPr>
      <w:r w:rsidRPr="00C92E50">
        <w:rPr>
          <w:rFonts w:ascii="Arial" w:eastAsia="Times New Roman" w:hAnsi="Arial" w:cs="Arial"/>
          <w:sz w:val="22"/>
          <w:szCs w:val="22"/>
          <w:lang w:val="en-GB" w:eastAsia="en-GB"/>
        </w:rPr>
        <w:t>Overall, Toyota’s organisational culture has played a significant role in shaping a structure that balances standardisation with employee involvement, as well as a decision-making process that prioritises consensus and long-term thinking. While these cultural characteristics have contributed to the company’s global success, they also present limitations in terms of responsiveness and adaptability, particularly in an increasingly dynamic and competitive business environment.</w:t>
      </w:r>
    </w:p>
    <w:p w14:paraId="26003A1C" w14:textId="77777777" w:rsidR="00B97E26" w:rsidRPr="00B97E26" w:rsidRDefault="00B97E26" w:rsidP="00B97E26">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bookmarkStart w:id="2" w:name="_Toc227655260"/>
      <w:r w:rsidRPr="00B97E26">
        <w:rPr>
          <w:rFonts w:ascii="Times New Roman" w:eastAsia="Times New Roman" w:hAnsi="Times New Roman" w:cs="Times New Roman"/>
          <w:b/>
          <w:bCs/>
          <w:sz w:val="36"/>
          <w:szCs w:val="36"/>
          <w:lang w:val="en-GB" w:eastAsia="en-GB"/>
        </w:rPr>
        <w:t>3. Theoretical Analysis of Toyota’s Organisational Culture</w:t>
      </w:r>
      <w:bookmarkEnd w:id="2"/>
    </w:p>
    <w:p w14:paraId="71C21B50" w14:textId="77777777" w:rsidR="00B97E26" w:rsidRPr="00B97E26" w:rsidRDefault="00B97E26" w:rsidP="00B97E26">
      <w:pPr>
        <w:spacing w:before="100" w:beforeAutospacing="1" w:after="100" w:afterAutospacing="1" w:line="240" w:lineRule="auto"/>
        <w:rPr>
          <w:rFonts w:ascii="Times New Roman" w:eastAsia="Times New Roman" w:hAnsi="Times New Roman" w:cs="Times New Roman"/>
          <w:lang w:val="en-GB" w:eastAsia="en-GB"/>
        </w:rPr>
      </w:pPr>
      <w:r w:rsidRPr="00B97E26">
        <w:rPr>
          <w:rFonts w:ascii="Times New Roman" w:eastAsia="Times New Roman" w:hAnsi="Times New Roman" w:cs="Times New Roman"/>
          <w:lang w:val="en-GB" w:eastAsia="en-GB"/>
        </w:rPr>
        <w:t>Understanding organisational culture requires the use of theoretical frameworks that explain both visible practices and underlying assumptions. In the case of Toyota Motor Corporation, its culture can be effectively analysed using Schein’s Model of Organisational Culture and Hofstede’s Cultural Dimensions. Together, these frameworks provide a multi-layered understanding of how culture operates within the organisation.</w:t>
      </w:r>
    </w:p>
    <w:p w14:paraId="3E9EAF6B" w14:textId="77777777" w:rsidR="00B97E26" w:rsidRPr="00B97E26" w:rsidRDefault="00B97E26" w:rsidP="00B97E26">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bookmarkStart w:id="3" w:name="_Toc227655261"/>
      <w:r w:rsidRPr="00B97E26">
        <w:rPr>
          <w:rFonts w:ascii="Times New Roman" w:eastAsia="Times New Roman" w:hAnsi="Times New Roman" w:cs="Times New Roman"/>
          <w:b/>
          <w:bCs/>
          <w:sz w:val="27"/>
          <w:szCs w:val="27"/>
          <w:lang w:val="en-GB" w:eastAsia="en-GB"/>
        </w:rPr>
        <w:lastRenderedPageBreak/>
        <w:t>3.1 Schein’s Model of Organisational Culture</w:t>
      </w:r>
      <w:bookmarkEnd w:id="3"/>
    </w:p>
    <w:p w14:paraId="68BC7050" w14:textId="77777777" w:rsidR="00B97E26" w:rsidRPr="00B97E26" w:rsidRDefault="00B97E26" w:rsidP="00B97E26">
      <w:pPr>
        <w:spacing w:before="100" w:beforeAutospacing="1" w:after="100" w:afterAutospacing="1" w:line="240" w:lineRule="auto"/>
        <w:rPr>
          <w:rFonts w:ascii="Times New Roman" w:eastAsia="Times New Roman" w:hAnsi="Times New Roman" w:cs="Times New Roman"/>
          <w:lang w:val="en-GB" w:eastAsia="en-GB"/>
        </w:rPr>
      </w:pPr>
      <w:r w:rsidRPr="00B97E26">
        <w:rPr>
          <w:rFonts w:ascii="Times New Roman" w:eastAsia="Times New Roman" w:hAnsi="Times New Roman" w:cs="Times New Roman"/>
          <w:lang w:val="en-GB" w:eastAsia="en-GB"/>
        </w:rPr>
        <w:t>Schein (2010) conceptualises organisational culture as comprising three interconnected levels: artifacts, espoused values, and basic underlying assumptions. This model is particularly useful in analysing Toyota, as it highlights the depth and consistency of its culture.</w:t>
      </w:r>
    </w:p>
    <w:p w14:paraId="202DA21A" w14:textId="77777777" w:rsidR="00B97E26" w:rsidRPr="00B97E26" w:rsidRDefault="00B97E26" w:rsidP="00B97E26">
      <w:pPr>
        <w:spacing w:before="100" w:beforeAutospacing="1" w:after="100" w:afterAutospacing="1" w:line="240" w:lineRule="auto"/>
        <w:rPr>
          <w:rFonts w:ascii="Times New Roman" w:eastAsia="Times New Roman" w:hAnsi="Times New Roman" w:cs="Times New Roman"/>
          <w:lang w:val="en-GB" w:eastAsia="en-GB"/>
        </w:rPr>
      </w:pPr>
      <w:r w:rsidRPr="00B97E26">
        <w:rPr>
          <w:rFonts w:ascii="Times New Roman" w:eastAsia="Times New Roman" w:hAnsi="Times New Roman" w:cs="Times New Roman"/>
          <w:lang w:val="en-GB" w:eastAsia="en-GB"/>
        </w:rPr>
        <w:t>At the most visible level, artifacts include Toyota’s standardised production processes, visual management systems, and continuous improvement tools such as quality circles and performance boards. These elements reflect a structured and efficiency-driven working environment.</w:t>
      </w:r>
    </w:p>
    <w:p w14:paraId="11B08EA6" w14:textId="77777777" w:rsidR="00B97E26" w:rsidRPr="00B97E26" w:rsidRDefault="00B97E26" w:rsidP="00B97E26">
      <w:pPr>
        <w:spacing w:before="100" w:beforeAutospacing="1" w:after="100" w:afterAutospacing="1" w:line="240" w:lineRule="auto"/>
        <w:rPr>
          <w:rFonts w:ascii="Times New Roman" w:eastAsia="Times New Roman" w:hAnsi="Times New Roman" w:cs="Times New Roman"/>
          <w:lang w:val="en-GB" w:eastAsia="en-GB"/>
        </w:rPr>
      </w:pPr>
      <w:r w:rsidRPr="00B97E26">
        <w:rPr>
          <w:rFonts w:ascii="Times New Roman" w:eastAsia="Times New Roman" w:hAnsi="Times New Roman" w:cs="Times New Roman"/>
          <w:lang w:val="en-GB" w:eastAsia="en-GB"/>
        </w:rPr>
        <w:t>At the level of espoused values, Toyota promotes principles such as continuous improvement (</w:t>
      </w:r>
      <w:r w:rsidRPr="00B97E26">
        <w:rPr>
          <w:rFonts w:ascii="Times New Roman" w:eastAsia="Times New Roman" w:hAnsi="Times New Roman" w:cs="Times New Roman"/>
          <w:i/>
          <w:iCs/>
          <w:lang w:val="en-GB" w:eastAsia="en-GB"/>
        </w:rPr>
        <w:t>Kaizen</w:t>
      </w:r>
      <w:r w:rsidRPr="00B97E26">
        <w:rPr>
          <w:rFonts w:ascii="Times New Roman" w:eastAsia="Times New Roman" w:hAnsi="Times New Roman" w:cs="Times New Roman"/>
          <w:lang w:val="en-GB" w:eastAsia="en-GB"/>
        </w:rPr>
        <w:t>), respect for people, and long-term thinking. These values are reinforced through corporate philosophies and training programmes, shaping expected behaviours across the organisation (Liker, 2004).</w:t>
      </w:r>
    </w:p>
    <w:p w14:paraId="3D5D298E" w14:textId="77777777" w:rsidR="00B97E26" w:rsidRPr="00B97E26" w:rsidRDefault="00B97E26" w:rsidP="00B97E26">
      <w:pPr>
        <w:spacing w:before="100" w:beforeAutospacing="1" w:after="100" w:afterAutospacing="1" w:line="240" w:lineRule="auto"/>
        <w:rPr>
          <w:rFonts w:ascii="Times New Roman" w:eastAsia="Times New Roman" w:hAnsi="Times New Roman" w:cs="Times New Roman"/>
          <w:lang w:val="en-GB" w:eastAsia="en-GB"/>
        </w:rPr>
      </w:pPr>
      <w:r w:rsidRPr="00B97E26">
        <w:rPr>
          <w:rFonts w:ascii="Times New Roman" w:eastAsia="Times New Roman" w:hAnsi="Times New Roman" w:cs="Times New Roman"/>
          <w:lang w:val="en-GB" w:eastAsia="en-GB"/>
        </w:rPr>
        <w:t>At the deepest level, basic underlying assumptions represent unconscious beliefs that guide behaviour. In Toyota’s case, these include the belief that employees contribute to improvement, that problems are opportunities for learning, and that quality is a shared responsibility. These assumptions explain the strong alignment between stated values and operational practices.</w:t>
      </w:r>
    </w:p>
    <w:p w14:paraId="3A100FB7" w14:textId="77777777" w:rsidR="00B97E26" w:rsidRPr="00B97E26" w:rsidRDefault="00B97E26" w:rsidP="00B97E26">
      <w:pPr>
        <w:spacing w:before="100" w:beforeAutospacing="1" w:after="100" w:afterAutospacing="1" w:line="240" w:lineRule="auto"/>
        <w:rPr>
          <w:rFonts w:ascii="Times New Roman" w:eastAsia="Times New Roman" w:hAnsi="Times New Roman" w:cs="Times New Roman"/>
          <w:lang w:val="en-GB" w:eastAsia="en-GB"/>
        </w:rPr>
      </w:pPr>
      <w:r w:rsidRPr="00B97E26">
        <w:rPr>
          <w:rFonts w:ascii="Times New Roman" w:eastAsia="Times New Roman" w:hAnsi="Times New Roman" w:cs="Times New Roman"/>
          <w:lang w:val="en-GB" w:eastAsia="en-GB"/>
        </w:rPr>
        <w:t>While Schein’s model highlights the strength of Toyota’s cultural alignment, it also suggests potential limitations. A highly consistent culture may lead to rigidity, reducing the organisation’s ability to respond quickly to disruptive environmental changes.</w:t>
      </w:r>
    </w:p>
    <w:p w14:paraId="1537C53C" w14:textId="77777777" w:rsidR="00B97E26" w:rsidRPr="00B97E26" w:rsidRDefault="00B97E26" w:rsidP="00B97E26">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bookmarkStart w:id="4" w:name="_Toc227655262"/>
      <w:r w:rsidRPr="00B97E26">
        <w:rPr>
          <w:rFonts w:ascii="Times New Roman" w:eastAsia="Times New Roman" w:hAnsi="Times New Roman" w:cs="Times New Roman"/>
          <w:b/>
          <w:bCs/>
          <w:sz w:val="27"/>
          <w:szCs w:val="27"/>
          <w:lang w:val="en-GB" w:eastAsia="en-GB"/>
        </w:rPr>
        <w:t>3.2 Hofstede’s Cultural Dimensions</w:t>
      </w:r>
      <w:bookmarkEnd w:id="4"/>
    </w:p>
    <w:p w14:paraId="17965BE7" w14:textId="77777777" w:rsidR="00B97E26" w:rsidRPr="00B97E26" w:rsidRDefault="00B97E26" w:rsidP="00B97E26">
      <w:pPr>
        <w:spacing w:before="100" w:beforeAutospacing="1" w:after="100" w:afterAutospacing="1" w:line="240" w:lineRule="auto"/>
        <w:rPr>
          <w:rFonts w:ascii="Times New Roman" w:eastAsia="Times New Roman" w:hAnsi="Times New Roman" w:cs="Times New Roman"/>
          <w:lang w:val="en-GB" w:eastAsia="en-GB"/>
        </w:rPr>
      </w:pPr>
      <w:r w:rsidRPr="00B97E26">
        <w:rPr>
          <w:rFonts w:ascii="Times New Roman" w:eastAsia="Times New Roman" w:hAnsi="Times New Roman" w:cs="Times New Roman"/>
          <w:lang w:val="en-GB" w:eastAsia="en-GB"/>
        </w:rPr>
        <w:t>Hofstede’s (2001) framework provides insight into the influence of national culture on organisational behaviour. As a Japanese organisation, Toyota reflects several key cultural dimensions.</w:t>
      </w:r>
    </w:p>
    <w:p w14:paraId="7E505CDE" w14:textId="77777777" w:rsidR="00B97E26" w:rsidRPr="00B97E26" w:rsidRDefault="00B97E26" w:rsidP="00B97E26">
      <w:pPr>
        <w:spacing w:before="100" w:beforeAutospacing="1" w:after="100" w:afterAutospacing="1" w:line="240" w:lineRule="auto"/>
        <w:rPr>
          <w:rFonts w:ascii="Times New Roman" w:eastAsia="Times New Roman" w:hAnsi="Times New Roman" w:cs="Times New Roman"/>
          <w:lang w:val="en-GB" w:eastAsia="en-GB"/>
        </w:rPr>
      </w:pPr>
      <w:r w:rsidRPr="00B97E26">
        <w:rPr>
          <w:rFonts w:ascii="Times New Roman" w:eastAsia="Times New Roman" w:hAnsi="Times New Roman" w:cs="Times New Roman"/>
          <w:lang w:val="en-GB" w:eastAsia="en-GB"/>
        </w:rPr>
        <w:t>Firstly, Toyota demonstrates high uncertainty avoidance, evident in its reliance on standardised processes and risk minimisation. While this supports quality control, it may reduce organisational agility.</w:t>
      </w:r>
    </w:p>
    <w:p w14:paraId="6C07BA70" w14:textId="77777777" w:rsidR="00B97E26" w:rsidRPr="00B97E26" w:rsidRDefault="00B97E26" w:rsidP="00B97E26">
      <w:pPr>
        <w:spacing w:before="100" w:beforeAutospacing="1" w:after="100" w:afterAutospacing="1" w:line="240" w:lineRule="auto"/>
        <w:rPr>
          <w:rFonts w:ascii="Times New Roman" w:eastAsia="Times New Roman" w:hAnsi="Times New Roman" w:cs="Times New Roman"/>
          <w:lang w:val="en-GB" w:eastAsia="en-GB"/>
        </w:rPr>
      </w:pPr>
      <w:r w:rsidRPr="00B97E26">
        <w:rPr>
          <w:rFonts w:ascii="Times New Roman" w:eastAsia="Times New Roman" w:hAnsi="Times New Roman" w:cs="Times New Roman"/>
          <w:lang w:val="en-GB" w:eastAsia="en-GB"/>
        </w:rPr>
        <w:t>Secondly, the organisation exhibits a collectivist orientation, emphasising teamwork, shared responsibility, and group harmony. This aligns with its consensus-based decision-making and collaborative work practices.</w:t>
      </w:r>
    </w:p>
    <w:p w14:paraId="7F885C63" w14:textId="77777777" w:rsidR="00B97E26" w:rsidRPr="00B97E26" w:rsidRDefault="00B97E26" w:rsidP="00B97E26">
      <w:pPr>
        <w:spacing w:before="100" w:beforeAutospacing="1" w:after="100" w:afterAutospacing="1" w:line="240" w:lineRule="auto"/>
        <w:rPr>
          <w:rFonts w:ascii="Times New Roman" w:eastAsia="Times New Roman" w:hAnsi="Times New Roman" w:cs="Times New Roman"/>
          <w:lang w:val="en-GB" w:eastAsia="en-GB"/>
        </w:rPr>
      </w:pPr>
      <w:r w:rsidRPr="00B97E26">
        <w:rPr>
          <w:rFonts w:ascii="Times New Roman" w:eastAsia="Times New Roman" w:hAnsi="Times New Roman" w:cs="Times New Roman"/>
          <w:lang w:val="en-GB" w:eastAsia="en-GB"/>
        </w:rPr>
        <w:t>Thirdly, Toyota shows a strong long-term orientation, focusing on sustainable growth and continuous improvement rather than short-term gains. This has contributed to its sustained success and global reputation.</w:t>
      </w:r>
    </w:p>
    <w:p w14:paraId="2D4D2BFD" w14:textId="77777777" w:rsidR="00B97E26" w:rsidRPr="00B97E26" w:rsidRDefault="00B97E26" w:rsidP="00B97E26">
      <w:pPr>
        <w:spacing w:before="100" w:beforeAutospacing="1" w:after="100" w:afterAutospacing="1" w:line="240" w:lineRule="auto"/>
        <w:rPr>
          <w:rFonts w:ascii="Times New Roman" w:eastAsia="Times New Roman" w:hAnsi="Times New Roman" w:cs="Times New Roman"/>
          <w:lang w:val="en-GB" w:eastAsia="en-GB"/>
        </w:rPr>
      </w:pPr>
      <w:r w:rsidRPr="00B97E26">
        <w:rPr>
          <w:rFonts w:ascii="Times New Roman" w:eastAsia="Times New Roman" w:hAnsi="Times New Roman" w:cs="Times New Roman"/>
          <w:lang w:val="en-GB" w:eastAsia="en-GB"/>
        </w:rPr>
        <w:t>However, Hofstede’s framework also highlights limitations. The emphasis on collectivism and hierarchy may discourage individual initiative and critical challenge, particularly from lower-level employees, potentially restricting innovation and responsiveness.</w:t>
      </w:r>
    </w:p>
    <w:p w14:paraId="049D63A7" w14:textId="77777777" w:rsidR="00B97E26" w:rsidRPr="00B97E26" w:rsidRDefault="00B97E26" w:rsidP="00B97E26">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bookmarkStart w:id="5" w:name="_Toc227655263"/>
      <w:r w:rsidRPr="00B97E26">
        <w:rPr>
          <w:rFonts w:ascii="Times New Roman" w:eastAsia="Times New Roman" w:hAnsi="Times New Roman" w:cs="Times New Roman"/>
          <w:b/>
          <w:bCs/>
          <w:sz w:val="27"/>
          <w:szCs w:val="27"/>
          <w:lang w:val="en-GB" w:eastAsia="en-GB"/>
        </w:rPr>
        <w:lastRenderedPageBreak/>
        <w:t>3.3 Synthesis of Theoretical Perspectives</w:t>
      </w:r>
      <w:bookmarkEnd w:id="5"/>
    </w:p>
    <w:p w14:paraId="2504AFDF" w14:textId="77777777" w:rsidR="00B97E26" w:rsidRPr="00B97E26" w:rsidRDefault="00B97E26" w:rsidP="00B97E26">
      <w:pPr>
        <w:spacing w:before="100" w:beforeAutospacing="1" w:after="100" w:afterAutospacing="1" w:line="240" w:lineRule="auto"/>
        <w:rPr>
          <w:rFonts w:ascii="Times New Roman" w:eastAsia="Times New Roman" w:hAnsi="Times New Roman" w:cs="Times New Roman"/>
          <w:lang w:val="en-GB" w:eastAsia="en-GB"/>
        </w:rPr>
      </w:pPr>
      <w:r w:rsidRPr="00B97E26">
        <w:rPr>
          <w:rFonts w:ascii="Times New Roman" w:eastAsia="Times New Roman" w:hAnsi="Times New Roman" w:cs="Times New Roman"/>
          <w:lang w:val="en-GB" w:eastAsia="en-GB"/>
        </w:rPr>
        <w:t>Taken together, these frameworks provide a comprehensive understanding of Toyota’s organisational culture. Schein’s model explains its depth and internal consistency, while Hofstede’s dimensions highlight its cultural origins and behavioural patterns.</w:t>
      </w:r>
    </w:p>
    <w:p w14:paraId="0CAC1A58" w14:textId="3E7D8323" w:rsidR="00B97E26" w:rsidRPr="009037FB" w:rsidRDefault="00B97E26" w:rsidP="009037FB">
      <w:pPr>
        <w:spacing w:before="100" w:beforeAutospacing="1" w:after="100" w:afterAutospacing="1" w:line="240" w:lineRule="auto"/>
        <w:rPr>
          <w:rFonts w:ascii="Times New Roman" w:eastAsia="Times New Roman" w:hAnsi="Times New Roman" w:cs="Times New Roman"/>
          <w:lang w:val="en-GB" w:eastAsia="en-GB"/>
        </w:rPr>
      </w:pPr>
      <w:r w:rsidRPr="00B97E26">
        <w:rPr>
          <w:rFonts w:ascii="Times New Roman" w:eastAsia="Times New Roman" w:hAnsi="Times New Roman" w:cs="Times New Roman"/>
          <w:lang w:val="en-GB" w:eastAsia="en-GB"/>
        </w:rPr>
        <w:t>Overall, Toyota’s culture is deeply embedded, structured, and collectively oriented, with a strong focus on continuous improvement and long-term success. Although these characteristics support organisational effectiveness, they may also limit flexibility, innovation, and responsiveness in a rapidly changing global environment.</w:t>
      </w:r>
    </w:p>
    <w:p w14:paraId="29A61E3D" w14:textId="47DD37A2" w:rsidR="002C2F84" w:rsidRPr="002C2F84" w:rsidRDefault="002C2F84" w:rsidP="002C2F84">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bookmarkStart w:id="6" w:name="_Toc227655264"/>
      <w:r w:rsidRPr="002C2F84">
        <w:rPr>
          <w:rFonts w:ascii="Times New Roman" w:eastAsia="Times New Roman" w:hAnsi="Times New Roman" w:cs="Times New Roman"/>
          <w:b/>
          <w:bCs/>
          <w:sz w:val="36"/>
          <w:szCs w:val="36"/>
          <w:lang w:val="en-GB" w:eastAsia="en-GB"/>
        </w:rPr>
        <w:t>4. Organisational Culture and Adaptation to the External Environment</w:t>
      </w:r>
      <w:bookmarkEnd w:id="6"/>
    </w:p>
    <w:p w14:paraId="64E2D1E7" w14:textId="77777777" w:rsidR="002C2F84" w:rsidRPr="002C2F84" w:rsidRDefault="002C2F84" w:rsidP="002C2F84">
      <w:pPr>
        <w:spacing w:before="100" w:beforeAutospacing="1" w:after="100" w:afterAutospacing="1" w:line="240" w:lineRule="auto"/>
        <w:rPr>
          <w:rFonts w:ascii="Arial" w:eastAsia="Times New Roman" w:hAnsi="Arial" w:cs="Arial"/>
          <w:sz w:val="22"/>
          <w:szCs w:val="22"/>
          <w:lang w:val="en-GB" w:eastAsia="en-GB"/>
        </w:rPr>
      </w:pPr>
      <w:r w:rsidRPr="002C2F84">
        <w:rPr>
          <w:rFonts w:ascii="Arial" w:eastAsia="Times New Roman" w:hAnsi="Arial" w:cs="Arial"/>
          <w:sz w:val="22"/>
          <w:szCs w:val="22"/>
          <w:lang w:val="en-GB" w:eastAsia="en-GB"/>
        </w:rPr>
        <w:t>In an increasingly globalised and dynamic business environment, an organisation’s ability to adapt to external pressures is critical to its long-term success. Toyota Motor Corporation has demonstrated a strong capacity for adaptation, largely driven by its deeply embedded organisational culture, which emphasises continuous improvement, long-term thinking, and operational efficiency.</w:t>
      </w:r>
    </w:p>
    <w:p w14:paraId="6C9B74E7" w14:textId="77777777" w:rsidR="002C2F84" w:rsidRPr="002C2F84" w:rsidRDefault="002C2F84" w:rsidP="002C2F84">
      <w:pPr>
        <w:spacing w:before="100" w:beforeAutospacing="1" w:after="100" w:afterAutospacing="1" w:line="240" w:lineRule="auto"/>
        <w:rPr>
          <w:rFonts w:ascii="Arial" w:eastAsia="Times New Roman" w:hAnsi="Arial" w:cs="Arial"/>
          <w:sz w:val="22"/>
          <w:szCs w:val="22"/>
          <w:lang w:val="en-GB" w:eastAsia="en-GB"/>
        </w:rPr>
      </w:pPr>
      <w:r w:rsidRPr="002C2F84">
        <w:rPr>
          <w:rFonts w:ascii="Arial" w:eastAsia="Times New Roman" w:hAnsi="Arial" w:cs="Arial"/>
          <w:sz w:val="22"/>
          <w:szCs w:val="22"/>
          <w:lang w:val="en-GB" w:eastAsia="en-GB"/>
        </w:rPr>
        <w:t xml:space="preserve">One of the most significant ways in which Toyota leverages its organisational culture to respond to external environmental influences is through its commitment to </w:t>
      </w:r>
      <w:r w:rsidRPr="002C2F84">
        <w:rPr>
          <w:rFonts w:ascii="Arial" w:eastAsia="Times New Roman" w:hAnsi="Arial" w:cs="Arial"/>
          <w:i/>
          <w:iCs/>
          <w:sz w:val="22"/>
          <w:szCs w:val="22"/>
          <w:lang w:val="en-GB" w:eastAsia="en-GB"/>
        </w:rPr>
        <w:t>Kaizen</w:t>
      </w:r>
      <w:r w:rsidRPr="002C2F84">
        <w:rPr>
          <w:rFonts w:ascii="Arial" w:eastAsia="Times New Roman" w:hAnsi="Arial" w:cs="Arial"/>
          <w:sz w:val="22"/>
          <w:szCs w:val="22"/>
          <w:lang w:val="en-GB" w:eastAsia="en-GB"/>
        </w:rPr>
        <w:t>, or continuous improvement. This cultural principle enables the organisation to make incremental adjustments to its processes, products, and strategies in response to changing market conditions. For example, Toyota’s early investment in hybrid vehicle technology, particularly with the introduction of the Prius, reflects its long-term orientation and proactive approach to environmental sustainability (Liker, 2004). This strategic move allowed Toyota to position itself as a leader in eco-friendly automotive innovation at a time when environmental concerns were becoming increasingly prominent.</w:t>
      </w:r>
    </w:p>
    <w:p w14:paraId="22E0AC51" w14:textId="77777777" w:rsidR="002C2F84" w:rsidRPr="002C2F84" w:rsidRDefault="002C2F84" w:rsidP="002C2F84">
      <w:pPr>
        <w:spacing w:before="100" w:beforeAutospacing="1" w:after="100" w:afterAutospacing="1" w:line="240" w:lineRule="auto"/>
        <w:rPr>
          <w:rFonts w:ascii="Arial" w:eastAsia="Times New Roman" w:hAnsi="Arial" w:cs="Arial"/>
          <w:sz w:val="22"/>
          <w:szCs w:val="22"/>
          <w:lang w:val="en-GB" w:eastAsia="en-GB"/>
        </w:rPr>
      </w:pPr>
      <w:r w:rsidRPr="002C2F84">
        <w:rPr>
          <w:rFonts w:ascii="Arial" w:eastAsia="Times New Roman" w:hAnsi="Arial" w:cs="Arial"/>
          <w:sz w:val="22"/>
          <w:szCs w:val="22"/>
          <w:lang w:val="en-GB" w:eastAsia="en-GB"/>
        </w:rPr>
        <w:t>Furthermore, Toyota’s organisational culture supports global expansion and localisation strategies. While maintaining its core cultural values, the company adapts its operations to suit local markets by establishing production facilities in different regions and employing local workforces. This approach reflects a balance between global integration and local responsiveness, enabling Toyota to remain competitive in diverse international markets. The emphasis on respect for people facilitates cross-cultural collaboration and helps integrate employees from different national backgrounds into a cohesive organisational culture, as highlighted by Mullins and Christy (2016).</w:t>
      </w:r>
    </w:p>
    <w:p w14:paraId="203F7692" w14:textId="77777777" w:rsidR="002C2F84" w:rsidRPr="002C2F84" w:rsidRDefault="002C2F84" w:rsidP="002C2F84">
      <w:pPr>
        <w:spacing w:before="100" w:beforeAutospacing="1" w:after="100" w:afterAutospacing="1" w:line="240" w:lineRule="auto"/>
        <w:rPr>
          <w:rFonts w:ascii="Arial" w:eastAsia="Times New Roman" w:hAnsi="Arial" w:cs="Arial"/>
          <w:sz w:val="22"/>
          <w:szCs w:val="22"/>
          <w:lang w:val="en-GB" w:eastAsia="en-GB"/>
        </w:rPr>
      </w:pPr>
      <w:r w:rsidRPr="002C2F84">
        <w:rPr>
          <w:rFonts w:ascii="Arial" w:eastAsia="Times New Roman" w:hAnsi="Arial" w:cs="Arial"/>
          <w:sz w:val="22"/>
          <w:szCs w:val="22"/>
          <w:lang w:val="en-GB" w:eastAsia="en-GB"/>
        </w:rPr>
        <w:t>However, despite these strengths, Toyota’s culture has also presented challenges in adapting to certain external changes, particularly in relation to disruptive innovation. For instance, while the company has been a pioneer in hybrid technology, it has been comparatively slower to fully commit to battery electric vehicles (BEVs) compared to competitors such as Tesla. This can be partly attributed to Toyota’s risk-averse culture and its preference for incremental rather than radical change. The organisation’s strong reliance on established processes and long-term planning may limit its ability to respond rapidly to technological disruptions.</w:t>
      </w:r>
    </w:p>
    <w:p w14:paraId="3DB47C08" w14:textId="77777777" w:rsidR="002C2F84" w:rsidRPr="002C2F84" w:rsidRDefault="002C2F84" w:rsidP="002C2F84">
      <w:pPr>
        <w:spacing w:before="100" w:beforeAutospacing="1" w:after="100" w:afterAutospacing="1" w:line="240" w:lineRule="auto"/>
        <w:rPr>
          <w:rFonts w:ascii="Arial" w:eastAsia="Times New Roman" w:hAnsi="Arial" w:cs="Arial"/>
          <w:sz w:val="22"/>
          <w:szCs w:val="22"/>
          <w:lang w:val="en-GB" w:eastAsia="en-GB"/>
        </w:rPr>
      </w:pPr>
      <w:r w:rsidRPr="002C2F84">
        <w:rPr>
          <w:rFonts w:ascii="Arial" w:eastAsia="Times New Roman" w:hAnsi="Arial" w:cs="Arial"/>
          <w:sz w:val="22"/>
          <w:szCs w:val="22"/>
          <w:lang w:val="en-GB" w:eastAsia="en-GB"/>
        </w:rPr>
        <w:lastRenderedPageBreak/>
        <w:t>Additionally, during the global vehicle recall crisis between 2009 and 2010, Toyota faced criticism for its delayed response to safety concerns. Analysts suggested that the company’s consensus-based decision-making processes and hierarchical communication structure contributed to slower reactions, particularly in international markets (Cole, 2011). This highlights how elements of organisational culture that are beneficial in stable environments can become constraints in situations requiring immediate action.</w:t>
      </w:r>
    </w:p>
    <w:p w14:paraId="50071333" w14:textId="77777777" w:rsidR="002C2F84" w:rsidRPr="002C2F84" w:rsidRDefault="002C2F84" w:rsidP="002C2F84">
      <w:pPr>
        <w:spacing w:before="100" w:beforeAutospacing="1" w:after="100" w:afterAutospacing="1" w:line="240" w:lineRule="auto"/>
        <w:rPr>
          <w:rFonts w:ascii="Arial" w:eastAsia="Times New Roman" w:hAnsi="Arial" w:cs="Arial"/>
          <w:sz w:val="22"/>
          <w:szCs w:val="22"/>
          <w:lang w:val="en-GB" w:eastAsia="en-GB"/>
        </w:rPr>
      </w:pPr>
      <w:r w:rsidRPr="002C2F84">
        <w:rPr>
          <w:rFonts w:ascii="Arial" w:eastAsia="Times New Roman" w:hAnsi="Arial" w:cs="Arial"/>
          <w:sz w:val="22"/>
          <w:szCs w:val="22"/>
          <w:lang w:val="en-GB" w:eastAsia="en-GB"/>
        </w:rPr>
        <w:t>From a critical perspective, Toyota’s organisational culture can therefore be seen as both an enabler and a constraint in terms of environmental adaptation. While its emphasis on continuous improvement and long-term thinking supports sustained competitiveness and gradual innovation, its risk aversion and consensus-driven processes may hinder responsiveness in fast-changing or crisis-driven contexts.</w:t>
      </w:r>
    </w:p>
    <w:p w14:paraId="3A7872A1" w14:textId="77777777" w:rsidR="002C2F84" w:rsidRPr="002C2F84" w:rsidRDefault="002C2F84" w:rsidP="002C2F84">
      <w:pPr>
        <w:spacing w:before="100" w:beforeAutospacing="1" w:after="100" w:afterAutospacing="1" w:line="240" w:lineRule="auto"/>
        <w:rPr>
          <w:rFonts w:ascii="Arial" w:eastAsia="Times New Roman" w:hAnsi="Arial" w:cs="Arial"/>
          <w:sz w:val="22"/>
          <w:szCs w:val="22"/>
          <w:lang w:val="en-GB" w:eastAsia="en-GB"/>
        </w:rPr>
      </w:pPr>
      <w:r w:rsidRPr="002C2F84">
        <w:rPr>
          <w:rFonts w:ascii="Arial" w:eastAsia="Times New Roman" w:hAnsi="Arial" w:cs="Arial"/>
          <w:sz w:val="22"/>
          <w:szCs w:val="22"/>
          <w:lang w:val="en-GB" w:eastAsia="en-GB"/>
        </w:rPr>
        <w:t>Overall, Toyota has successfully leveraged its organisational culture to adapt to many external environmental influences, particularly in areas such as sustainability and global expansion. However, to remain competitive in an era characterised by rapid technological change and increasing uncertainty, the organisation may need to evolve aspects of its culture to enhance agility and responsiveness.</w:t>
      </w:r>
    </w:p>
    <w:p w14:paraId="34C5882B" w14:textId="77777777" w:rsidR="00026252" w:rsidRPr="00026252" w:rsidRDefault="00026252" w:rsidP="00026252">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bookmarkStart w:id="7" w:name="_Toc227655265"/>
      <w:r w:rsidRPr="00026252">
        <w:rPr>
          <w:rFonts w:ascii="Times New Roman" w:eastAsia="Times New Roman" w:hAnsi="Times New Roman" w:cs="Times New Roman"/>
          <w:b/>
          <w:bCs/>
          <w:sz w:val="36"/>
          <w:szCs w:val="36"/>
          <w:lang w:val="en-GB" w:eastAsia="en-GB"/>
        </w:rPr>
        <w:t>5. Organisational Culture as an Enabler or Barrier to Effective Functioning</w:t>
      </w:r>
      <w:bookmarkEnd w:id="7"/>
    </w:p>
    <w:p w14:paraId="1905BA82" w14:textId="77777777" w:rsidR="00026252" w:rsidRPr="00026252" w:rsidRDefault="00026252" w:rsidP="00026252">
      <w:pPr>
        <w:spacing w:before="100" w:beforeAutospacing="1" w:after="100" w:afterAutospacing="1" w:line="240" w:lineRule="auto"/>
        <w:rPr>
          <w:rFonts w:ascii="Arial" w:eastAsia="Times New Roman" w:hAnsi="Arial" w:cs="Arial"/>
          <w:sz w:val="22"/>
          <w:szCs w:val="22"/>
          <w:lang w:val="en-GB" w:eastAsia="en-GB"/>
        </w:rPr>
      </w:pPr>
      <w:r w:rsidRPr="00026252">
        <w:rPr>
          <w:rFonts w:ascii="Arial" w:eastAsia="Times New Roman" w:hAnsi="Arial" w:cs="Arial"/>
          <w:sz w:val="22"/>
          <w:szCs w:val="22"/>
          <w:lang w:val="en-GB" w:eastAsia="en-GB"/>
        </w:rPr>
        <w:t>Organisational culture can significantly influence whether a company operates effectively, acting either as an enabler that enhances performance or as a barrier that constrains adaptability and innovation. In the case of Toyota Motor Corporation, its organisational culture demonstrates characteristics of both, although it can be argued that it functions predominantly as an enabler of effective organisational performance.</w:t>
      </w:r>
    </w:p>
    <w:p w14:paraId="0BD0BB63" w14:textId="77777777" w:rsidR="00026252" w:rsidRPr="00026252" w:rsidRDefault="00026252" w:rsidP="00026252">
      <w:pPr>
        <w:spacing w:before="100" w:beforeAutospacing="1" w:after="100" w:afterAutospacing="1" w:line="240" w:lineRule="auto"/>
        <w:rPr>
          <w:rFonts w:ascii="Arial" w:eastAsia="Times New Roman" w:hAnsi="Arial" w:cs="Arial"/>
          <w:sz w:val="22"/>
          <w:szCs w:val="22"/>
          <w:lang w:val="en-GB" w:eastAsia="en-GB"/>
        </w:rPr>
      </w:pPr>
      <w:r w:rsidRPr="00026252">
        <w:rPr>
          <w:rFonts w:ascii="Arial" w:eastAsia="Times New Roman" w:hAnsi="Arial" w:cs="Arial"/>
          <w:sz w:val="22"/>
          <w:szCs w:val="22"/>
          <w:lang w:val="en-GB" w:eastAsia="en-GB"/>
        </w:rPr>
        <w:t>Toyota’s culture acts as a strong enabler through its emphasis on continuous improvement (</w:t>
      </w:r>
      <w:r w:rsidRPr="00026252">
        <w:rPr>
          <w:rFonts w:ascii="Arial" w:eastAsia="Times New Roman" w:hAnsi="Arial" w:cs="Arial"/>
          <w:i/>
          <w:iCs/>
          <w:sz w:val="22"/>
          <w:szCs w:val="22"/>
          <w:lang w:val="en-GB" w:eastAsia="en-GB"/>
        </w:rPr>
        <w:t>Kaizen</w:t>
      </w:r>
      <w:r w:rsidRPr="00026252">
        <w:rPr>
          <w:rFonts w:ascii="Arial" w:eastAsia="Times New Roman" w:hAnsi="Arial" w:cs="Arial"/>
          <w:sz w:val="22"/>
          <w:szCs w:val="22"/>
          <w:lang w:val="en-GB" w:eastAsia="en-GB"/>
        </w:rPr>
        <w:t>) and respect for people. These principles foster a high level of employee engagement, as individuals at all levels are encouraged to contribute to problem-solving and process improvement. This inclusive approach not only enhances operational efficiency but also promotes a sense of ownership and accountability among employees. As a result, Toyota has been able to maintain high standards of quality and productivity across its global operations (Liker, 2004).</w:t>
      </w:r>
    </w:p>
    <w:p w14:paraId="61B1743E" w14:textId="77777777" w:rsidR="00026252" w:rsidRPr="00026252" w:rsidRDefault="00026252" w:rsidP="00026252">
      <w:pPr>
        <w:spacing w:before="100" w:beforeAutospacing="1" w:after="100" w:afterAutospacing="1" w:line="240" w:lineRule="auto"/>
        <w:rPr>
          <w:rFonts w:ascii="Arial" w:eastAsia="Times New Roman" w:hAnsi="Arial" w:cs="Arial"/>
          <w:sz w:val="22"/>
          <w:szCs w:val="22"/>
          <w:lang w:val="en-GB" w:eastAsia="en-GB"/>
        </w:rPr>
      </w:pPr>
      <w:r w:rsidRPr="00026252">
        <w:rPr>
          <w:rFonts w:ascii="Arial" w:eastAsia="Times New Roman" w:hAnsi="Arial" w:cs="Arial"/>
          <w:sz w:val="22"/>
          <w:szCs w:val="22"/>
          <w:lang w:val="en-GB" w:eastAsia="en-GB"/>
        </w:rPr>
        <w:t>Furthermore, the organisation’s focus on standardisation and structured processes contributes to consistency and reliability, which are critical in the automotive industry. The Toyota Production System (TPS) ensures that best practices are embedded within daily operations, reducing errors and improving overall performance. From this perspective, organisational culture provides a stable foundation that supports long-term success and operational excellence.</w:t>
      </w:r>
    </w:p>
    <w:p w14:paraId="6FC55FF6" w14:textId="77777777" w:rsidR="00026252" w:rsidRPr="00026252" w:rsidRDefault="00026252" w:rsidP="00026252">
      <w:pPr>
        <w:spacing w:before="100" w:beforeAutospacing="1" w:after="100" w:afterAutospacing="1" w:line="240" w:lineRule="auto"/>
        <w:rPr>
          <w:rFonts w:ascii="Arial" w:eastAsia="Times New Roman" w:hAnsi="Arial" w:cs="Arial"/>
          <w:sz w:val="22"/>
          <w:szCs w:val="22"/>
          <w:lang w:val="en-GB" w:eastAsia="en-GB"/>
        </w:rPr>
      </w:pPr>
      <w:r w:rsidRPr="00026252">
        <w:rPr>
          <w:rFonts w:ascii="Arial" w:eastAsia="Times New Roman" w:hAnsi="Arial" w:cs="Arial"/>
          <w:sz w:val="22"/>
          <w:szCs w:val="22"/>
          <w:lang w:val="en-GB" w:eastAsia="en-GB"/>
        </w:rPr>
        <w:t>However, Toyota’s culture can also act as a barrier, particularly in situations requiring rapid decision-making and radical innovation. The consensus-based decision-making process, while effective in ensuring thorough evaluation, can slow down responses to urgent issues. This limitation was evident during the 2009–2010 recall crisis, where delays in addressing safety concerns were partly attributed to internal decision-making practices (Cole, 2011).</w:t>
      </w:r>
    </w:p>
    <w:p w14:paraId="01FF60B9" w14:textId="77777777" w:rsidR="00026252" w:rsidRPr="00026252" w:rsidRDefault="00026252" w:rsidP="00026252">
      <w:pPr>
        <w:spacing w:before="100" w:beforeAutospacing="1" w:after="100" w:afterAutospacing="1" w:line="240" w:lineRule="auto"/>
        <w:rPr>
          <w:rFonts w:ascii="Arial" w:eastAsia="Times New Roman" w:hAnsi="Arial" w:cs="Arial"/>
          <w:sz w:val="22"/>
          <w:szCs w:val="22"/>
          <w:lang w:val="en-GB" w:eastAsia="en-GB"/>
        </w:rPr>
      </w:pPr>
      <w:r w:rsidRPr="00026252">
        <w:rPr>
          <w:rFonts w:ascii="Arial" w:eastAsia="Times New Roman" w:hAnsi="Arial" w:cs="Arial"/>
          <w:sz w:val="22"/>
          <w:szCs w:val="22"/>
          <w:lang w:val="en-GB" w:eastAsia="en-GB"/>
        </w:rPr>
        <w:lastRenderedPageBreak/>
        <w:t>In addition, the organisation’s hierarchical structure and cultural emphasis on respect for authority may discourage employees from challenging senior management decisions. Although Toyota promotes open communication in principle, implicit cultural norms can limit upward feedback, potentially preventing critical issues from being raised promptly. This creates a risk of groupthink, where the desire for consensus overrides critical evaluation.</w:t>
      </w:r>
    </w:p>
    <w:p w14:paraId="3D2E5287" w14:textId="77777777" w:rsidR="00026252" w:rsidRPr="00026252" w:rsidRDefault="00026252" w:rsidP="00026252">
      <w:pPr>
        <w:spacing w:before="100" w:beforeAutospacing="1" w:after="100" w:afterAutospacing="1" w:line="240" w:lineRule="auto"/>
        <w:rPr>
          <w:rFonts w:ascii="Arial" w:eastAsia="Times New Roman" w:hAnsi="Arial" w:cs="Arial"/>
          <w:sz w:val="22"/>
          <w:szCs w:val="22"/>
          <w:lang w:val="en-GB" w:eastAsia="en-GB"/>
        </w:rPr>
      </w:pPr>
      <w:r w:rsidRPr="00026252">
        <w:rPr>
          <w:rFonts w:ascii="Arial" w:eastAsia="Times New Roman" w:hAnsi="Arial" w:cs="Arial"/>
          <w:sz w:val="22"/>
          <w:szCs w:val="22"/>
          <w:lang w:val="en-GB" w:eastAsia="en-GB"/>
        </w:rPr>
        <w:t xml:space="preserve">Moreover, Toyota’s preference for incremental improvement over disruptive innovation may restrict its ability to respond effectively to major technological shifts. While </w:t>
      </w:r>
      <w:r w:rsidRPr="00026252">
        <w:rPr>
          <w:rFonts w:ascii="Arial" w:eastAsia="Times New Roman" w:hAnsi="Arial" w:cs="Arial"/>
          <w:i/>
          <w:iCs/>
          <w:sz w:val="22"/>
          <w:szCs w:val="22"/>
          <w:lang w:val="en-GB" w:eastAsia="en-GB"/>
        </w:rPr>
        <w:t>Kaizen</w:t>
      </w:r>
      <w:r w:rsidRPr="00026252">
        <w:rPr>
          <w:rFonts w:ascii="Arial" w:eastAsia="Times New Roman" w:hAnsi="Arial" w:cs="Arial"/>
          <w:sz w:val="22"/>
          <w:szCs w:val="22"/>
          <w:lang w:val="en-GB" w:eastAsia="en-GB"/>
        </w:rPr>
        <w:t xml:space="preserve"> supports continuous development, it may not be sufficient in industries undergoing rapid transformation, such as the shift towards fully electric and autonomous vehicles. This suggests that the same cultural attributes that drive efficiency and stability may also constrain flexibility and innovation.</w:t>
      </w:r>
    </w:p>
    <w:p w14:paraId="3520DD29" w14:textId="49EE5B7E" w:rsidR="00026252" w:rsidRPr="00026252" w:rsidRDefault="00026252" w:rsidP="00026252">
      <w:pPr>
        <w:spacing w:before="100" w:beforeAutospacing="1" w:after="100" w:afterAutospacing="1" w:line="240" w:lineRule="auto"/>
        <w:rPr>
          <w:rFonts w:ascii="Arial" w:eastAsia="Times New Roman" w:hAnsi="Arial" w:cs="Arial"/>
          <w:sz w:val="22"/>
          <w:szCs w:val="22"/>
          <w:lang w:val="en-GB" w:eastAsia="en-GB"/>
        </w:rPr>
      </w:pPr>
      <w:r w:rsidRPr="00026252">
        <w:rPr>
          <w:rFonts w:ascii="Arial" w:eastAsia="Times New Roman" w:hAnsi="Arial" w:cs="Arial"/>
          <w:sz w:val="22"/>
          <w:szCs w:val="22"/>
          <w:lang w:val="en-GB" w:eastAsia="en-GB"/>
        </w:rPr>
        <w:t xml:space="preserve">From a critical standpoint, it is evident that Toyota’s organisational culture is not inherently positive or negative but </w:t>
      </w:r>
      <w:r w:rsidRPr="009D610E">
        <w:rPr>
          <w:rFonts w:ascii="Arial" w:eastAsia="Times New Roman" w:hAnsi="Arial" w:cs="Arial"/>
          <w:sz w:val="22"/>
          <w:szCs w:val="22"/>
          <w:lang w:val="en-GB" w:eastAsia="en-GB"/>
        </w:rPr>
        <w:t>context dependent</w:t>
      </w:r>
      <w:r w:rsidRPr="00026252">
        <w:rPr>
          <w:rFonts w:ascii="Arial" w:eastAsia="Times New Roman" w:hAnsi="Arial" w:cs="Arial"/>
          <w:sz w:val="22"/>
          <w:szCs w:val="22"/>
          <w:lang w:val="en-GB" w:eastAsia="en-GB"/>
        </w:rPr>
        <w:t>. In stable environments, its structured and disciplined approach enhances performance and reduces risk. However, in volatile and uncertain environments, these same characteristics can limit responsiveness and adaptability.</w:t>
      </w:r>
    </w:p>
    <w:p w14:paraId="48D14FC0" w14:textId="77777777" w:rsidR="00026252" w:rsidRPr="00026252" w:rsidRDefault="00026252" w:rsidP="00026252">
      <w:pPr>
        <w:spacing w:before="100" w:beforeAutospacing="1" w:after="100" w:afterAutospacing="1" w:line="240" w:lineRule="auto"/>
        <w:rPr>
          <w:rFonts w:ascii="Arial" w:eastAsia="Times New Roman" w:hAnsi="Arial" w:cs="Arial"/>
          <w:sz w:val="22"/>
          <w:szCs w:val="22"/>
          <w:lang w:val="en-GB" w:eastAsia="en-GB"/>
        </w:rPr>
      </w:pPr>
      <w:r w:rsidRPr="00026252">
        <w:rPr>
          <w:rFonts w:ascii="Arial" w:eastAsia="Times New Roman" w:hAnsi="Arial" w:cs="Arial"/>
          <w:sz w:val="22"/>
          <w:szCs w:val="22"/>
          <w:lang w:val="en-GB" w:eastAsia="en-GB"/>
        </w:rPr>
        <w:t>Overall, Toyota’s organisational culture can be considered primarily an enabler of effective functioning, given its significant contribution to quality, efficiency, and employee engagement. Nevertheless, it also presents notable barriers that the organisation must address to remain competitive in a rapidly evolving global market.</w:t>
      </w:r>
    </w:p>
    <w:p w14:paraId="4B7693AC" w14:textId="77777777" w:rsidR="00C275D1" w:rsidRPr="00C275D1" w:rsidRDefault="00C275D1" w:rsidP="00C275D1">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bookmarkStart w:id="8" w:name="_Toc227655266"/>
      <w:r w:rsidRPr="00C275D1">
        <w:rPr>
          <w:rFonts w:ascii="Times New Roman" w:eastAsia="Times New Roman" w:hAnsi="Times New Roman" w:cs="Times New Roman"/>
          <w:b/>
          <w:bCs/>
          <w:sz w:val="36"/>
          <w:szCs w:val="36"/>
          <w:lang w:val="en-GB" w:eastAsia="en-GB"/>
        </w:rPr>
        <w:t>6. The Impact of Organisational Culture on Performance and Recommendations for Improvement</w:t>
      </w:r>
      <w:bookmarkEnd w:id="8"/>
    </w:p>
    <w:p w14:paraId="1F0C0CA5" w14:textId="77777777" w:rsidR="00C275D1" w:rsidRPr="00C275D1" w:rsidRDefault="00C275D1" w:rsidP="00C275D1">
      <w:pPr>
        <w:spacing w:before="100" w:beforeAutospacing="1" w:after="100" w:afterAutospacing="1" w:line="240" w:lineRule="auto"/>
        <w:rPr>
          <w:rFonts w:ascii="Arial" w:eastAsia="Times New Roman" w:hAnsi="Arial" w:cs="Arial"/>
          <w:sz w:val="22"/>
          <w:szCs w:val="22"/>
          <w:lang w:val="en-GB" w:eastAsia="en-GB"/>
        </w:rPr>
      </w:pPr>
      <w:r w:rsidRPr="00C275D1">
        <w:rPr>
          <w:rFonts w:ascii="Arial" w:eastAsia="Times New Roman" w:hAnsi="Arial" w:cs="Arial"/>
          <w:sz w:val="22"/>
          <w:szCs w:val="22"/>
          <w:lang w:val="en-GB" w:eastAsia="en-GB"/>
        </w:rPr>
        <w:t>Organisational culture has a direct and significant impact on a company’s overall performance, influencing productivity, quality, innovation, and long-term competitiveness. In the case of Toyota Motor Corporation, its deeply embedded cultural principles have been a major driver of its global success, although certain limitations highlight the need for strategic adaptation.</w:t>
      </w:r>
    </w:p>
    <w:p w14:paraId="2C4DE3A5" w14:textId="77777777" w:rsidR="00C275D1" w:rsidRPr="00C275D1" w:rsidRDefault="00C275D1" w:rsidP="00C275D1">
      <w:pPr>
        <w:spacing w:before="100" w:beforeAutospacing="1" w:after="100" w:afterAutospacing="1" w:line="240" w:lineRule="auto"/>
        <w:rPr>
          <w:rFonts w:ascii="Arial" w:eastAsia="Times New Roman" w:hAnsi="Arial" w:cs="Arial"/>
          <w:sz w:val="22"/>
          <w:szCs w:val="22"/>
          <w:lang w:val="en-GB" w:eastAsia="en-GB"/>
        </w:rPr>
      </w:pPr>
      <w:r w:rsidRPr="00C275D1">
        <w:rPr>
          <w:rFonts w:ascii="Arial" w:eastAsia="Times New Roman" w:hAnsi="Arial" w:cs="Arial"/>
          <w:sz w:val="22"/>
          <w:szCs w:val="22"/>
          <w:lang w:val="en-GB" w:eastAsia="en-GB"/>
        </w:rPr>
        <w:t>One of the most notable positive impacts of Toyota’s organisational culture is its contribution to high levels of operational efficiency and product quality. The Toyota Production System (TPS), underpinned by principles such as continuous improvement (</w:t>
      </w:r>
      <w:r w:rsidRPr="00C275D1">
        <w:rPr>
          <w:rFonts w:ascii="Arial" w:eastAsia="Times New Roman" w:hAnsi="Arial" w:cs="Arial"/>
          <w:i/>
          <w:iCs/>
          <w:sz w:val="22"/>
          <w:szCs w:val="22"/>
          <w:lang w:val="en-GB" w:eastAsia="en-GB"/>
        </w:rPr>
        <w:t>Kaizen</w:t>
      </w:r>
      <w:r w:rsidRPr="00C275D1">
        <w:rPr>
          <w:rFonts w:ascii="Arial" w:eastAsia="Times New Roman" w:hAnsi="Arial" w:cs="Arial"/>
          <w:sz w:val="22"/>
          <w:szCs w:val="22"/>
          <w:lang w:val="en-GB" w:eastAsia="en-GB"/>
        </w:rPr>
        <w:t>) and waste reduction, has enabled the organisation to optimise production processes and minimise errors. This has resulted in a strong global reputation for reliability and durability, which has become a key competitive advantage (Liker, 2004).</w:t>
      </w:r>
    </w:p>
    <w:p w14:paraId="4322F247" w14:textId="77777777" w:rsidR="00C275D1" w:rsidRPr="00C275D1" w:rsidRDefault="00C275D1" w:rsidP="00C275D1">
      <w:pPr>
        <w:spacing w:before="100" w:beforeAutospacing="1" w:after="100" w:afterAutospacing="1" w:line="240" w:lineRule="auto"/>
        <w:rPr>
          <w:rFonts w:ascii="Arial" w:eastAsia="Times New Roman" w:hAnsi="Arial" w:cs="Arial"/>
          <w:sz w:val="22"/>
          <w:szCs w:val="22"/>
          <w:lang w:val="en-GB" w:eastAsia="en-GB"/>
        </w:rPr>
      </w:pPr>
      <w:r w:rsidRPr="00C275D1">
        <w:rPr>
          <w:rFonts w:ascii="Arial" w:eastAsia="Times New Roman" w:hAnsi="Arial" w:cs="Arial"/>
          <w:sz w:val="22"/>
          <w:szCs w:val="22"/>
          <w:lang w:val="en-GB" w:eastAsia="en-GB"/>
        </w:rPr>
        <w:t>Additionally, Toyota’s culture promotes employee engagement and involvement, which enhances performance at both individual and organisational levels. By encouraging employees to identify inefficiencies and contribute to improvements, the organisation benefits from a continuous flow of innovation at the operational level. This participative approach not only improves productivity but also increases job satisfaction and organisational commitment.</w:t>
      </w:r>
    </w:p>
    <w:p w14:paraId="2EB5769E" w14:textId="77777777" w:rsidR="00C275D1" w:rsidRPr="00C275D1" w:rsidRDefault="00C275D1" w:rsidP="00C275D1">
      <w:pPr>
        <w:spacing w:before="100" w:beforeAutospacing="1" w:after="100" w:afterAutospacing="1" w:line="240" w:lineRule="auto"/>
        <w:rPr>
          <w:rFonts w:ascii="Arial" w:eastAsia="Times New Roman" w:hAnsi="Arial" w:cs="Arial"/>
          <w:sz w:val="22"/>
          <w:szCs w:val="22"/>
          <w:lang w:val="en-GB" w:eastAsia="en-GB"/>
        </w:rPr>
      </w:pPr>
      <w:r w:rsidRPr="00C275D1">
        <w:rPr>
          <w:rFonts w:ascii="Arial" w:eastAsia="Times New Roman" w:hAnsi="Arial" w:cs="Arial"/>
          <w:sz w:val="22"/>
          <w:szCs w:val="22"/>
          <w:lang w:val="en-GB" w:eastAsia="en-GB"/>
        </w:rPr>
        <w:t>Furthermore, Toyota’s long-term orientation supports sustainable performance by prioritising strategic stability over short-term gains. This has allowed the company to invest in technologies such as hybrid vehicles and maintain a consistent market presence over time. Such an approach aligns with the view that strong organisational cultures can provide a foundation for enduring competitive advantage (Mullins and Christy, 2016).</w:t>
      </w:r>
    </w:p>
    <w:p w14:paraId="029469AA" w14:textId="77777777" w:rsidR="00C275D1" w:rsidRPr="00C275D1" w:rsidRDefault="00C275D1" w:rsidP="00C275D1">
      <w:pPr>
        <w:spacing w:before="100" w:beforeAutospacing="1" w:after="100" w:afterAutospacing="1" w:line="240" w:lineRule="auto"/>
        <w:rPr>
          <w:rFonts w:ascii="Arial" w:eastAsia="Times New Roman" w:hAnsi="Arial" w:cs="Arial"/>
          <w:sz w:val="22"/>
          <w:szCs w:val="22"/>
          <w:lang w:val="en-GB" w:eastAsia="en-GB"/>
        </w:rPr>
      </w:pPr>
      <w:r w:rsidRPr="00C275D1">
        <w:rPr>
          <w:rFonts w:ascii="Arial" w:eastAsia="Times New Roman" w:hAnsi="Arial" w:cs="Arial"/>
          <w:sz w:val="22"/>
          <w:szCs w:val="22"/>
          <w:lang w:val="en-GB" w:eastAsia="en-GB"/>
        </w:rPr>
        <w:lastRenderedPageBreak/>
        <w:t>However, despite these strengths, Toyota’s organisational culture has also had some negative implications for performance. The emphasis on consensus-based decision-making can lead to slower responses, particularly in crisis situations or rapidly changing markets. As previously discussed, the delay in addressing safety concerns during the recall crisis had reputational and financial consequences (Cole, 2011).</w:t>
      </w:r>
    </w:p>
    <w:p w14:paraId="12A63F34" w14:textId="77777777" w:rsidR="00C275D1" w:rsidRPr="00C275D1" w:rsidRDefault="00C275D1" w:rsidP="00C275D1">
      <w:pPr>
        <w:spacing w:before="100" w:beforeAutospacing="1" w:after="100" w:afterAutospacing="1" w:line="240" w:lineRule="auto"/>
        <w:rPr>
          <w:rFonts w:ascii="Arial" w:eastAsia="Times New Roman" w:hAnsi="Arial" w:cs="Arial"/>
          <w:sz w:val="22"/>
          <w:szCs w:val="22"/>
          <w:lang w:val="en-GB" w:eastAsia="en-GB"/>
        </w:rPr>
      </w:pPr>
      <w:r w:rsidRPr="00C275D1">
        <w:rPr>
          <w:rFonts w:ascii="Arial" w:eastAsia="Times New Roman" w:hAnsi="Arial" w:cs="Arial"/>
          <w:sz w:val="22"/>
          <w:szCs w:val="22"/>
          <w:lang w:val="en-GB" w:eastAsia="en-GB"/>
        </w:rPr>
        <w:t>In addition, Toyota’s preference for incremental improvement may limit its ability to achieve breakthrough innovation. In an industry increasingly driven by technological disruption, particularly in areas such as electric and autonomous vehicles, this cultural tendency may place the organisation at a competitive disadvantage compared to more agile and innovation-focused competitors.</w:t>
      </w:r>
    </w:p>
    <w:p w14:paraId="0ED37A53" w14:textId="6B3B2623" w:rsidR="00C275D1" w:rsidRPr="00C275D1" w:rsidRDefault="009435E0" w:rsidP="00C275D1">
      <w:pPr>
        <w:spacing w:before="100" w:beforeAutospacing="1" w:after="100" w:afterAutospacing="1" w:line="240" w:lineRule="auto"/>
        <w:rPr>
          <w:rFonts w:ascii="Arial" w:eastAsia="Times New Roman" w:hAnsi="Arial" w:cs="Arial"/>
          <w:sz w:val="22"/>
          <w:szCs w:val="22"/>
          <w:lang w:val="en-GB" w:eastAsia="en-GB"/>
        </w:rPr>
      </w:pPr>
      <w:r w:rsidRPr="00C275D1">
        <w:rPr>
          <w:rFonts w:ascii="Arial" w:eastAsia="Times New Roman" w:hAnsi="Arial" w:cs="Arial"/>
          <w:sz w:val="22"/>
          <w:szCs w:val="22"/>
          <w:lang w:val="en-GB" w:eastAsia="en-GB"/>
        </w:rPr>
        <w:t>Considering</w:t>
      </w:r>
      <w:r w:rsidR="00C275D1" w:rsidRPr="00C275D1">
        <w:rPr>
          <w:rFonts w:ascii="Arial" w:eastAsia="Times New Roman" w:hAnsi="Arial" w:cs="Arial"/>
          <w:sz w:val="22"/>
          <w:szCs w:val="22"/>
          <w:lang w:val="en-GB" w:eastAsia="en-GB"/>
        </w:rPr>
        <w:t xml:space="preserve"> these findings, several recommendations can be proposed to enhance Toyota’s organisational effectiveness. Firstly, the organisation should seek to improve decision-making agility by streamlining its consensus processes. While maintaining the benefits of collective input, introducing faster decision pathways in critical situations would enhance responsiveness.</w:t>
      </w:r>
    </w:p>
    <w:p w14:paraId="620870C2" w14:textId="77777777" w:rsidR="00C275D1" w:rsidRPr="00C275D1" w:rsidRDefault="00C275D1" w:rsidP="00C275D1">
      <w:pPr>
        <w:spacing w:before="100" w:beforeAutospacing="1" w:after="100" w:afterAutospacing="1" w:line="240" w:lineRule="auto"/>
        <w:rPr>
          <w:rFonts w:ascii="Arial" w:eastAsia="Times New Roman" w:hAnsi="Arial" w:cs="Arial"/>
          <w:sz w:val="22"/>
          <w:szCs w:val="22"/>
          <w:lang w:val="en-GB" w:eastAsia="en-GB"/>
        </w:rPr>
      </w:pPr>
      <w:r w:rsidRPr="00C275D1">
        <w:rPr>
          <w:rFonts w:ascii="Arial" w:eastAsia="Times New Roman" w:hAnsi="Arial" w:cs="Arial"/>
          <w:sz w:val="22"/>
          <w:szCs w:val="22"/>
          <w:lang w:val="en-GB" w:eastAsia="en-GB"/>
        </w:rPr>
        <w:t>Secondly, Toyota should foster a culture that encourages controlled risk-taking and experimentation. This could involve the development of dedicated innovation units or partnerships with technology firms, allowing the organisation to explore disruptive ideas without undermining its core operational stability.</w:t>
      </w:r>
    </w:p>
    <w:p w14:paraId="78DA9B90" w14:textId="77777777" w:rsidR="00C275D1" w:rsidRPr="00C275D1" w:rsidRDefault="00C275D1" w:rsidP="00C275D1">
      <w:pPr>
        <w:spacing w:before="100" w:beforeAutospacing="1" w:after="100" w:afterAutospacing="1" w:line="240" w:lineRule="auto"/>
        <w:rPr>
          <w:rFonts w:ascii="Arial" w:eastAsia="Times New Roman" w:hAnsi="Arial" w:cs="Arial"/>
          <w:sz w:val="22"/>
          <w:szCs w:val="22"/>
          <w:lang w:val="en-GB" w:eastAsia="en-GB"/>
        </w:rPr>
      </w:pPr>
      <w:r w:rsidRPr="00C275D1">
        <w:rPr>
          <w:rFonts w:ascii="Arial" w:eastAsia="Times New Roman" w:hAnsi="Arial" w:cs="Arial"/>
          <w:sz w:val="22"/>
          <w:szCs w:val="22"/>
          <w:lang w:val="en-GB" w:eastAsia="en-GB"/>
        </w:rPr>
        <w:t>Thirdly, the organisation should strengthen its global cultural adaptability by promoting more open communication across hierarchical levels and cultural boundaries. Encouraging constructive challenge and feedback from employees at all levels would support more effective decision-making and reduce the risk of groupthink.</w:t>
      </w:r>
    </w:p>
    <w:p w14:paraId="758EE263" w14:textId="77777777" w:rsidR="00C275D1" w:rsidRPr="00C275D1" w:rsidRDefault="00C275D1" w:rsidP="00C275D1">
      <w:pPr>
        <w:spacing w:before="100" w:beforeAutospacing="1" w:after="100" w:afterAutospacing="1" w:line="240" w:lineRule="auto"/>
        <w:rPr>
          <w:rFonts w:ascii="Arial" w:eastAsia="Times New Roman" w:hAnsi="Arial" w:cs="Arial"/>
          <w:sz w:val="22"/>
          <w:szCs w:val="22"/>
          <w:lang w:val="en-GB" w:eastAsia="en-GB"/>
        </w:rPr>
      </w:pPr>
      <w:r w:rsidRPr="00C275D1">
        <w:rPr>
          <w:rFonts w:ascii="Arial" w:eastAsia="Times New Roman" w:hAnsi="Arial" w:cs="Arial"/>
          <w:sz w:val="22"/>
          <w:szCs w:val="22"/>
          <w:lang w:val="en-GB" w:eastAsia="en-GB"/>
        </w:rPr>
        <w:t>Finally, Toyota should continue to invest in future-oriented technologies while balancing its traditional strengths with the need for innovation. By evolving its cultural approach to better support rapid change, the organisation can sustain its competitive position in an increasingly complex and dynamic global environment.</w:t>
      </w:r>
    </w:p>
    <w:p w14:paraId="058FF292" w14:textId="77777777" w:rsidR="00C275D1" w:rsidRPr="00C275D1" w:rsidRDefault="00C275D1" w:rsidP="00C275D1">
      <w:pPr>
        <w:spacing w:before="100" w:beforeAutospacing="1" w:after="100" w:afterAutospacing="1" w:line="240" w:lineRule="auto"/>
        <w:rPr>
          <w:rFonts w:ascii="Arial" w:eastAsia="Times New Roman" w:hAnsi="Arial" w:cs="Arial"/>
          <w:sz w:val="22"/>
          <w:szCs w:val="22"/>
          <w:lang w:val="en-GB" w:eastAsia="en-GB"/>
        </w:rPr>
      </w:pPr>
      <w:r w:rsidRPr="00C275D1">
        <w:rPr>
          <w:rFonts w:ascii="Arial" w:eastAsia="Times New Roman" w:hAnsi="Arial" w:cs="Arial"/>
          <w:sz w:val="22"/>
          <w:szCs w:val="22"/>
          <w:lang w:val="en-GB" w:eastAsia="en-GB"/>
        </w:rPr>
        <w:t>Overall, while Toyota’s organisational culture has been a key driver of its historical success, adapting certain aspects of this culture will be essential to ensuring continued high performance in the future.</w:t>
      </w:r>
    </w:p>
    <w:p w14:paraId="3BF36FC5" w14:textId="77777777" w:rsidR="00006EFF" w:rsidRPr="00006EFF" w:rsidRDefault="00006EFF" w:rsidP="00006EFF">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bookmarkStart w:id="9" w:name="_Toc227655267"/>
      <w:r w:rsidRPr="00006EFF">
        <w:rPr>
          <w:rFonts w:ascii="Times New Roman" w:eastAsia="Times New Roman" w:hAnsi="Times New Roman" w:cs="Times New Roman"/>
          <w:b/>
          <w:bCs/>
          <w:sz w:val="36"/>
          <w:szCs w:val="36"/>
          <w:lang w:val="en-GB" w:eastAsia="en-GB"/>
        </w:rPr>
        <w:t>7. Conclusion</w:t>
      </w:r>
      <w:bookmarkEnd w:id="9"/>
    </w:p>
    <w:p w14:paraId="0513A1B3" w14:textId="77777777" w:rsidR="00006EFF" w:rsidRPr="00006EFF" w:rsidRDefault="00006EFF" w:rsidP="00006EFF">
      <w:pPr>
        <w:spacing w:before="100" w:beforeAutospacing="1" w:after="100" w:afterAutospacing="1" w:line="240" w:lineRule="auto"/>
        <w:rPr>
          <w:rFonts w:ascii="Arial" w:eastAsia="Times New Roman" w:hAnsi="Arial" w:cs="Arial"/>
          <w:sz w:val="22"/>
          <w:szCs w:val="22"/>
          <w:lang w:val="en-GB" w:eastAsia="en-GB"/>
        </w:rPr>
      </w:pPr>
      <w:r w:rsidRPr="00006EFF">
        <w:rPr>
          <w:rFonts w:ascii="Arial" w:eastAsia="Times New Roman" w:hAnsi="Arial" w:cs="Arial"/>
          <w:sz w:val="22"/>
          <w:szCs w:val="22"/>
          <w:lang w:val="en-GB" w:eastAsia="en-GB"/>
        </w:rPr>
        <w:t>This report has critically examined the role of organisational culture within Toyota Motor Corporation, demonstrating its significant influence on structure, decision-making, adaptability, and overall performance. Drawing upon the perspective of Mullins and Christy (2016), it is evident that culture shapes “how things are done,” and in Toyota’s case, this is strongly reflected in its emphasis on continuous improvement, respect for people, and long-term strategic thinking.</w:t>
      </w:r>
    </w:p>
    <w:p w14:paraId="5D2F0E4B" w14:textId="77777777" w:rsidR="00006EFF" w:rsidRPr="00006EFF" w:rsidRDefault="00006EFF" w:rsidP="00006EFF">
      <w:pPr>
        <w:spacing w:before="100" w:beforeAutospacing="1" w:after="100" w:afterAutospacing="1" w:line="240" w:lineRule="auto"/>
        <w:rPr>
          <w:rFonts w:ascii="Arial" w:eastAsia="Times New Roman" w:hAnsi="Arial" w:cs="Arial"/>
          <w:sz w:val="22"/>
          <w:szCs w:val="22"/>
          <w:lang w:val="en-GB" w:eastAsia="en-GB"/>
        </w:rPr>
      </w:pPr>
      <w:r w:rsidRPr="00006EFF">
        <w:rPr>
          <w:rFonts w:ascii="Arial" w:eastAsia="Times New Roman" w:hAnsi="Arial" w:cs="Arial"/>
          <w:sz w:val="22"/>
          <w:szCs w:val="22"/>
          <w:lang w:val="en-GB" w:eastAsia="en-GB"/>
        </w:rPr>
        <w:t xml:space="preserve">The analysis revealed that Toyota’s organisational culture has been instrumental in creating a structured yet participative organisational framework, as well as a consensus-driven approach to decision-making. Through the application of Schein’s Model, Handy’s Cultural Types, and </w:t>
      </w:r>
      <w:r w:rsidRPr="00006EFF">
        <w:rPr>
          <w:rFonts w:ascii="Arial" w:eastAsia="Times New Roman" w:hAnsi="Arial" w:cs="Arial"/>
          <w:sz w:val="22"/>
          <w:szCs w:val="22"/>
          <w:lang w:val="en-GB" w:eastAsia="en-GB"/>
        </w:rPr>
        <w:lastRenderedPageBreak/>
        <w:t>Hofstede’s Cultural Dimensions, it is clear that Toyota’s culture is deeply embedded, highly consistent, and influenced by both organisational practices and national cultural values.</w:t>
      </w:r>
    </w:p>
    <w:p w14:paraId="71442AE9" w14:textId="77777777" w:rsidR="00006EFF" w:rsidRPr="00006EFF" w:rsidRDefault="00006EFF" w:rsidP="00006EFF">
      <w:pPr>
        <w:spacing w:before="100" w:beforeAutospacing="1" w:after="100" w:afterAutospacing="1" w:line="240" w:lineRule="auto"/>
        <w:rPr>
          <w:rFonts w:ascii="Arial" w:eastAsia="Times New Roman" w:hAnsi="Arial" w:cs="Arial"/>
          <w:sz w:val="22"/>
          <w:szCs w:val="22"/>
          <w:lang w:val="en-GB" w:eastAsia="en-GB"/>
        </w:rPr>
      </w:pPr>
      <w:r w:rsidRPr="00006EFF">
        <w:rPr>
          <w:rFonts w:ascii="Arial" w:eastAsia="Times New Roman" w:hAnsi="Arial" w:cs="Arial"/>
          <w:sz w:val="22"/>
          <w:szCs w:val="22"/>
          <w:lang w:val="en-GB" w:eastAsia="en-GB"/>
        </w:rPr>
        <w:t>Furthermore, the report highlighted how Toyota has leveraged its culture to adapt to external environmental pressures, particularly through incremental innovation and global expansion. However, it also identified limitations, including slower responsiveness in crisis situations and challenges in adapting to disruptive technological change.</w:t>
      </w:r>
    </w:p>
    <w:p w14:paraId="5F2F1A6A" w14:textId="77777777" w:rsidR="00006EFF" w:rsidRPr="00006EFF" w:rsidRDefault="00006EFF" w:rsidP="00006EFF">
      <w:pPr>
        <w:spacing w:before="100" w:beforeAutospacing="1" w:after="100" w:afterAutospacing="1" w:line="240" w:lineRule="auto"/>
        <w:rPr>
          <w:rFonts w:ascii="Arial" w:eastAsia="Times New Roman" w:hAnsi="Arial" w:cs="Arial"/>
          <w:sz w:val="22"/>
          <w:szCs w:val="22"/>
          <w:lang w:val="en-GB" w:eastAsia="en-GB"/>
        </w:rPr>
      </w:pPr>
      <w:r w:rsidRPr="00006EFF">
        <w:rPr>
          <w:rFonts w:ascii="Arial" w:eastAsia="Times New Roman" w:hAnsi="Arial" w:cs="Arial"/>
          <w:sz w:val="22"/>
          <w:szCs w:val="22"/>
          <w:lang w:val="en-GB" w:eastAsia="en-GB"/>
        </w:rPr>
        <w:t>Overall, Toyota’s organisational culture can be considered a significant enabler of long-term success, contributing to high levels of quality, efficiency, and employee engagement. Nevertheless, to remain competitive in an increasingly dynamic global environment, the organisation must evolve aspects of its culture to enhance agility, encourage innovation, and improve responsiveness.</w:t>
      </w:r>
    </w:p>
    <w:p w14:paraId="2D153265" w14:textId="77777777" w:rsidR="00006EFF" w:rsidRPr="00006EFF" w:rsidRDefault="00006EFF" w:rsidP="00006EFF">
      <w:pPr>
        <w:spacing w:before="100" w:beforeAutospacing="1" w:after="100" w:afterAutospacing="1" w:line="240" w:lineRule="auto"/>
        <w:rPr>
          <w:rFonts w:ascii="Arial" w:eastAsia="Times New Roman" w:hAnsi="Arial" w:cs="Arial"/>
          <w:sz w:val="22"/>
          <w:szCs w:val="22"/>
          <w:lang w:val="en-GB" w:eastAsia="en-GB"/>
        </w:rPr>
      </w:pPr>
      <w:r w:rsidRPr="00006EFF">
        <w:rPr>
          <w:rFonts w:ascii="Arial" w:eastAsia="Times New Roman" w:hAnsi="Arial" w:cs="Arial"/>
          <w:sz w:val="22"/>
          <w:szCs w:val="22"/>
          <w:lang w:val="en-GB" w:eastAsia="en-GB"/>
        </w:rPr>
        <w:t>In conclusion, while Toyota’s culture remains a key source of competitive advantage, its continued effectiveness will depend on its ability to balance stability with adaptability in the face of ongoing global change.</w:t>
      </w:r>
    </w:p>
    <w:p w14:paraId="2D9E9707" w14:textId="77777777" w:rsidR="00B37408" w:rsidRPr="00B37408" w:rsidRDefault="00B37408" w:rsidP="00B37408">
      <w:pPr>
        <w:spacing w:before="100" w:beforeAutospacing="1" w:after="100" w:afterAutospacing="1" w:line="240" w:lineRule="auto"/>
        <w:outlineLvl w:val="1"/>
        <w:rPr>
          <w:rFonts w:ascii="Times New Roman" w:eastAsia="Times New Roman" w:hAnsi="Times New Roman" w:cs="Times New Roman"/>
          <w:b/>
          <w:bCs/>
          <w:sz w:val="36"/>
          <w:szCs w:val="36"/>
          <w:lang w:val="en-GB" w:eastAsia="en-GB"/>
        </w:rPr>
      </w:pPr>
      <w:bookmarkStart w:id="10" w:name="_Toc227655268"/>
      <w:r w:rsidRPr="00B37408">
        <w:rPr>
          <w:rFonts w:ascii="Times New Roman" w:eastAsia="Times New Roman" w:hAnsi="Times New Roman" w:cs="Times New Roman"/>
          <w:b/>
          <w:bCs/>
          <w:sz w:val="36"/>
          <w:szCs w:val="36"/>
          <w:lang w:val="en-GB" w:eastAsia="en-GB"/>
        </w:rPr>
        <w:t>Reference List</w:t>
      </w:r>
      <w:bookmarkEnd w:id="10"/>
    </w:p>
    <w:p w14:paraId="3814B7F1" w14:textId="77777777" w:rsidR="00B37408" w:rsidRPr="00B37408" w:rsidRDefault="00B37408" w:rsidP="00B37408">
      <w:pPr>
        <w:spacing w:before="100" w:beforeAutospacing="1" w:after="100" w:afterAutospacing="1" w:line="240" w:lineRule="auto"/>
        <w:rPr>
          <w:rFonts w:ascii="Arial" w:eastAsia="Times New Roman" w:hAnsi="Arial" w:cs="Arial"/>
          <w:sz w:val="22"/>
          <w:szCs w:val="22"/>
          <w:lang w:val="en-GB" w:eastAsia="en-GB"/>
        </w:rPr>
      </w:pPr>
      <w:r w:rsidRPr="00B37408">
        <w:rPr>
          <w:rFonts w:ascii="Arial" w:eastAsia="Times New Roman" w:hAnsi="Arial" w:cs="Arial"/>
          <w:sz w:val="22"/>
          <w:szCs w:val="22"/>
          <w:lang w:val="en-GB" w:eastAsia="en-GB"/>
        </w:rPr>
        <w:t xml:space="preserve">Cole, R.E. (2011) ‘What really happened to Toyota?’, </w:t>
      </w:r>
      <w:r w:rsidRPr="00B37408">
        <w:rPr>
          <w:rFonts w:ascii="Arial" w:eastAsia="Times New Roman" w:hAnsi="Arial" w:cs="Arial"/>
          <w:i/>
          <w:iCs/>
          <w:sz w:val="22"/>
          <w:szCs w:val="22"/>
          <w:lang w:val="en-GB" w:eastAsia="en-GB"/>
        </w:rPr>
        <w:t>MIT Sloan Management Review</w:t>
      </w:r>
      <w:r w:rsidRPr="00B37408">
        <w:rPr>
          <w:rFonts w:ascii="Arial" w:eastAsia="Times New Roman" w:hAnsi="Arial" w:cs="Arial"/>
          <w:sz w:val="22"/>
          <w:szCs w:val="22"/>
          <w:lang w:val="en-GB" w:eastAsia="en-GB"/>
        </w:rPr>
        <w:t>, 52(4), pp. 29–35.</w:t>
      </w:r>
    </w:p>
    <w:p w14:paraId="0DE16E92" w14:textId="77777777" w:rsidR="00B37408" w:rsidRPr="00B37408" w:rsidRDefault="00B37408" w:rsidP="00B37408">
      <w:pPr>
        <w:spacing w:before="100" w:beforeAutospacing="1" w:after="100" w:afterAutospacing="1" w:line="240" w:lineRule="auto"/>
        <w:rPr>
          <w:rFonts w:ascii="Arial" w:eastAsia="Times New Roman" w:hAnsi="Arial" w:cs="Arial"/>
          <w:sz w:val="22"/>
          <w:szCs w:val="22"/>
          <w:lang w:val="en-GB" w:eastAsia="en-GB"/>
        </w:rPr>
      </w:pPr>
      <w:r w:rsidRPr="00B37408">
        <w:rPr>
          <w:rFonts w:ascii="Arial" w:eastAsia="Times New Roman" w:hAnsi="Arial" w:cs="Arial"/>
          <w:sz w:val="22"/>
          <w:szCs w:val="22"/>
          <w:lang w:val="en-GB" w:eastAsia="en-GB"/>
        </w:rPr>
        <w:t xml:space="preserve">Dyer, J.H. and Nobeoka, K. (2000) ‘Creating and managing a high-performance knowledge-sharing network: The Toyota case’, </w:t>
      </w:r>
      <w:r w:rsidRPr="00B37408">
        <w:rPr>
          <w:rFonts w:ascii="Arial" w:eastAsia="Times New Roman" w:hAnsi="Arial" w:cs="Arial"/>
          <w:i/>
          <w:iCs/>
          <w:sz w:val="22"/>
          <w:szCs w:val="22"/>
          <w:lang w:val="en-GB" w:eastAsia="en-GB"/>
        </w:rPr>
        <w:t>Strategic Management Journal</w:t>
      </w:r>
      <w:r w:rsidRPr="00B37408">
        <w:rPr>
          <w:rFonts w:ascii="Arial" w:eastAsia="Times New Roman" w:hAnsi="Arial" w:cs="Arial"/>
          <w:sz w:val="22"/>
          <w:szCs w:val="22"/>
          <w:lang w:val="en-GB" w:eastAsia="en-GB"/>
        </w:rPr>
        <w:t>, 21(3), pp. 345–367.</w:t>
      </w:r>
    </w:p>
    <w:p w14:paraId="1C5B9E99" w14:textId="77777777" w:rsidR="00B37408" w:rsidRPr="00B37408" w:rsidRDefault="00B37408" w:rsidP="00B37408">
      <w:pPr>
        <w:spacing w:before="100" w:beforeAutospacing="1" w:after="100" w:afterAutospacing="1" w:line="240" w:lineRule="auto"/>
        <w:rPr>
          <w:rFonts w:ascii="Arial" w:eastAsia="Times New Roman" w:hAnsi="Arial" w:cs="Arial"/>
          <w:sz w:val="22"/>
          <w:szCs w:val="22"/>
          <w:lang w:val="en-GB" w:eastAsia="en-GB"/>
        </w:rPr>
      </w:pPr>
      <w:r w:rsidRPr="00B37408">
        <w:rPr>
          <w:rFonts w:ascii="Arial" w:eastAsia="Times New Roman" w:hAnsi="Arial" w:cs="Arial"/>
          <w:sz w:val="22"/>
          <w:szCs w:val="22"/>
          <w:lang w:val="en-GB" w:eastAsia="en-GB"/>
        </w:rPr>
        <w:t xml:space="preserve">Handy, C. (1993) </w:t>
      </w:r>
      <w:r w:rsidRPr="00B37408">
        <w:rPr>
          <w:rFonts w:ascii="Arial" w:eastAsia="Times New Roman" w:hAnsi="Arial" w:cs="Arial"/>
          <w:i/>
          <w:iCs/>
          <w:sz w:val="22"/>
          <w:szCs w:val="22"/>
          <w:lang w:val="en-GB" w:eastAsia="en-GB"/>
        </w:rPr>
        <w:t>Understanding Organizations</w:t>
      </w:r>
      <w:r w:rsidRPr="00B37408">
        <w:rPr>
          <w:rFonts w:ascii="Arial" w:eastAsia="Times New Roman" w:hAnsi="Arial" w:cs="Arial"/>
          <w:sz w:val="22"/>
          <w:szCs w:val="22"/>
          <w:lang w:val="en-GB" w:eastAsia="en-GB"/>
        </w:rPr>
        <w:t>. 4th edn. London: Penguin.</w:t>
      </w:r>
    </w:p>
    <w:p w14:paraId="01E018F8" w14:textId="77777777" w:rsidR="00B37408" w:rsidRPr="00B37408" w:rsidRDefault="00B37408" w:rsidP="00B37408">
      <w:pPr>
        <w:spacing w:before="100" w:beforeAutospacing="1" w:after="100" w:afterAutospacing="1" w:line="240" w:lineRule="auto"/>
        <w:rPr>
          <w:rFonts w:ascii="Arial" w:eastAsia="Times New Roman" w:hAnsi="Arial" w:cs="Arial"/>
          <w:sz w:val="22"/>
          <w:szCs w:val="22"/>
          <w:lang w:val="en-GB" w:eastAsia="en-GB"/>
        </w:rPr>
      </w:pPr>
      <w:r w:rsidRPr="00B37408">
        <w:rPr>
          <w:rFonts w:ascii="Arial" w:eastAsia="Times New Roman" w:hAnsi="Arial" w:cs="Arial"/>
          <w:sz w:val="22"/>
          <w:szCs w:val="22"/>
          <w:lang w:val="en-GB" w:eastAsia="en-GB"/>
        </w:rPr>
        <w:t xml:space="preserve">Hofstede, G. (2001) </w:t>
      </w:r>
      <w:r w:rsidRPr="00B37408">
        <w:rPr>
          <w:rFonts w:ascii="Arial" w:eastAsia="Times New Roman" w:hAnsi="Arial" w:cs="Arial"/>
          <w:i/>
          <w:iCs/>
          <w:sz w:val="22"/>
          <w:szCs w:val="22"/>
          <w:lang w:val="en-GB" w:eastAsia="en-GB"/>
        </w:rPr>
        <w:t>Culture’s Consequences: Comparing Values, Behaviors, Institutions and Organizations Across Nations</w:t>
      </w:r>
      <w:r w:rsidRPr="00B37408">
        <w:rPr>
          <w:rFonts w:ascii="Arial" w:eastAsia="Times New Roman" w:hAnsi="Arial" w:cs="Arial"/>
          <w:sz w:val="22"/>
          <w:szCs w:val="22"/>
          <w:lang w:val="en-GB" w:eastAsia="en-GB"/>
        </w:rPr>
        <w:t>. 2nd edn. Thousand Oaks: Sage.</w:t>
      </w:r>
    </w:p>
    <w:p w14:paraId="0D2A9D37" w14:textId="77777777" w:rsidR="00B37408" w:rsidRPr="00B37408" w:rsidRDefault="00B37408" w:rsidP="00B37408">
      <w:pPr>
        <w:spacing w:before="100" w:beforeAutospacing="1" w:after="100" w:afterAutospacing="1" w:line="240" w:lineRule="auto"/>
        <w:rPr>
          <w:rFonts w:ascii="Arial" w:eastAsia="Times New Roman" w:hAnsi="Arial" w:cs="Arial"/>
          <w:sz w:val="22"/>
          <w:szCs w:val="22"/>
          <w:lang w:val="en-GB" w:eastAsia="en-GB"/>
        </w:rPr>
      </w:pPr>
      <w:r w:rsidRPr="00B37408">
        <w:rPr>
          <w:rFonts w:ascii="Arial" w:eastAsia="Times New Roman" w:hAnsi="Arial" w:cs="Arial"/>
          <w:sz w:val="22"/>
          <w:szCs w:val="22"/>
          <w:lang w:val="en-GB" w:eastAsia="en-GB"/>
        </w:rPr>
        <w:t xml:space="preserve">Liker, J.K. (2004) </w:t>
      </w:r>
      <w:r w:rsidRPr="00B37408">
        <w:rPr>
          <w:rFonts w:ascii="Arial" w:eastAsia="Times New Roman" w:hAnsi="Arial" w:cs="Arial"/>
          <w:i/>
          <w:iCs/>
          <w:sz w:val="22"/>
          <w:szCs w:val="22"/>
          <w:lang w:val="en-GB" w:eastAsia="en-GB"/>
        </w:rPr>
        <w:t>The Toyota Way: 14 Management Principles from the World’s Greatest Manufacturer</w:t>
      </w:r>
      <w:r w:rsidRPr="00B37408">
        <w:rPr>
          <w:rFonts w:ascii="Arial" w:eastAsia="Times New Roman" w:hAnsi="Arial" w:cs="Arial"/>
          <w:sz w:val="22"/>
          <w:szCs w:val="22"/>
          <w:lang w:val="en-GB" w:eastAsia="en-GB"/>
        </w:rPr>
        <w:t>. New York: McGraw-Hill.</w:t>
      </w:r>
    </w:p>
    <w:p w14:paraId="36DE0686" w14:textId="77777777" w:rsidR="00B37408" w:rsidRPr="00B37408" w:rsidRDefault="00B37408" w:rsidP="00B37408">
      <w:pPr>
        <w:spacing w:before="100" w:beforeAutospacing="1" w:after="100" w:afterAutospacing="1" w:line="240" w:lineRule="auto"/>
        <w:rPr>
          <w:rFonts w:ascii="Arial" w:eastAsia="Times New Roman" w:hAnsi="Arial" w:cs="Arial"/>
          <w:sz w:val="22"/>
          <w:szCs w:val="22"/>
          <w:lang w:val="en-GB" w:eastAsia="en-GB"/>
        </w:rPr>
      </w:pPr>
      <w:r w:rsidRPr="00B37408">
        <w:rPr>
          <w:rFonts w:ascii="Arial" w:eastAsia="Times New Roman" w:hAnsi="Arial" w:cs="Arial"/>
          <w:sz w:val="22"/>
          <w:szCs w:val="22"/>
          <w:lang w:val="en-GB" w:eastAsia="en-GB"/>
        </w:rPr>
        <w:t xml:space="preserve">Liker, J.K. and Hoseus, M. (2008) </w:t>
      </w:r>
      <w:r w:rsidRPr="00B37408">
        <w:rPr>
          <w:rFonts w:ascii="Arial" w:eastAsia="Times New Roman" w:hAnsi="Arial" w:cs="Arial"/>
          <w:i/>
          <w:iCs/>
          <w:sz w:val="22"/>
          <w:szCs w:val="22"/>
          <w:lang w:val="en-GB" w:eastAsia="en-GB"/>
        </w:rPr>
        <w:t>Toyota Culture: The Heart and Soul of the Toyota Way</w:t>
      </w:r>
      <w:r w:rsidRPr="00B37408">
        <w:rPr>
          <w:rFonts w:ascii="Arial" w:eastAsia="Times New Roman" w:hAnsi="Arial" w:cs="Arial"/>
          <w:sz w:val="22"/>
          <w:szCs w:val="22"/>
          <w:lang w:val="en-GB" w:eastAsia="en-GB"/>
        </w:rPr>
        <w:t>. New York: McGraw-Hill.</w:t>
      </w:r>
    </w:p>
    <w:p w14:paraId="7EAD0E58" w14:textId="77777777" w:rsidR="00B37408" w:rsidRPr="00B37408" w:rsidRDefault="00B37408" w:rsidP="00B37408">
      <w:pPr>
        <w:spacing w:before="100" w:beforeAutospacing="1" w:after="100" w:afterAutospacing="1" w:line="240" w:lineRule="auto"/>
        <w:rPr>
          <w:rFonts w:ascii="Arial" w:eastAsia="Times New Roman" w:hAnsi="Arial" w:cs="Arial"/>
          <w:sz w:val="22"/>
          <w:szCs w:val="22"/>
          <w:lang w:val="en-GB" w:eastAsia="en-GB"/>
        </w:rPr>
      </w:pPr>
      <w:r w:rsidRPr="00B37408">
        <w:rPr>
          <w:rFonts w:ascii="Arial" w:eastAsia="Times New Roman" w:hAnsi="Arial" w:cs="Arial"/>
          <w:sz w:val="22"/>
          <w:szCs w:val="22"/>
          <w:lang w:val="en-GB" w:eastAsia="en-GB"/>
        </w:rPr>
        <w:t xml:space="preserve">Mullins, L.J. and Christy, G. (2016) </w:t>
      </w:r>
      <w:r w:rsidRPr="00B37408">
        <w:rPr>
          <w:rFonts w:ascii="Arial" w:eastAsia="Times New Roman" w:hAnsi="Arial" w:cs="Arial"/>
          <w:i/>
          <w:iCs/>
          <w:sz w:val="22"/>
          <w:szCs w:val="22"/>
          <w:lang w:val="en-GB" w:eastAsia="en-GB"/>
        </w:rPr>
        <w:t>Management and Organisational Behaviour</w:t>
      </w:r>
      <w:r w:rsidRPr="00B37408">
        <w:rPr>
          <w:rFonts w:ascii="Arial" w:eastAsia="Times New Roman" w:hAnsi="Arial" w:cs="Arial"/>
          <w:sz w:val="22"/>
          <w:szCs w:val="22"/>
          <w:lang w:val="en-GB" w:eastAsia="en-GB"/>
        </w:rPr>
        <w:t>. 11th edn. Harlow: Pearson Education Limited.</w:t>
      </w:r>
    </w:p>
    <w:p w14:paraId="500C486B" w14:textId="77777777" w:rsidR="00B37408" w:rsidRPr="00B37408" w:rsidRDefault="00B37408" w:rsidP="00B37408">
      <w:pPr>
        <w:spacing w:before="100" w:beforeAutospacing="1" w:after="100" w:afterAutospacing="1" w:line="240" w:lineRule="auto"/>
        <w:rPr>
          <w:rFonts w:ascii="Arial" w:eastAsia="Times New Roman" w:hAnsi="Arial" w:cs="Arial"/>
          <w:sz w:val="22"/>
          <w:szCs w:val="22"/>
          <w:lang w:val="en-GB" w:eastAsia="en-GB"/>
        </w:rPr>
      </w:pPr>
      <w:r w:rsidRPr="00B37408">
        <w:rPr>
          <w:rFonts w:ascii="Arial" w:eastAsia="Times New Roman" w:hAnsi="Arial" w:cs="Arial"/>
          <w:sz w:val="22"/>
          <w:szCs w:val="22"/>
          <w:lang w:val="en-GB" w:eastAsia="en-GB"/>
        </w:rPr>
        <w:t xml:space="preserve">Ohno, T. (1988) </w:t>
      </w:r>
      <w:r w:rsidRPr="00B37408">
        <w:rPr>
          <w:rFonts w:ascii="Arial" w:eastAsia="Times New Roman" w:hAnsi="Arial" w:cs="Arial"/>
          <w:i/>
          <w:iCs/>
          <w:sz w:val="22"/>
          <w:szCs w:val="22"/>
          <w:lang w:val="en-GB" w:eastAsia="en-GB"/>
        </w:rPr>
        <w:t>Toyota Production System: Beyond Large-Scale Production</w:t>
      </w:r>
      <w:r w:rsidRPr="00B37408">
        <w:rPr>
          <w:rFonts w:ascii="Arial" w:eastAsia="Times New Roman" w:hAnsi="Arial" w:cs="Arial"/>
          <w:sz w:val="22"/>
          <w:szCs w:val="22"/>
          <w:lang w:val="en-GB" w:eastAsia="en-GB"/>
        </w:rPr>
        <w:t>. Portland: Productivity Press.</w:t>
      </w:r>
    </w:p>
    <w:p w14:paraId="024313DB" w14:textId="77777777" w:rsidR="00B37408" w:rsidRPr="00B37408" w:rsidRDefault="00B37408" w:rsidP="00B37408">
      <w:pPr>
        <w:spacing w:before="100" w:beforeAutospacing="1" w:after="100" w:afterAutospacing="1" w:line="240" w:lineRule="auto"/>
        <w:rPr>
          <w:rFonts w:ascii="Arial" w:eastAsia="Times New Roman" w:hAnsi="Arial" w:cs="Arial"/>
          <w:sz w:val="22"/>
          <w:szCs w:val="22"/>
          <w:lang w:val="en-GB" w:eastAsia="en-GB"/>
        </w:rPr>
      </w:pPr>
      <w:r w:rsidRPr="00B37408">
        <w:rPr>
          <w:rFonts w:ascii="Arial" w:eastAsia="Times New Roman" w:hAnsi="Arial" w:cs="Arial"/>
          <w:sz w:val="22"/>
          <w:szCs w:val="22"/>
          <w:lang w:val="en-GB" w:eastAsia="en-GB"/>
        </w:rPr>
        <w:t xml:space="preserve">Schein, E.H. (2010) </w:t>
      </w:r>
      <w:r w:rsidRPr="00B37408">
        <w:rPr>
          <w:rFonts w:ascii="Arial" w:eastAsia="Times New Roman" w:hAnsi="Arial" w:cs="Arial"/>
          <w:i/>
          <w:iCs/>
          <w:sz w:val="22"/>
          <w:szCs w:val="22"/>
          <w:lang w:val="en-GB" w:eastAsia="en-GB"/>
        </w:rPr>
        <w:t>Organizational Culture and Leadership</w:t>
      </w:r>
      <w:r w:rsidRPr="00B37408">
        <w:rPr>
          <w:rFonts w:ascii="Arial" w:eastAsia="Times New Roman" w:hAnsi="Arial" w:cs="Arial"/>
          <w:sz w:val="22"/>
          <w:szCs w:val="22"/>
          <w:lang w:val="en-GB" w:eastAsia="en-GB"/>
        </w:rPr>
        <w:t>. 4th edn. San Francisco: Jossey-Bass.</w:t>
      </w:r>
    </w:p>
    <w:p w14:paraId="625D6A02" w14:textId="77777777" w:rsidR="00B37408" w:rsidRPr="00B37408" w:rsidRDefault="00B37408" w:rsidP="00B37408">
      <w:pPr>
        <w:spacing w:before="100" w:beforeAutospacing="1" w:after="100" w:afterAutospacing="1" w:line="240" w:lineRule="auto"/>
        <w:rPr>
          <w:rFonts w:ascii="Arial" w:eastAsia="Times New Roman" w:hAnsi="Arial" w:cs="Arial"/>
          <w:sz w:val="22"/>
          <w:szCs w:val="22"/>
          <w:lang w:val="en-GB" w:eastAsia="en-GB"/>
        </w:rPr>
      </w:pPr>
      <w:r w:rsidRPr="00B37408">
        <w:rPr>
          <w:rFonts w:ascii="Arial" w:eastAsia="Times New Roman" w:hAnsi="Arial" w:cs="Arial"/>
          <w:sz w:val="22"/>
          <w:szCs w:val="22"/>
          <w:lang w:val="en-GB" w:eastAsia="en-GB"/>
        </w:rPr>
        <w:t xml:space="preserve">Spears, S.J. and Bowen, H.K. (1999) ‘Decoding the DNA of the Toyota Production System’, </w:t>
      </w:r>
      <w:r w:rsidRPr="00B37408">
        <w:rPr>
          <w:rFonts w:ascii="Arial" w:eastAsia="Times New Roman" w:hAnsi="Arial" w:cs="Arial"/>
          <w:i/>
          <w:iCs/>
          <w:sz w:val="22"/>
          <w:szCs w:val="22"/>
          <w:lang w:val="en-GB" w:eastAsia="en-GB"/>
        </w:rPr>
        <w:t>Harvard Business Review</w:t>
      </w:r>
      <w:r w:rsidRPr="00B37408">
        <w:rPr>
          <w:rFonts w:ascii="Arial" w:eastAsia="Times New Roman" w:hAnsi="Arial" w:cs="Arial"/>
          <w:sz w:val="22"/>
          <w:szCs w:val="22"/>
          <w:lang w:val="en-GB" w:eastAsia="en-GB"/>
        </w:rPr>
        <w:t>, 77(5), pp. 96–106.</w:t>
      </w:r>
    </w:p>
    <w:p w14:paraId="34B8CA70" w14:textId="77777777" w:rsidR="00B37408" w:rsidRPr="00B37408" w:rsidRDefault="00B37408" w:rsidP="00B37408">
      <w:pPr>
        <w:spacing w:before="100" w:beforeAutospacing="1" w:after="100" w:afterAutospacing="1" w:line="240" w:lineRule="auto"/>
        <w:rPr>
          <w:rFonts w:ascii="Arial" w:eastAsia="Times New Roman" w:hAnsi="Arial" w:cs="Arial"/>
          <w:sz w:val="22"/>
          <w:szCs w:val="22"/>
          <w:lang w:val="en-GB" w:eastAsia="en-GB"/>
        </w:rPr>
      </w:pPr>
      <w:r w:rsidRPr="00B37408">
        <w:rPr>
          <w:rFonts w:ascii="Arial" w:eastAsia="Times New Roman" w:hAnsi="Arial" w:cs="Arial"/>
          <w:sz w:val="22"/>
          <w:szCs w:val="22"/>
          <w:lang w:val="en-GB" w:eastAsia="en-GB"/>
        </w:rPr>
        <w:lastRenderedPageBreak/>
        <w:t xml:space="preserve">Womack, J.P., Jones, D.T. and Roos, D. (1990) </w:t>
      </w:r>
      <w:r w:rsidRPr="00B37408">
        <w:rPr>
          <w:rFonts w:ascii="Arial" w:eastAsia="Times New Roman" w:hAnsi="Arial" w:cs="Arial"/>
          <w:i/>
          <w:iCs/>
          <w:sz w:val="22"/>
          <w:szCs w:val="22"/>
          <w:lang w:val="en-GB" w:eastAsia="en-GB"/>
        </w:rPr>
        <w:t>The Machine That Changed the World</w:t>
      </w:r>
      <w:r w:rsidRPr="00B37408">
        <w:rPr>
          <w:rFonts w:ascii="Arial" w:eastAsia="Times New Roman" w:hAnsi="Arial" w:cs="Arial"/>
          <w:sz w:val="22"/>
          <w:szCs w:val="22"/>
          <w:lang w:val="en-GB" w:eastAsia="en-GB"/>
        </w:rPr>
        <w:t>. New York: Rawson Associates.</w:t>
      </w:r>
    </w:p>
    <w:p w14:paraId="303AF0E6" w14:textId="77777777" w:rsidR="00B37408" w:rsidRPr="00B37408" w:rsidRDefault="00B37408" w:rsidP="00B37408">
      <w:pPr>
        <w:spacing w:before="100" w:beforeAutospacing="1" w:after="100" w:afterAutospacing="1" w:line="240" w:lineRule="auto"/>
        <w:rPr>
          <w:rFonts w:ascii="Arial" w:eastAsia="Times New Roman" w:hAnsi="Arial" w:cs="Arial"/>
          <w:sz w:val="22"/>
          <w:szCs w:val="22"/>
          <w:lang w:val="en-GB" w:eastAsia="en-GB"/>
        </w:rPr>
      </w:pPr>
      <w:r w:rsidRPr="00B37408">
        <w:rPr>
          <w:rFonts w:ascii="Arial" w:eastAsia="Times New Roman" w:hAnsi="Arial" w:cs="Arial"/>
          <w:sz w:val="22"/>
          <w:szCs w:val="22"/>
          <w:lang w:val="en-GB" w:eastAsia="en-GB"/>
        </w:rPr>
        <w:t xml:space="preserve">Hitt, M.A., Ireland, R.D. and Hoskisson, R.E. (2017) </w:t>
      </w:r>
      <w:r w:rsidRPr="00B37408">
        <w:rPr>
          <w:rFonts w:ascii="Arial" w:eastAsia="Times New Roman" w:hAnsi="Arial" w:cs="Arial"/>
          <w:i/>
          <w:iCs/>
          <w:sz w:val="22"/>
          <w:szCs w:val="22"/>
          <w:lang w:val="en-GB" w:eastAsia="en-GB"/>
        </w:rPr>
        <w:t>Strategic Management: Competitiveness and Globalization</w:t>
      </w:r>
      <w:r w:rsidRPr="00B37408">
        <w:rPr>
          <w:rFonts w:ascii="Arial" w:eastAsia="Times New Roman" w:hAnsi="Arial" w:cs="Arial"/>
          <w:sz w:val="22"/>
          <w:szCs w:val="22"/>
          <w:lang w:val="en-GB" w:eastAsia="en-GB"/>
        </w:rPr>
        <w:t>. 12th edn. Boston: Cengage Learning.</w:t>
      </w:r>
    </w:p>
    <w:p w14:paraId="179AF2BD" w14:textId="77777777" w:rsidR="00100205" w:rsidRDefault="00100205" w:rsidP="4EFCE8A2">
      <w:pPr>
        <w:rPr>
          <w:sz w:val="28"/>
          <w:szCs w:val="28"/>
        </w:rPr>
      </w:pPr>
    </w:p>
    <w:sectPr w:rsidR="00100205" w:rsidSect="008E1D17">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3401A" w14:textId="77777777" w:rsidR="003A29CB" w:rsidRDefault="003A29CB" w:rsidP="00C33282">
      <w:pPr>
        <w:spacing w:after="0" w:line="240" w:lineRule="auto"/>
      </w:pPr>
      <w:r>
        <w:separator/>
      </w:r>
    </w:p>
  </w:endnote>
  <w:endnote w:type="continuationSeparator" w:id="0">
    <w:p w14:paraId="14114B29" w14:textId="77777777" w:rsidR="003A29CB" w:rsidRDefault="003A29CB" w:rsidP="00C33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7107814"/>
      <w:docPartObj>
        <w:docPartGallery w:val="Page Numbers (Bottom of Page)"/>
        <w:docPartUnique/>
      </w:docPartObj>
    </w:sdtPr>
    <w:sdtEndPr>
      <w:rPr>
        <w:noProof/>
      </w:rPr>
    </w:sdtEndPr>
    <w:sdtContent>
      <w:p w14:paraId="5E73AD5B" w14:textId="074EACE0" w:rsidR="00C33282" w:rsidRDefault="00C332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617B96" w14:textId="77777777" w:rsidR="00C33282" w:rsidRDefault="00C33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E7D44" w14:textId="77777777" w:rsidR="003A29CB" w:rsidRDefault="003A29CB" w:rsidP="00C33282">
      <w:pPr>
        <w:spacing w:after="0" w:line="240" w:lineRule="auto"/>
      </w:pPr>
      <w:r>
        <w:separator/>
      </w:r>
    </w:p>
  </w:footnote>
  <w:footnote w:type="continuationSeparator" w:id="0">
    <w:p w14:paraId="3CE4E223" w14:textId="77777777" w:rsidR="003A29CB" w:rsidRDefault="003A29CB" w:rsidP="00C3328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EUrSPl+JJ4OP7" int2:id="Pe8PIoCG">
      <int2:state int2:value="Rejected" int2:type="spell"/>
    </int2:textHash>
    <int2:textHash int2:hashCode="kByidkXaRxGvMx" int2:id="SXrEMv2h">
      <int2:state int2:value="Rejected" int2:type="spell"/>
    </int2:textHash>
    <int2:textHash int2:hashCode="kv4UVae7TQCfC0" int2:id="r9Wl2kn0">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E22457"/>
    <w:rsid w:val="00006EFF"/>
    <w:rsid w:val="00026252"/>
    <w:rsid w:val="00041B5F"/>
    <w:rsid w:val="00055320"/>
    <w:rsid w:val="00075F47"/>
    <w:rsid w:val="000A5225"/>
    <w:rsid w:val="00100205"/>
    <w:rsid w:val="0012454E"/>
    <w:rsid w:val="001C09C5"/>
    <w:rsid w:val="00251537"/>
    <w:rsid w:val="00272AFF"/>
    <w:rsid w:val="002C2F84"/>
    <w:rsid w:val="00346897"/>
    <w:rsid w:val="0035338B"/>
    <w:rsid w:val="00353B13"/>
    <w:rsid w:val="00356805"/>
    <w:rsid w:val="00387F9D"/>
    <w:rsid w:val="003A29CB"/>
    <w:rsid w:val="003B2F5E"/>
    <w:rsid w:val="00405B78"/>
    <w:rsid w:val="00423286"/>
    <w:rsid w:val="00462000"/>
    <w:rsid w:val="00464CFA"/>
    <w:rsid w:val="00475EF4"/>
    <w:rsid w:val="004A5BF5"/>
    <w:rsid w:val="004A7D05"/>
    <w:rsid w:val="005575D3"/>
    <w:rsid w:val="00565C0E"/>
    <w:rsid w:val="00592383"/>
    <w:rsid w:val="005A16A4"/>
    <w:rsid w:val="005D7310"/>
    <w:rsid w:val="0064494E"/>
    <w:rsid w:val="006A4815"/>
    <w:rsid w:val="006F0F5E"/>
    <w:rsid w:val="00780E98"/>
    <w:rsid w:val="00792577"/>
    <w:rsid w:val="007F2169"/>
    <w:rsid w:val="00800ADA"/>
    <w:rsid w:val="00816976"/>
    <w:rsid w:val="008259E0"/>
    <w:rsid w:val="008C2001"/>
    <w:rsid w:val="008E1D17"/>
    <w:rsid w:val="009037FB"/>
    <w:rsid w:val="00914A24"/>
    <w:rsid w:val="009435E0"/>
    <w:rsid w:val="00944358"/>
    <w:rsid w:val="009D610E"/>
    <w:rsid w:val="00A737E4"/>
    <w:rsid w:val="00B27610"/>
    <w:rsid w:val="00B37408"/>
    <w:rsid w:val="00B42810"/>
    <w:rsid w:val="00B97E26"/>
    <w:rsid w:val="00C275D1"/>
    <w:rsid w:val="00C33282"/>
    <w:rsid w:val="00C45F40"/>
    <w:rsid w:val="00C92E50"/>
    <w:rsid w:val="00D03A16"/>
    <w:rsid w:val="00DD17B8"/>
    <w:rsid w:val="00DF51F0"/>
    <w:rsid w:val="00EA2A8B"/>
    <w:rsid w:val="00EC3181"/>
    <w:rsid w:val="00F329FF"/>
    <w:rsid w:val="00F450B7"/>
    <w:rsid w:val="00F6607B"/>
    <w:rsid w:val="09C2549C"/>
    <w:rsid w:val="0DC3B474"/>
    <w:rsid w:val="17ACF37C"/>
    <w:rsid w:val="19E022D4"/>
    <w:rsid w:val="29E22457"/>
    <w:rsid w:val="2E6C1927"/>
    <w:rsid w:val="30B644CC"/>
    <w:rsid w:val="3199143C"/>
    <w:rsid w:val="37C74DA3"/>
    <w:rsid w:val="387C7B9C"/>
    <w:rsid w:val="3887163E"/>
    <w:rsid w:val="3B1EC5BC"/>
    <w:rsid w:val="3F13F1B0"/>
    <w:rsid w:val="4B6F284B"/>
    <w:rsid w:val="4EFCE8A2"/>
    <w:rsid w:val="525904F7"/>
    <w:rsid w:val="61FD51BE"/>
    <w:rsid w:val="6899B4A1"/>
    <w:rsid w:val="760DFF8E"/>
    <w:rsid w:val="7B8E1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0A1E4"/>
  <w15:chartTrackingRefBased/>
  <w15:docId w15:val="{182D34BA-36A5-47B7-96F8-A9078CEAD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810"/>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100205"/>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5575D3"/>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E1D17"/>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8E1D17"/>
    <w:rPr>
      <w:sz w:val="22"/>
      <w:szCs w:val="22"/>
      <w:lang w:eastAsia="en-US"/>
    </w:rPr>
  </w:style>
  <w:style w:type="character" w:customStyle="1" w:styleId="Heading1Char">
    <w:name w:val="Heading 1 Char"/>
    <w:basedOn w:val="DefaultParagraphFont"/>
    <w:link w:val="Heading1"/>
    <w:uiPriority w:val="9"/>
    <w:rsid w:val="00B42810"/>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B42810"/>
    <w:pPr>
      <w:spacing w:line="259" w:lineRule="auto"/>
      <w:outlineLvl w:val="9"/>
    </w:pPr>
    <w:rPr>
      <w:lang w:eastAsia="en-US"/>
    </w:rPr>
  </w:style>
  <w:style w:type="paragraph" w:styleId="Header">
    <w:name w:val="header"/>
    <w:basedOn w:val="Normal"/>
    <w:link w:val="HeaderChar"/>
    <w:uiPriority w:val="99"/>
    <w:unhideWhenUsed/>
    <w:rsid w:val="00C332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282"/>
  </w:style>
  <w:style w:type="paragraph" w:styleId="Footer">
    <w:name w:val="footer"/>
    <w:basedOn w:val="Normal"/>
    <w:link w:val="FooterChar"/>
    <w:uiPriority w:val="99"/>
    <w:unhideWhenUsed/>
    <w:rsid w:val="00C332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282"/>
  </w:style>
  <w:style w:type="character" w:customStyle="1" w:styleId="Heading2Char">
    <w:name w:val="Heading 2 Char"/>
    <w:basedOn w:val="DefaultParagraphFont"/>
    <w:link w:val="Heading2"/>
    <w:uiPriority w:val="9"/>
    <w:semiHidden/>
    <w:rsid w:val="00100205"/>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5575D3"/>
    <w:rPr>
      <w:rFonts w:asciiTheme="majorHAnsi" w:eastAsiaTheme="majorEastAsia" w:hAnsiTheme="majorHAnsi" w:cstheme="majorBidi"/>
      <w:color w:val="0A2F40" w:themeColor="accent1" w:themeShade="7F"/>
    </w:rPr>
  </w:style>
  <w:style w:type="paragraph" w:styleId="TOC2">
    <w:name w:val="toc 2"/>
    <w:basedOn w:val="Normal"/>
    <w:next w:val="Normal"/>
    <w:autoRedefine/>
    <w:uiPriority w:val="39"/>
    <w:unhideWhenUsed/>
    <w:rsid w:val="00B37408"/>
    <w:pPr>
      <w:spacing w:after="100"/>
      <w:ind w:left="240"/>
    </w:pPr>
  </w:style>
  <w:style w:type="paragraph" w:styleId="TOC3">
    <w:name w:val="toc 3"/>
    <w:basedOn w:val="Normal"/>
    <w:next w:val="Normal"/>
    <w:autoRedefine/>
    <w:uiPriority w:val="39"/>
    <w:unhideWhenUsed/>
    <w:rsid w:val="00B37408"/>
    <w:pPr>
      <w:spacing w:after="100"/>
      <w:ind w:left="480"/>
    </w:pPr>
  </w:style>
  <w:style w:type="character" w:styleId="Hyperlink">
    <w:name w:val="Hyperlink"/>
    <w:basedOn w:val="DefaultParagraphFont"/>
    <w:uiPriority w:val="99"/>
    <w:unhideWhenUsed/>
    <w:rsid w:val="00B3740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311EAAA-3B0E-45EF-8FF3-65A88A8A2486}">
  <we:reference id="8c1c3d44-57e9-40d7-86e4-4adf88fea1dd" version="3.0.0.0" store="EXCatalog" storeType="EXCatalog"/>
  <we:alternateReferences>
    <we:reference id="WA200007520" version="3.0.0.0" store="en-US" storeType="OMEX"/>
  </we:alternateReferences>
  <we:properties>
    <we:property name="currentStyle" value="{&quot;id&quot;:&quot;csl:5b5a39ec7a568007f5287ea2&quot;,&quot;styleType&quot;:&quot;csl&quot;,&quot;name&quot;:&quot;Cite Them Right 12th edition (author-date/Harvard)&quot;,&quot;isInstitutional&quot;:false,&quot;citeStyle&quot;:&quot;INTEXT_ONLY&quot;,&quot;isSorted&quot;:true,&quot;usesNumbers&quot;:false,&quot;externalId&quot;:&quot;harvard-cite-them-right&quot;,&quot;authorDisambiguation&quot;:&quot;surname_firstname&quot;}"/>
    <we:property name="rcm.version" value="2"/>
    <we:property name="currentFolder" value="{&quot;depth&quot;:0,&quot;id&quot;:&quot;all&quot;,&quot;name&quot;:&quot;All references&quot;,&quot;parentId&quot;:null,&quot;position&quot;:-2,&quot;isShared&quot;:fals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FB70E-08C5-4A50-8DD2-B6F8AE61D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11</Pages>
  <Words>3883</Words>
  <Characters>22138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25970</CharactersWithSpaces>
  <SharedDoc>false</SharedDoc>
  <HLinks>
    <vt:vector size="66" baseType="variant">
      <vt:variant>
        <vt:i4>1048626</vt:i4>
      </vt:variant>
      <vt:variant>
        <vt:i4>62</vt:i4>
      </vt:variant>
      <vt:variant>
        <vt:i4>0</vt:i4>
      </vt:variant>
      <vt:variant>
        <vt:i4>5</vt:i4>
      </vt:variant>
      <vt:variant>
        <vt:lpwstr/>
      </vt:variant>
      <vt:variant>
        <vt:lpwstr>_Toc227655268</vt:lpwstr>
      </vt:variant>
      <vt:variant>
        <vt:i4>1048626</vt:i4>
      </vt:variant>
      <vt:variant>
        <vt:i4>56</vt:i4>
      </vt:variant>
      <vt:variant>
        <vt:i4>0</vt:i4>
      </vt:variant>
      <vt:variant>
        <vt:i4>5</vt:i4>
      </vt:variant>
      <vt:variant>
        <vt:lpwstr/>
      </vt:variant>
      <vt:variant>
        <vt:lpwstr>_Toc227655267</vt:lpwstr>
      </vt:variant>
      <vt:variant>
        <vt:i4>1048626</vt:i4>
      </vt:variant>
      <vt:variant>
        <vt:i4>50</vt:i4>
      </vt:variant>
      <vt:variant>
        <vt:i4>0</vt:i4>
      </vt:variant>
      <vt:variant>
        <vt:i4>5</vt:i4>
      </vt:variant>
      <vt:variant>
        <vt:lpwstr/>
      </vt:variant>
      <vt:variant>
        <vt:lpwstr>_Toc227655266</vt:lpwstr>
      </vt:variant>
      <vt:variant>
        <vt:i4>1048626</vt:i4>
      </vt:variant>
      <vt:variant>
        <vt:i4>44</vt:i4>
      </vt:variant>
      <vt:variant>
        <vt:i4>0</vt:i4>
      </vt:variant>
      <vt:variant>
        <vt:i4>5</vt:i4>
      </vt:variant>
      <vt:variant>
        <vt:lpwstr/>
      </vt:variant>
      <vt:variant>
        <vt:lpwstr>_Toc227655265</vt:lpwstr>
      </vt:variant>
      <vt:variant>
        <vt:i4>1048626</vt:i4>
      </vt:variant>
      <vt:variant>
        <vt:i4>38</vt:i4>
      </vt:variant>
      <vt:variant>
        <vt:i4>0</vt:i4>
      </vt:variant>
      <vt:variant>
        <vt:i4>5</vt:i4>
      </vt:variant>
      <vt:variant>
        <vt:lpwstr/>
      </vt:variant>
      <vt:variant>
        <vt:lpwstr>_Toc227655264</vt:lpwstr>
      </vt:variant>
      <vt:variant>
        <vt:i4>1048626</vt:i4>
      </vt:variant>
      <vt:variant>
        <vt:i4>32</vt:i4>
      </vt:variant>
      <vt:variant>
        <vt:i4>0</vt:i4>
      </vt:variant>
      <vt:variant>
        <vt:i4>5</vt:i4>
      </vt:variant>
      <vt:variant>
        <vt:lpwstr/>
      </vt:variant>
      <vt:variant>
        <vt:lpwstr>_Toc227655263</vt:lpwstr>
      </vt:variant>
      <vt:variant>
        <vt:i4>1048626</vt:i4>
      </vt:variant>
      <vt:variant>
        <vt:i4>26</vt:i4>
      </vt:variant>
      <vt:variant>
        <vt:i4>0</vt:i4>
      </vt:variant>
      <vt:variant>
        <vt:i4>5</vt:i4>
      </vt:variant>
      <vt:variant>
        <vt:lpwstr/>
      </vt:variant>
      <vt:variant>
        <vt:lpwstr>_Toc227655262</vt:lpwstr>
      </vt:variant>
      <vt:variant>
        <vt:i4>1048626</vt:i4>
      </vt:variant>
      <vt:variant>
        <vt:i4>20</vt:i4>
      </vt:variant>
      <vt:variant>
        <vt:i4>0</vt:i4>
      </vt:variant>
      <vt:variant>
        <vt:i4>5</vt:i4>
      </vt:variant>
      <vt:variant>
        <vt:lpwstr/>
      </vt:variant>
      <vt:variant>
        <vt:lpwstr>_Toc227655261</vt:lpwstr>
      </vt:variant>
      <vt:variant>
        <vt:i4>1048626</vt:i4>
      </vt:variant>
      <vt:variant>
        <vt:i4>14</vt:i4>
      </vt:variant>
      <vt:variant>
        <vt:i4>0</vt:i4>
      </vt:variant>
      <vt:variant>
        <vt:i4>5</vt:i4>
      </vt:variant>
      <vt:variant>
        <vt:lpwstr/>
      </vt:variant>
      <vt:variant>
        <vt:lpwstr>_Toc227655260</vt:lpwstr>
      </vt:variant>
      <vt:variant>
        <vt:i4>1245234</vt:i4>
      </vt:variant>
      <vt:variant>
        <vt:i4>8</vt:i4>
      </vt:variant>
      <vt:variant>
        <vt:i4>0</vt:i4>
      </vt:variant>
      <vt:variant>
        <vt:i4>5</vt:i4>
      </vt:variant>
      <vt:variant>
        <vt:lpwstr/>
      </vt:variant>
      <vt:variant>
        <vt:lpwstr>_Toc227655259</vt:lpwstr>
      </vt:variant>
      <vt:variant>
        <vt:i4>1245234</vt:i4>
      </vt:variant>
      <vt:variant>
        <vt:i4>2</vt:i4>
      </vt:variant>
      <vt:variant>
        <vt:i4>0</vt:i4>
      </vt:variant>
      <vt:variant>
        <vt:i4>5</vt:i4>
      </vt:variant>
      <vt:variant>
        <vt:lpwstr/>
      </vt:variant>
      <vt:variant>
        <vt:lpwstr>_Toc227655258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Culture LCLM5005_LON</dc:title>
  <dc:subject/>
  <dc:creator>John Shanks Paton (2336252)</dc:creator>
  <cp:keywords/>
  <dc:description/>
  <cp:lastModifiedBy>John Shanks Paton (2336252)</cp:lastModifiedBy>
  <cp:revision>47</cp:revision>
  <dcterms:created xsi:type="dcterms:W3CDTF">2026-02-26T19:07:00Z</dcterms:created>
  <dcterms:modified xsi:type="dcterms:W3CDTF">2026-04-21T08:51:00Z</dcterms:modified>
</cp:coreProperties>
</file>