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5A7BE72" w:rsidP="65A7BE72" w:rsidRDefault="65A7BE72" w14:paraId="3B67BB90" w14:textId="07214D63">
      <w:pPr>
        <w:pStyle w:val="Normal"/>
        <w:spacing w:line="360" w:lineRule="auto"/>
        <w:rPr>
          <w:sz w:val="24"/>
          <w:szCs w:val="24"/>
        </w:rPr>
      </w:pPr>
      <w:r w:rsidRPr="113D5CFB" w:rsidR="76B02179">
        <w:rPr>
          <w:sz w:val="24"/>
          <w:szCs w:val="24"/>
        </w:rPr>
        <w:t xml:space="preserve">This paper will be supporting a presentation on the murder of James Bulger and the impact that this case had on policing and public </w:t>
      </w:r>
      <w:r w:rsidRPr="113D5CFB" w:rsidR="76B02179">
        <w:rPr>
          <w:sz w:val="24"/>
          <w:szCs w:val="24"/>
        </w:rPr>
        <w:t>perception</w:t>
      </w:r>
      <w:r w:rsidRPr="113D5CFB" w:rsidR="76B02179">
        <w:rPr>
          <w:sz w:val="24"/>
          <w:szCs w:val="24"/>
        </w:rPr>
        <w:t xml:space="preserve">. In February 1993, at two years old, James Bulger was abducted and murdered by two 10-year-old boys from a shopping centre in Merseyside, Liverpool (The Independent, 2023). This case grew an intense media following because of its strange circumstances, with public outcry growing as the case progressed. This paper will be focusing upon the </w:t>
      </w:r>
      <w:r w:rsidRPr="113D5CFB" w:rsidR="76B02179">
        <w:rPr>
          <w:sz w:val="24"/>
          <w:szCs w:val="24"/>
        </w:rPr>
        <w:t>initial</w:t>
      </w:r>
      <w:r w:rsidRPr="113D5CFB" w:rsidR="76B02179">
        <w:rPr>
          <w:sz w:val="24"/>
          <w:szCs w:val="24"/>
        </w:rPr>
        <w:t xml:space="preserve"> police response, the media coverage and the changes to policing and the criminal justice system following this incident to highlight the impact of this major event on policing. </w:t>
      </w:r>
    </w:p>
    <w:p w:rsidR="113D5CFB" w:rsidP="113D5CFB" w:rsidRDefault="113D5CFB" w14:paraId="333655B3" w14:textId="1614F0D9">
      <w:pPr>
        <w:pStyle w:val="Normal"/>
        <w:spacing w:line="360" w:lineRule="auto"/>
        <w:rPr>
          <w:sz w:val="24"/>
          <w:szCs w:val="24"/>
        </w:rPr>
      </w:pPr>
    </w:p>
    <w:p w:rsidR="76B02179" w:rsidP="65A7BE72" w:rsidRDefault="76B02179" w14:paraId="3957D54B" w14:textId="28B69D6A">
      <w:pPr>
        <w:pStyle w:val="Normal"/>
        <w:spacing w:line="360" w:lineRule="auto"/>
        <w:rPr>
          <w:sz w:val="24"/>
          <w:szCs w:val="24"/>
        </w:rPr>
      </w:pPr>
      <w:r w:rsidRPr="65A7BE72" w:rsidR="76B02179">
        <w:rPr>
          <w:sz w:val="24"/>
          <w:szCs w:val="24"/>
        </w:rPr>
        <w:t xml:space="preserve">The </w:t>
      </w:r>
      <w:r w:rsidRPr="65A7BE72" w:rsidR="76B02179">
        <w:rPr>
          <w:sz w:val="24"/>
          <w:szCs w:val="24"/>
        </w:rPr>
        <w:t>initial</w:t>
      </w:r>
      <w:r w:rsidRPr="65A7BE72" w:rsidR="76B02179">
        <w:rPr>
          <w:sz w:val="24"/>
          <w:szCs w:val="24"/>
        </w:rPr>
        <w:t xml:space="preserve"> abduction and then murder of James Bulger sparked a huge police response, with the police labelling the incident as ‘critical</w:t>
      </w:r>
      <w:r w:rsidRPr="65A7BE72" w:rsidR="76B02179">
        <w:rPr>
          <w:sz w:val="24"/>
          <w:szCs w:val="24"/>
        </w:rPr>
        <w:t>’.</w:t>
      </w:r>
      <w:r w:rsidRPr="65A7BE72" w:rsidR="76B02179">
        <w:rPr>
          <w:sz w:val="24"/>
          <w:szCs w:val="24"/>
        </w:rPr>
        <w:t xml:space="preserve"> The College of Policing [2013] explains that a ‘critical incident’ is an incident where the police’s response could severely </w:t>
      </w:r>
      <w:r w:rsidRPr="65A7BE72" w:rsidR="76B02179">
        <w:rPr>
          <w:sz w:val="24"/>
          <w:szCs w:val="24"/>
        </w:rPr>
        <w:t>impact</w:t>
      </w:r>
      <w:r w:rsidRPr="65A7BE72" w:rsidR="76B02179">
        <w:rPr>
          <w:sz w:val="24"/>
          <w:szCs w:val="24"/>
        </w:rPr>
        <w:t xml:space="preserve"> public </w:t>
      </w:r>
      <w:r w:rsidRPr="65A7BE72" w:rsidR="76B02179">
        <w:rPr>
          <w:sz w:val="24"/>
          <w:szCs w:val="24"/>
        </w:rPr>
        <w:t>perception</w:t>
      </w:r>
      <w:r w:rsidRPr="65A7BE72" w:rsidR="76B02179">
        <w:rPr>
          <w:sz w:val="24"/>
          <w:szCs w:val="24"/>
        </w:rPr>
        <w:t xml:space="preserve">. With such a devastating case at hand, </w:t>
      </w:r>
      <w:r w:rsidRPr="65A7BE72" w:rsidR="76B02179">
        <w:rPr>
          <w:sz w:val="24"/>
          <w:szCs w:val="24"/>
        </w:rPr>
        <w:t>it is clear that Merseyside</w:t>
      </w:r>
      <w:r w:rsidRPr="65A7BE72" w:rsidR="76B02179">
        <w:rPr>
          <w:sz w:val="24"/>
          <w:szCs w:val="24"/>
        </w:rPr>
        <w:t xml:space="preserve"> police service had to handle the case with utmost care and efficiency. Prolonged and repeated exposure to ‘critical incidents’ have been found to cause physical and emotional effects on police officers, including an extreme amount of stress (Otto and </w:t>
      </w:r>
      <w:r w:rsidRPr="65A7BE72" w:rsidR="76B02179">
        <w:rPr>
          <w:sz w:val="24"/>
          <w:szCs w:val="24"/>
        </w:rPr>
        <w:t>Gattens</w:t>
      </w:r>
      <w:r w:rsidRPr="65A7BE72" w:rsidR="76B02179">
        <w:rPr>
          <w:sz w:val="24"/>
          <w:szCs w:val="24"/>
        </w:rPr>
        <w:t xml:space="preserve">, 2022). Therefore, this emphasizes the negative impact that major incidents have upon police officers and their ability to police adequately. After </w:t>
      </w:r>
      <w:r w:rsidRPr="65A7BE72" w:rsidR="76B02179">
        <w:rPr>
          <w:sz w:val="24"/>
          <w:szCs w:val="24"/>
        </w:rPr>
        <w:t>locating</w:t>
      </w:r>
      <w:r w:rsidRPr="65A7BE72" w:rsidR="76B02179">
        <w:rPr>
          <w:sz w:val="24"/>
          <w:szCs w:val="24"/>
        </w:rPr>
        <w:t xml:space="preserve"> the suspects, detectives interviewed and charged Robert Thompson and Jon Venables for the murder of James Bulger. Even though Thompson and Venables were so young, the age of criminal responsibility in the United Kingdom sits at 10 years old, as the UK Government believes that a child of this age should </w:t>
      </w:r>
      <w:r w:rsidRPr="65A7BE72" w:rsidR="76B02179">
        <w:rPr>
          <w:sz w:val="24"/>
          <w:szCs w:val="24"/>
        </w:rPr>
        <w:t>reasonably know</w:t>
      </w:r>
      <w:r w:rsidRPr="65A7BE72" w:rsidR="76B02179">
        <w:rPr>
          <w:sz w:val="24"/>
          <w:szCs w:val="24"/>
        </w:rPr>
        <w:t xml:space="preserve"> the difference between right and wrong (Maguire, no date). The age of criminal responsibility has the potential to affect public </w:t>
      </w:r>
      <w:r w:rsidRPr="65A7BE72" w:rsidR="76B02179">
        <w:rPr>
          <w:sz w:val="24"/>
          <w:szCs w:val="24"/>
        </w:rPr>
        <w:t>perception</w:t>
      </w:r>
      <w:r w:rsidRPr="65A7BE72" w:rsidR="76B02179">
        <w:rPr>
          <w:sz w:val="24"/>
          <w:szCs w:val="24"/>
        </w:rPr>
        <w:t xml:space="preserve"> of the police service as it leads the public into a confused state </w:t>
      </w:r>
      <w:r w:rsidRPr="65A7BE72" w:rsidR="76B02179">
        <w:rPr>
          <w:sz w:val="24"/>
          <w:szCs w:val="24"/>
        </w:rPr>
        <w:t>regarding</w:t>
      </w:r>
      <w:r w:rsidRPr="65A7BE72" w:rsidR="76B02179">
        <w:rPr>
          <w:sz w:val="24"/>
          <w:szCs w:val="24"/>
        </w:rPr>
        <w:t xml:space="preserve"> sympathy for the children. It is human nature to feel sympathy towards someone so young, but after the details of their crime were revealed, the public quickly grew angry and hateful towards the young boys. </w:t>
      </w:r>
    </w:p>
    <w:p w:rsidR="76B02179" w:rsidP="65A7BE72" w:rsidRDefault="76B02179" w14:paraId="317A361E" w14:textId="0E782F08">
      <w:pPr>
        <w:pStyle w:val="Normal"/>
        <w:spacing w:line="360" w:lineRule="auto"/>
        <w:rPr>
          <w:sz w:val="24"/>
          <w:szCs w:val="24"/>
        </w:rPr>
      </w:pPr>
      <w:r w:rsidRPr="113D5CFB" w:rsidR="76B02179">
        <w:rPr>
          <w:sz w:val="24"/>
          <w:szCs w:val="24"/>
        </w:rPr>
        <w:t xml:space="preserve">Media coverage plays a </w:t>
      </w:r>
      <w:r w:rsidRPr="113D5CFB" w:rsidR="76B02179">
        <w:rPr>
          <w:sz w:val="24"/>
          <w:szCs w:val="24"/>
        </w:rPr>
        <w:t>substantial</w:t>
      </w:r>
      <w:r w:rsidRPr="113D5CFB" w:rsidR="76B02179">
        <w:rPr>
          <w:sz w:val="24"/>
          <w:szCs w:val="24"/>
        </w:rPr>
        <w:t xml:space="preserve"> role in shaping the publics views and beliefs, especially when they report on major incidents, such as James Bulger’s murder. A study by Chong and Druckman [2007] explained the media’s ability to affect the process in which people form a concept of a topic, therefore leading to the development of their attitudes towards said topics. Following the reveal of the identities of Venables and Thompson, a media frenzy ensued, with the boys being dubbed as ‘Freaks of Nature’ by the daily mirror (The Guardian, 2010). Negative media portrayals of these boys fuelled the public’s anger, with more negative headlines came more anger and outrage from the public. The tabloids took advantage of this and continued to publish “deep dives” into the boys' backgrounds, causing further turmoil to the public (Role of Stats Public Opinion, no date). Due to the sheer number of negative media being published, public </w:t>
      </w:r>
      <w:r w:rsidRPr="113D5CFB" w:rsidR="76B02179">
        <w:rPr>
          <w:sz w:val="24"/>
          <w:szCs w:val="24"/>
        </w:rPr>
        <w:t>perception</w:t>
      </w:r>
      <w:r w:rsidRPr="113D5CFB" w:rsidR="76B02179">
        <w:rPr>
          <w:sz w:val="24"/>
          <w:szCs w:val="24"/>
        </w:rPr>
        <w:t xml:space="preserve"> began to mirror those negative headlines. In turn, this pushed immense stress onto the police service and partner agencies to secure the correct judgement and adequate sentencing. Major incidents with as much coverage as this case have a larger impact on policing and public </w:t>
      </w:r>
      <w:r w:rsidRPr="113D5CFB" w:rsidR="76B02179">
        <w:rPr>
          <w:sz w:val="24"/>
          <w:szCs w:val="24"/>
        </w:rPr>
        <w:t>perception</w:t>
      </w:r>
      <w:r w:rsidRPr="113D5CFB" w:rsidR="76B02179">
        <w:rPr>
          <w:sz w:val="24"/>
          <w:szCs w:val="24"/>
        </w:rPr>
        <w:t xml:space="preserve"> as it is as if everything is being magnified and every move is watched and criticised. Following the harrowing media frenzy of this case, stricter rules have now been implemented </w:t>
      </w:r>
      <w:r w:rsidRPr="113D5CFB" w:rsidR="76B02179">
        <w:rPr>
          <w:sz w:val="24"/>
          <w:szCs w:val="24"/>
        </w:rPr>
        <w:t>regarding</w:t>
      </w:r>
      <w:r w:rsidRPr="113D5CFB" w:rsidR="76B02179">
        <w:rPr>
          <w:sz w:val="24"/>
          <w:szCs w:val="24"/>
        </w:rPr>
        <w:t xml:space="preserve"> the way the media are allowed to report on criminal cases, specifically those involving children. </w:t>
      </w:r>
    </w:p>
    <w:p w:rsidR="65A7BE72" w:rsidP="65A7BE72" w:rsidRDefault="65A7BE72" w14:paraId="459B4F3F" w14:textId="5FEA2093">
      <w:pPr>
        <w:pStyle w:val="Normal"/>
        <w:spacing w:line="360" w:lineRule="auto"/>
        <w:rPr>
          <w:sz w:val="24"/>
          <w:szCs w:val="24"/>
        </w:rPr>
      </w:pPr>
    </w:p>
    <w:p w:rsidR="65A7BE72" w:rsidP="65A7BE72" w:rsidRDefault="65A7BE72" w14:paraId="4D0DAD2D" w14:textId="0AE06AAA">
      <w:pPr>
        <w:pStyle w:val="Normal"/>
        <w:spacing w:line="360" w:lineRule="auto"/>
        <w:rPr>
          <w:sz w:val="24"/>
          <w:szCs w:val="24"/>
        </w:rPr>
      </w:pPr>
      <w:r w:rsidRPr="113D5CFB" w:rsidR="76B02179">
        <w:rPr>
          <w:sz w:val="24"/>
          <w:szCs w:val="24"/>
        </w:rPr>
        <w:t xml:space="preserve">Following the investigation and intense public outrage, many human rights advocate groups pushed for there to be changes in the way children are treated during police investigations and in court (Creaney et al, 2018). It is </w:t>
      </w:r>
      <w:r w:rsidRPr="113D5CFB" w:rsidR="76B02179">
        <w:rPr>
          <w:sz w:val="24"/>
          <w:szCs w:val="24"/>
        </w:rPr>
        <w:t>evident</w:t>
      </w:r>
      <w:r w:rsidRPr="113D5CFB" w:rsidR="76B02179">
        <w:rPr>
          <w:sz w:val="24"/>
          <w:szCs w:val="24"/>
        </w:rPr>
        <w:t xml:space="preserve"> that this led to immense pressure on police forces and partner agencies, such as the Crown Prosecution Services (CPS), in dealing with and prosecuting children in criminal cases. This also led to continuous calls for the age criminal responsibility to be raised from the age of 10, as people believed it was too young.</w:t>
      </w:r>
      <w:r w:rsidRPr="113D5CFB" w:rsidR="64D0AF8F">
        <w:rPr>
          <w:sz w:val="24"/>
          <w:szCs w:val="24"/>
        </w:rPr>
        <w:t xml:space="preserve"> </w:t>
      </w:r>
      <w:r w:rsidRPr="113D5CFB" w:rsidR="76B02179">
        <w:rPr>
          <w:sz w:val="24"/>
          <w:szCs w:val="24"/>
        </w:rPr>
        <w:t xml:space="preserve">A survey published by Pierpoint (2021) revealed that out of 200 people, 88% of participants believed that the age of criminal responsibility should be raised, with the most frequent answer being to raise the age to 16 years old. In turn, this shows how major incidents, specifically those involving children, have a significant impact on the way policing works and how public </w:t>
      </w:r>
      <w:r w:rsidRPr="113D5CFB" w:rsidR="76B02179">
        <w:rPr>
          <w:sz w:val="24"/>
          <w:szCs w:val="24"/>
        </w:rPr>
        <w:t>perception</w:t>
      </w:r>
      <w:r w:rsidRPr="113D5CFB" w:rsidR="76B02179">
        <w:rPr>
          <w:sz w:val="24"/>
          <w:szCs w:val="24"/>
        </w:rPr>
        <w:t xml:space="preserve"> can change so easily. As during the investigation and trial, the public were relentless in their anger towards Venables and Thompson and yet now people are requesting for the age of criminal responsibility to be raised. </w:t>
      </w:r>
    </w:p>
    <w:p w:rsidR="113D5CFB" w:rsidP="113D5CFB" w:rsidRDefault="113D5CFB" w14:paraId="72CF852B" w14:textId="59BB7AE3">
      <w:pPr>
        <w:pStyle w:val="Normal"/>
        <w:spacing w:line="360" w:lineRule="auto"/>
        <w:rPr>
          <w:sz w:val="24"/>
          <w:szCs w:val="24"/>
        </w:rPr>
      </w:pPr>
    </w:p>
    <w:p w:rsidR="76B02179" w:rsidP="65A7BE72" w:rsidRDefault="76B02179" w14:paraId="321E0D89" w14:textId="0BE31972">
      <w:pPr>
        <w:pStyle w:val="Normal"/>
        <w:spacing w:line="360" w:lineRule="auto"/>
        <w:rPr>
          <w:sz w:val="24"/>
          <w:szCs w:val="24"/>
        </w:rPr>
      </w:pPr>
      <w:r w:rsidRPr="113D5CFB" w:rsidR="76B02179">
        <w:rPr>
          <w:sz w:val="24"/>
          <w:szCs w:val="24"/>
        </w:rPr>
        <w:t xml:space="preserve">This presentation has emphasised the impact of the James Bulgers’ case on policing, partner agencies, public </w:t>
      </w:r>
      <w:r w:rsidRPr="113D5CFB" w:rsidR="76B02179">
        <w:rPr>
          <w:sz w:val="24"/>
          <w:szCs w:val="24"/>
        </w:rPr>
        <w:t>perception</w:t>
      </w:r>
      <w:r w:rsidRPr="113D5CFB" w:rsidR="76B02179">
        <w:rPr>
          <w:sz w:val="24"/>
          <w:szCs w:val="24"/>
        </w:rPr>
        <w:t xml:space="preserve"> and the way the media can sway opinions. By bringing in new rules to restrict the media’s ability to report on criminal cases involving children, it will allow the families to grieve and receive justice fairly (Youth Justice Legal Centre, no date). It will also allow them to have faith and trust in the police service to be able to deal with the case correctly, without the involvement of negative media portrayals standing in the way and damaging the child in the future. In addition, extensive measures have been implemented into the Criminal Justice System in the years following the James Bulger case to ensure </w:t>
      </w:r>
      <w:r w:rsidRPr="113D5CFB" w:rsidR="76B02179">
        <w:rPr>
          <w:sz w:val="24"/>
          <w:szCs w:val="24"/>
        </w:rPr>
        <w:t>it’s</w:t>
      </w:r>
      <w:r w:rsidRPr="113D5CFB" w:rsidR="76B02179">
        <w:rPr>
          <w:sz w:val="24"/>
          <w:szCs w:val="24"/>
        </w:rPr>
        <w:t xml:space="preserve"> ability to deal with and protect the youth that pass through. The Youth Justice Board (2019) published figures supporting that these extensive measures have proven successful, while showing more than a 75% decrease in the cautions or convictions given to white youths and a 55% decrease given to BAME youths.</w:t>
      </w:r>
    </w:p>
    <w:p w:rsidR="65A7BE72" w:rsidP="65A7BE72" w:rsidRDefault="65A7BE72" w14:paraId="1A1B4C8C" w14:textId="5597DBCF">
      <w:pPr>
        <w:pStyle w:val="Normal"/>
      </w:pPr>
    </w:p>
    <w:p w:rsidR="7613E30D" w:rsidP="113D5CFB" w:rsidRDefault="7613E30D" w14:paraId="2876D17D" w14:textId="24324127">
      <w:pPr>
        <w:pStyle w:val="Normal"/>
        <w:spacing w:line="360" w:lineRule="auto"/>
        <w:rPr>
          <w:sz w:val="24"/>
          <w:szCs w:val="24"/>
        </w:rPr>
      </w:pPr>
    </w:p>
    <w:p w:rsidR="7613E30D" w:rsidP="113D5CFB" w:rsidRDefault="7613E30D" w14:paraId="1A8780AA" w14:textId="72B0824C">
      <w:pPr>
        <w:pStyle w:val="Normal"/>
        <w:spacing w:line="360" w:lineRule="auto"/>
        <w:rPr>
          <w:sz w:val="24"/>
          <w:szCs w:val="24"/>
        </w:rPr>
      </w:pPr>
    </w:p>
    <w:p w:rsidR="7613E30D" w:rsidP="113D5CFB" w:rsidRDefault="7613E30D" w14:paraId="1497C7B8" w14:textId="0BD6B38B">
      <w:pPr>
        <w:pStyle w:val="Normal"/>
        <w:spacing w:line="360" w:lineRule="auto"/>
        <w:rPr>
          <w:sz w:val="24"/>
          <w:szCs w:val="24"/>
        </w:rPr>
      </w:pPr>
    </w:p>
    <w:p w:rsidR="7613E30D" w:rsidP="113D5CFB" w:rsidRDefault="7613E30D" w14:paraId="110D6105" w14:textId="00A3C63B">
      <w:pPr>
        <w:pStyle w:val="Normal"/>
        <w:spacing w:line="360" w:lineRule="auto"/>
        <w:rPr>
          <w:sz w:val="24"/>
          <w:szCs w:val="24"/>
        </w:rPr>
      </w:pPr>
    </w:p>
    <w:p w:rsidR="7613E30D" w:rsidP="65A7BE72" w:rsidRDefault="7613E30D" w14:paraId="12A0B942" w14:textId="693DA19E">
      <w:pPr>
        <w:pStyle w:val="Normal"/>
        <w:spacing w:line="360" w:lineRule="auto"/>
        <w:rPr>
          <w:sz w:val="24"/>
          <w:szCs w:val="24"/>
        </w:rPr>
      </w:pPr>
      <w:r w:rsidRPr="113D5CFB" w:rsidR="7613E30D">
        <w:rPr>
          <w:sz w:val="24"/>
          <w:szCs w:val="24"/>
        </w:rPr>
        <w:t xml:space="preserve">References </w:t>
      </w:r>
    </w:p>
    <w:p w:rsidR="65A7BE72" w:rsidP="65A7BE72" w:rsidRDefault="65A7BE72" w14:paraId="5A288FAA" w14:textId="09A7AFA3">
      <w:pPr>
        <w:pStyle w:val="Normal"/>
        <w:spacing w:line="360" w:lineRule="auto"/>
        <w:rPr>
          <w:sz w:val="24"/>
          <w:szCs w:val="24"/>
        </w:rPr>
      </w:pPr>
    </w:p>
    <w:p w:rsidR="7613E30D" w:rsidP="65A7BE72" w:rsidRDefault="7613E30D" w14:paraId="1357774B" w14:textId="296C6332">
      <w:pPr>
        <w:pStyle w:val="Normal"/>
        <w:spacing w:line="360" w:lineRule="auto"/>
        <w:rPr>
          <w:i w:val="0"/>
          <w:iCs w:val="0"/>
          <w:sz w:val="24"/>
          <w:szCs w:val="24"/>
        </w:rPr>
      </w:pPr>
      <w:r w:rsidRPr="65A7BE72" w:rsidR="7613E30D">
        <w:rPr>
          <w:sz w:val="24"/>
          <w:szCs w:val="24"/>
        </w:rPr>
        <w:t xml:space="preserve">The Independent (2023) </w:t>
      </w:r>
      <w:r w:rsidRPr="65A7BE72" w:rsidR="7613E30D">
        <w:rPr>
          <w:i w:val="1"/>
          <w:iCs w:val="1"/>
          <w:sz w:val="24"/>
          <w:szCs w:val="24"/>
        </w:rPr>
        <w:t xml:space="preserve">What happened to James Bulger? The disturbing child murder and its troubled aftermath. </w:t>
      </w:r>
      <w:r w:rsidRPr="65A7BE72" w:rsidR="7613E30D">
        <w:rPr>
          <w:i w:val="0"/>
          <w:iCs w:val="0"/>
          <w:sz w:val="24"/>
          <w:szCs w:val="24"/>
        </w:rPr>
        <w:t xml:space="preserve">Available at: </w:t>
      </w:r>
      <w:hyperlink r:id="R19cc7c1248f64b44">
        <w:r w:rsidRPr="65A7BE72" w:rsidR="7613E30D">
          <w:rPr>
            <w:rStyle w:val="Hyperlink"/>
            <w:i w:val="0"/>
            <w:iCs w:val="0"/>
            <w:sz w:val="24"/>
            <w:szCs w:val="24"/>
          </w:rPr>
          <w:t>https://www.independent.co.uk/news/uk/crime/james-bulger-murder-jon-venables-parole-b2446946.html</w:t>
        </w:r>
      </w:hyperlink>
      <w:r w:rsidRPr="65A7BE72" w:rsidR="7613E30D">
        <w:rPr>
          <w:i w:val="0"/>
          <w:iCs w:val="0"/>
          <w:sz w:val="24"/>
          <w:szCs w:val="24"/>
        </w:rPr>
        <w:t xml:space="preserve"> (Accessed: 6 December 2023)</w:t>
      </w:r>
    </w:p>
    <w:p w:rsidR="65A7BE72" w:rsidP="65A7BE72" w:rsidRDefault="65A7BE72" w14:paraId="459D06CF" w14:textId="7A93B948">
      <w:pPr>
        <w:pStyle w:val="Normal"/>
        <w:spacing w:line="360" w:lineRule="auto"/>
        <w:rPr>
          <w:i w:val="0"/>
          <w:iCs w:val="0"/>
          <w:sz w:val="24"/>
          <w:szCs w:val="24"/>
        </w:rPr>
      </w:pPr>
    </w:p>
    <w:p w:rsidR="7613E30D" w:rsidP="65A7BE72" w:rsidRDefault="7613E30D" w14:paraId="27222F9D" w14:textId="6B852B6C">
      <w:pPr>
        <w:pStyle w:val="Normal"/>
        <w:spacing w:line="360" w:lineRule="auto"/>
        <w:rPr>
          <w:i w:val="0"/>
          <w:iCs w:val="0"/>
          <w:sz w:val="24"/>
          <w:szCs w:val="24"/>
        </w:rPr>
      </w:pPr>
      <w:r w:rsidRPr="65A7BE72" w:rsidR="7613E30D">
        <w:rPr>
          <w:i w:val="0"/>
          <w:iCs w:val="0"/>
          <w:sz w:val="24"/>
          <w:szCs w:val="24"/>
        </w:rPr>
        <w:t xml:space="preserve">College of Policing (2013) </w:t>
      </w:r>
      <w:r w:rsidRPr="65A7BE72" w:rsidR="7613E30D">
        <w:rPr>
          <w:i w:val="1"/>
          <w:iCs w:val="1"/>
          <w:sz w:val="24"/>
          <w:szCs w:val="24"/>
        </w:rPr>
        <w:t xml:space="preserve">Introduction and types of critical incident. </w:t>
      </w:r>
      <w:r w:rsidRPr="65A7BE72" w:rsidR="7613E30D">
        <w:rPr>
          <w:i w:val="0"/>
          <w:iCs w:val="0"/>
          <w:sz w:val="24"/>
          <w:szCs w:val="24"/>
        </w:rPr>
        <w:t xml:space="preserve">Available at: </w:t>
      </w:r>
      <w:hyperlink r:id="R681667757b8548fc">
        <w:r w:rsidRPr="65A7BE72" w:rsidR="7613E30D">
          <w:rPr>
            <w:rStyle w:val="Hyperlink"/>
            <w:i w:val="0"/>
            <w:iCs w:val="0"/>
            <w:sz w:val="24"/>
            <w:szCs w:val="24"/>
          </w:rPr>
          <w:t>https://www.college.police.uk/app/critical-incident-management/introduction-and-types-critical-incidents</w:t>
        </w:r>
      </w:hyperlink>
      <w:r w:rsidRPr="65A7BE72" w:rsidR="7613E30D">
        <w:rPr>
          <w:i w:val="0"/>
          <w:iCs w:val="0"/>
          <w:sz w:val="24"/>
          <w:szCs w:val="24"/>
        </w:rPr>
        <w:t xml:space="preserve"> (Accessed: 6 December 2023)</w:t>
      </w:r>
    </w:p>
    <w:p w:rsidR="7613E30D" w:rsidP="65A7BE72" w:rsidRDefault="7613E30D" w14:paraId="71E1A3F8" w14:textId="5B564B45">
      <w:pPr>
        <w:pStyle w:val="Normal"/>
        <w:spacing w:line="360" w:lineRule="auto"/>
        <w:rPr>
          <w:sz w:val="24"/>
          <w:szCs w:val="24"/>
        </w:rPr>
      </w:pPr>
      <w:r w:rsidRPr="65A7BE72" w:rsidR="7613E30D">
        <w:rPr>
          <w:sz w:val="24"/>
          <w:szCs w:val="24"/>
        </w:rPr>
        <w:t xml:space="preserve"> </w:t>
      </w:r>
    </w:p>
    <w:p w:rsidR="7613E30D" w:rsidP="65A7BE72" w:rsidRDefault="7613E30D" w14:paraId="07285052" w14:textId="414B1892">
      <w:pPr>
        <w:pStyle w:val="Normal"/>
        <w:spacing w:line="360" w:lineRule="auto"/>
        <w:rPr>
          <w:rFonts w:ascii="Calibri" w:hAnsi="Calibri" w:eastAsia="Calibri" w:cs="Calibri"/>
          <w:noProof w:val="0"/>
          <w:color w:val="333333"/>
          <w:sz w:val="24"/>
          <w:szCs w:val="24"/>
          <w:lang w:val="en-GB"/>
        </w:rPr>
      </w:pPr>
      <w:r w:rsidRPr="65A7BE72" w:rsidR="7613E30D">
        <w:rPr>
          <w:rFonts w:ascii="Calibri" w:hAnsi="Calibri" w:eastAsia="Calibri" w:cs="Calibri"/>
          <w:noProof w:val="0"/>
          <w:color w:val="333333"/>
          <w:sz w:val="24"/>
          <w:szCs w:val="24"/>
          <w:lang w:val="en-GB"/>
        </w:rPr>
        <w:t xml:space="preserve">Chong, D., Druckman, J. (2007) 'A Theory of Framing and Opinion Formation in Competitive Elite Environments', </w:t>
      </w:r>
      <w:r w:rsidRPr="65A7BE72" w:rsidR="7613E30D">
        <w:rPr>
          <w:rFonts w:ascii="Calibri" w:hAnsi="Calibri" w:eastAsia="Calibri" w:cs="Calibri"/>
          <w:i w:val="1"/>
          <w:iCs w:val="1"/>
          <w:noProof w:val="0"/>
          <w:color w:val="333333"/>
          <w:sz w:val="24"/>
          <w:szCs w:val="24"/>
          <w:lang w:val="en-GB"/>
        </w:rPr>
        <w:t>Journal of Communication</w:t>
      </w:r>
      <w:r w:rsidRPr="65A7BE72" w:rsidR="7613E30D">
        <w:rPr>
          <w:rFonts w:ascii="Calibri" w:hAnsi="Calibri" w:eastAsia="Calibri" w:cs="Calibri"/>
          <w:noProof w:val="0"/>
          <w:color w:val="333333"/>
          <w:sz w:val="24"/>
          <w:szCs w:val="24"/>
          <w:lang w:val="en-GB"/>
        </w:rPr>
        <w:t xml:space="preserve">, 57, pp. 99-118. </w:t>
      </w:r>
    </w:p>
    <w:p w:rsidR="65A7BE72" w:rsidP="65A7BE72" w:rsidRDefault="65A7BE72" w14:paraId="59B53601" w14:textId="431282C7">
      <w:pPr>
        <w:pStyle w:val="Normal"/>
        <w:spacing w:line="360" w:lineRule="auto"/>
        <w:rPr>
          <w:rFonts w:ascii="Calibri" w:hAnsi="Calibri" w:eastAsia="Calibri" w:cs="Calibri"/>
          <w:noProof w:val="0"/>
          <w:color w:val="333333"/>
          <w:sz w:val="24"/>
          <w:szCs w:val="24"/>
          <w:lang w:val="en-GB"/>
        </w:rPr>
      </w:pPr>
    </w:p>
    <w:p w:rsidR="7613E30D" w:rsidP="65A7BE72" w:rsidRDefault="7613E30D" w14:paraId="6DFFBCFB" w14:textId="5C869CF4">
      <w:pPr>
        <w:pStyle w:val="Normal"/>
        <w:spacing w:line="360" w:lineRule="auto"/>
        <w:rPr>
          <w:rFonts w:ascii="Calibri" w:hAnsi="Calibri" w:eastAsia="Calibri" w:cs="Calibri"/>
          <w:i w:val="0"/>
          <w:iCs w:val="0"/>
          <w:noProof w:val="0"/>
          <w:color w:val="333333"/>
          <w:sz w:val="24"/>
          <w:szCs w:val="24"/>
          <w:lang w:val="en-GB"/>
        </w:rPr>
      </w:pPr>
      <w:r w:rsidRPr="65A7BE72" w:rsidR="7613E30D">
        <w:rPr>
          <w:rFonts w:ascii="Calibri" w:hAnsi="Calibri" w:eastAsia="Calibri" w:cs="Calibri"/>
          <w:noProof w:val="0"/>
          <w:color w:val="333333"/>
          <w:sz w:val="24"/>
          <w:szCs w:val="24"/>
          <w:lang w:val="en-GB"/>
        </w:rPr>
        <w:t xml:space="preserve">Otto, H.D., Gatens, A. (2022) </w:t>
      </w:r>
      <w:r w:rsidRPr="65A7BE72" w:rsidR="7613E30D">
        <w:rPr>
          <w:rFonts w:ascii="Calibri" w:hAnsi="Calibri" w:eastAsia="Calibri" w:cs="Calibri"/>
          <w:i w:val="1"/>
          <w:iCs w:val="1"/>
          <w:noProof w:val="0"/>
          <w:color w:val="333333"/>
          <w:sz w:val="24"/>
          <w:szCs w:val="24"/>
          <w:lang w:val="en-GB"/>
        </w:rPr>
        <w:t>Understanding Police Officer Stress: A Review of the Literature</w:t>
      </w:r>
      <w:r w:rsidRPr="65A7BE72" w:rsidR="7613E30D">
        <w:rPr>
          <w:rFonts w:ascii="Calibri" w:hAnsi="Calibri" w:eastAsia="Calibri" w:cs="Calibri"/>
          <w:i w:val="0"/>
          <w:iCs w:val="0"/>
          <w:noProof w:val="0"/>
          <w:color w:val="333333"/>
          <w:sz w:val="24"/>
          <w:szCs w:val="24"/>
          <w:lang w:val="en-GB"/>
        </w:rPr>
        <w:t xml:space="preserve">. Available at: </w:t>
      </w:r>
      <w:hyperlink w:anchor=":~:text=Police%20officers%20can%20develop%20chronic,which%20police%20are%20occasionally%20exposed" r:id="R3988da87008d400a">
        <w:r w:rsidRPr="65A7BE72" w:rsidR="7613E30D">
          <w:rPr>
            <w:rStyle w:val="Hyperlink"/>
            <w:rFonts w:ascii="Calibri" w:hAnsi="Calibri" w:eastAsia="Calibri" w:cs="Calibri"/>
            <w:i w:val="0"/>
            <w:iCs w:val="0"/>
            <w:noProof w:val="0"/>
            <w:sz w:val="24"/>
            <w:szCs w:val="24"/>
            <w:lang w:val="en-GB"/>
          </w:rPr>
          <w:t>https://icjia.illinois.gov/researchhub/articles/understanding-police-officer-stress-a-review-of-the-literature#:~:text=Police%20officers%20can%20develop%20chronic,which%20police%20are%20occasionally%20exposed</w:t>
        </w:r>
      </w:hyperlink>
      <w:r w:rsidRPr="65A7BE72" w:rsidR="7613E30D">
        <w:rPr>
          <w:rFonts w:ascii="Calibri" w:hAnsi="Calibri" w:eastAsia="Calibri" w:cs="Calibri"/>
          <w:i w:val="0"/>
          <w:iCs w:val="0"/>
          <w:noProof w:val="0"/>
          <w:color w:val="333333"/>
          <w:sz w:val="24"/>
          <w:szCs w:val="24"/>
          <w:lang w:val="en-GB"/>
        </w:rPr>
        <w:t>. (Accessed: 6 December 2023)</w:t>
      </w:r>
    </w:p>
    <w:p w:rsidR="65A7BE72" w:rsidP="65A7BE72" w:rsidRDefault="65A7BE72" w14:paraId="13049CC5" w14:textId="0519088E">
      <w:pPr>
        <w:pStyle w:val="Normal"/>
        <w:spacing w:line="360" w:lineRule="auto"/>
        <w:rPr>
          <w:rFonts w:ascii="Calibri" w:hAnsi="Calibri" w:eastAsia="Calibri" w:cs="Calibri"/>
          <w:i w:val="0"/>
          <w:iCs w:val="0"/>
          <w:noProof w:val="0"/>
          <w:color w:val="333333"/>
          <w:sz w:val="24"/>
          <w:szCs w:val="24"/>
          <w:lang w:val="en-GB"/>
        </w:rPr>
      </w:pPr>
    </w:p>
    <w:p w:rsidR="7613E30D" w:rsidP="65A7BE72" w:rsidRDefault="7613E30D" w14:paraId="6A95CBDF" w14:textId="2A4D3C71">
      <w:pPr>
        <w:pStyle w:val="Normal"/>
        <w:spacing w:line="360" w:lineRule="auto"/>
        <w:rPr>
          <w:rFonts w:ascii="Calibri" w:hAnsi="Calibri" w:eastAsia="Calibri" w:cs="Calibri"/>
          <w:i w:val="1"/>
          <w:iCs w:val="1"/>
          <w:noProof w:val="0"/>
          <w:color w:val="333333"/>
          <w:sz w:val="24"/>
          <w:szCs w:val="24"/>
          <w:lang w:val="en-GB"/>
        </w:rPr>
      </w:pPr>
      <w:r w:rsidRPr="65A7BE72" w:rsidR="7613E30D">
        <w:rPr>
          <w:rFonts w:ascii="Calibri" w:hAnsi="Calibri" w:eastAsia="Calibri" w:cs="Calibri"/>
          <w:i w:val="0"/>
          <w:iCs w:val="0"/>
          <w:noProof w:val="0"/>
          <w:color w:val="333333"/>
          <w:sz w:val="24"/>
          <w:szCs w:val="24"/>
          <w:lang w:val="en-GB"/>
        </w:rPr>
        <w:t xml:space="preserve">Creaney, S., Smith, R., Case, S. (2018). </w:t>
      </w:r>
      <w:r w:rsidRPr="65A7BE72" w:rsidR="7613E30D">
        <w:rPr>
          <w:rFonts w:ascii="Calibri" w:hAnsi="Calibri" w:eastAsia="Calibri" w:cs="Calibri"/>
          <w:i w:val="1"/>
          <w:iCs w:val="1"/>
          <w:noProof w:val="0"/>
          <w:color w:val="333333"/>
          <w:sz w:val="24"/>
          <w:szCs w:val="24"/>
          <w:lang w:val="en-GB"/>
        </w:rPr>
        <w:t>The James Bulger case should not set the age of criminal responsibility</w:t>
      </w:r>
      <w:r w:rsidRPr="65A7BE72" w:rsidR="7613E30D">
        <w:rPr>
          <w:rFonts w:ascii="Calibri" w:hAnsi="Calibri" w:eastAsia="Calibri" w:cs="Calibri"/>
          <w:i w:val="0"/>
          <w:iCs w:val="0"/>
          <w:noProof w:val="0"/>
          <w:color w:val="333333"/>
          <w:sz w:val="24"/>
          <w:szCs w:val="24"/>
          <w:lang w:val="en-GB"/>
        </w:rPr>
        <w:t>.</w:t>
      </w:r>
      <w:r w:rsidRPr="65A7BE72" w:rsidR="7613E30D">
        <w:rPr>
          <w:rFonts w:ascii="Calibri" w:hAnsi="Calibri" w:eastAsia="Calibri" w:cs="Calibri"/>
          <w:i w:val="0"/>
          <w:iCs w:val="0"/>
          <w:noProof w:val="0"/>
          <w:color w:val="333333"/>
          <w:sz w:val="24"/>
          <w:szCs w:val="24"/>
          <w:lang w:val="en-GB"/>
        </w:rPr>
        <w:t xml:space="preserve"> Available at: </w:t>
      </w:r>
      <w:hyperlink w:anchor=":~:text=The%20Bulger%20case%20fed%20into,stereotypes%20and%20knee%2Djerk%20responses" r:id="R7abad26fa0c64d35">
        <w:r w:rsidRPr="65A7BE72" w:rsidR="7613E30D">
          <w:rPr>
            <w:rStyle w:val="Hyperlink"/>
            <w:rFonts w:ascii="Calibri" w:hAnsi="Calibri" w:eastAsia="Calibri" w:cs="Calibri"/>
            <w:i w:val="0"/>
            <w:iCs w:val="0"/>
            <w:noProof w:val="0"/>
            <w:sz w:val="24"/>
            <w:szCs w:val="24"/>
            <w:lang w:val="en-GB"/>
          </w:rPr>
          <w:t>https://theconversation.com/the-james-bulger-case-should-not-set-the-age-of-criminal-responsibility-91342#:~:text=The%20Bulger%20case%20fed%20into,stereotypes%20and%20knee%2Djerk%20responses</w:t>
        </w:r>
      </w:hyperlink>
      <w:r w:rsidRPr="65A7BE72" w:rsidR="7613E30D">
        <w:rPr>
          <w:rFonts w:ascii="Calibri" w:hAnsi="Calibri" w:eastAsia="Calibri" w:cs="Calibri"/>
          <w:i w:val="0"/>
          <w:iCs w:val="0"/>
          <w:noProof w:val="0"/>
          <w:color w:val="333333"/>
          <w:sz w:val="24"/>
          <w:szCs w:val="24"/>
          <w:lang w:val="en-GB"/>
        </w:rPr>
        <w:t>. (Accessed: 6 December 2023)</w:t>
      </w:r>
    </w:p>
    <w:p w:rsidR="65A7BE72" w:rsidP="65A7BE72" w:rsidRDefault="65A7BE72" w14:paraId="33E63C25" w14:textId="38DE9552">
      <w:pPr>
        <w:pStyle w:val="Normal"/>
        <w:spacing w:line="360" w:lineRule="auto"/>
        <w:rPr>
          <w:rFonts w:ascii="Calibri" w:hAnsi="Calibri" w:eastAsia="Calibri" w:cs="Calibri"/>
          <w:i w:val="0"/>
          <w:iCs w:val="0"/>
          <w:noProof w:val="0"/>
          <w:color w:val="333333"/>
          <w:sz w:val="24"/>
          <w:szCs w:val="24"/>
          <w:lang w:val="en-GB"/>
        </w:rPr>
      </w:pPr>
    </w:p>
    <w:p w:rsidR="7613E30D" w:rsidP="65A7BE72" w:rsidRDefault="7613E30D" w14:paraId="580BD6DA" w14:textId="3FAC3AF7">
      <w:pPr>
        <w:pStyle w:val="Normal"/>
        <w:spacing w:line="360" w:lineRule="auto"/>
        <w:rPr>
          <w:rFonts w:ascii="Calibri" w:hAnsi="Calibri" w:eastAsia="Calibri" w:cs="Calibri"/>
          <w:i w:val="0"/>
          <w:iCs w:val="0"/>
          <w:noProof w:val="0"/>
          <w:color w:val="333333"/>
          <w:sz w:val="24"/>
          <w:szCs w:val="24"/>
          <w:lang w:val="en-GB"/>
        </w:rPr>
      </w:pPr>
      <w:r w:rsidRPr="65A7BE72" w:rsidR="7613E30D">
        <w:rPr>
          <w:rFonts w:ascii="Calibri" w:hAnsi="Calibri" w:eastAsia="Calibri" w:cs="Calibri"/>
          <w:i w:val="0"/>
          <w:iCs w:val="0"/>
          <w:noProof w:val="0"/>
          <w:color w:val="333333"/>
          <w:sz w:val="24"/>
          <w:szCs w:val="24"/>
          <w:lang w:val="en-GB"/>
        </w:rPr>
        <w:t xml:space="preserve">Maguire, J. (no date) </w:t>
      </w:r>
      <w:r w:rsidRPr="65A7BE72" w:rsidR="7613E30D">
        <w:rPr>
          <w:rFonts w:ascii="Calibri" w:hAnsi="Calibri" w:eastAsia="Calibri" w:cs="Calibri"/>
          <w:i w:val="1"/>
          <w:iCs w:val="1"/>
          <w:noProof w:val="0"/>
          <w:color w:val="333333"/>
          <w:sz w:val="24"/>
          <w:szCs w:val="24"/>
          <w:lang w:val="en-GB"/>
        </w:rPr>
        <w:t xml:space="preserve">Old enough to know better? </w:t>
      </w:r>
      <w:r w:rsidRPr="65A7BE72" w:rsidR="7613E30D">
        <w:rPr>
          <w:rFonts w:ascii="Calibri" w:hAnsi="Calibri" w:eastAsia="Calibri" w:cs="Calibri"/>
          <w:i w:val="1"/>
          <w:iCs w:val="1"/>
          <w:noProof w:val="0"/>
          <w:color w:val="333333"/>
          <w:sz w:val="24"/>
          <w:szCs w:val="24"/>
          <w:lang w:val="en-GB"/>
        </w:rPr>
        <w:t>The minimum age of criminal responsibility.</w:t>
      </w:r>
      <w:r w:rsidRPr="65A7BE72" w:rsidR="7613E30D">
        <w:rPr>
          <w:rFonts w:ascii="Calibri" w:hAnsi="Calibri" w:eastAsia="Calibri" w:cs="Calibri"/>
          <w:i w:val="0"/>
          <w:iCs w:val="0"/>
          <w:noProof w:val="0"/>
          <w:color w:val="333333"/>
          <w:sz w:val="24"/>
          <w:szCs w:val="24"/>
          <w:lang w:val="en-GB"/>
        </w:rPr>
        <w:t xml:space="preserve"> Available at: </w:t>
      </w:r>
      <w:hyperlink w:anchor=":~:text=The%20age%20of%20criminal%20responsibility,8%20years%20to%2010%20years" r:id="R6249c474e8db4372">
        <w:r w:rsidRPr="65A7BE72" w:rsidR="7613E30D">
          <w:rPr>
            <w:rStyle w:val="Hyperlink"/>
            <w:rFonts w:ascii="Calibri" w:hAnsi="Calibri" w:eastAsia="Calibri" w:cs="Calibri"/>
            <w:i w:val="0"/>
            <w:iCs w:val="0"/>
            <w:noProof w:val="0"/>
            <w:sz w:val="24"/>
            <w:szCs w:val="24"/>
            <w:lang w:val="en-GB"/>
          </w:rPr>
          <w:t>https://crimeline.co.uk/old-enough-to-know-better-the-minimum-age-of-criminal-responsibility/#:~:text=The%20age%20of%20criminal%20responsibility,8%20years%20to%2010%20years</w:t>
        </w:r>
      </w:hyperlink>
      <w:r w:rsidRPr="65A7BE72" w:rsidR="7613E30D">
        <w:rPr>
          <w:rFonts w:ascii="Calibri" w:hAnsi="Calibri" w:eastAsia="Calibri" w:cs="Calibri"/>
          <w:i w:val="0"/>
          <w:iCs w:val="0"/>
          <w:noProof w:val="0"/>
          <w:color w:val="333333"/>
          <w:sz w:val="24"/>
          <w:szCs w:val="24"/>
          <w:lang w:val="en-GB"/>
        </w:rPr>
        <w:t>. (Accessed: 6 December 2023)</w:t>
      </w:r>
    </w:p>
    <w:p w:rsidR="7613E30D" w:rsidP="65A7BE72" w:rsidRDefault="7613E30D" w14:paraId="4BCBA7D4" w14:textId="376C4257">
      <w:pPr>
        <w:pStyle w:val="Normal"/>
        <w:spacing w:line="360" w:lineRule="auto"/>
      </w:pPr>
      <w:r w:rsidR="7613E30D">
        <w:rPr/>
        <w:t xml:space="preserve">The Guardian (2010). </w:t>
      </w:r>
      <w:r w:rsidRPr="65A7BE72" w:rsidR="7613E30D">
        <w:rPr>
          <w:i w:val="1"/>
          <w:iCs w:val="1"/>
        </w:rPr>
        <w:t>Tainted by the James Bulger legacy.</w:t>
      </w:r>
      <w:r w:rsidRPr="65A7BE72" w:rsidR="7613E30D">
        <w:rPr>
          <w:i w:val="0"/>
          <w:iCs w:val="0"/>
        </w:rPr>
        <w:t xml:space="preserve"> Available at: </w:t>
      </w:r>
      <w:hyperlink r:id="R4c5447a480834014">
        <w:r w:rsidRPr="65A7BE72" w:rsidR="7613E30D">
          <w:rPr>
            <w:rStyle w:val="Hyperlink"/>
            <w:i w:val="0"/>
            <w:iCs w:val="0"/>
          </w:rPr>
          <w:t>https://www.theguardian.com/society/2010/mar/03/james-bulger-legacy-disturbed-children</w:t>
        </w:r>
      </w:hyperlink>
      <w:r w:rsidRPr="65A7BE72" w:rsidR="7613E30D">
        <w:rPr>
          <w:i w:val="0"/>
          <w:iCs w:val="0"/>
        </w:rPr>
        <w:t xml:space="preserve"> (Accessed: 6 December 2023) </w:t>
      </w:r>
    </w:p>
    <w:p w:rsidR="65A7BE72" w:rsidP="65A7BE72" w:rsidRDefault="65A7BE72" w14:paraId="01DA41F3" w14:textId="706A074D">
      <w:pPr>
        <w:pStyle w:val="Normal"/>
        <w:spacing w:line="360" w:lineRule="auto"/>
        <w:rPr>
          <w:i w:val="0"/>
          <w:iCs w:val="0"/>
        </w:rPr>
      </w:pPr>
    </w:p>
    <w:p w:rsidR="7613E30D" w:rsidP="65A7BE72" w:rsidRDefault="7613E30D" w14:paraId="74553B88" w14:textId="7BE90540">
      <w:pPr>
        <w:pStyle w:val="Normal"/>
        <w:spacing w:line="360" w:lineRule="auto"/>
        <w:rPr>
          <w:i w:val="0"/>
          <w:iCs w:val="0"/>
        </w:rPr>
      </w:pPr>
      <w:r w:rsidRPr="65A7BE72" w:rsidR="7613E30D">
        <w:rPr>
          <w:i w:val="0"/>
          <w:iCs w:val="0"/>
        </w:rPr>
        <w:t xml:space="preserve">Role of Stats Public Opinion (no date). </w:t>
      </w:r>
      <w:r w:rsidRPr="65A7BE72" w:rsidR="7613E30D">
        <w:rPr>
          <w:i w:val="1"/>
          <w:iCs w:val="1"/>
        </w:rPr>
        <w:t>Case Study – Bulger and the UK: The media, the public and the government reaction.</w:t>
      </w:r>
      <w:r w:rsidRPr="65A7BE72" w:rsidR="7613E30D">
        <w:rPr>
          <w:i w:val="0"/>
          <w:iCs w:val="0"/>
        </w:rPr>
        <w:t xml:space="preserve"> Available at: </w:t>
      </w:r>
      <w:hyperlink r:id="Rba8256674a6e47e4">
        <w:r w:rsidRPr="65A7BE72" w:rsidR="7613E30D">
          <w:rPr>
            <w:rStyle w:val="Hyperlink"/>
            <w:i w:val="0"/>
            <w:iCs w:val="0"/>
          </w:rPr>
          <w:t>https://www.google.com/url?sa=t&amp;rct=j&amp;q=&amp;esrc=s&amp;source=web&amp;cd=&amp;ved=2ahUKEwjx2_GHldiDAxW-QkEAHTv9AzgQFnoECA0QAw&amp;url=https%3A%2F%2Fhpa2mediastudies.files.wordpress.com%2F2018%2F05%2Froleofstatspublicopinion3uk.doc%23%3A~%3Atext%3DThe%2520public%27s%2520reaction%2520to%2520the%2Ccrime%2520and%2520the%2520boys%27%2520lives.&amp;usg=AOvVaw23VeS2_2vcFW0VVem7VeTG&amp;opi=89978449</w:t>
        </w:r>
      </w:hyperlink>
      <w:r w:rsidRPr="65A7BE72" w:rsidR="7613E30D">
        <w:rPr>
          <w:i w:val="0"/>
          <w:iCs w:val="0"/>
        </w:rPr>
        <w:t xml:space="preserve"> (Accessed: 6 December 2023)</w:t>
      </w:r>
    </w:p>
    <w:p w:rsidR="65A7BE72" w:rsidP="65A7BE72" w:rsidRDefault="65A7BE72" w14:paraId="19A1C0A3" w14:textId="753E73E7">
      <w:pPr>
        <w:pStyle w:val="Normal"/>
        <w:spacing w:line="360" w:lineRule="auto"/>
        <w:rPr>
          <w:i w:val="0"/>
          <w:iCs w:val="0"/>
        </w:rPr>
      </w:pPr>
    </w:p>
    <w:p w:rsidR="7613E30D" w:rsidP="65A7BE72" w:rsidRDefault="7613E30D" w14:paraId="23D52950" w14:textId="51733122">
      <w:pPr>
        <w:pStyle w:val="Normal"/>
        <w:spacing w:line="360" w:lineRule="auto"/>
        <w:rPr>
          <w:i w:val="0"/>
          <w:iCs w:val="0"/>
        </w:rPr>
      </w:pPr>
      <w:r w:rsidRPr="65A7BE72" w:rsidR="7613E30D">
        <w:rPr>
          <w:i w:val="0"/>
          <w:iCs w:val="0"/>
        </w:rPr>
        <w:t xml:space="preserve">Pierpoint, H. (2021) </w:t>
      </w:r>
      <w:r w:rsidRPr="65A7BE72" w:rsidR="7613E30D">
        <w:rPr>
          <w:i w:val="1"/>
          <w:iCs w:val="1"/>
        </w:rPr>
        <w:t>Why ten-year-old children should not be held criminally responsible.</w:t>
      </w:r>
      <w:r w:rsidRPr="65A7BE72" w:rsidR="7613E30D">
        <w:rPr>
          <w:i w:val="0"/>
          <w:iCs w:val="0"/>
        </w:rPr>
        <w:t xml:space="preserve"> Available at: </w:t>
      </w:r>
      <w:hyperlink w:anchor=":~:text=The%20death%20of%20James%20Bulger,”%20(incapable%20of%20evil" r:id="R40d6dc90e0c14c72">
        <w:r w:rsidRPr="65A7BE72" w:rsidR="7613E30D">
          <w:rPr>
            <w:rStyle w:val="Hyperlink"/>
            <w:i w:val="0"/>
            <w:iCs w:val="0"/>
          </w:rPr>
          <w:t>https://www.southwales.ac.uk/news/news-2021/why-ten-year-old-children-should-not-be-held-criminally-responsible/#:~:text=The%20death%20of%20James%20Bulger,”%20(incapable%20of%20evil</w:t>
        </w:r>
      </w:hyperlink>
      <w:r w:rsidRPr="65A7BE72" w:rsidR="7613E30D">
        <w:rPr>
          <w:i w:val="0"/>
          <w:iCs w:val="0"/>
        </w:rPr>
        <w:t xml:space="preserve">). (Accessed: 6 December 2023) </w:t>
      </w:r>
    </w:p>
    <w:p w:rsidR="65A7BE72" w:rsidP="65A7BE72" w:rsidRDefault="65A7BE72" w14:paraId="49C7232A" w14:textId="4B10E13F">
      <w:pPr>
        <w:pStyle w:val="Normal"/>
        <w:spacing w:line="360" w:lineRule="auto"/>
        <w:rPr>
          <w:i w:val="0"/>
          <w:iCs w:val="0"/>
        </w:rPr>
      </w:pPr>
    </w:p>
    <w:p w:rsidR="7613E30D" w:rsidP="65A7BE72" w:rsidRDefault="7613E30D" w14:paraId="33F76565" w14:textId="2BEB3832">
      <w:pPr>
        <w:pStyle w:val="Normal"/>
        <w:spacing w:line="360" w:lineRule="auto"/>
        <w:rPr>
          <w:i w:val="0"/>
          <w:iCs w:val="0"/>
        </w:rPr>
      </w:pPr>
      <w:r w:rsidRPr="65A7BE72" w:rsidR="7613E30D">
        <w:rPr>
          <w:i w:val="0"/>
          <w:iCs w:val="0"/>
        </w:rPr>
        <w:t xml:space="preserve">Youth Justice Legal Centre (no date). Available at: </w:t>
      </w:r>
      <w:hyperlink w:anchor=":~:text=(3)%20The%20court%20may%20direct,%5B….%5D" r:id="R0dc6f77117274c3c">
        <w:r w:rsidRPr="65A7BE72" w:rsidR="7613E30D">
          <w:rPr>
            <w:rStyle w:val="Hyperlink"/>
            <w:i w:val="0"/>
            <w:iCs w:val="0"/>
          </w:rPr>
          <w:t>https://yjlc.uk/resources/legal-guides-and-toolkits/reporting-restrictions-children-criminal-cases#:~:text=(3)%20The%20court%20may%20direct,%5B….%5D</w:t>
        </w:r>
      </w:hyperlink>
      <w:r w:rsidRPr="65A7BE72" w:rsidR="7613E30D">
        <w:rPr>
          <w:i w:val="0"/>
          <w:iCs w:val="0"/>
        </w:rPr>
        <w:t xml:space="preserve">  (Accessed: 16 December 2023)</w:t>
      </w:r>
    </w:p>
    <w:p w:rsidR="65A7BE72" w:rsidP="65A7BE72" w:rsidRDefault="65A7BE72" w14:paraId="68CA1C24" w14:textId="33E09F58">
      <w:pPr>
        <w:pStyle w:val="Normal"/>
        <w:spacing w:line="360" w:lineRule="auto"/>
        <w:rPr>
          <w:i w:val="0"/>
          <w:iCs w:val="0"/>
        </w:rPr>
      </w:pPr>
    </w:p>
    <w:p w:rsidR="7613E30D" w:rsidP="65A7BE72" w:rsidRDefault="7613E30D" w14:paraId="276C557D" w14:textId="64EC78BC">
      <w:pPr>
        <w:pStyle w:val="Normal"/>
        <w:spacing w:line="360" w:lineRule="auto"/>
        <w:rPr>
          <w:i w:val="0"/>
          <w:iCs w:val="0"/>
        </w:rPr>
      </w:pPr>
      <w:r w:rsidRPr="65A7BE72" w:rsidR="7613E30D">
        <w:rPr>
          <w:i w:val="0"/>
          <w:iCs w:val="0"/>
        </w:rPr>
        <w:t xml:space="preserve">Youth Justice Board (2019). </w:t>
      </w:r>
      <w:r w:rsidRPr="65A7BE72" w:rsidR="7613E30D">
        <w:rPr>
          <w:i w:val="1"/>
          <w:iCs w:val="1"/>
        </w:rPr>
        <w:t>The Youth Justice Population</w:t>
      </w:r>
      <w:r w:rsidRPr="65A7BE72" w:rsidR="7613E30D">
        <w:rPr>
          <w:i w:val="0"/>
          <w:iCs w:val="0"/>
        </w:rPr>
        <w:t xml:space="preserve">. Available at: </w:t>
      </w:r>
      <w:hyperlink r:id="R897200f4fccd4a45">
        <w:r w:rsidRPr="65A7BE72" w:rsidR="7613E30D">
          <w:rPr>
            <w:rStyle w:val="Hyperlink"/>
            <w:i w:val="0"/>
            <w:iCs w:val="0"/>
          </w:rPr>
          <w:t>https://publications.parliament.uk/pa/cm5801/cmselect/cmjust/306/30609.htm</w:t>
        </w:r>
      </w:hyperlink>
      <w:r w:rsidRPr="65A7BE72" w:rsidR="7613E30D">
        <w:rPr>
          <w:i w:val="0"/>
          <w:iCs w:val="0"/>
        </w:rPr>
        <w:t xml:space="preserve"> (Accessed: 16 December 2023)</w:t>
      </w:r>
    </w:p>
    <w:p w:rsidR="65A7BE72" w:rsidP="65A7BE72" w:rsidRDefault="65A7BE72" w14:paraId="271737FC" w14:textId="65CEDE11">
      <w:pPr>
        <w:pStyle w:val="Normal"/>
        <w:spacing w:line="360" w:lineRule="auto"/>
        <w:rPr>
          <w:sz w:val="24"/>
          <w:szCs w:val="24"/>
        </w:rPr>
      </w:pPr>
    </w:p>
    <w:sectPr>
      <w:pgSz w:w="11906" w:h="16838" w:orient="portrait"/>
      <w:pgMar w:top="1440" w:right="1440" w:bottom="1440" w:left="1440" w:header="720" w:footer="720" w:gutter="0"/>
      <w:cols w:space="720"/>
      <w:docGrid w:linePitch="360"/>
      <w:headerReference w:type="default" r:id="R01f42028a92241e6"/>
      <w:footerReference w:type="default" r:id="R93cd3cbff2c741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A7BE72" w:rsidTr="65A7BE72" w14:paraId="41FCB44D">
      <w:trPr>
        <w:trHeight w:val="300"/>
      </w:trPr>
      <w:tc>
        <w:tcPr>
          <w:tcW w:w="3005" w:type="dxa"/>
          <w:tcMar/>
        </w:tcPr>
        <w:p w:rsidR="65A7BE72" w:rsidP="65A7BE72" w:rsidRDefault="65A7BE72" w14:paraId="7E711CDE" w14:textId="17CD31D9">
          <w:pPr>
            <w:pStyle w:val="Header"/>
            <w:bidi w:val="0"/>
            <w:ind w:left="-115"/>
            <w:jc w:val="left"/>
          </w:pPr>
        </w:p>
      </w:tc>
      <w:tc>
        <w:tcPr>
          <w:tcW w:w="3005" w:type="dxa"/>
          <w:tcMar/>
        </w:tcPr>
        <w:p w:rsidR="65A7BE72" w:rsidP="65A7BE72" w:rsidRDefault="65A7BE72" w14:paraId="0B305EEE" w14:textId="3CD1FCA1">
          <w:pPr>
            <w:pStyle w:val="Header"/>
            <w:bidi w:val="0"/>
            <w:jc w:val="center"/>
          </w:pPr>
        </w:p>
      </w:tc>
      <w:tc>
        <w:tcPr>
          <w:tcW w:w="3005" w:type="dxa"/>
          <w:tcMar/>
        </w:tcPr>
        <w:p w:rsidR="65A7BE72" w:rsidP="65A7BE72" w:rsidRDefault="65A7BE72" w14:paraId="584D0BCB" w14:textId="39810E47">
          <w:pPr>
            <w:pStyle w:val="Header"/>
            <w:bidi w:val="0"/>
            <w:ind w:right="-115"/>
            <w:jc w:val="right"/>
          </w:pPr>
        </w:p>
      </w:tc>
    </w:tr>
  </w:tbl>
  <w:p w:rsidR="65A7BE72" w:rsidP="65A7BE72" w:rsidRDefault="65A7BE72" w14:paraId="05385FDE" w14:textId="1F9D8A6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A7BE72" w:rsidTr="65A7BE72" w14:paraId="51DED7D6">
      <w:trPr>
        <w:trHeight w:val="300"/>
      </w:trPr>
      <w:tc>
        <w:tcPr>
          <w:tcW w:w="3005" w:type="dxa"/>
          <w:tcMar/>
        </w:tcPr>
        <w:p w:rsidR="65A7BE72" w:rsidP="65A7BE72" w:rsidRDefault="65A7BE72" w14:paraId="4ECBCA45" w14:textId="206F8510">
          <w:pPr>
            <w:pStyle w:val="Header"/>
            <w:bidi w:val="0"/>
            <w:ind w:left="-115"/>
            <w:jc w:val="left"/>
          </w:pPr>
        </w:p>
      </w:tc>
      <w:tc>
        <w:tcPr>
          <w:tcW w:w="3005" w:type="dxa"/>
          <w:tcMar/>
        </w:tcPr>
        <w:p w:rsidR="65A7BE72" w:rsidP="65A7BE72" w:rsidRDefault="65A7BE72" w14:paraId="7894E037" w14:textId="6546C169">
          <w:pPr>
            <w:pStyle w:val="Header"/>
            <w:bidi w:val="0"/>
            <w:jc w:val="center"/>
          </w:pPr>
        </w:p>
      </w:tc>
      <w:tc>
        <w:tcPr>
          <w:tcW w:w="3005" w:type="dxa"/>
          <w:tcMar/>
        </w:tcPr>
        <w:p w:rsidR="65A7BE72" w:rsidP="65A7BE72" w:rsidRDefault="65A7BE72" w14:paraId="02E2F4C9" w14:textId="3D248B60">
          <w:pPr>
            <w:pStyle w:val="Header"/>
            <w:bidi w:val="0"/>
            <w:ind w:right="-115"/>
            <w:jc w:val="right"/>
          </w:pPr>
        </w:p>
      </w:tc>
    </w:tr>
  </w:tbl>
  <w:p w:rsidR="65A7BE72" w:rsidP="65A7BE72" w:rsidRDefault="65A7BE72" w14:paraId="5426BA3C" w14:textId="4897D358">
    <w:pPr>
      <w:pStyle w:val="Header"/>
      <w:bidi w:val="0"/>
    </w:pPr>
  </w:p>
</w:hdr>
</file>

<file path=word/intelligence2.xml><?xml version="1.0" encoding="utf-8"?>
<int2:intelligence xmlns:int2="http://schemas.microsoft.com/office/intelligence/2020/intelligence">
  <int2:observations>
    <int2:textHash int2:hashCode="VB5yedh23pEXMn" int2:id="xySI6pux">
      <int2:state int2:type="AugLoop_Text_Critique" int2:value="Rejected"/>
    </int2:textHash>
    <int2:bookmark int2:bookmarkName="_Int_4NMY4uyp" int2:invalidationBookmarkName="" int2:hashCode="VYjk0lx572yf8x" int2:id="z3UiEie8">
      <int2:state int2:type="WordDesignerPullQuotesAnnotation" int2:value="Reviewed"/>
    </int2:bookmark>
    <int2:bookmark int2:bookmarkName="_Int_vqAlNqyd" int2:invalidationBookmarkName="" int2:hashCode="kBaT1wMoMBRb7z" int2:id="2rjzAgc0">
      <int2:state int2:type="WordDesignerPullQuotesAnnotation" int2:value="Reviewed"/>
    </int2:bookmark>
    <int2:bookmark int2:bookmarkName="_Int_f4URDryC" int2:invalidationBookmarkName="" int2:hashCode="Hd/oy7SJZxWtGZ" int2:id="yutVTnm8">
      <int2:state int2:type="AugLoop_Text_Critique" int2:value="Rejected"/>
    </int2:bookmark>
    <int2:bookmark int2:bookmarkName="_Int_DxvKZh5q" int2:invalidationBookmarkName="" int2:hashCode="xgDzA50uAYUN6A" int2:id="4SuhfcHo">
      <int2:state int2:type="AugLoop_Text_Critique" int2:value="Rejected"/>
    </int2:bookmark>
    <int2:bookmark int2:bookmarkName="_Int_v6ulKzJ0" int2:invalidationBookmarkName="" int2:hashCode="lVvaaHEiDq1i5v" int2:id="hXKVGNQ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44B652"/>
    <w:rsid w:val="006DF9AA"/>
    <w:rsid w:val="01171FDD"/>
    <w:rsid w:val="0389C196"/>
    <w:rsid w:val="057E3CF7"/>
    <w:rsid w:val="05B1E2B1"/>
    <w:rsid w:val="05CCF6DA"/>
    <w:rsid w:val="06DA066B"/>
    <w:rsid w:val="07E1C41D"/>
    <w:rsid w:val="088B67C1"/>
    <w:rsid w:val="098D2B2F"/>
    <w:rsid w:val="099DE6D4"/>
    <w:rsid w:val="0A3BA9D7"/>
    <w:rsid w:val="0B28FB90"/>
    <w:rsid w:val="0BD77A38"/>
    <w:rsid w:val="0BFBFC34"/>
    <w:rsid w:val="0CC4CBF1"/>
    <w:rsid w:val="0E05BC39"/>
    <w:rsid w:val="0ECC3852"/>
    <w:rsid w:val="0FA18C9A"/>
    <w:rsid w:val="0FE34456"/>
    <w:rsid w:val="104F2A32"/>
    <w:rsid w:val="10518E4A"/>
    <w:rsid w:val="112E1888"/>
    <w:rsid w:val="113D5CFB"/>
    <w:rsid w:val="113F9C5B"/>
    <w:rsid w:val="121CB912"/>
    <w:rsid w:val="12315B7D"/>
    <w:rsid w:val="1246BBBC"/>
    <w:rsid w:val="13E28C1D"/>
    <w:rsid w:val="157E5C7E"/>
    <w:rsid w:val="1632292D"/>
    <w:rsid w:val="1734C715"/>
    <w:rsid w:val="1786D88B"/>
    <w:rsid w:val="19881416"/>
    <w:rsid w:val="1A3C6D62"/>
    <w:rsid w:val="1B877AE0"/>
    <w:rsid w:val="1C1A0D84"/>
    <w:rsid w:val="1CB205D6"/>
    <w:rsid w:val="1DAE2330"/>
    <w:rsid w:val="1F515AB2"/>
    <w:rsid w:val="1FBB890F"/>
    <w:rsid w:val="20643AD2"/>
    <w:rsid w:val="20ED2B13"/>
    <w:rsid w:val="2173CA85"/>
    <w:rsid w:val="223ACA62"/>
    <w:rsid w:val="224F8878"/>
    <w:rsid w:val="23D69AC3"/>
    <w:rsid w:val="247CCE9B"/>
    <w:rsid w:val="26B6B593"/>
    <w:rsid w:val="276D283C"/>
    <w:rsid w:val="27BB6B5C"/>
    <w:rsid w:val="288E7E0E"/>
    <w:rsid w:val="2908F89D"/>
    <w:rsid w:val="2984A67C"/>
    <w:rsid w:val="2987DB3F"/>
    <w:rsid w:val="2C84F895"/>
    <w:rsid w:val="2CBF7C01"/>
    <w:rsid w:val="2E58179F"/>
    <w:rsid w:val="30A042F6"/>
    <w:rsid w:val="319C6D46"/>
    <w:rsid w:val="321E7931"/>
    <w:rsid w:val="333F58AA"/>
    <w:rsid w:val="33E3E831"/>
    <w:rsid w:val="34DB290B"/>
    <w:rsid w:val="35BB851D"/>
    <w:rsid w:val="36B1AE2A"/>
    <w:rsid w:val="389E30F7"/>
    <w:rsid w:val="3A3A0158"/>
    <w:rsid w:val="3BD5D1B9"/>
    <w:rsid w:val="3CA0AC89"/>
    <w:rsid w:val="3CE70D73"/>
    <w:rsid w:val="3D75BDB1"/>
    <w:rsid w:val="3E16B577"/>
    <w:rsid w:val="3FEE7DF2"/>
    <w:rsid w:val="40428008"/>
    <w:rsid w:val="418CFC2D"/>
    <w:rsid w:val="41BA7E96"/>
    <w:rsid w:val="4351FE8D"/>
    <w:rsid w:val="43564EF7"/>
    <w:rsid w:val="44F21F58"/>
    <w:rsid w:val="45081F8C"/>
    <w:rsid w:val="457AADD3"/>
    <w:rsid w:val="468A279B"/>
    <w:rsid w:val="4825F7FC"/>
    <w:rsid w:val="48BF63C1"/>
    <w:rsid w:val="4911372F"/>
    <w:rsid w:val="49F83034"/>
    <w:rsid w:val="4B331525"/>
    <w:rsid w:val="4B696A0D"/>
    <w:rsid w:val="4CF59FE1"/>
    <w:rsid w:val="4D053A6E"/>
    <w:rsid w:val="4DA19296"/>
    <w:rsid w:val="4EE42A43"/>
    <w:rsid w:val="50593553"/>
    <w:rsid w:val="52A7D562"/>
    <w:rsid w:val="53178B96"/>
    <w:rsid w:val="5324FEAD"/>
    <w:rsid w:val="5400AC6D"/>
    <w:rsid w:val="54F3A0B7"/>
    <w:rsid w:val="559EE0E6"/>
    <w:rsid w:val="55E3CC42"/>
    <w:rsid w:val="57512BB0"/>
    <w:rsid w:val="577EAE19"/>
    <w:rsid w:val="58D3A60F"/>
    <w:rsid w:val="58ECFC11"/>
    <w:rsid w:val="590DC995"/>
    <w:rsid w:val="5AB286BD"/>
    <w:rsid w:val="5C681F70"/>
    <w:rsid w:val="5F2C9ACF"/>
    <w:rsid w:val="5F2F7BFE"/>
    <w:rsid w:val="5F7097A1"/>
    <w:rsid w:val="5F822EA2"/>
    <w:rsid w:val="60A0FF56"/>
    <w:rsid w:val="611DFF03"/>
    <w:rsid w:val="614B2F56"/>
    <w:rsid w:val="623CCFB7"/>
    <w:rsid w:val="62BD98A2"/>
    <w:rsid w:val="63D8A018"/>
    <w:rsid w:val="64D0AF8F"/>
    <w:rsid w:val="65A7BE72"/>
    <w:rsid w:val="67802F78"/>
    <w:rsid w:val="684E80EA"/>
    <w:rsid w:val="690AC502"/>
    <w:rsid w:val="69352836"/>
    <w:rsid w:val="6A84FE91"/>
    <w:rsid w:val="6AA69563"/>
    <w:rsid w:val="6B5EF4D2"/>
    <w:rsid w:val="6C836504"/>
    <w:rsid w:val="6D525306"/>
    <w:rsid w:val="6E0838CF"/>
    <w:rsid w:val="703265F5"/>
    <w:rsid w:val="71645B8D"/>
    <w:rsid w:val="72F87139"/>
    <w:rsid w:val="748C120A"/>
    <w:rsid w:val="74F0CA52"/>
    <w:rsid w:val="75711F44"/>
    <w:rsid w:val="759DC1CF"/>
    <w:rsid w:val="7613E30D"/>
    <w:rsid w:val="7627E26B"/>
    <w:rsid w:val="764834C1"/>
    <w:rsid w:val="76B02179"/>
    <w:rsid w:val="77AB51D7"/>
    <w:rsid w:val="77E40522"/>
    <w:rsid w:val="78455677"/>
    <w:rsid w:val="79472238"/>
    <w:rsid w:val="7AB24986"/>
    <w:rsid w:val="7B209BF7"/>
    <w:rsid w:val="7BA432FC"/>
    <w:rsid w:val="7C44B652"/>
    <w:rsid w:val="7C45B4E8"/>
    <w:rsid w:val="7C7EC2FA"/>
    <w:rsid w:val="7CFBDC37"/>
    <w:rsid w:val="7DDAB0A3"/>
    <w:rsid w:val="7E0D824C"/>
    <w:rsid w:val="7E1E5C99"/>
    <w:rsid w:val="7ECEF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638C6"/>
  <w15:chartTrackingRefBased/>
  <w15:docId w15:val="{A7C5D924-A58F-4D0D-AEE0-50C40059CF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pendent.co.uk/news/uk/crime/james-bulger-murder-jon-venables-parole-b2446946.html" TargetMode="External" Id="R19cc7c1248f64b44" /><Relationship Type="http://schemas.openxmlformats.org/officeDocument/2006/relationships/hyperlink" Target="https://www.college.police.uk/app/critical-incident-management/introduction-and-types-critical-incidents" TargetMode="External" Id="R681667757b8548fc" /><Relationship Type="http://schemas.openxmlformats.org/officeDocument/2006/relationships/hyperlink" Target="https://icjia.illinois.gov/researchhub/articles/understanding-police-officer-stress-a-review-of-the-literature" TargetMode="External" Id="R3988da87008d400a" /><Relationship Type="http://schemas.openxmlformats.org/officeDocument/2006/relationships/hyperlink" Target="https://theconversation.com/the-james-bulger-case-should-not-set-the-age-of-criminal-responsibility-91342" TargetMode="External" Id="R7abad26fa0c64d35" /><Relationship Type="http://schemas.openxmlformats.org/officeDocument/2006/relationships/hyperlink" Target="https://crimeline.co.uk/old-enough-to-know-better-the-minimum-age-of-criminal-responsibility/" TargetMode="External" Id="R6249c474e8db4372" /><Relationship Type="http://schemas.openxmlformats.org/officeDocument/2006/relationships/hyperlink" Target="https://www.theguardian.com/society/2010/mar/03/james-bulger-legacy-disturbed-children" TargetMode="External" Id="R4c5447a480834014" /><Relationship Type="http://schemas.openxmlformats.org/officeDocument/2006/relationships/hyperlink" Target="https://www.google.com/url?sa=t&amp;rct=j&amp;q=&amp;esrc=s&amp;source=web&amp;cd=&amp;ved=2ahUKEwjx2_GHldiDAxW-QkEAHTv9AzgQFnoECA0QAw&amp;url=https%3A%2F%2Fhpa2mediastudies.files.wordpress.com%2F2018%2F05%2Froleofstatspublicopinion3uk.doc%23%3A~%3Atext%3DThe%2520public%27s%2520reaction%2520to%2520the%2Ccrime%2520and%2520the%2520boys%27%2520lives.&amp;usg=AOvVaw23VeS2_2vcFW0VVem7VeTG&amp;opi=89978449" TargetMode="External" Id="Rba8256674a6e47e4" /><Relationship Type="http://schemas.openxmlformats.org/officeDocument/2006/relationships/hyperlink" Target="https://www.southwales.ac.uk/news/news-2021/why-ten-year-old-children-should-not-be-held-criminally-responsible/" TargetMode="External" Id="R40d6dc90e0c14c72" /><Relationship Type="http://schemas.openxmlformats.org/officeDocument/2006/relationships/hyperlink" Target="https://yjlc.uk/resources/legal-guides-and-toolkits/reporting-restrictions-children-criminal-cases" TargetMode="External" Id="R0dc6f77117274c3c" /><Relationship Type="http://schemas.openxmlformats.org/officeDocument/2006/relationships/hyperlink" Target="https://publications.parliament.uk/pa/cm5801/cmselect/cmjust/306/30609.htm" TargetMode="External" Id="R897200f4fccd4a45" /><Relationship Type="http://schemas.openxmlformats.org/officeDocument/2006/relationships/header" Target="/word/header.xml" Id="R01f42028a92241e6" /><Relationship Type="http://schemas.openxmlformats.org/officeDocument/2006/relationships/footer" Target="/word/footer.xml" Id="R93cd3cbff2c74145" /><Relationship Type="http://schemas.microsoft.com/office/2020/10/relationships/intelligence" Target="/word/intelligence2.xml" Id="Raa619b9942614a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Arianna Bennett (2200719)</dc:creator>
  <keywords/>
  <dc:description/>
  <lastModifiedBy>Arianna Bennett (2200719)</lastModifiedBy>
  <revision>3</revision>
  <dcterms:created xsi:type="dcterms:W3CDTF">2024-01-09T13:48:58.6265098Z</dcterms:created>
  <dcterms:modified xsi:type="dcterms:W3CDTF">2024-01-12T19:45:48.2631940Z</dcterms:modified>
</coreProperties>
</file>