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347EAE" w14:textId="77CF85A7" w:rsidR="00646B10" w:rsidRPr="003A2FDF" w:rsidRDefault="00646B10" w:rsidP="4E5D21AB">
      <w:pPr>
        <w:spacing w:line="360" w:lineRule="auto"/>
        <w:jc w:val="center"/>
        <w:rPr>
          <w:rFonts w:ascii="Aptos" w:hAnsi="Aptos" w:cs="Arial"/>
          <w:b/>
          <w:bCs/>
          <w:sz w:val="28"/>
          <w:szCs w:val="28"/>
        </w:rPr>
      </w:pPr>
    </w:p>
    <w:p w14:paraId="7CAFB8A8" w14:textId="77777777" w:rsidR="00646B10" w:rsidRPr="003A2FDF" w:rsidRDefault="00646B10" w:rsidP="00041A5A">
      <w:pPr>
        <w:spacing w:line="360" w:lineRule="auto"/>
        <w:jc w:val="center"/>
        <w:rPr>
          <w:rFonts w:ascii="Aptos" w:hAnsi="Aptos" w:cs="Arial"/>
          <w:b/>
          <w:bCs/>
          <w:sz w:val="28"/>
          <w:szCs w:val="28"/>
        </w:rPr>
      </w:pPr>
    </w:p>
    <w:p w14:paraId="09103BF7" w14:textId="77777777" w:rsidR="00646B10" w:rsidRPr="003A2FDF" w:rsidRDefault="00646B10" w:rsidP="00041A5A">
      <w:pPr>
        <w:spacing w:line="360" w:lineRule="auto"/>
        <w:jc w:val="center"/>
        <w:rPr>
          <w:rFonts w:ascii="Aptos" w:hAnsi="Aptos" w:cs="Arial"/>
          <w:b/>
          <w:bCs/>
          <w:sz w:val="28"/>
          <w:szCs w:val="28"/>
        </w:rPr>
      </w:pPr>
    </w:p>
    <w:p w14:paraId="75E38F7F" w14:textId="7C4BF558" w:rsidR="00715990" w:rsidRPr="003A2FDF" w:rsidRDefault="00715990" w:rsidP="00041A5A">
      <w:pPr>
        <w:spacing w:line="360" w:lineRule="auto"/>
        <w:jc w:val="center"/>
        <w:rPr>
          <w:rFonts w:ascii="Aptos" w:hAnsi="Aptos" w:cs="Arial"/>
          <w:b/>
          <w:bCs/>
          <w:sz w:val="28"/>
          <w:szCs w:val="28"/>
        </w:rPr>
      </w:pPr>
      <w:r w:rsidRPr="003A2FDF">
        <w:rPr>
          <w:rFonts w:ascii="Aptos" w:hAnsi="Aptos" w:cs="Arial"/>
          <w:b/>
          <w:bCs/>
          <w:sz w:val="28"/>
          <w:szCs w:val="28"/>
        </w:rPr>
        <w:t>Course: BSc (Hons) Health and Social Care</w:t>
      </w:r>
    </w:p>
    <w:p w14:paraId="7680A4B0" w14:textId="43F6E3D7" w:rsidR="00715990" w:rsidRPr="003A2FDF" w:rsidRDefault="00715990" w:rsidP="00041A5A">
      <w:pPr>
        <w:spacing w:line="360" w:lineRule="auto"/>
        <w:jc w:val="center"/>
        <w:rPr>
          <w:rFonts w:ascii="Aptos" w:hAnsi="Aptos" w:cs="Arial"/>
          <w:b/>
          <w:bCs/>
          <w:sz w:val="28"/>
          <w:szCs w:val="28"/>
        </w:rPr>
      </w:pPr>
      <w:r w:rsidRPr="003A2FDF">
        <w:rPr>
          <w:rFonts w:ascii="Aptos" w:hAnsi="Aptos" w:cs="Arial"/>
          <w:b/>
          <w:bCs/>
          <w:sz w:val="28"/>
          <w:szCs w:val="28"/>
        </w:rPr>
        <w:t>Module: Independent Project (BMHP6020_</w:t>
      </w:r>
      <w:r w:rsidR="00646B10" w:rsidRPr="003A2FDF">
        <w:rPr>
          <w:rFonts w:ascii="Aptos" w:hAnsi="Aptos" w:cs="Arial"/>
          <w:b/>
          <w:bCs/>
          <w:sz w:val="28"/>
          <w:szCs w:val="28"/>
        </w:rPr>
        <w:t>BIRM</w:t>
      </w:r>
      <w:r w:rsidRPr="003A2FDF">
        <w:rPr>
          <w:rFonts w:ascii="Aptos" w:hAnsi="Aptos" w:cs="Arial"/>
          <w:b/>
          <w:bCs/>
          <w:sz w:val="28"/>
          <w:szCs w:val="28"/>
        </w:rPr>
        <w:t>)</w:t>
      </w:r>
    </w:p>
    <w:p w14:paraId="3157DF3C" w14:textId="77777777" w:rsidR="00715990" w:rsidRPr="003A2FDF" w:rsidRDefault="00715990" w:rsidP="00041A5A">
      <w:pPr>
        <w:spacing w:line="360" w:lineRule="auto"/>
        <w:jc w:val="center"/>
        <w:rPr>
          <w:rFonts w:ascii="Aptos" w:hAnsi="Aptos" w:cs="Arial"/>
          <w:sz w:val="28"/>
          <w:szCs w:val="28"/>
        </w:rPr>
      </w:pPr>
    </w:p>
    <w:p w14:paraId="08BDA311" w14:textId="47401EAF" w:rsidR="00041A5A" w:rsidRPr="003A2FDF" w:rsidRDefault="00FB4301" w:rsidP="00FB4301">
      <w:pPr>
        <w:spacing w:line="360" w:lineRule="auto"/>
        <w:jc w:val="center"/>
        <w:rPr>
          <w:rFonts w:ascii="Aptos" w:hAnsi="Aptos" w:cs="Arial"/>
          <w:b/>
          <w:bCs/>
          <w:sz w:val="28"/>
          <w:szCs w:val="28"/>
        </w:rPr>
      </w:pPr>
      <w:r w:rsidRPr="5A2A3AC8">
        <w:rPr>
          <w:rFonts w:ascii="Aptos" w:hAnsi="Aptos" w:cs="Arial"/>
          <w:b/>
          <w:bCs/>
          <w:sz w:val="28"/>
          <w:szCs w:val="28"/>
        </w:rPr>
        <w:t>Component 1</w:t>
      </w:r>
      <w:r w:rsidR="00715990" w:rsidRPr="5A2A3AC8">
        <w:rPr>
          <w:rFonts w:ascii="Aptos" w:hAnsi="Aptos" w:cs="Arial"/>
          <w:b/>
          <w:bCs/>
          <w:sz w:val="28"/>
          <w:szCs w:val="28"/>
        </w:rPr>
        <w:t xml:space="preserve">: </w:t>
      </w:r>
      <w:r w:rsidRPr="5A2A3AC8">
        <w:rPr>
          <w:rFonts w:ascii="Aptos" w:hAnsi="Aptos" w:cs="Arial"/>
          <w:sz w:val="28"/>
          <w:szCs w:val="28"/>
        </w:rPr>
        <w:t>Element 1</w:t>
      </w:r>
      <w:r w:rsidR="00715990" w:rsidRPr="5A2A3AC8">
        <w:rPr>
          <w:rFonts w:ascii="Aptos" w:hAnsi="Aptos" w:cs="Arial"/>
          <w:sz w:val="28"/>
          <w:szCs w:val="28"/>
        </w:rPr>
        <w:t xml:space="preserve"> - Project Prop</w:t>
      </w:r>
      <w:r w:rsidR="36608041" w:rsidRPr="5A2A3AC8">
        <w:rPr>
          <w:rFonts w:ascii="Aptos" w:hAnsi="Aptos" w:cs="Arial"/>
          <w:sz w:val="28"/>
          <w:szCs w:val="28"/>
        </w:rPr>
        <w:t>A</w:t>
      </w:r>
      <w:r w:rsidR="00715990" w:rsidRPr="5A2A3AC8">
        <w:rPr>
          <w:rFonts w:ascii="Aptos" w:hAnsi="Aptos" w:cs="Arial"/>
          <w:sz w:val="28"/>
          <w:szCs w:val="28"/>
        </w:rPr>
        <w:t>osal</w:t>
      </w:r>
      <w:r w:rsidR="00545684" w:rsidRPr="5A2A3AC8">
        <w:rPr>
          <w:rFonts w:ascii="Aptos" w:hAnsi="Aptos" w:cs="Arial"/>
          <w:sz w:val="28"/>
          <w:szCs w:val="28"/>
        </w:rPr>
        <w:t xml:space="preserve"> </w:t>
      </w:r>
    </w:p>
    <w:p w14:paraId="2EDEAE0B" w14:textId="149B09BE" w:rsidR="00715990" w:rsidRPr="003A2FDF" w:rsidRDefault="00715990" w:rsidP="00041A5A">
      <w:pPr>
        <w:spacing w:line="360" w:lineRule="auto"/>
        <w:rPr>
          <w:rFonts w:ascii="Aptos" w:hAnsi="Aptos" w:cs="Arial"/>
          <w:sz w:val="28"/>
          <w:szCs w:val="28"/>
        </w:rPr>
      </w:pPr>
    </w:p>
    <w:p w14:paraId="1AD185BB" w14:textId="77777777" w:rsidR="00FF5B70" w:rsidRPr="003A2FDF" w:rsidRDefault="00FF5B70" w:rsidP="00041A5A">
      <w:pPr>
        <w:spacing w:line="360" w:lineRule="auto"/>
        <w:rPr>
          <w:rFonts w:ascii="Aptos" w:hAnsi="Aptos" w:cs="Arial"/>
          <w:sz w:val="28"/>
          <w:szCs w:val="28"/>
        </w:rPr>
      </w:pPr>
    </w:p>
    <w:p w14:paraId="684DDF82" w14:textId="37C06893" w:rsidR="00715990" w:rsidRPr="003A2FDF" w:rsidRDefault="00715990" w:rsidP="00041A5A">
      <w:pPr>
        <w:spacing w:line="360" w:lineRule="auto"/>
        <w:rPr>
          <w:rFonts w:ascii="Aptos" w:hAnsi="Aptos" w:cs="Arial"/>
          <w:sz w:val="28"/>
          <w:szCs w:val="28"/>
        </w:rPr>
      </w:pPr>
      <w:r w:rsidRPr="4E5D21AB">
        <w:rPr>
          <w:rFonts w:ascii="Aptos" w:hAnsi="Aptos" w:cs="Arial"/>
          <w:b/>
          <w:bCs/>
          <w:sz w:val="28"/>
          <w:szCs w:val="28"/>
        </w:rPr>
        <w:t>Student ID</w:t>
      </w:r>
      <w:r w:rsidRPr="4E5D21AB">
        <w:rPr>
          <w:rFonts w:ascii="Aptos" w:hAnsi="Aptos" w:cs="Arial"/>
          <w:sz w:val="28"/>
          <w:szCs w:val="28"/>
        </w:rPr>
        <w:t xml:space="preserve">: </w:t>
      </w:r>
      <w:r w:rsidR="0086701E" w:rsidRPr="4E5D21AB">
        <w:rPr>
          <w:rFonts w:ascii="Aptos" w:hAnsi="Aptos" w:cs="Arial"/>
          <w:sz w:val="28"/>
          <w:szCs w:val="28"/>
        </w:rPr>
        <w:t xml:space="preserve"> </w:t>
      </w:r>
      <w:r w:rsidR="49F3C69D" w:rsidRPr="4E5D21AB">
        <w:rPr>
          <w:rFonts w:ascii="Aptos" w:hAnsi="Aptos" w:cs="Arial"/>
          <w:sz w:val="28"/>
          <w:szCs w:val="28"/>
        </w:rPr>
        <w:t>2322413</w:t>
      </w:r>
    </w:p>
    <w:p w14:paraId="01D5D8DB" w14:textId="03ED09ED" w:rsidR="00FF5B70" w:rsidRPr="003A2FDF" w:rsidRDefault="00FF5B70" w:rsidP="00041A5A">
      <w:pPr>
        <w:spacing w:line="360" w:lineRule="auto"/>
        <w:rPr>
          <w:rFonts w:ascii="Aptos" w:hAnsi="Aptos" w:cs="Arial"/>
          <w:sz w:val="28"/>
          <w:szCs w:val="28"/>
        </w:rPr>
      </w:pPr>
    </w:p>
    <w:p w14:paraId="7B4B148B" w14:textId="5BB60335" w:rsidR="00646B10" w:rsidRPr="003A2FDF" w:rsidRDefault="00FF5B70" w:rsidP="00646B10">
      <w:pPr>
        <w:spacing w:line="360" w:lineRule="auto"/>
        <w:rPr>
          <w:rFonts w:ascii="Aptos" w:hAnsi="Aptos" w:cs="Arial"/>
          <w:sz w:val="28"/>
          <w:szCs w:val="28"/>
        </w:rPr>
      </w:pPr>
      <w:r w:rsidRPr="4E5D21AB">
        <w:rPr>
          <w:rFonts w:ascii="Aptos" w:hAnsi="Aptos" w:cs="Arial"/>
          <w:b/>
          <w:bCs/>
          <w:sz w:val="28"/>
          <w:szCs w:val="28"/>
        </w:rPr>
        <w:t>Student Name</w:t>
      </w:r>
      <w:r w:rsidRPr="4E5D21AB">
        <w:rPr>
          <w:rFonts w:ascii="Aptos" w:hAnsi="Aptos" w:cs="Arial"/>
          <w:sz w:val="28"/>
          <w:szCs w:val="28"/>
        </w:rPr>
        <w:t xml:space="preserve">: </w:t>
      </w:r>
      <w:r w:rsidR="76F90558" w:rsidRPr="4E5D21AB">
        <w:rPr>
          <w:rFonts w:ascii="Aptos" w:hAnsi="Aptos" w:cs="Arial"/>
          <w:sz w:val="28"/>
          <w:szCs w:val="28"/>
        </w:rPr>
        <w:t>safara zeb</w:t>
      </w:r>
    </w:p>
    <w:p w14:paraId="638A4615" w14:textId="77777777" w:rsidR="00715990" w:rsidRPr="003A2FDF" w:rsidRDefault="00715990" w:rsidP="00041A5A">
      <w:pPr>
        <w:spacing w:line="360" w:lineRule="auto"/>
        <w:rPr>
          <w:rFonts w:ascii="Aptos" w:hAnsi="Aptos" w:cs="Arial"/>
          <w:sz w:val="28"/>
          <w:szCs w:val="28"/>
        </w:rPr>
      </w:pPr>
    </w:p>
    <w:p w14:paraId="5BD313B6" w14:textId="4BA804DC" w:rsidR="00715990" w:rsidRPr="003A2FDF" w:rsidRDefault="00715990" w:rsidP="00041A5A">
      <w:pPr>
        <w:spacing w:line="360" w:lineRule="auto"/>
        <w:rPr>
          <w:rFonts w:ascii="Aptos" w:hAnsi="Aptos" w:cs="Arial"/>
        </w:rPr>
      </w:pPr>
    </w:p>
    <w:p w14:paraId="07CF3A4D" w14:textId="4AAF8C7D" w:rsidR="00715990" w:rsidRPr="003A2FDF" w:rsidRDefault="00715990" w:rsidP="00041A5A">
      <w:pPr>
        <w:spacing w:line="360" w:lineRule="auto"/>
        <w:rPr>
          <w:rFonts w:ascii="Aptos" w:hAnsi="Aptos" w:cs="Arial"/>
        </w:rPr>
      </w:pPr>
      <w:r w:rsidRPr="003A2FDF">
        <w:rPr>
          <w:rFonts w:ascii="Aptos" w:hAnsi="Aptos" w:cs="Arial"/>
        </w:rPr>
        <w:br w:type="page"/>
      </w:r>
    </w:p>
    <w:p w14:paraId="75E7FD5C" w14:textId="1070B52D" w:rsidR="00545684" w:rsidRPr="003A2FDF" w:rsidRDefault="00FB4301" w:rsidP="00FF5B70">
      <w:pPr>
        <w:pStyle w:val="Heading1"/>
        <w:rPr>
          <w:rFonts w:ascii="Aptos" w:hAnsi="Aptos"/>
        </w:rPr>
      </w:pPr>
      <w:r w:rsidRPr="003A2FDF">
        <w:rPr>
          <w:rFonts w:ascii="Aptos" w:hAnsi="Aptos"/>
        </w:rPr>
        <w:lastRenderedPageBreak/>
        <w:t>Element 1 -</w:t>
      </w:r>
      <w:r w:rsidR="00866B7B" w:rsidRPr="003A2FDF">
        <w:rPr>
          <w:rFonts w:ascii="Aptos" w:hAnsi="Aptos"/>
        </w:rPr>
        <w:t xml:space="preserve"> Project</w:t>
      </w:r>
      <w:r w:rsidR="00545684" w:rsidRPr="003A2FDF">
        <w:rPr>
          <w:rFonts w:ascii="Aptos" w:hAnsi="Aptos"/>
        </w:rPr>
        <w:t xml:space="preserve"> </w:t>
      </w:r>
      <w:r w:rsidR="000B7CD5" w:rsidRPr="003A2FDF">
        <w:rPr>
          <w:rFonts w:ascii="Aptos" w:hAnsi="Aptos"/>
        </w:rPr>
        <w:t>P</w:t>
      </w:r>
      <w:r w:rsidR="00545684" w:rsidRPr="003A2FDF">
        <w:rPr>
          <w:rFonts w:ascii="Aptos" w:hAnsi="Aptos"/>
        </w:rPr>
        <w:t>roposal</w:t>
      </w:r>
    </w:p>
    <w:p w14:paraId="24BD4B42" w14:textId="282D2252" w:rsidR="00D769F0" w:rsidRPr="002A42AA" w:rsidRDefault="00D769F0" w:rsidP="5C45A7A4">
      <w:pPr>
        <w:spacing w:line="360" w:lineRule="auto"/>
        <w:rPr>
          <w:rFonts w:ascii="Aptos" w:hAnsi="Aptos"/>
        </w:rPr>
      </w:pPr>
      <w:r w:rsidRPr="5C45A7A4">
        <w:rPr>
          <w:rFonts w:ascii="Aptos" w:hAnsi="Aptos"/>
        </w:rPr>
        <w:t xml:space="preserve"> </w:t>
      </w:r>
      <w:r w:rsidR="002A42AA" w:rsidRPr="5C45A7A4">
        <w:rPr>
          <w:rFonts w:ascii="Aptos" w:hAnsi="Aptos"/>
        </w:rPr>
        <w:t>T</w:t>
      </w:r>
      <w:r w:rsidRPr="5C45A7A4">
        <w:rPr>
          <w:rFonts w:ascii="Aptos" w:hAnsi="Aptos"/>
        </w:rPr>
        <w:t>itle:</w:t>
      </w:r>
      <w:r w:rsidR="00603FE5" w:rsidRPr="5C45A7A4">
        <w:rPr>
          <w:rFonts w:ascii="Aptos" w:hAnsi="Aptos"/>
        </w:rPr>
        <w:t xml:space="preserve"> </w:t>
      </w:r>
      <w:r w:rsidR="1360C571" w:rsidRPr="5C45A7A4">
        <w:rPr>
          <w:rFonts w:ascii="Aptos" w:hAnsi="Aptos"/>
        </w:rPr>
        <w:t>Health Inequalities and their Impact on different communities in the UK</w:t>
      </w:r>
    </w:p>
    <w:p w14:paraId="03FD30D3" w14:textId="475F3855" w:rsidR="00715990" w:rsidRPr="003A2FDF" w:rsidRDefault="00715990" w:rsidP="00041A5A">
      <w:pPr>
        <w:spacing w:line="360" w:lineRule="auto"/>
        <w:rPr>
          <w:rFonts w:ascii="Aptos" w:hAnsi="Aptos" w:cs="Arial"/>
        </w:rPr>
      </w:pPr>
    </w:p>
    <w:p w14:paraId="40C7BB25" w14:textId="63754B6D" w:rsidR="00784670" w:rsidRPr="003A2FDF" w:rsidRDefault="00FF5B70" w:rsidP="00784670">
      <w:pPr>
        <w:pStyle w:val="Heading2"/>
        <w:rPr>
          <w:rFonts w:ascii="Aptos" w:hAnsi="Aptos"/>
        </w:rPr>
      </w:pPr>
      <w:r w:rsidRPr="46FDBF03">
        <w:rPr>
          <w:rFonts w:ascii="Aptos" w:hAnsi="Aptos"/>
        </w:rPr>
        <w:t>1</w:t>
      </w:r>
      <w:r w:rsidR="00784670" w:rsidRPr="46FDBF03">
        <w:rPr>
          <w:rFonts w:ascii="Aptos" w:hAnsi="Aptos"/>
        </w:rPr>
        <w:t xml:space="preserve">) </w:t>
      </w:r>
      <w:r w:rsidR="00545684" w:rsidRPr="46FDBF03">
        <w:rPr>
          <w:rFonts w:ascii="Aptos" w:hAnsi="Aptos"/>
        </w:rPr>
        <w:t>Aim</w:t>
      </w:r>
      <w:r w:rsidR="00784670" w:rsidRPr="46FDBF03">
        <w:rPr>
          <w:rFonts w:ascii="Aptos" w:hAnsi="Aptos"/>
        </w:rPr>
        <w:t>:</w:t>
      </w:r>
    </w:p>
    <w:p w14:paraId="1DA55E92" w14:textId="6BB46E13" w:rsidR="002A42AA" w:rsidRPr="002A42AA" w:rsidRDefault="24D6536F" w:rsidP="46FDBF03">
      <w:pPr>
        <w:spacing w:line="360" w:lineRule="auto"/>
      </w:pPr>
      <w:r w:rsidRPr="46FDBF03">
        <w:rPr>
          <w:rFonts w:ascii="Aptos" w:eastAsia="Aptos" w:hAnsi="Aptos" w:cs="Aptos"/>
          <w:szCs w:val="24"/>
        </w:rPr>
        <w:t>To examine and assess the systemic health disparities that South Asian communities in the UK face, identifying important institutional, cultural, and economic considerations that contribute to differences in healthcare access, the prevalence of chronic diseases, and general health outcomes in order to guide future policy initiatives.</w:t>
      </w:r>
    </w:p>
    <w:p w14:paraId="67617D42" w14:textId="77777777" w:rsidR="002A42AA" w:rsidRPr="003A2FDF" w:rsidRDefault="002A42AA" w:rsidP="00A6153D">
      <w:pPr>
        <w:spacing w:line="360" w:lineRule="auto"/>
        <w:rPr>
          <w:rFonts w:ascii="Aptos" w:hAnsi="Aptos" w:cs="Arial"/>
        </w:rPr>
      </w:pPr>
    </w:p>
    <w:p w14:paraId="4B36F4E2" w14:textId="77777777" w:rsidR="00A6153D" w:rsidRPr="003A2FDF" w:rsidRDefault="00A6153D" w:rsidP="00A6153D">
      <w:pPr>
        <w:spacing w:line="360" w:lineRule="auto"/>
        <w:rPr>
          <w:rFonts w:ascii="Aptos" w:hAnsi="Aptos" w:cs="Arial"/>
        </w:rPr>
      </w:pPr>
    </w:p>
    <w:p w14:paraId="2B00F95C" w14:textId="7302587D" w:rsidR="00545684" w:rsidRPr="003A2FDF" w:rsidRDefault="00FF5B70" w:rsidP="00784670">
      <w:pPr>
        <w:pStyle w:val="Heading2"/>
        <w:rPr>
          <w:rFonts w:ascii="Aptos" w:hAnsi="Aptos"/>
        </w:rPr>
      </w:pPr>
      <w:r w:rsidRPr="46FDBF03">
        <w:rPr>
          <w:rFonts w:ascii="Aptos" w:hAnsi="Aptos"/>
        </w:rPr>
        <w:t>2</w:t>
      </w:r>
      <w:r w:rsidR="00784670" w:rsidRPr="46FDBF03">
        <w:rPr>
          <w:rFonts w:ascii="Aptos" w:hAnsi="Aptos"/>
        </w:rPr>
        <w:t>) O</w:t>
      </w:r>
      <w:r w:rsidR="00545684" w:rsidRPr="46FDBF03">
        <w:rPr>
          <w:rFonts w:ascii="Aptos" w:hAnsi="Aptos"/>
        </w:rPr>
        <w:t>bjectives:</w:t>
      </w:r>
    </w:p>
    <w:p w14:paraId="1ECD2DEC" w14:textId="7AC96A73" w:rsidR="0338B410" w:rsidRDefault="0338B410" w:rsidP="46FDBF03">
      <w:pPr>
        <w:pStyle w:val="ListParagraph"/>
        <w:numPr>
          <w:ilvl w:val="0"/>
          <w:numId w:val="8"/>
        </w:numPr>
        <w:spacing w:line="360" w:lineRule="auto"/>
      </w:pPr>
      <w:r w:rsidRPr="46FDBF03">
        <w:t>Define and Examine: Describe the historical, social, economic, and cultural health factors that significantly affect South Asian communities in the UK, such as the Pakistani, Bangladeshi, and Indian communities.</w:t>
      </w:r>
    </w:p>
    <w:p w14:paraId="2C1FAAD2" w14:textId="786D816F" w:rsidR="00A276A0" w:rsidRDefault="00A276A0" w:rsidP="5C45A7A4">
      <w:pPr>
        <w:pStyle w:val="ListParagraph"/>
        <w:numPr>
          <w:ilvl w:val="0"/>
          <w:numId w:val="8"/>
        </w:numPr>
        <w:spacing w:line="360" w:lineRule="auto"/>
      </w:pPr>
      <w:r w:rsidRPr="5C45A7A4">
        <w:rPr>
          <w:rFonts w:ascii="Arial Nova" w:eastAsia="Arial Nova" w:hAnsi="Arial Nova" w:cs="Arial Nova"/>
        </w:rPr>
        <w:t>Analys</w:t>
      </w:r>
      <w:r w:rsidR="00603FE5" w:rsidRPr="5C45A7A4">
        <w:rPr>
          <w:rFonts w:ascii="Arial Nova" w:eastAsia="Arial Nova" w:hAnsi="Arial Nova" w:cs="Arial Nova"/>
        </w:rPr>
        <w:t>e</w:t>
      </w:r>
      <w:r w:rsidR="5F26F8CD" w:rsidRPr="5C45A7A4">
        <w:rPr>
          <w:rFonts w:ascii="Arial Nova" w:eastAsia="Arial Nova" w:hAnsi="Arial Nova" w:cs="Arial Nova"/>
        </w:rPr>
        <w:t>;</w:t>
      </w:r>
      <w:r w:rsidR="00603FE5" w:rsidRPr="5C45A7A4">
        <w:rPr>
          <w:rFonts w:ascii="Arial Nova" w:eastAsia="Arial Nova" w:hAnsi="Arial Nova" w:cs="Arial Nova"/>
        </w:rPr>
        <w:t xml:space="preserve"> </w:t>
      </w:r>
      <w:r w:rsidR="69E7D475" w:rsidRPr="5C45A7A4">
        <w:t>current public health statistics and policy reports to find differences in low-income and minority ethnic groups' health outcomes, service delivery, and access to healthcare.</w:t>
      </w:r>
    </w:p>
    <w:p w14:paraId="47D549B3" w14:textId="087BE3F4" w:rsidR="002F2D32" w:rsidRDefault="002F2D32" w:rsidP="5C45A7A4">
      <w:pPr>
        <w:pStyle w:val="ListParagraph"/>
        <w:numPr>
          <w:ilvl w:val="0"/>
          <w:numId w:val="8"/>
        </w:numPr>
        <w:spacing w:line="360" w:lineRule="auto"/>
      </w:pPr>
      <w:r w:rsidRPr="5C45A7A4">
        <w:rPr>
          <w:rFonts w:ascii="Arial Nova" w:eastAsia="Arial Nova" w:hAnsi="Arial Nova" w:cs="Arial Nova"/>
        </w:rPr>
        <w:t xml:space="preserve"> </w:t>
      </w:r>
      <w:r w:rsidR="3B11B1E7" w:rsidRPr="5C45A7A4">
        <w:t>Evaluate; the success of current public health programs and National Health Service (NHS) policies intended to reduce health inequalities.</w:t>
      </w:r>
    </w:p>
    <w:p w14:paraId="12DAD0B5" w14:textId="1702E898" w:rsidR="23091DEB" w:rsidRDefault="23091DEB" w:rsidP="5C45A7A4">
      <w:pPr>
        <w:pStyle w:val="ListParagraph"/>
        <w:numPr>
          <w:ilvl w:val="0"/>
          <w:numId w:val="8"/>
        </w:numPr>
        <w:spacing w:line="360" w:lineRule="auto"/>
      </w:pPr>
      <w:r w:rsidRPr="5C45A7A4">
        <w:t>Provide Recommendations; enables policy makers and health managers to establish actionable, community-focused solutions that enhance health equity and improve service accessibility.</w:t>
      </w:r>
    </w:p>
    <w:p w14:paraId="4DE92F51" w14:textId="77777777" w:rsidR="00041A5A" w:rsidRPr="003A2FDF" w:rsidRDefault="00041A5A" w:rsidP="00041A5A">
      <w:pPr>
        <w:spacing w:line="360" w:lineRule="auto"/>
        <w:rPr>
          <w:rFonts w:ascii="Aptos" w:hAnsi="Aptos" w:cs="Arial"/>
        </w:rPr>
      </w:pPr>
    </w:p>
    <w:p w14:paraId="3AC96963" w14:textId="42E0D23A" w:rsidR="00545684" w:rsidRPr="003A2FDF" w:rsidRDefault="00FF5B70" w:rsidP="00784670">
      <w:pPr>
        <w:pStyle w:val="Heading2"/>
        <w:rPr>
          <w:rFonts w:ascii="Aptos" w:hAnsi="Aptos"/>
        </w:rPr>
      </w:pPr>
      <w:r w:rsidRPr="5C45A7A4">
        <w:rPr>
          <w:rFonts w:ascii="Aptos" w:hAnsi="Aptos"/>
        </w:rPr>
        <w:t>3</w:t>
      </w:r>
      <w:r w:rsidR="008E5015" w:rsidRPr="5C45A7A4">
        <w:rPr>
          <w:rFonts w:ascii="Aptos" w:hAnsi="Aptos"/>
        </w:rPr>
        <w:t xml:space="preserve">) </w:t>
      </w:r>
      <w:r w:rsidR="00545684" w:rsidRPr="5C45A7A4">
        <w:rPr>
          <w:rFonts w:ascii="Aptos" w:hAnsi="Aptos"/>
        </w:rPr>
        <w:t>Background</w:t>
      </w:r>
      <w:r w:rsidR="00FB4301" w:rsidRPr="5C45A7A4">
        <w:rPr>
          <w:rFonts w:ascii="Aptos" w:hAnsi="Aptos"/>
        </w:rPr>
        <w:t>/Rationale</w:t>
      </w:r>
      <w:r w:rsidR="00545684" w:rsidRPr="5C45A7A4">
        <w:rPr>
          <w:rFonts w:ascii="Aptos" w:hAnsi="Aptos"/>
        </w:rPr>
        <w:t>:</w:t>
      </w:r>
    </w:p>
    <w:p w14:paraId="67463E8A" w14:textId="4173A493" w:rsidR="09A9823F" w:rsidRDefault="09A9823F" w:rsidP="5C45A7A4">
      <w:pPr>
        <w:spacing w:line="360" w:lineRule="auto"/>
      </w:pPr>
      <w:r w:rsidRPr="5C45A7A4">
        <w:rPr>
          <w:rFonts w:ascii="Aptos" w:eastAsia="Aptos" w:hAnsi="Aptos" w:cs="Aptos"/>
          <w:szCs w:val="24"/>
        </w:rPr>
        <w:t xml:space="preserve">In the UK's health and social care system, health inequalities continue to be a major and ongoing problem. institutional differences in life expectancy, chronic illness prevalence, and mental health outcomes are significantly linked to social variables such as poverty, geography, and institutional discrimination. Despite legislative frameworks and NHS activities focused at equity, marginalized groups—particularly </w:t>
      </w:r>
      <w:r w:rsidRPr="5C45A7A4">
        <w:rPr>
          <w:rFonts w:ascii="Aptos" w:eastAsia="Aptos" w:hAnsi="Aptos" w:cs="Aptos"/>
          <w:szCs w:val="24"/>
        </w:rPr>
        <w:lastRenderedPageBreak/>
        <w:t>ethnic minorities and socioeconomically poor communities—continue to confront significant barriers to proper care.</w:t>
      </w:r>
    </w:p>
    <w:p w14:paraId="15DA1EAB" w14:textId="183DD463" w:rsidR="48558876" w:rsidRDefault="48558876" w:rsidP="5C45A7A4">
      <w:pPr>
        <w:spacing w:line="360" w:lineRule="auto"/>
      </w:pPr>
      <w:r w:rsidRPr="5C45A7A4">
        <w:rPr>
          <w:rFonts w:ascii="Aptos" w:eastAsia="Aptos" w:hAnsi="Aptos" w:cs="Aptos"/>
          <w:szCs w:val="24"/>
        </w:rPr>
        <w:t>The difference between the goals of public health policies and the actual experiences of disadvantaged communities is directly addressed by this study. To ensure sustainable healthcare delivery across various communities and to establish effective, focused care plans, it is essential to comprehend these structural limitations.</w:t>
      </w:r>
    </w:p>
    <w:p w14:paraId="332E5A12" w14:textId="051972BF" w:rsidR="00545684" w:rsidRPr="003A2FDF" w:rsidRDefault="00FF5B70" w:rsidP="00784670">
      <w:pPr>
        <w:pStyle w:val="Heading2"/>
        <w:rPr>
          <w:rFonts w:ascii="Aptos" w:hAnsi="Aptos"/>
        </w:rPr>
      </w:pPr>
      <w:r w:rsidRPr="5C45A7A4">
        <w:rPr>
          <w:rFonts w:ascii="Aptos" w:hAnsi="Aptos"/>
        </w:rPr>
        <w:t>4</w:t>
      </w:r>
      <w:r w:rsidR="008E5015" w:rsidRPr="5C45A7A4">
        <w:rPr>
          <w:rFonts w:ascii="Aptos" w:hAnsi="Aptos"/>
        </w:rPr>
        <w:t xml:space="preserve">) </w:t>
      </w:r>
      <w:r w:rsidR="00545684" w:rsidRPr="5C45A7A4">
        <w:rPr>
          <w:rFonts w:ascii="Aptos" w:hAnsi="Aptos"/>
        </w:rPr>
        <w:t>Methods:</w:t>
      </w:r>
    </w:p>
    <w:p w14:paraId="7F6F6AC9" w14:textId="4EC3DDB3" w:rsidR="510AED7B" w:rsidRDefault="510AED7B" w:rsidP="5C45A7A4">
      <w:pPr>
        <w:spacing w:before="240" w:after="240"/>
      </w:pPr>
      <w:r w:rsidRPr="5C45A7A4">
        <w:rPr>
          <w:rFonts w:ascii="Aptos" w:eastAsia="Aptos" w:hAnsi="Aptos" w:cs="Aptos"/>
          <w:szCs w:val="24"/>
        </w:rPr>
        <w:t>This project uses a qualitative secondary research methodology. Data will be gathered from peer-reviewed journals, NHS publications, and government reports published between 2015 and 2026. Sources will be selected based on relevance, academic rigor, and focus on UK health demographics.</w:t>
      </w:r>
    </w:p>
    <w:p w14:paraId="4D41F4BF" w14:textId="1DD0E2A9" w:rsidR="510AED7B" w:rsidRDefault="510AED7B" w:rsidP="5C45A7A4">
      <w:pPr>
        <w:spacing w:before="240" w:after="240"/>
      </w:pPr>
      <w:r w:rsidRPr="5C45A7A4">
        <w:rPr>
          <w:rFonts w:ascii="Aptos" w:eastAsia="Aptos" w:hAnsi="Aptos" w:cs="Aptos"/>
          <w:szCs w:val="24"/>
        </w:rPr>
        <w:t>Data analysis will involve thematic analysis to synthesize common patterns and disparities across regions and demographics. Ethical integrity will be strictly maintained through robust academic referencing, unbiased selection of sources, and adherence to academic integrity guidelines to avoid plagiarism.</w:t>
      </w:r>
    </w:p>
    <w:p w14:paraId="2AA4C998" w14:textId="3371327F" w:rsidR="5C45A7A4" w:rsidRDefault="5C45A7A4" w:rsidP="5C45A7A4">
      <w:pPr>
        <w:spacing w:line="360" w:lineRule="auto"/>
        <w:ind w:left="720"/>
        <w:rPr>
          <w:rFonts w:ascii="Aptos" w:hAnsi="Aptos" w:cs="Arial"/>
        </w:rPr>
      </w:pPr>
    </w:p>
    <w:p w14:paraId="232DCC93" w14:textId="74A66EC3" w:rsidR="0061260B" w:rsidRPr="003A2FDF" w:rsidRDefault="00FF5B70" w:rsidP="00784670">
      <w:pPr>
        <w:pStyle w:val="Heading2"/>
        <w:rPr>
          <w:rFonts w:ascii="Aptos" w:hAnsi="Aptos"/>
        </w:rPr>
      </w:pPr>
      <w:r w:rsidRPr="5C45A7A4">
        <w:rPr>
          <w:rFonts w:ascii="Aptos" w:hAnsi="Aptos"/>
        </w:rPr>
        <w:t>5</w:t>
      </w:r>
      <w:r w:rsidR="0061260B" w:rsidRPr="5C45A7A4">
        <w:rPr>
          <w:rFonts w:ascii="Aptos" w:hAnsi="Aptos"/>
        </w:rPr>
        <w:t>) Resources</w:t>
      </w:r>
      <w:r w:rsidR="00260277" w:rsidRPr="5C45A7A4">
        <w:rPr>
          <w:rFonts w:ascii="Aptos" w:hAnsi="Aptos"/>
        </w:rPr>
        <w:t>:</w:t>
      </w:r>
      <w:r w:rsidR="0061260B" w:rsidRPr="5C45A7A4">
        <w:rPr>
          <w:rFonts w:ascii="Aptos" w:hAnsi="Aptos"/>
        </w:rPr>
        <w:t xml:space="preserve"> </w:t>
      </w:r>
    </w:p>
    <w:p w14:paraId="6547344D" w14:textId="16164E2E" w:rsidR="009F1B5A" w:rsidRPr="003A2FDF" w:rsidRDefault="3701B0D9" w:rsidP="4520F48F">
      <w:pPr>
        <w:pStyle w:val="ListParagraph"/>
        <w:numPr>
          <w:ilvl w:val="0"/>
          <w:numId w:val="3"/>
        </w:numPr>
        <w:rPr>
          <w:rFonts w:ascii="Arial Nova" w:eastAsia="Arial Nova" w:hAnsi="Arial Nova" w:cs="Arial Nova"/>
        </w:rPr>
      </w:pPr>
      <w:r w:rsidRPr="4520F48F">
        <w:rPr>
          <w:rFonts w:ascii="Arial Nova" w:eastAsia="Arial Nova" w:hAnsi="Arial Nova" w:cs="Arial Nova"/>
          <w:b/>
          <w:bCs/>
        </w:rPr>
        <w:t>Academic Repositories &amp; Databases:</w:t>
      </w:r>
      <w:r w:rsidR="5E07AB0C" w:rsidRPr="4520F48F">
        <w:rPr>
          <w:rFonts w:ascii="Arial Nova" w:eastAsia="Arial Nova" w:hAnsi="Arial Nova" w:cs="Arial Nova"/>
          <w:b/>
          <w:bCs/>
        </w:rPr>
        <w:t xml:space="preserve"> </w:t>
      </w:r>
      <w:r w:rsidR="5E07AB0C" w:rsidRPr="4520F48F">
        <w:rPr>
          <w:rFonts w:ascii="Arial Nova" w:eastAsia="Arial Nova" w:hAnsi="Arial Nova" w:cs="Arial Nova"/>
        </w:rPr>
        <w:t>Google Scholar, CINAHL, and PubMed are key resources for gathering information.</w:t>
      </w:r>
    </w:p>
    <w:p w14:paraId="345670AA" w14:textId="261E777D" w:rsidR="009F1B5A" w:rsidRPr="003A2FDF" w:rsidRDefault="42BF0410" w:rsidP="4520F48F">
      <w:pPr>
        <w:pStyle w:val="ListParagraph"/>
        <w:numPr>
          <w:ilvl w:val="0"/>
          <w:numId w:val="3"/>
        </w:numPr>
        <w:rPr>
          <w:rFonts w:ascii="Arial Nova" w:eastAsia="Arial Nova" w:hAnsi="Arial Nova" w:cs="Arial Nova"/>
          <w:szCs w:val="24"/>
        </w:rPr>
      </w:pPr>
      <w:r w:rsidRPr="4520F48F">
        <w:rPr>
          <w:rFonts w:ascii="Arial Nova" w:eastAsia="Arial Nova" w:hAnsi="Arial Nova" w:cs="Arial Nova"/>
          <w:b/>
          <w:bCs/>
          <w:szCs w:val="24"/>
        </w:rPr>
        <w:t>Academic Writing Support:</w:t>
      </w:r>
      <w:r w:rsidRPr="4520F48F">
        <w:rPr>
          <w:rFonts w:ascii="Arial Nova" w:eastAsia="Arial Nova" w:hAnsi="Arial Nova" w:cs="Arial Nova"/>
          <w:szCs w:val="24"/>
        </w:rPr>
        <w:t xml:space="preserve"> Study Skills Service</w:t>
      </w:r>
    </w:p>
    <w:p w14:paraId="6D3887BF" w14:textId="51626D32" w:rsidR="42BF0410" w:rsidRDefault="42BF0410" w:rsidP="4520F48F">
      <w:pPr>
        <w:pStyle w:val="ListParagraph"/>
        <w:numPr>
          <w:ilvl w:val="0"/>
          <w:numId w:val="3"/>
        </w:numPr>
        <w:rPr>
          <w:rFonts w:ascii="Arial Nova" w:eastAsia="Arial Nova" w:hAnsi="Arial Nova" w:cs="Arial Nova"/>
        </w:rPr>
      </w:pPr>
      <w:r w:rsidRPr="4520F48F">
        <w:rPr>
          <w:rFonts w:ascii="Arial Nova" w:eastAsia="Arial Nova" w:hAnsi="Arial Nova" w:cs="Arial Nova"/>
          <w:b/>
          <w:bCs/>
          <w:szCs w:val="24"/>
        </w:rPr>
        <w:t>Peer &amp; Lecturer Support:</w:t>
      </w:r>
      <w:r w:rsidR="368AC192" w:rsidRPr="4520F48F">
        <w:rPr>
          <w:rFonts w:ascii="Arial Nova" w:eastAsia="Arial Nova" w:hAnsi="Arial Nova" w:cs="Arial Nova"/>
          <w:szCs w:val="24"/>
        </w:rPr>
        <w:t xml:space="preserve"> </w:t>
      </w:r>
      <w:r w:rsidR="368AC192" w:rsidRPr="4520F48F">
        <w:rPr>
          <w:rFonts w:ascii="Arial Nova" w:eastAsia="Arial Nova" w:hAnsi="Arial Nova" w:cs="Arial Nova"/>
        </w:rPr>
        <w:t xml:space="preserve">Lecturer Support, peer support, </w:t>
      </w:r>
    </w:p>
    <w:p w14:paraId="2C362CB9" w14:textId="0BFB3887" w:rsidR="368AC192" w:rsidRDefault="368AC192" w:rsidP="4520F48F">
      <w:pPr>
        <w:pStyle w:val="ListParagraph"/>
        <w:numPr>
          <w:ilvl w:val="0"/>
          <w:numId w:val="3"/>
        </w:numPr>
        <w:rPr>
          <w:rFonts w:ascii="Arial Nova" w:eastAsia="Arial Nova" w:hAnsi="Arial Nova" w:cs="Arial Nova"/>
        </w:rPr>
      </w:pPr>
      <w:r w:rsidRPr="4520F48F">
        <w:rPr>
          <w:rFonts w:ascii="Arial Nova" w:eastAsia="Arial Nova" w:hAnsi="Arial Nova" w:cs="Arial Nova"/>
          <w:b/>
          <w:bCs/>
        </w:rPr>
        <w:t xml:space="preserve">Referencing Tools: </w:t>
      </w:r>
      <w:r w:rsidRPr="4520F48F">
        <w:rPr>
          <w:rFonts w:ascii="Arial Nova" w:eastAsia="Arial Nova" w:hAnsi="Arial Nova" w:cs="Arial Nova"/>
        </w:rPr>
        <w:t>To ensure complete academic formatting conformity, use the thorough UWTSD Harvard Referencing Guide and the Moodle Quick Referencing Guide.</w:t>
      </w:r>
    </w:p>
    <w:p w14:paraId="6C70F9FA" w14:textId="32F895E0" w:rsidR="4520F48F" w:rsidRDefault="455222B0" w:rsidP="5C45A7A4">
      <w:pPr>
        <w:pStyle w:val="ListParagraph"/>
        <w:numPr>
          <w:ilvl w:val="0"/>
          <w:numId w:val="3"/>
        </w:numPr>
        <w:rPr>
          <w:rFonts w:ascii="Arial Nova" w:eastAsia="Arial Nova" w:hAnsi="Arial Nova" w:cs="Arial Nova"/>
          <w:szCs w:val="24"/>
        </w:rPr>
      </w:pPr>
      <w:r w:rsidRPr="5C45A7A4">
        <w:rPr>
          <w:rFonts w:ascii="Arial Nova" w:eastAsia="Arial Nova" w:hAnsi="Arial Nova" w:cs="Arial Nova"/>
          <w:b/>
          <w:bCs/>
          <w:szCs w:val="24"/>
        </w:rPr>
        <w:t>University Library Services:</w:t>
      </w:r>
      <w:r w:rsidRPr="5C45A7A4">
        <w:rPr>
          <w:rFonts w:ascii="Arial Nova" w:eastAsia="Arial Nova" w:hAnsi="Arial Nova" w:cs="Arial Nova"/>
          <w:szCs w:val="24"/>
        </w:rPr>
        <w:t xml:space="preserve"> UWTSD Library Support Services for navigating e-journals,</w:t>
      </w:r>
    </w:p>
    <w:p w14:paraId="376E10FA" w14:textId="77777777" w:rsidR="00260277" w:rsidRPr="003A2FDF" w:rsidRDefault="00260277" w:rsidP="00260277">
      <w:pPr>
        <w:rPr>
          <w:rFonts w:ascii="Aptos" w:hAnsi="Aptos" w:cs="Arial"/>
        </w:rPr>
      </w:pPr>
    </w:p>
    <w:p w14:paraId="0FE77585" w14:textId="45EB88AC" w:rsidR="00545684" w:rsidRPr="003A2FDF" w:rsidRDefault="00FF5B70" w:rsidP="00784670">
      <w:pPr>
        <w:pStyle w:val="Heading2"/>
        <w:rPr>
          <w:rFonts w:ascii="Aptos" w:hAnsi="Aptos"/>
        </w:rPr>
      </w:pPr>
      <w:r w:rsidRPr="3A920DE6">
        <w:rPr>
          <w:rFonts w:ascii="Aptos" w:hAnsi="Aptos"/>
        </w:rPr>
        <w:t>6</w:t>
      </w:r>
      <w:r w:rsidR="0061260B" w:rsidRPr="3A920DE6">
        <w:rPr>
          <w:rFonts w:ascii="Aptos" w:hAnsi="Aptos"/>
        </w:rPr>
        <w:t>) Timescale:</w:t>
      </w:r>
    </w:p>
    <w:p w14:paraId="1FD43F99" w14:textId="56632A2F" w:rsidR="21DC0FFD" w:rsidRDefault="21DC0FFD">
      <w:r w:rsidRPr="3A920DE6">
        <w:rPr>
          <w:rFonts w:ascii="Aptos" w:eastAsia="Aptos" w:hAnsi="Aptos" w:cs="Aptos"/>
          <w:szCs w:val="24"/>
        </w:rPr>
        <w:t>• Weeks 1-2: Source selection and literature search</w:t>
      </w:r>
    </w:p>
    <w:p w14:paraId="249C0D5F" w14:textId="319E9516" w:rsidR="21DC0FFD" w:rsidRDefault="21DC0FFD">
      <w:r w:rsidRPr="3A920DE6">
        <w:rPr>
          <w:rFonts w:ascii="Aptos" w:eastAsia="Aptos" w:hAnsi="Aptos" w:cs="Aptos"/>
          <w:szCs w:val="24"/>
        </w:rPr>
        <w:t>• Weeks 3–4: Gathering and reviewing data</w:t>
      </w:r>
    </w:p>
    <w:p w14:paraId="6C963241" w14:textId="17D5D742" w:rsidR="21DC0FFD" w:rsidRDefault="21DC0FFD">
      <w:r w:rsidRPr="3A920DE6">
        <w:rPr>
          <w:rFonts w:ascii="Aptos" w:eastAsia="Aptos" w:hAnsi="Aptos" w:cs="Aptos"/>
          <w:szCs w:val="24"/>
        </w:rPr>
        <w:t>• Weeks 5-6: Draft writing and analysis</w:t>
      </w:r>
    </w:p>
    <w:p w14:paraId="604EC8B0" w14:textId="70F7E234" w:rsidR="21DC0FFD" w:rsidRDefault="21DC0FFD" w:rsidP="3A920DE6">
      <w:pPr>
        <w:spacing w:line="360" w:lineRule="auto"/>
      </w:pPr>
      <w:r w:rsidRPr="3A920DE6">
        <w:rPr>
          <w:rFonts w:ascii="Aptos" w:eastAsia="Aptos" w:hAnsi="Aptos" w:cs="Aptos"/>
          <w:szCs w:val="24"/>
        </w:rPr>
        <w:t>• Weeks 7–8: Final Submission</w:t>
      </w:r>
    </w:p>
    <w:p w14:paraId="41BD97AB" w14:textId="77777777" w:rsidR="00260277" w:rsidRPr="003A2FDF" w:rsidRDefault="00260277" w:rsidP="00041A5A">
      <w:pPr>
        <w:spacing w:line="360" w:lineRule="auto"/>
        <w:rPr>
          <w:rFonts w:ascii="Aptos" w:hAnsi="Aptos" w:cs="Arial"/>
        </w:rPr>
      </w:pPr>
    </w:p>
    <w:p w14:paraId="14020DF4" w14:textId="7CDDEB1D" w:rsidR="3A920DE6" w:rsidRDefault="3A920DE6" w:rsidP="3A920DE6">
      <w:pPr>
        <w:spacing w:line="360" w:lineRule="auto"/>
        <w:rPr>
          <w:rFonts w:ascii="Aptos" w:hAnsi="Aptos" w:cs="Arial"/>
          <w:b/>
          <w:bCs/>
          <w:i/>
          <w:iCs/>
          <w:sz w:val="28"/>
          <w:szCs w:val="28"/>
        </w:rPr>
      </w:pPr>
    </w:p>
    <w:p w14:paraId="0BD4E8EB" w14:textId="4BD3CB30" w:rsidR="3A920DE6" w:rsidRDefault="3A920DE6" w:rsidP="3A920DE6">
      <w:pPr>
        <w:spacing w:line="360" w:lineRule="auto"/>
        <w:rPr>
          <w:rFonts w:ascii="Aptos" w:hAnsi="Aptos" w:cs="Arial"/>
          <w:b/>
          <w:bCs/>
          <w:i/>
          <w:iCs/>
          <w:sz w:val="28"/>
          <w:szCs w:val="28"/>
        </w:rPr>
      </w:pPr>
    </w:p>
    <w:p w14:paraId="5713A915" w14:textId="60566118" w:rsidR="00FF5B70" w:rsidRPr="003A2FDF" w:rsidRDefault="00FF5B70" w:rsidP="00041A5A">
      <w:pPr>
        <w:spacing w:line="360" w:lineRule="auto"/>
        <w:rPr>
          <w:rFonts w:ascii="Aptos" w:hAnsi="Aptos" w:cs="Arial"/>
          <w:b/>
          <w:bCs/>
          <w:i/>
          <w:iCs/>
          <w:sz w:val="28"/>
          <w:szCs w:val="28"/>
        </w:rPr>
      </w:pPr>
      <w:r w:rsidRPr="3A920DE6">
        <w:rPr>
          <w:rFonts w:ascii="Aptos" w:hAnsi="Aptos" w:cs="Arial"/>
          <w:b/>
          <w:bCs/>
          <w:i/>
          <w:iCs/>
          <w:sz w:val="28"/>
          <w:szCs w:val="28"/>
        </w:rPr>
        <w:t>7) Self-reflection as researcher (any strengths or challenges):</w:t>
      </w:r>
    </w:p>
    <w:p w14:paraId="19E2143F" w14:textId="4C16C63A" w:rsidR="310360E7" w:rsidRDefault="310360E7">
      <w:r w:rsidRPr="5C45A7A4">
        <w:rPr>
          <w:rFonts w:ascii="Aptos" w:eastAsia="Aptos" w:hAnsi="Aptos" w:cs="Aptos"/>
          <w:szCs w:val="24"/>
        </w:rPr>
        <w:t xml:space="preserve">Strengths: </w:t>
      </w:r>
    </w:p>
    <w:p w14:paraId="4CC8ADE3" w14:textId="3DC69B67" w:rsidR="23C931D9" w:rsidRDefault="23C931D9" w:rsidP="5C45A7A4">
      <w:pPr>
        <w:spacing w:line="360" w:lineRule="auto"/>
      </w:pPr>
      <w:r w:rsidRPr="5C45A7A4">
        <w:rPr>
          <w:rFonts w:ascii="Aptos" w:eastAsia="Aptos" w:hAnsi="Aptos" w:cs="Aptos"/>
          <w:szCs w:val="24"/>
        </w:rPr>
        <w:t>My strengths lie in critical synthesis and retrieving high-quality secondary data from public health databases. However, managing information overload from vast literature on health disparities poses a challenge. I aim to refine my thematic analysis skills and maintain a strictly bounded scope with guidance from my supervisor.</w:t>
      </w:r>
    </w:p>
    <w:p w14:paraId="6DB5A139" w14:textId="33F0B6C1" w:rsidR="5FA4F7B6" w:rsidRDefault="5FA4F7B6" w:rsidP="4520F48F">
      <w:pPr>
        <w:spacing w:line="360" w:lineRule="auto"/>
        <w:rPr>
          <w:rFonts w:ascii="Aptos" w:eastAsia="Aptos" w:hAnsi="Aptos" w:cs="Aptos"/>
          <w:szCs w:val="24"/>
        </w:rPr>
      </w:pPr>
      <w:r w:rsidRPr="5C45A7A4">
        <w:rPr>
          <w:rFonts w:ascii="Aptos" w:eastAsia="Aptos" w:hAnsi="Aptos" w:cs="Aptos"/>
          <w:b/>
          <w:bCs/>
          <w:szCs w:val="24"/>
        </w:rPr>
        <w:t xml:space="preserve">Challenges and Action Plan: </w:t>
      </w:r>
    </w:p>
    <w:p w14:paraId="341108A2" w14:textId="2A761208" w:rsidR="6689AA4D" w:rsidRDefault="6689AA4D" w:rsidP="5C45A7A4">
      <w:pPr>
        <w:spacing w:line="360" w:lineRule="auto"/>
      </w:pPr>
      <w:r w:rsidRPr="5C45A7A4">
        <w:rPr>
          <w:rFonts w:ascii="Aptos" w:eastAsia="Aptos" w:hAnsi="Aptos" w:cs="Aptos"/>
          <w:szCs w:val="24"/>
        </w:rPr>
        <w:t>Strong analytical thinking and a solid understanding of UK healthcare policy are my core strengths. My primary challenge will be filtering broad demographic data to remain focused on targeted communities. To address this, I will develop advanced systematic search strategies and structure my time rigorously.</w:t>
      </w:r>
    </w:p>
    <w:p w14:paraId="449212CA" w14:textId="77777777" w:rsidR="00545684" w:rsidRPr="003A2FDF" w:rsidRDefault="00545684" w:rsidP="00041A5A">
      <w:pPr>
        <w:spacing w:line="360" w:lineRule="auto"/>
        <w:rPr>
          <w:rFonts w:ascii="Aptos" w:hAnsi="Aptos" w:cs="Arial"/>
        </w:rPr>
      </w:pPr>
      <w:r w:rsidRPr="003A2FDF">
        <w:rPr>
          <w:rFonts w:ascii="Aptos" w:hAnsi="Aptos" w:cs="Arial"/>
        </w:rPr>
        <w:br w:type="page"/>
      </w:r>
    </w:p>
    <w:p w14:paraId="262C8CA3" w14:textId="4D2FF9E1" w:rsidR="00545684" w:rsidRPr="003A2FDF" w:rsidRDefault="00545684" w:rsidP="00FF5B70">
      <w:pPr>
        <w:pStyle w:val="Heading1"/>
      </w:pPr>
      <w:r w:rsidRPr="5C45A7A4">
        <w:rPr>
          <w:rFonts w:ascii="Aptos" w:hAnsi="Aptos"/>
        </w:rPr>
        <w:lastRenderedPageBreak/>
        <w:t>References</w:t>
      </w:r>
    </w:p>
    <w:p w14:paraId="12572D26" w14:textId="34374AEC" w:rsidR="46BD7CCA" w:rsidRDefault="46BD7CCA" w:rsidP="5C45A7A4">
      <w:pPr>
        <w:pStyle w:val="ListParagraph"/>
        <w:numPr>
          <w:ilvl w:val="0"/>
          <w:numId w:val="2"/>
        </w:numPr>
        <w:spacing w:after="240"/>
        <w:rPr>
          <w:rFonts w:ascii="sans-serif" w:eastAsia="sans-serif" w:hAnsi="sans-serif" w:cs="sans-serif"/>
          <w:szCs w:val="24"/>
        </w:rPr>
      </w:pPr>
      <w:r w:rsidRPr="5C45A7A4">
        <w:rPr>
          <w:rFonts w:ascii="sans-serif" w:eastAsia="sans-serif" w:hAnsi="sans-serif" w:cs="sans-serif"/>
          <w:b/>
          <w:bCs/>
          <w:szCs w:val="24"/>
        </w:rPr>
        <w:t>Bambra, C., Riordan, R., Ford, J. and Matthews, F.</w:t>
      </w:r>
      <w:r w:rsidRPr="5C45A7A4">
        <w:rPr>
          <w:rFonts w:ascii="sans-serif" w:eastAsia="sans-serif" w:hAnsi="sans-serif" w:cs="sans-serif"/>
          <w:szCs w:val="24"/>
        </w:rPr>
        <w:t xml:space="preserve"> (2020) 'The COVID-19 pandemic and health inequalities', </w:t>
      </w:r>
      <w:r w:rsidRPr="5C45A7A4">
        <w:rPr>
          <w:rFonts w:ascii="sans-serif" w:eastAsia="sans-serif" w:hAnsi="sans-serif" w:cs="sans-serif"/>
          <w:i/>
          <w:iCs/>
          <w:szCs w:val="24"/>
        </w:rPr>
        <w:t>Journal of Epidemiology and Community Health</w:t>
      </w:r>
      <w:r w:rsidRPr="5C45A7A4">
        <w:rPr>
          <w:rFonts w:ascii="sans-serif" w:eastAsia="sans-serif" w:hAnsi="sans-serif" w:cs="sans-serif"/>
          <w:szCs w:val="24"/>
        </w:rPr>
        <w:t>, 74(11), pp. 964–968.</w:t>
      </w:r>
    </w:p>
    <w:p w14:paraId="12FE51B2" w14:textId="3E53CAE6" w:rsidR="46BD7CCA" w:rsidRDefault="46BD7CCA" w:rsidP="5C45A7A4">
      <w:pPr>
        <w:pStyle w:val="ListParagraph"/>
        <w:numPr>
          <w:ilvl w:val="0"/>
          <w:numId w:val="2"/>
        </w:numPr>
        <w:spacing w:after="240"/>
        <w:rPr>
          <w:rFonts w:ascii="sans-serif" w:eastAsia="sans-serif" w:hAnsi="sans-serif" w:cs="sans-serif"/>
          <w:szCs w:val="24"/>
        </w:rPr>
      </w:pPr>
      <w:r w:rsidRPr="5C45A7A4">
        <w:rPr>
          <w:rFonts w:ascii="sans-serif" w:eastAsia="sans-serif" w:hAnsi="sans-serif" w:cs="sans-serif"/>
          <w:b/>
          <w:bCs/>
          <w:szCs w:val="24"/>
        </w:rPr>
        <w:t>Department of Health and Social Care (DHSC)</w:t>
      </w:r>
      <w:r w:rsidRPr="5C45A7A4">
        <w:rPr>
          <w:rFonts w:ascii="sans-serif" w:eastAsia="sans-serif" w:hAnsi="sans-serif" w:cs="sans-serif"/>
          <w:szCs w:val="24"/>
        </w:rPr>
        <w:t xml:space="preserve"> (2022) </w:t>
      </w:r>
      <w:r w:rsidRPr="5C45A7A4">
        <w:rPr>
          <w:rFonts w:ascii="sans-serif" w:eastAsia="sans-serif" w:hAnsi="sans-serif" w:cs="sans-serif"/>
          <w:i/>
          <w:iCs/>
          <w:szCs w:val="24"/>
        </w:rPr>
        <w:t>Tackling health disparities: Action to improve health equity</w:t>
      </w:r>
      <w:r w:rsidRPr="5C45A7A4">
        <w:rPr>
          <w:rFonts w:ascii="sans-serif" w:eastAsia="sans-serif" w:hAnsi="sans-serif" w:cs="sans-serif"/>
          <w:szCs w:val="24"/>
        </w:rPr>
        <w:t>. London: DHSC.</w:t>
      </w:r>
    </w:p>
    <w:p w14:paraId="0F51A83D" w14:textId="7C26905B" w:rsidR="46BD7CCA" w:rsidRDefault="46BD7CCA" w:rsidP="5C45A7A4">
      <w:pPr>
        <w:pStyle w:val="ListParagraph"/>
        <w:numPr>
          <w:ilvl w:val="0"/>
          <w:numId w:val="2"/>
        </w:numPr>
        <w:spacing w:after="240"/>
        <w:rPr>
          <w:rFonts w:ascii="sans-serif" w:eastAsia="sans-serif" w:hAnsi="sans-serif" w:cs="sans-serif"/>
          <w:szCs w:val="24"/>
        </w:rPr>
      </w:pPr>
      <w:r w:rsidRPr="5C45A7A4">
        <w:rPr>
          <w:rFonts w:ascii="sans-serif" w:eastAsia="sans-serif" w:hAnsi="sans-serif" w:cs="sans-serif"/>
          <w:b/>
          <w:bCs/>
          <w:szCs w:val="24"/>
        </w:rPr>
        <w:t>Katikireddi, S.V., Niedzwiedz, C.L. and Hilton, S.</w:t>
      </w:r>
      <w:r w:rsidRPr="5C45A7A4">
        <w:rPr>
          <w:rFonts w:ascii="sans-serif" w:eastAsia="sans-serif" w:hAnsi="sans-serif" w:cs="sans-serif"/>
          <w:szCs w:val="24"/>
        </w:rPr>
        <w:t xml:space="preserve"> (2023) 'Evaluating UK public health strategies for tackling health inequalities: A narrative review', </w:t>
      </w:r>
      <w:r w:rsidRPr="5C45A7A4">
        <w:rPr>
          <w:rFonts w:ascii="sans-serif" w:eastAsia="sans-serif" w:hAnsi="sans-serif" w:cs="sans-serif"/>
          <w:i/>
          <w:iCs/>
          <w:szCs w:val="24"/>
        </w:rPr>
        <w:t>Health Policy</w:t>
      </w:r>
      <w:r w:rsidRPr="5C45A7A4">
        <w:rPr>
          <w:rFonts w:ascii="sans-serif" w:eastAsia="sans-serif" w:hAnsi="sans-serif" w:cs="sans-serif"/>
          <w:szCs w:val="24"/>
        </w:rPr>
        <w:t>, 129, pp. 104–112.</w:t>
      </w:r>
    </w:p>
    <w:p w14:paraId="26DD84E7" w14:textId="6F293293" w:rsidR="611C4B16" w:rsidRDefault="611C4B16" w:rsidP="5C45A7A4">
      <w:pPr>
        <w:pStyle w:val="ListParagraph"/>
        <w:numPr>
          <w:ilvl w:val="0"/>
          <w:numId w:val="2"/>
        </w:numPr>
        <w:spacing w:after="240"/>
        <w:rPr>
          <w:rFonts w:ascii="sans-serif" w:eastAsia="sans-serif" w:hAnsi="sans-serif" w:cs="sans-serif"/>
          <w:szCs w:val="24"/>
        </w:rPr>
      </w:pPr>
      <w:r w:rsidRPr="5C45A7A4">
        <w:rPr>
          <w:rFonts w:ascii="sans-serif" w:eastAsia="sans-serif" w:hAnsi="sans-serif" w:cs="sans-serif"/>
          <w:b/>
          <w:bCs/>
          <w:szCs w:val="24"/>
        </w:rPr>
        <w:t>Marmot, M., Allen, J., Goldblatt, P., Herd, E. and Morrison, J.</w:t>
      </w:r>
      <w:r w:rsidRPr="5C45A7A4">
        <w:rPr>
          <w:rFonts w:ascii="sans-serif" w:eastAsia="sans-serif" w:hAnsi="sans-serif" w:cs="sans-serif"/>
          <w:szCs w:val="24"/>
        </w:rPr>
        <w:t xml:space="preserve"> (2020) </w:t>
      </w:r>
      <w:r w:rsidRPr="5C45A7A4">
        <w:rPr>
          <w:rFonts w:ascii="sans-serif" w:eastAsia="sans-serif" w:hAnsi="sans-serif" w:cs="sans-serif"/>
          <w:i/>
          <w:iCs/>
          <w:szCs w:val="24"/>
        </w:rPr>
        <w:t>Health equity in England: The Marmot Review 10 years on</w:t>
      </w:r>
      <w:r w:rsidRPr="5C45A7A4">
        <w:rPr>
          <w:rFonts w:ascii="sans-serif" w:eastAsia="sans-serif" w:hAnsi="sans-serif" w:cs="sans-serif"/>
          <w:szCs w:val="24"/>
        </w:rPr>
        <w:t xml:space="preserve">. London: Institute of Health Equity. Available at: </w:t>
      </w:r>
      <w:hyperlink r:id="rId10">
        <w:r w:rsidRPr="5C45A7A4">
          <w:rPr>
            <w:rStyle w:val="Hyperlink"/>
          </w:rPr>
          <w:t>http://www.instituteofhealthequity.org/the-marmot-review-10-years-on</w:t>
        </w:r>
      </w:hyperlink>
      <w:r w:rsidRPr="5C45A7A4">
        <w:rPr>
          <w:rFonts w:ascii="sans-serif" w:eastAsia="sans-serif" w:hAnsi="sans-serif" w:cs="sans-serif"/>
          <w:szCs w:val="24"/>
        </w:rPr>
        <w:t xml:space="preserve"> (Accessed: </w:t>
      </w:r>
      <w:r w:rsidR="31EDF0BA" w:rsidRPr="5C45A7A4">
        <w:rPr>
          <w:rFonts w:ascii="sans-serif" w:eastAsia="sans-serif" w:hAnsi="sans-serif" w:cs="sans-serif"/>
          <w:szCs w:val="24"/>
        </w:rPr>
        <w:t>1</w:t>
      </w:r>
      <w:r w:rsidRPr="5C45A7A4">
        <w:rPr>
          <w:rFonts w:ascii="sans-serif" w:eastAsia="sans-serif" w:hAnsi="sans-serif" w:cs="sans-serif"/>
          <w:szCs w:val="24"/>
        </w:rPr>
        <w:t xml:space="preserve"> October 2026). </w:t>
      </w:r>
    </w:p>
    <w:p w14:paraId="6FC82931" w14:textId="4271F930" w:rsidR="611C4B16" w:rsidRDefault="611C4B16" w:rsidP="5C45A7A4">
      <w:pPr>
        <w:pStyle w:val="ListParagraph"/>
        <w:numPr>
          <w:ilvl w:val="0"/>
          <w:numId w:val="2"/>
        </w:numPr>
        <w:spacing w:after="240"/>
        <w:rPr>
          <w:rFonts w:ascii="sans-serif" w:eastAsia="sans-serif" w:hAnsi="sans-serif" w:cs="sans-serif"/>
          <w:szCs w:val="24"/>
        </w:rPr>
      </w:pPr>
      <w:r w:rsidRPr="5C45A7A4">
        <w:rPr>
          <w:rFonts w:ascii="sans-serif" w:eastAsia="sans-serif" w:hAnsi="sans-serif" w:cs="sans-serif"/>
          <w:b/>
          <w:bCs/>
          <w:szCs w:val="24"/>
        </w:rPr>
        <w:t>National Institute for Health and Care Excellence (NICE)</w:t>
      </w:r>
      <w:r w:rsidRPr="5C45A7A4">
        <w:rPr>
          <w:rFonts w:ascii="sans-serif" w:eastAsia="sans-serif" w:hAnsi="sans-serif" w:cs="sans-serif"/>
          <w:szCs w:val="24"/>
        </w:rPr>
        <w:t xml:space="preserve"> (2025) </w:t>
      </w:r>
      <w:r w:rsidRPr="5C45A7A4">
        <w:rPr>
          <w:rFonts w:ascii="sans-serif" w:eastAsia="sans-serif" w:hAnsi="sans-serif" w:cs="sans-serif"/>
          <w:i/>
          <w:iCs/>
          <w:szCs w:val="24"/>
        </w:rPr>
        <w:t>Support document: Health inequalities</w:t>
      </w:r>
      <w:r w:rsidRPr="5C45A7A4">
        <w:rPr>
          <w:rFonts w:ascii="sans-serif" w:eastAsia="sans-serif" w:hAnsi="sans-serif" w:cs="sans-serif"/>
          <w:szCs w:val="24"/>
        </w:rPr>
        <w:t xml:space="preserve">. Process and Methods Guides PMG36. London: NICE. Available at: </w:t>
      </w:r>
      <w:hyperlink r:id="rId11">
        <w:r w:rsidRPr="5C45A7A4">
          <w:rPr>
            <w:rStyle w:val="Hyperlink"/>
          </w:rPr>
          <w:t>https://www.nice.org.uk/process/pmg36/resources/support-document-health-inequalities-pdf-19845921027013</w:t>
        </w:r>
      </w:hyperlink>
      <w:r w:rsidRPr="5C45A7A4">
        <w:rPr>
          <w:rFonts w:ascii="sans-serif" w:eastAsia="sans-serif" w:hAnsi="sans-serif" w:cs="sans-serif"/>
          <w:szCs w:val="24"/>
        </w:rPr>
        <w:t xml:space="preserve"> (Accessed: </w:t>
      </w:r>
      <w:r w:rsidR="42C2C574" w:rsidRPr="5C45A7A4">
        <w:rPr>
          <w:rFonts w:ascii="sans-serif" w:eastAsia="sans-serif" w:hAnsi="sans-serif" w:cs="sans-serif"/>
          <w:szCs w:val="24"/>
        </w:rPr>
        <w:t>2</w:t>
      </w:r>
      <w:r w:rsidRPr="5C45A7A4">
        <w:rPr>
          <w:rFonts w:ascii="sans-serif" w:eastAsia="sans-serif" w:hAnsi="sans-serif" w:cs="sans-serif"/>
          <w:szCs w:val="24"/>
        </w:rPr>
        <w:t xml:space="preserve"> October 2026). </w:t>
      </w:r>
    </w:p>
    <w:p w14:paraId="0259DD26" w14:textId="01D423C4" w:rsidR="611C4B16" w:rsidRDefault="611C4B16" w:rsidP="5C45A7A4">
      <w:pPr>
        <w:pStyle w:val="ListParagraph"/>
        <w:numPr>
          <w:ilvl w:val="0"/>
          <w:numId w:val="2"/>
        </w:numPr>
        <w:spacing w:after="240"/>
        <w:rPr>
          <w:rFonts w:ascii="sans-serif" w:eastAsia="sans-serif" w:hAnsi="sans-serif" w:cs="sans-serif"/>
          <w:szCs w:val="24"/>
        </w:rPr>
      </w:pPr>
      <w:r w:rsidRPr="5C45A7A4">
        <w:rPr>
          <w:rFonts w:ascii="sans-serif" w:eastAsia="sans-serif" w:hAnsi="sans-serif" w:cs="sans-serif"/>
          <w:b/>
          <w:bCs/>
          <w:szCs w:val="24"/>
        </w:rPr>
        <w:t>Nazroo, J.Y., Bhui, K.S. and Rhodes, J.</w:t>
      </w:r>
      <w:r w:rsidRPr="5C45A7A4">
        <w:rPr>
          <w:rFonts w:ascii="sans-serif" w:eastAsia="sans-serif" w:hAnsi="sans-serif" w:cs="sans-serif"/>
          <w:szCs w:val="24"/>
        </w:rPr>
        <w:t xml:space="preserve"> (2020) 'Where next for understanding race and ethnic inequalities in health?', </w:t>
      </w:r>
      <w:r w:rsidRPr="5C45A7A4">
        <w:rPr>
          <w:rFonts w:ascii="sans-serif" w:eastAsia="sans-serif" w:hAnsi="sans-serif" w:cs="sans-serif"/>
          <w:i/>
          <w:iCs/>
          <w:szCs w:val="24"/>
        </w:rPr>
        <w:t>Public Health</w:t>
      </w:r>
      <w:r w:rsidRPr="5C45A7A4">
        <w:rPr>
          <w:rFonts w:ascii="sans-serif" w:eastAsia="sans-serif" w:hAnsi="sans-serif" w:cs="sans-serif"/>
          <w:szCs w:val="24"/>
        </w:rPr>
        <w:t>, 180, pp. 64–71.</w:t>
      </w:r>
    </w:p>
    <w:p w14:paraId="7FC559F1" w14:textId="0FF30304" w:rsidR="611C4B16" w:rsidRDefault="611C4B16" w:rsidP="5C45A7A4">
      <w:pPr>
        <w:pStyle w:val="ListParagraph"/>
        <w:numPr>
          <w:ilvl w:val="0"/>
          <w:numId w:val="2"/>
        </w:numPr>
        <w:spacing w:after="240"/>
        <w:rPr>
          <w:rFonts w:ascii="sans-serif" w:eastAsia="sans-serif" w:hAnsi="sans-serif" w:cs="sans-serif"/>
          <w:szCs w:val="24"/>
        </w:rPr>
      </w:pPr>
      <w:r w:rsidRPr="5C45A7A4">
        <w:rPr>
          <w:rFonts w:ascii="sans-serif" w:eastAsia="sans-serif" w:hAnsi="sans-serif" w:cs="sans-serif"/>
          <w:b/>
          <w:bCs/>
          <w:szCs w:val="24"/>
        </w:rPr>
        <w:t>NHS England</w:t>
      </w:r>
      <w:r w:rsidRPr="5C45A7A4">
        <w:rPr>
          <w:rFonts w:ascii="sans-serif" w:eastAsia="sans-serif" w:hAnsi="sans-serif" w:cs="sans-serif"/>
          <w:szCs w:val="24"/>
        </w:rPr>
        <w:t xml:space="preserve"> (2021) </w:t>
      </w:r>
      <w:r w:rsidRPr="5C45A7A4">
        <w:rPr>
          <w:rFonts w:ascii="sans-serif" w:eastAsia="sans-serif" w:hAnsi="sans-serif" w:cs="sans-serif"/>
          <w:i/>
          <w:iCs/>
          <w:szCs w:val="24"/>
        </w:rPr>
        <w:t>Core20PLUS5 (Adults): An approach to reducing healthcare inequalities</w:t>
      </w:r>
      <w:r w:rsidRPr="5C45A7A4">
        <w:rPr>
          <w:rFonts w:ascii="sans-serif" w:eastAsia="sans-serif" w:hAnsi="sans-serif" w:cs="sans-serif"/>
          <w:szCs w:val="24"/>
        </w:rPr>
        <w:t xml:space="preserve">. London: NHS England. Available at: </w:t>
      </w:r>
      <w:hyperlink r:id="rId12">
        <w:r w:rsidRPr="5C45A7A4">
          <w:rPr>
            <w:rStyle w:val="Hyperlink"/>
          </w:rPr>
          <w:t>https://www.england.nhs.uk/about/equality/core20plus5/</w:t>
        </w:r>
      </w:hyperlink>
      <w:r w:rsidRPr="5C45A7A4">
        <w:rPr>
          <w:rFonts w:ascii="sans-serif" w:eastAsia="sans-serif" w:hAnsi="sans-serif" w:cs="sans-serif"/>
          <w:szCs w:val="24"/>
        </w:rPr>
        <w:t xml:space="preserve"> (Accessed: </w:t>
      </w:r>
      <w:r w:rsidR="61BE193F" w:rsidRPr="5C45A7A4">
        <w:rPr>
          <w:rFonts w:ascii="sans-serif" w:eastAsia="sans-serif" w:hAnsi="sans-serif" w:cs="sans-serif"/>
          <w:szCs w:val="24"/>
        </w:rPr>
        <w:t>3</w:t>
      </w:r>
      <w:r w:rsidRPr="5C45A7A4">
        <w:rPr>
          <w:rFonts w:ascii="sans-serif" w:eastAsia="sans-serif" w:hAnsi="sans-serif" w:cs="sans-serif"/>
          <w:szCs w:val="24"/>
        </w:rPr>
        <w:t xml:space="preserve"> October 2026). </w:t>
      </w:r>
    </w:p>
    <w:p w14:paraId="06151023" w14:textId="317A6626" w:rsidR="611C4B16" w:rsidRDefault="611C4B16" w:rsidP="5C45A7A4">
      <w:pPr>
        <w:pStyle w:val="ListParagraph"/>
        <w:numPr>
          <w:ilvl w:val="0"/>
          <w:numId w:val="2"/>
        </w:numPr>
        <w:spacing w:after="240"/>
        <w:rPr>
          <w:rFonts w:ascii="sans-serif" w:eastAsia="sans-serif" w:hAnsi="sans-serif" w:cs="sans-serif"/>
          <w:szCs w:val="24"/>
        </w:rPr>
      </w:pPr>
      <w:r w:rsidRPr="5C45A7A4">
        <w:rPr>
          <w:rFonts w:ascii="sans-serif" w:eastAsia="sans-serif" w:hAnsi="sans-serif" w:cs="sans-serif"/>
          <w:b/>
          <w:bCs/>
          <w:szCs w:val="24"/>
        </w:rPr>
        <w:t>Raleigh, V.</w:t>
      </w:r>
      <w:r w:rsidRPr="5C45A7A4">
        <w:rPr>
          <w:rFonts w:ascii="sans-serif" w:eastAsia="sans-serif" w:hAnsi="sans-serif" w:cs="sans-serif"/>
          <w:szCs w:val="24"/>
        </w:rPr>
        <w:t xml:space="preserve"> (2021) 'Trends in life expectancy and healthy life expectancy in England', </w:t>
      </w:r>
      <w:r w:rsidRPr="5C45A7A4">
        <w:rPr>
          <w:rFonts w:ascii="sans-serif" w:eastAsia="sans-serif" w:hAnsi="sans-serif" w:cs="sans-serif"/>
          <w:i/>
          <w:iCs/>
          <w:szCs w:val="24"/>
        </w:rPr>
        <w:t>BMJ</w:t>
      </w:r>
      <w:r w:rsidRPr="5C45A7A4">
        <w:rPr>
          <w:rFonts w:ascii="sans-serif" w:eastAsia="sans-serif" w:hAnsi="sans-serif" w:cs="sans-serif"/>
          <w:szCs w:val="24"/>
        </w:rPr>
        <w:t xml:space="preserve">, 374, art. no. </w:t>
      </w:r>
      <w:r w:rsidR="27FD8A7D" w:rsidRPr="5C45A7A4">
        <w:rPr>
          <w:rFonts w:ascii="sans-serif" w:eastAsia="sans-serif" w:hAnsi="sans-serif" w:cs="sans-serif"/>
          <w:szCs w:val="24"/>
        </w:rPr>
        <w:t>N</w:t>
      </w:r>
      <w:r w:rsidRPr="5C45A7A4">
        <w:rPr>
          <w:rFonts w:ascii="sans-serif" w:eastAsia="sans-serif" w:hAnsi="sans-serif" w:cs="sans-serif"/>
          <w:szCs w:val="24"/>
        </w:rPr>
        <w:t>2093.</w:t>
      </w:r>
    </w:p>
    <w:p w14:paraId="1C947963" w14:textId="3BA1C914" w:rsidR="27FD8A7D" w:rsidRDefault="27FD8A7D" w:rsidP="5C45A7A4">
      <w:pPr>
        <w:pStyle w:val="ListParagraph"/>
        <w:numPr>
          <w:ilvl w:val="0"/>
          <w:numId w:val="2"/>
        </w:numPr>
        <w:spacing w:after="240"/>
        <w:rPr>
          <w:rFonts w:ascii="sans-serif" w:eastAsia="sans-serif" w:hAnsi="sans-serif" w:cs="sans-serif"/>
          <w:szCs w:val="24"/>
        </w:rPr>
      </w:pPr>
      <w:r w:rsidRPr="5C45A7A4">
        <w:rPr>
          <w:rFonts w:ascii="sans-serif" w:eastAsia="sans-serif" w:hAnsi="sans-serif" w:cs="sans-serif"/>
          <w:b/>
          <w:bCs/>
          <w:szCs w:val="24"/>
        </w:rPr>
        <w:t>Whitehead, M., Taylor-Robinson, D. and Barr, B.</w:t>
      </w:r>
      <w:r w:rsidRPr="5C45A7A4">
        <w:rPr>
          <w:rFonts w:ascii="sans-serif" w:eastAsia="sans-serif" w:hAnsi="sans-serif" w:cs="sans-serif"/>
          <w:szCs w:val="24"/>
        </w:rPr>
        <w:t xml:space="preserve"> (2021) 'Poverty, austerity and health inequalities in the UK', </w:t>
      </w:r>
      <w:r w:rsidRPr="5C45A7A4">
        <w:rPr>
          <w:rFonts w:ascii="sans-serif" w:eastAsia="sans-serif" w:hAnsi="sans-serif" w:cs="sans-serif"/>
          <w:i/>
          <w:iCs/>
          <w:szCs w:val="24"/>
        </w:rPr>
        <w:t>The Lancet Public Health</w:t>
      </w:r>
      <w:r w:rsidRPr="5C45A7A4">
        <w:rPr>
          <w:rFonts w:ascii="sans-serif" w:eastAsia="sans-serif" w:hAnsi="sans-serif" w:cs="sans-serif"/>
          <w:szCs w:val="24"/>
        </w:rPr>
        <w:t>, 6(12), pp. e879–e880.</w:t>
      </w:r>
    </w:p>
    <w:p w14:paraId="528AAB9F" w14:textId="28BF78D1" w:rsidR="611C4B16" w:rsidRDefault="611C4B16" w:rsidP="5C45A7A4">
      <w:pPr>
        <w:pStyle w:val="ListParagraph"/>
        <w:numPr>
          <w:ilvl w:val="0"/>
          <w:numId w:val="2"/>
        </w:numPr>
        <w:spacing w:after="240"/>
        <w:rPr>
          <w:rFonts w:ascii="sans-serif" w:eastAsia="sans-serif" w:hAnsi="sans-serif" w:cs="sans-serif"/>
          <w:szCs w:val="24"/>
        </w:rPr>
      </w:pPr>
      <w:r w:rsidRPr="5C45A7A4">
        <w:rPr>
          <w:rFonts w:ascii="sans-serif" w:eastAsia="sans-serif" w:hAnsi="sans-serif" w:cs="sans-serif"/>
          <w:b/>
          <w:bCs/>
          <w:szCs w:val="24"/>
        </w:rPr>
        <w:t>World Health Organization (WHO) Regional Office for Europe</w:t>
      </w:r>
      <w:r w:rsidRPr="5C45A7A4">
        <w:rPr>
          <w:rFonts w:ascii="sans-serif" w:eastAsia="sans-serif" w:hAnsi="sans-serif" w:cs="sans-serif"/>
          <w:szCs w:val="24"/>
        </w:rPr>
        <w:t xml:space="preserve"> (2019) </w:t>
      </w:r>
      <w:r w:rsidRPr="5C45A7A4">
        <w:rPr>
          <w:rFonts w:ascii="sans-serif" w:eastAsia="sans-serif" w:hAnsi="sans-serif" w:cs="sans-serif"/>
          <w:i/>
          <w:iCs/>
          <w:szCs w:val="24"/>
        </w:rPr>
        <w:t>Healthy, prosperous lives for all: The European Health Equity Status Report</w:t>
      </w:r>
      <w:r w:rsidRPr="5C45A7A4">
        <w:rPr>
          <w:rFonts w:ascii="sans-serif" w:eastAsia="sans-serif" w:hAnsi="sans-serif" w:cs="sans-serif"/>
          <w:szCs w:val="24"/>
        </w:rPr>
        <w:t xml:space="preserve">. Copenhagen: WHO Regional Office for Europe. Available at: </w:t>
      </w:r>
      <w:hyperlink r:id="rId13">
        <w:r w:rsidRPr="5C45A7A4">
          <w:rPr>
            <w:rStyle w:val="Hyperlink"/>
          </w:rPr>
          <w:t>https://www.who.int/europe/initiatives/health-equity-status-report-initiative</w:t>
        </w:r>
      </w:hyperlink>
      <w:r w:rsidRPr="5C45A7A4">
        <w:rPr>
          <w:rFonts w:ascii="sans-serif" w:eastAsia="sans-serif" w:hAnsi="sans-serif" w:cs="sans-serif"/>
          <w:szCs w:val="24"/>
        </w:rPr>
        <w:t xml:space="preserve"> (Accessed: </w:t>
      </w:r>
      <w:r w:rsidR="1304EAA0" w:rsidRPr="5C45A7A4">
        <w:rPr>
          <w:rFonts w:ascii="sans-serif" w:eastAsia="sans-serif" w:hAnsi="sans-serif" w:cs="sans-serif"/>
          <w:szCs w:val="24"/>
        </w:rPr>
        <w:t>1</w:t>
      </w:r>
      <w:r w:rsidRPr="5C45A7A4">
        <w:rPr>
          <w:rFonts w:ascii="sans-serif" w:eastAsia="sans-serif" w:hAnsi="sans-serif" w:cs="sans-serif"/>
          <w:szCs w:val="24"/>
        </w:rPr>
        <w:t xml:space="preserve"> October 2026). </w:t>
      </w:r>
    </w:p>
    <w:p w14:paraId="5E6C0454" w14:textId="3CEB8F64" w:rsidR="5C45A7A4" w:rsidRDefault="5C45A7A4" w:rsidP="5C45A7A4">
      <w:pPr>
        <w:pStyle w:val="ListParagraph"/>
        <w:spacing w:after="240"/>
        <w:rPr>
          <w:rFonts w:ascii="sans-serif" w:eastAsia="sans-serif" w:hAnsi="sans-serif" w:cs="sans-serif"/>
          <w:szCs w:val="24"/>
        </w:rPr>
      </w:pPr>
    </w:p>
    <w:p w14:paraId="6D871C44" w14:textId="0EC6E669" w:rsidR="00331F5A" w:rsidRPr="003A2FDF" w:rsidRDefault="00331F5A" w:rsidP="00331F5A">
      <w:pPr>
        <w:spacing w:line="360" w:lineRule="auto"/>
        <w:rPr>
          <w:rFonts w:ascii="Aptos" w:hAnsi="Aptos" w:cs="Arial"/>
        </w:rPr>
      </w:pPr>
    </w:p>
    <w:p w14:paraId="122C4F5C" w14:textId="64CA9049" w:rsidR="00331F5A" w:rsidRPr="00331F5A" w:rsidRDefault="00331F5A" w:rsidP="00331F5A">
      <w:pPr>
        <w:spacing w:line="360" w:lineRule="auto"/>
        <w:rPr>
          <w:rFonts w:ascii="Aptos" w:hAnsi="Aptos" w:cs="Arial"/>
        </w:rPr>
      </w:pPr>
      <w:r w:rsidRPr="00331F5A">
        <w:rPr>
          <w:rFonts w:ascii="Aptos" w:hAnsi="Aptos" w:cs="Arial"/>
        </w:rPr>
        <w:br/>
      </w:r>
    </w:p>
    <w:p w14:paraId="4F674FD0" w14:textId="7B679175" w:rsidR="00331F5A" w:rsidRPr="00331F5A" w:rsidRDefault="00331F5A" w:rsidP="00331F5A">
      <w:pPr>
        <w:spacing w:line="360" w:lineRule="auto"/>
        <w:rPr>
          <w:rFonts w:ascii="Aptos" w:hAnsi="Aptos" w:cs="Arial"/>
        </w:rPr>
      </w:pPr>
    </w:p>
    <w:p w14:paraId="5BC91157" w14:textId="2E98F5EB" w:rsidR="00545684" w:rsidRPr="003A2FDF" w:rsidRDefault="00331F5A" w:rsidP="00331F5A">
      <w:pPr>
        <w:spacing w:line="360" w:lineRule="auto"/>
        <w:rPr>
          <w:rFonts w:ascii="Aptos" w:hAnsi="Aptos" w:cs="Arial"/>
        </w:rPr>
      </w:pPr>
      <w:r w:rsidRPr="00331F5A">
        <w:rPr>
          <w:rFonts w:ascii="Aptos" w:hAnsi="Aptos" w:cs="Arial"/>
        </w:rPr>
        <w:br/>
      </w:r>
    </w:p>
    <w:sectPr w:rsidR="00545684" w:rsidRPr="003A2FDF" w:rsidSect="00041A5A">
      <w:footerReference w:type="default" r:id="rId14"/>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D45ADC" w14:textId="77777777" w:rsidR="00CA2AFC" w:rsidRDefault="00CA2AFC" w:rsidP="00545684">
      <w:pPr>
        <w:spacing w:after="0" w:line="240" w:lineRule="auto"/>
      </w:pPr>
      <w:r>
        <w:separator/>
      </w:r>
    </w:p>
  </w:endnote>
  <w:endnote w:type="continuationSeparator" w:id="0">
    <w:p w14:paraId="7462DA95" w14:textId="77777777" w:rsidR="00CA2AFC" w:rsidRDefault="00CA2AFC"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ACFF" w:usb2="00000009" w:usb3="00000000" w:csb0="000001FF" w:csb1="00000000"/>
  </w:font>
  <w:font w:name="Arial">
    <w:panose1 w:val="020B0604020202020204"/>
    <w:charset w:val="00"/>
    <w:family w:val="swiss"/>
    <w:pitch w:val="variable"/>
    <w:sig w:usb0="E0002EFF" w:usb1="C0007843"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ptos">
    <w:panose1 w:val="020B0004020202020204"/>
    <w:charset w:val="00"/>
    <w:family w:val="swiss"/>
    <w:pitch w:val="variable"/>
    <w:sig w:usb0="20000287" w:usb1="00000003" w:usb2="00000000" w:usb3="00000000" w:csb0="0000019F" w:csb1="00000000"/>
  </w:font>
  <w:font w:name="Arial Nova">
    <w:panose1 w:val="020B0504020202020204"/>
    <w:charset w:val="00"/>
    <w:family w:val="swiss"/>
    <w:pitch w:val="variable"/>
    <w:sig w:usb0="0000028F" w:usb1="00000002" w:usb2="00000000" w:usb3="00000000" w:csb0="0000019F" w:csb1="00000000"/>
  </w:font>
  <w:font w:name="sans-serif">
    <w:altName w:val="Cambria"/>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noProof/>
      </w:rPr>
    </w:sdtEndPr>
    <w:sdtContent>
      <w:p w14:paraId="4459FC94" w14:textId="4721B869" w:rsidR="00545684" w:rsidRDefault="005456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DE5208" w14:textId="77777777" w:rsidR="00CA2AFC" w:rsidRDefault="00CA2AFC" w:rsidP="00545684">
      <w:pPr>
        <w:spacing w:after="0" w:line="240" w:lineRule="auto"/>
      </w:pPr>
      <w:r>
        <w:separator/>
      </w:r>
    </w:p>
  </w:footnote>
  <w:footnote w:type="continuationSeparator" w:id="0">
    <w:p w14:paraId="788EB5C8" w14:textId="77777777" w:rsidR="00CA2AFC" w:rsidRDefault="00CA2AFC" w:rsidP="00545684">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0DB30E0"/>
    <w:multiLevelType w:val="hybridMultilevel"/>
    <w:tmpl w:val="FFFFFFFF"/>
    <w:lvl w:ilvl="0" w:tplc="E0A26922">
      <w:start w:val="1"/>
      <w:numFmt w:val="decimal"/>
      <w:lvlText w:val="%1."/>
      <w:lvlJc w:val="left"/>
      <w:pPr>
        <w:ind w:left="720" w:hanging="360"/>
      </w:pPr>
    </w:lvl>
    <w:lvl w:ilvl="1" w:tplc="BE88FE8A">
      <w:start w:val="1"/>
      <w:numFmt w:val="lowerLetter"/>
      <w:lvlText w:val="%2."/>
      <w:lvlJc w:val="left"/>
      <w:pPr>
        <w:ind w:left="1440" w:hanging="360"/>
      </w:pPr>
    </w:lvl>
    <w:lvl w:ilvl="2" w:tplc="A620C99E">
      <w:start w:val="1"/>
      <w:numFmt w:val="lowerRoman"/>
      <w:lvlText w:val="%3."/>
      <w:lvlJc w:val="right"/>
      <w:pPr>
        <w:ind w:left="2160" w:hanging="180"/>
      </w:pPr>
    </w:lvl>
    <w:lvl w:ilvl="3" w:tplc="719E2DD2">
      <w:start w:val="1"/>
      <w:numFmt w:val="decimal"/>
      <w:lvlText w:val="%4."/>
      <w:lvlJc w:val="left"/>
      <w:pPr>
        <w:ind w:left="2880" w:hanging="360"/>
      </w:pPr>
    </w:lvl>
    <w:lvl w:ilvl="4" w:tplc="60BA56C8">
      <w:start w:val="1"/>
      <w:numFmt w:val="lowerLetter"/>
      <w:lvlText w:val="%5."/>
      <w:lvlJc w:val="left"/>
      <w:pPr>
        <w:ind w:left="3600" w:hanging="360"/>
      </w:pPr>
    </w:lvl>
    <w:lvl w:ilvl="5" w:tplc="D03E5D94">
      <w:start w:val="1"/>
      <w:numFmt w:val="lowerRoman"/>
      <w:lvlText w:val="%6."/>
      <w:lvlJc w:val="right"/>
      <w:pPr>
        <w:ind w:left="4320" w:hanging="180"/>
      </w:pPr>
    </w:lvl>
    <w:lvl w:ilvl="6" w:tplc="4E0A23BA">
      <w:start w:val="1"/>
      <w:numFmt w:val="decimal"/>
      <w:lvlText w:val="%7."/>
      <w:lvlJc w:val="left"/>
      <w:pPr>
        <w:ind w:left="5040" w:hanging="360"/>
      </w:pPr>
    </w:lvl>
    <w:lvl w:ilvl="7" w:tplc="FC62D232">
      <w:start w:val="1"/>
      <w:numFmt w:val="lowerLetter"/>
      <w:lvlText w:val="%8."/>
      <w:lvlJc w:val="left"/>
      <w:pPr>
        <w:ind w:left="5760" w:hanging="360"/>
      </w:pPr>
    </w:lvl>
    <w:lvl w:ilvl="8" w:tplc="7DE6615C">
      <w:start w:val="1"/>
      <w:numFmt w:val="lowerRoman"/>
      <w:lvlText w:val="%9."/>
      <w:lvlJc w:val="right"/>
      <w:pPr>
        <w:ind w:left="6480" w:hanging="180"/>
      </w:pPr>
    </w:lvl>
  </w:abstractNum>
  <w:abstractNum w:abstractNumId="1" w15:restartNumberingAfterBreak="0">
    <w:nsid w:val="3A97037A"/>
    <w:multiLevelType w:val="multilevel"/>
    <w:tmpl w:val="1BDE8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76D522C"/>
    <w:multiLevelType w:val="multilevel"/>
    <w:tmpl w:val="3E56C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80CC294"/>
    <w:multiLevelType w:val="hybridMultilevel"/>
    <w:tmpl w:val="FFFFFFFF"/>
    <w:lvl w:ilvl="0" w:tplc="31A8528A">
      <w:start w:val="1"/>
      <w:numFmt w:val="bullet"/>
      <w:lvlText w:val=""/>
      <w:lvlJc w:val="left"/>
      <w:pPr>
        <w:ind w:left="720" w:hanging="360"/>
      </w:pPr>
      <w:rPr>
        <w:rFonts w:ascii="Symbol" w:hAnsi="Symbol" w:hint="default"/>
      </w:rPr>
    </w:lvl>
    <w:lvl w:ilvl="1" w:tplc="C798B27C">
      <w:start w:val="1"/>
      <w:numFmt w:val="bullet"/>
      <w:lvlText w:val="o"/>
      <w:lvlJc w:val="left"/>
      <w:pPr>
        <w:ind w:left="1440" w:hanging="360"/>
      </w:pPr>
      <w:rPr>
        <w:rFonts w:ascii="Courier New" w:hAnsi="Courier New" w:hint="default"/>
      </w:rPr>
    </w:lvl>
    <w:lvl w:ilvl="2" w:tplc="E01297D2">
      <w:start w:val="1"/>
      <w:numFmt w:val="bullet"/>
      <w:lvlText w:val=""/>
      <w:lvlJc w:val="left"/>
      <w:pPr>
        <w:ind w:left="2160" w:hanging="360"/>
      </w:pPr>
      <w:rPr>
        <w:rFonts w:ascii="Wingdings" w:hAnsi="Wingdings" w:hint="default"/>
      </w:rPr>
    </w:lvl>
    <w:lvl w:ilvl="3" w:tplc="F1B2DD60">
      <w:start w:val="1"/>
      <w:numFmt w:val="bullet"/>
      <w:lvlText w:val=""/>
      <w:lvlJc w:val="left"/>
      <w:pPr>
        <w:ind w:left="2880" w:hanging="360"/>
      </w:pPr>
      <w:rPr>
        <w:rFonts w:ascii="Symbol" w:hAnsi="Symbol" w:hint="default"/>
      </w:rPr>
    </w:lvl>
    <w:lvl w:ilvl="4" w:tplc="5F4C65EC">
      <w:start w:val="1"/>
      <w:numFmt w:val="bullet"/>
      <w:lvlText w:val="o"/>
      <w:lvlJc w:val="left"/>
      <w:pPr>
        <w:ind w:left="3600" w:hanging="360"/>
      </w:pPr>
      <w:rPr>
        <w:rFonts w:ascii="Courier New" w:hAnsi="Courier New" w:hint="default"/>
      </w:rPr>
    </w:lvl>
    <w:lvl w:ilvl="5" w:tplc="A6AA795E">
      <w:start w:val="1"/>
      <w:numFmt w:val="bullet"/>
      <w:lvlText w:val=""/>
      <w:lvlJc w:val="left"/>
      <w:pPr>
        <w:ind w:left="4320" w:hanging="360"/>
      </w:pPr>
      <w:rPr>
        <w:rFonts w:ascii="Wingdings" w:hAnsi="Wingdings" w:hint="default"/>
      </w:rPr>
    </w:lvl>
    <w:lvl w:ilvl="6" w:tplc="91804ECA">
      <w:start w:val="1"/>
      <w:numFmt w:val="bullet"/>
      <w:lvlText w:val=""/>
      <w:lvlJc w:val="left"/>
      <w:pPr>
        <w:ind w:left="5040" w:hanging="360"/>
      </w:pPr>
      <w:rPr>
        <w:rFonts w:ascii="Symbol" w:hAnsi="Symbol" w:hint="default"/>
      </w:rPr>
    </w:lvl>
    <w:lvl w:ilvl="7" w:tplc="063A363E">
      <w:start w:val="1"/>
      <w:numFmt w:val="bullet"/>
      <w:lvlText w:val="o"/>
      <w:lvlJc w:val="left"/>
      <w:pPr>
        <w:ind w:left="5760" w:hanging="360"/>
      </w:pPr>
      <w:rPr>
        <w:rFonts w:ascii="Courier New" w:hAnsi="Courier New" w:hint="default"/>
      </w:rPr>
    </w:lvl>
    <w:lvl w:ilvl="8" w:tplc="359AC156">
      <w:start w:val="1"/>
      <w:numFmt w:val="bullet"/>
      <w:lvlText w:val=""/>
      <w:lvlJc w:val="left"/>
      <w:pPr>
        <w:ind w:left="6480" w:hanging="360"/>
      </w:pPr>
      <w:rPr>
        <w:rFonts w:ascii="Wingdings" w:hAnsi="Wingdings" w:hint="default"/>
      </w:rPr>
    </w:lvl>
  </w:abstractNum>
  <w:abstractNum w:abstractNumId="4" w15:restartNumberingAfterBreak="0">
    <w:nsid w:val="5D3F3937"/>
    <w:multiLevelType w:val="hybridMultilevel"/>
    <w:tmpl w:val="FFFFFFFF"/>
    <w:lvl w:ilvl="0" w:tplc="75828372">
      <w:start w:val="1"/>
      <w:numFmt w:val="bullet"/>
      <w:lvlText w:val=""/>
      <w:lvlJc w:val="left"/>
      <w:pPr>
        <w:ind w:left="720" w:hanging="360"/>
      </w:pPr>
      <w:rPr>
        <w:rFonts w:ascii="Symbol" w:hAnsi="Symbol" w:hint="default"/>
      </w:rPr>
    </w:lvl>
    <w:lvl w:ilvl="1" w:tplc="5608FDAE">
      <w:start w:val="1"/>
      <w:numFmt w:val="bullet"/>
      <w:lvlText w:val="o"/>
      <w:lvlJc w:val="left"/>
      <w:pPr>
        <w:ind w:left="1440" w:hanging="360"/>
      </w:pPr>
      <w:rPr>
        <w:rFonts w:ascii="Courier New" w:hAnsi="Courier New" w:hint="default"/>
      </w:rPr>
    </w:lvl>
    <w:lvl w:ilvl="2" w:tplc="9998DCEA">
      <w:start w:val="1"/>
      <w:numFmt w:val="bullet"/>
      <w:lvlText w:val=""/>
      <w:lvlJc w:val="left"/>
      <w:pPr>
        <w:ind w:left="2160" w:hanging="360"/>
      </w:pPr>
      <w:rPr>
        <w:rFonts w:ascii="Wingdings" w:hAnsi="Wingdings" w:hint="default"/>
      </w:rPr>
    </w:lvl>
    <w:lvl w:ilvl="3" w:tplc="95125E7A">
      <w:start w:val="1"/>
      <w:numFmt w:val="bullet"/>
      <w:lvlText w:val=""/>
      <w:lvlJc w:val="left"/>
      <w:pPr>
        <w:ind w:left="2880" w:hanging="360"/>
      </w:pPr>
      <w:rPr>
        <w:rFonts w:ascii="Symbol" w:hAnsi="Symbol" w:hint="default"/>
      </w:rPr>
    </w:lvl>
    <w:lvl w:ilvl="4" w:tplc="D076D7D8">
      <w:start w:val="1"/>
      <w:numFmt w:val="bullet"/>
      <w:lvlText w:val="o"/>
      <w:lvlJc w:val="left"/>
      <w:pPr>
        <w:ind w:left="3600" w:hanging="360"/>
      </w:pPr>
      <w:rPr>
        <w:rFonts w:ascii="Courier New" w:hAnsi="Courier New" w:hint="default"/>
      </w:rPr>
    </w:lvl>
    <w:lvl w:ilvl="5" w:tplc="3BCE97FE">
      <w:start w:val="1"/>
      <w:numFmt w:val="bullet"/>
      <w:lvlText w:val=""/>
      <w:lvlJc w:val="left"/>
      <w:pPr>
        <w:ind w:left="4320" w:hanging="360"/>
      </w:pPr>
      <w:rPr>
        <w:rFonts w:ascii="Wingdings" w:hAnsi="Wingdings" w:hint="default"/>
      </w:rPr>
    </w:lvl>
    <w:lvl w:ilvl="6" w:tplc="7B304D32">
      <w:start w:val="1"/>
      <w:numFmt w:val="bullet"/>
      <w:lvlText w:val=""/>
      <w:lvlJc w:val="left"/>
      <w:pPr>
        <w:ind w:left="5040" w:hanging="360"/>
      </w:pPr>
      <w:rPr>
        <w:rFonts w:ascii="Symbol" w:hAnsi="Symbol" w:hint="default"/>
      </w:rPr>
    </w:lvl>
    <w:lvl w:ilvl="7" w:tplc="E432136C">
      <w:start w:val="1"/>
      <w:numFmt w:val="bullet"/>
      <w:lvlText w:val="o"/>
      <w:lvlJc w:val="left"/>
      <w:pPr>
        <w:ind w:left="5760" w:hanging="360"/>
      </w:pPr>
      <w:rPr>
        <w:rFonts w:ascii="Courier New" w:hAnsi="Courier New" w:hint="default"/>
      </w:rPr>
    </w:lvl>
    <w:lvl w:ilvl="8" w:tplc="56A463F2">
      <w:start w:val="1"/>
      <w:numFmt w:val="bullet"/>
      <w:lvlText w:val=""/>
      <w:lvlJc w:val="left"/>
      <w:pPr>
        <w:ind w:left="6480" w:hanging="360"/>
      </w:pPr>
      <w:rPr>
        <w:rFonts w:ascii="Wingdings" w:hAnsi="Wingdings" w:hint="default"/>
      </w:rPr>
    </w:lvl>
  </w:abstractNum>
  <w:abstractNum w:abstractNumId="5" w15:restartNumberingAfterBreak="0">
    <w:nsid w:val="6E921C95"/>
    <w:multiLevelType w:val="multilevel"/>
    <w:tmpl w:val="8CF89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B431161"/>
    <w:multiLevelType w:val="hybridMultilevel"/>
    <w:tmpl w:val="BE0C4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06174345">
    <w:abstractNumId w:val="4"/>
  </w:num>
  <w:num w:numId="2" w16cid:durableId="2147353104">
    <w:abstractNumId w:val="0"/>
  </w:num>
  <w:num w:numId="3" w16cid:durableId="201015723">
    <w:abstractNumId w:val="3"/>
  </w:num>
  <w:num w:numId="4" w16cid:durableId="722099292">
    <w:abstractNumId w:val="7"/>
  </w:num>
  <w:num w:numId="5" w16cid:durableId="1933321522">
    <w:abstractNumId w:val="2"/>
  </w:num>
  <w:num w:numId="6" w16cid:durableId="875194671">
    <w:abstractNumId w:val="1"/>
  </w:num>
  <w:num w:numId="7" w16cid:durableId="1703288516">
    <w:abstractNumId w:val="5"/>
  </w:num>
  <w:num w:numId="8" w16cid:durableId="120876328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2"/>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41A5A"/>
    <w:rsid w:val="000A5161"/>
    <w:rsid w:val="000B67B3"/>
    <w:rsid w:val="000B7CD5"/>
    <w:rsid w:val="0020643B"/>
    <w:rsid w:val="00216C85"/>
    <w:rsid w:val="00245A44"/>
    <w:rsid w:val="00260277"/>
    <w:rsid w:val="00273EDD"/>
    <w:rsid w:val="002A15DA"/>
    <w:rsid w:val="002A42AA"/>
    <w:rsid w:val="002C3965"/>
    <w:rsid w:val="002F2D32"/>
    <w:rsid w:val="003018F0"/>
    <w:rsid w:val="00321C4C"/>
    <w:rsid w:val="00331F5A"/>
    <w:rsid w:val="003A2FDF"/>
    <w:rsid w:val="003B5B7F"/>
    <w:rsid w:val="004903AA"/>
    <w:rsid w:val="004B550C"/>
    <w:rsid w:val="004C5DDA"/>
    <w:rsid w:val="004E6C3B"/>
    <w:rsid w:val="00545684"/>
    <w:rsid w:val="00582B4D"/>
    <w:rsid w:val="00603FE5"/>
    <w:rsid w:val="0061260B"/>
    <w:rsid w:val="00646B10"/>
    <w:rsid w:val="006D298C"/>
    <w:rsid w:val="00715990"/>
    <w:rsid w:val="00784670"/>
    <w:rsid w:val="007C51A1"/>
    <w:rsid w:val="00866B7B"/>
    <w:rsid w:val="0086701E"/>
    <w:rsid w:val="008A1EA4"/>
    <w:rsid w:val="008E5015"/>
    <w:rsid w:val="009118CF"/>
    <w:rsid w:val="009D1D1E"/>
    <w:rsid w:val="009D4A9D"/>
    <w:rsid w:val="009F1B5A"/>
    <w:rsid w:val="00A035FD"/>
    <w:rsid w:val="00A276A0"/>
    <w:rsid w:val="00A6153D"/>
    <w:rsid w:val="00A869DC"/>
    <w:rsid w:val="00C54573"/>
    <w:rsid w:val="00C97EC7"/>
    <w:rsid w:val="00CA2AFC"/>
    <w:rsid w:val="00D025CA"/>
    <w:rsid w:val="00D769F0"/>
    <w:rsid w:val="00DC0DC9"/>
    <w:rsid w:val="00E614D4"/>
    <w:rsid w:val="00EC68DA"/>
    <w:rsid w:val="00F278D4"/>
    <w:rsid w:val="00FB4301"/>
    <w:rsid w:val="00FC2B9B"/>
    <w:rsid w:val="00FF5B70"/>
    <w:rsid w:val="01A34D24"/>
    <w:rsid w:val="0338B410"/>
    <w:rsid w:val="04166B4D"/>
    <w:rsid w:val="065EBD62"/>
    <w:rsid w:val="09A9823F"/>
    <w:rsid w:val="0C6B4552"/>
    <w:rsid w:val="0DF85119"/>
    <w:rsid w:val="0E954EDB"/>
    <w:rsid w:val="10BB87F7"/>
    <w:rsid w:val="11153B6C"/>
    <w:rsid w:val="11448C7F"/>
    <w:rsid w:val="11A7B9F4"/>
    <w:rsid w:val="12F06560"/>
    <w:rsid w:val="1304EAA0"/>
    <w:rsid w:val="1360C571"/>
    <w:rsid w:val="163D2D49"/>
    <w:rsid w:val="1687E302"/>
    <w:rsid w:val="19242DB3"/>
    <w:rsid w:val="1986C484"/>
    <w:rsid w:val="1C420FF0"/>
    <w:rsid w:val="1EFCE7B8"/>
    <w:rsid w:val="21036810"/>
    <w:rsid w:val="21DC0FFD"/>
    <w:rsid w:val="23091DEB"/>
    <w:rsid w:val="23C931D9"/>
    <w:rsid w:val="24D6536F"/>
    <w:rsid w:val="27FD8A7D"/>
    <w:rsid w:val="285DD0A1"/>
    <w:rsid w:val="28B4F5C6"/>
    <w:rsid w:val="2A288AB3"/>
    <w:rsid w:val="2ACB834C"/>
    <w:rsid w:val="2C0B4AF6"/>
    <w:rsid w:val="2E8D5DE7"/>
    <w:rsid w:val="2FD76279"/>
    <w:rsid w:val="310360E7"/>
    <w:rsid w:val="3181FFDD"/>
    <w:rsid w:val="31CD96E4"/>
    <w:rsid w:val="31EDF0BA"/>
    <w:rsid w:val="330F893F"/>
    <w:rsid w:val="33289586"/>
    <w:rsid w:val="332D7C4E"/>
    <w:rsid w:val="36608041"/>
    <w:rsid w:val="368AC192"/>
    <w:rsid w:val="3701B0D9"/>
    <w:rsid w:val="3A920DE6"/>
    <w:rsid w:val="3AE12531"/>
    <w:rsid w:val="3B11B1E7"/>
    <w:rsid w:val="3D8677BD"/>
    <w:rsid w:val="4064EB3C"/>
    <w:rsid w:val="4131A74C"/>
    <w:rsid w:val="42122BA4"/>
    <w:rsid w:val="42A2E080"/>
    <w:rsid w:val="42BF0410"/>
    <w:rsid w:val="42C2C574"/>
    <w:rsid w:val="4304E314"/>
    <w:rsid w:val="4520F48F"/>
    <w:rsid w:val="455222B0"/>
    <w:rsid w:val="468BEFC4"/>
    <w:rsid w:val="46BD7CCA"/>
    <w:rsid w:val="46FDBF03"/>
    <w:rsid w:val="48558876"/>
    <w:rsid w:val="49F3C69D"/>
    <w:rsid w:val="4BC6FA76"/>
    <w:rsid w:val="4D3CEFF9"/>
    <w:rsid w:val="4E5D21AB"/>
    <w:rsid w:val="4F11946A"/>
    <w:rsid w:val="510AED7B"/>
    <w:rsid w:val="51A75B2A"/>
    <w:rsid w:val="543889A8"/>
    <w:rsid w:val="544B615E"/>
    <w:rsid w:val="546E965D"/>
    <w:rsid w:val="5799C3F2"/>
    <w:rsid w:val="586413FE"/>
    <w:rsid w:val="5A2A3AC8"/>
    <w:rsid w:val="5A2B0F5E"/>
    <w:rsid w:val="5B14DA59"/>
    <w:rsid w:val="5B526873"/>
    <w:rsid w:val="5C45A7A4"/>
    <w:rsid w:val="5E07AB0C"/>
    <w:rsid w:val="5F26F8CD"/>
    <w:rsid w:val="5FA4F7B6"/>
    <w:rsid w:val="604988FF"/>
    <w:rsid w:val="609F05D4"/>
    <w:rsid w:val="611C4B16"/>
    <w:rsid w:val="6166CF43"/>
    <w:rsid w:val="618E4131"/>
    <w:rsid w:val="61BE193F"/>
    <w:rsid w:val="6689AA4D"/>
    <w:rsid w:val="6704D82A"/>
    <w:rsid w:val="671CAE4F"/>
    <w:rsid w:val="67604536"/>
    <w:rsid w:val="67E6517C"/>
    <w:rsid w:val="69E7D475"/>
    <w:rsid w:val="6A957907"/>
    <w:rsid w:val="6AA45365"/>
    <w:rsid w:val="6BC65D71"/>
    <w:rsid w:val="6C79E56F"/>
    <w:rsid w:val="6DE84877"/>
    <w:rsid w:val="73EB025D"/>
    <w:rsid w:val="76F90558"/>
    <w:rsid w:val="775DB276"/>
    <w:rsid w:val="7915730A"/>
    <w:rsid w:val="7A140FA5"/>
    <w:rsid w:val="7B19E4F0"/>
    <w:rsid w:val="7B92FA9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FF5B70"/>
    <w:pPr>
      <w:keepNext/>
      <w:keepLines/>
      <w:spacing w:before="240" w:after="0" w:line="360" w:lineRule="auto"/>
      <w:jc w:val="center"/>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784670"/>
    <w:pPr>
      <w:keepNext/>
      <w:keepLines/>
      <w:spacing w:before="40" w:after="0" w:line="360" w:lineRule="auto"/>
      <w:outlineLvl w:val="1"/>
    </w:pPr>
    <w:rPr>
      <w:rFonts w:ascii="Arial" w:eastAsiaTheme="majorEastAsia" w:hAnsi="Arial" w:cs="Arial"/>
      <w:b/>
      <w:bCs/>
      <w:i/>
      <w:sz w:val="28"/>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5B70"/>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784670"/>
    <w:rPr>
      <w:rFonts w:ascii="Arial" w:eastAsiaTheme="majorEastAsia" w:hAnsi="Arial" w:cs="Arial"/>
      <w:b/>
      <w:bCs/>
      <w:i/>
      <w:sz w:val="28"/>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NormalWeb">
    <w:name w:val="Normal (Web)"/>
    <w:basedOn w:val="Normal"/>
    <w:uiPriority w:val="99"/>
    <w:semiHidden/>
    <w:unhideWhenUsed/>
    <w:rsid w:val="00A6153D"/>
    <w:rPr>
      <w:rFonts w:cs="Times New Roman"/>
      <w:szCs w:val="24"/>
    </w:rPr>
  </w:style>
  <w:style w:type="paragraph" w:styleId="ListParagraph">
    <w:name w:val="List Paragraph"/>
    <w:basedOn w:val="Normal"/>
    <w:uiPriority w:val="34"/>
    <w:qFormat/>
    <w:rsid w:val="00A276A0"/>
    <w:pPr>
      <w:ind w:left="720"/>
      <w:contextualSpacing/>
    </w:pPr>
  </w:style>
  <w:style w:type="character" w:styleId="Hyperlink">
    <w:name w:val="Hyperlink"/>
    <w:basedOn w:val="DefaultParagraphFont"/>
    <w:uiPriority w:val="99"/>
    <w:unhideWhenUsed/>
    <w:rsid w:val="4520F48F"/>
    <w:rPr>
      <w:color w:val="0563C1"/>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775017">
      <w:bodyDiv w:val="1"/>
      <w:marLeft w:val="0"/>
      <w:marRight w:val="0"/>
      <w:marTop w:val="0"/>
      <w:marBottom w:val="0"/>
      <w:divBdr>
        <w:top w:val="none" w:sz="0" w:space="0" w:color="auto"/>
        <w:left w:val="none" w:sz="0" w:space="0" w:color="auto"/>
        <w:bottom w:val="none" w:sz="0" w:space="0" w:color="auto"/>
        <w:right w:val="none" w:sz="0" w:space="0" w:color="auto"/>
      </w:divBdr>
      <w:divsChild>
        <w:div w:id="315493043">
          <w:marLeft w:val="0"/>
          <w:marRight w:val="0"/>
          <w:marTop w:val="0"/>
          <w:marBottom w:val="0"/>
          <w:divBdr>
            <w:top w:val="none" w:sz="0" w:space="0" w:color="auto"/>
            <w:left w:val="none" w:sz="0" w:space="0" w:color="auto"/>
            <w:bottom w:val="none" w:sz="0" w:space="0" w:color="auto"/>
            <w:right w:val="none" w:sz="0" w:space="0" w:color="auto"/>
          </w:divBdr>
        </w:div>
      </w:divsChild>
    </w:div>
    <w:div w:id="171336536">
      <w:bodyDiv w:val="1"/>
      <w:marLeft w:val="0"/>
      <w:marRight w:val="0"/>
      <w:marTop w:val="0"/>
      <w:marBottom w:val="0"/>
      <w:divBdr>
        <w:top w:val="none" w:sz="0" w:space="0" w:color="auto"/>
        <w:left w:val="none" w:sz="0" w:space="0" w:color="auto"/>
        <w:bottom w:val="none" w:sz="0" w:space="0" w:color="auto"/>
        <w:right w:val="none" w:sz="0" w:space="0" w:color="auto"/>
      </w:divBdr>
      <w:divsChild>
        <w:div w:id="746996415">
          <w:marLeft w:val="0"/>
          <w:marRight w:val="0"/>
          <w:marTop w:val="0"/>
          <w:marBottom w:val="0"/>
          <w:divBdr>
            <w:top w:val="none" w:sz="0" w:space="0" w:color="auto"/>
            <w:left w:val="none" w:sz="0" w:space="0" w:color="auto"/>
            <w:bottom w:val="none" w:sz="0" w:space="0" w:color="auto"/>
            <w:right w:val="none" w:sz="0" w:space="0" w:color="auto"/>
          </w:divBdr>
        </w:div>
      </w:divsChild>
    </w:div>
    <w:div w:id="969096441">
      <w:bodyDiv w:val="1"/>
      <w:marLeft w:val="0"/>
      <w:marRight w:val="0"/>
      <w:marTop w:val="0"/>
      <w:marBottom w:val="0"/>
      <w:divBdr>
        <w:top w:val="none" w:sz="0" w:space="0" w:color="auto"/>
        <w:left w:val="none" w:sz="0" w:space="0" w:color="auto"/>
        <w:bottom w:val="none" w:sz="0" w:space="0" w:color="auto"/>
        <w:right w:val="none" w:sz="0" w:space="0" w:color="auto"/>
      </w:divBdr>
    </w:div>
    <w:div w:id="17899281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 /><Relationship Id="rId13" Type="http://schemas.openxmlformats.org/officeDocument/2006/relationships/hyperlink" Target="https://www.who.int/europe/initiatives/health-equity-status-report-initiative" TargetMode="External" /><Relationship Id="rId3" Type="http://schemas.openxmlformats.org/officeDocument/2006/relationships/customXml" Target="../customXml/item3.xml" /><Relationship Id="rId7" Type="http://schemas.openxmlformats.org/officeDocument/2006/relationships/webSettings" Target="webSettings.xml" /><Relationship Id="rId12" Type="http://schemas.openxmlformats.org/officeDocument/2006/relationships/hyperlink" Target="https://www.google.com/search?q=https://www.england.nhs.uk/about/equality/core20plus5/" TargetMode="External" /><Relationship Id="rId17" Type="http://schemas.microsoft.com/office/2020/10/relationships/intelligence" Target="intelligence2.xml" /><Relationship Id="rId2" Type="http://schemas.openxmlformats.org/officeDocument/2006/relationships/customXml" Target="../customXml/item2.xml" /><Relationship Id="rId16"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settings" Target="settings.xml" /><Relationship Id="rId11" Type="http://schemas.openxmlformats.org/officeDocument/2006/relationships/hyperlink" Target="https://www.nice.org.uk/process/pmg36/resources/support-document-health-inequalities-pdf-19845921027013" TargetMode="External" /><Relationship Id="rId5" Type="http://schemas.openxmlformats.org/officeDocument/2006/relationships/styles" Target="styles.xml" /><Relationship Id="rId15" Type="http://schemas.openxmlformats.org/officeDocument/2006/relationships/fontTable" Target="fontTable.xml" /><Relationship Id="rId10" Type="http://schemas.openxmlformats.org/officeDocument/2006/relationships/hyperlink" Target="http://www.instituteofhealthequity.org/the-marmot-review-10-years-on" TargetMode="External" /><Relationship Id="rId4" Type="http://schemas.openxmlformats.org/officeDocument/2006/relationships/numbering" Target="numbering.xml" /><Relationship Id="rId9" Type="http://schemas.openxmlformats.org/officeDocument/2006/relationships/endnotes" Target="endnotes.xml" /><Relationship Id="rId14"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b6c735d2-3114-479d-9f38-f4e14bc16876"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685D9A3F19FAA42827BE103508D067E" ma:contentTypeVersion="13" ma:contentTypeDescription="Create a new document." ma:contentTypeScope="" ma:versionID="8388a35ea3f7a2121a71f67a96e29c01">
  <xsd:schema xmlns:xsd="http://www.w3.org/2001/XMLSchema" xmlns:xs="http://www.w3.org/2001/XMLSchema" xmlns:p="http://schemas.microsoft.com/office/2006/metadata/properties" xmlns:ns3="b6c735d2-3114-479d-9f38-f4e14bc16876" xmlns:ns4="bd58668a-75ed-4e88-8b6f-7357ab2eb406" targetNamespace="http://schemas.microsoft.com/office/2006/metadata/properties" ma:root="true" ma:fieldsID="d10dd623d7ae717c0b8cac5bf6dcd26e" ns3:_="" ns4:_="">
    <xsd:import namespace="b6c735d2-3114-479d-9f38-f4e14bc16876"/>
    <xsd:import namespace="bd58668a-75ed-4e88-8b6f-7357ab2eb406"/>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6c735d2-3114-479d-9f38-f4e14bc1687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d58668a-75ed-4e88-8b6f-7357ab2eb406"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0C9EC8D-54E1-47DB-9B08-08AB99544A8A}">
  <ds:schemaRefs>
    <ds:schemaRef ds:uri="http://schemas.microsoft.com/office/2006/metadata/properties"/>
    <ds:schemaRef ds:uri="http://www.w3.org/2000/xmlns/"/>
    <ds:schemaRef ds:uri="b6c735d2-3114-479d-9f38-f4e14bc16876"/>
    <ds:schemaRef ds:uri="http://www.w3.org/2001/XMLSchema-instance"/>
  </ds:schemaRefs>
</ds:datastoreItem>
</file>

<file path=customXml/itemProps2.xml><?xml version="1.0" encoding="utf-8"?>
<ds:datastoreItem xmlns:ds="http://schemas.openxmlformats.org/officeDocument/2006/customXml" ds:itemID="{4CC3936C-9FAB-4B5A-8BDD-381F4F49E0B2}">
  <ds:schemaRefs>
    <ds:schemaRef ds:uri="http://schemas.microsoft.com/sharepoint/v3/contenttype/forms"/>
  </ds:schemaRefs>
</ds:datastoreItem>
</file>

<file path=customXml/itemProps3.xml><?xml version="1.0" encoding="utf-8"?>
<ds:datastoreItem xmlns:ds="http://schemas.openxmlformats.org/officeDocument/2006/customXml" ds:itemID="{B99BE7C2-A004-470D-A69C-458779D33AE2}">
  <ds:schemaRefs>
    <ds:schemaRef ds:uri="http://schemas.microsoft.com/office/2006/metadata/contentType"/>
    <ds:schemaRef ds:uri="http://schemas.microsoft.com/office/2006/metadata/properties/metaAttributes"/>
    <ds:schemaRef ds:uri="http://www.w3.org/2000/xmlns/"/>
    <ds:schemaRef ds:uri="http://www.w3.org/2001/XMLSchema"/>
    <ds:schemaRef ds:uri="b6c735d2-3114-479d-9f38-f4e14bc16876"/>
    <ds:schemaRef ds:uri="bd58668a-75ed-4e88-8b6f-7357ab2eb406"/>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1000</Words>
  <Characters>5705</Characters>
  <Application>Microsoft Office Word</Application>
  <DocSecurity>0</DocSecurity>
  <Lines>47</Lines>
  <Paragraphs>13</Paragraphs>
  <ScaleCrop>false</ScaleCrop>
  <Company/>
  <LinksUpToDate>false</LinksUpToDate>
  <CharactersWithSpaces>6692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Safara Zeb</cp:lastModifiedBy>
  <cp:revision>2</cp:revision>
  <dcterms:created xsi:type="dcterms:W3CDTF">2026-10-07T21:31:00Z</dcterms:created>
  <dcterms:modified xsi:type="dcterms:W3CDTF">2026-10-07T21:31:00Z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0x0101006685D9A3F19FAA42827BE103508D067E</vt:lpwstr>
  </property>
</Properties>
</file>