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4471F" w14:textId="77777777" w:rsidR="00836C5B" w:rsidRDefault="00836C5B" w:rsidP="004279FF">
      <w:pPr>
        <w:jc w:val="center"/>
        <w:rPr>
          <w:rFonts w:ascii="Arial" w:hAnsi="Arial"/>
          <w:b/>
          <w:bCs/>
          <w:sz w:val="28"/>
          <w:szCs w:val="28"/>
        </w:rPr>
      </w:pPr>
    </w:p>
    <w:p w14:paraId="23EDD418" w14:textId="3CE09506" w:rsidR="00836C5B" w:rsidRDefault="00E343F0" w:rsidP="004279FF">
      <w:pPr>
        <w:jc w:val="center"/>
        <w:rPr>
          <w:rFonts w:ascii="Arial" w:hAnsi="Arial"/>
          <w:b/>
          <w:bCs/>
          <w:sz w:val="28"/>
          <w:szCs w:val="28"/>
        </w:rPr>
      </w:pPr>
      <w:r>
        <w:rPr>
          <w:rFonts w:ascii="Arial" w:hAnsi="Arial"/>
          <w:b/>
          <w:bCs/>
          <w:noProof/>
          <w:sz w:val="28"/>
          <w:szCs w:val="28"/>
        </w:rPr>
        <w:drawing>
          <wp:inline distT="0" distB="0" distL="0" distR="0" wp14:anchorId="0C924EC2" wp14:editId="75A9AE52">
            <wp:extent cx="1810385" cy="725170"/>
            <wp:effectExtent l="0" t="0" r="0" b="0"/>
            <wp:docPr id="21240429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264E163" w14:textId="58F0A9D9" w:rsidR="00836C5B" w:rsidRDefault="00836C5B" w:rsidP="004279FF">
      <w:pPr>
        <w:jc w:val="center"/>
        <w:rPr>
          <w:rFonts w:ascii="Arial" w:hAnsi="Arial"/>
          <w:b/>
          <w:bCs/>
          <w:sz w:val="28"/>
          <w:szCs w:val="28"/>
        </w:rPr>
      </w:pPr>
    </w:p>
    <w:p w14:paraId="1C23D9E3" w14:textId="77777777" w:rsidR="00836C5B" w:rsidRDefault="00836C5B" w:rsidP="004279FF">
      <w:pPr>
        <w:jc w:val="center"/>
        <w:rPr>
          <w:rFonts w:ascii="Arial" w:hAnsi="Arial"/>
          <w:b/>
          <w:bCs/>
          <w:sz w:val="28"/>
          <w:szCs w:val="28"/>
        </w:rPr>
      </w:pPr>
    </w:p>
    <w:p w14:paraId="19BC289E" w14:textId="77777777" w:rsidR="00836C5B" w:rsidRDefault="00836C5B" w:rsidP="00E343F0">
      <w:pPr>
        <w:rPr>
          <w:rFonts w:ascii="Arial" w:hAnsi="Arial"/>
          <w:b/>
          <w:bCs/>
          <w:sz w:val="28"/>
          <w:szCs w:val="28"/>
        </w:rPr>
      </w:pPr>
    </w:p>
    <w:p w14:paraId="56331C2A" w14:textId="77777777" w:rsidR="00836C5B" w:rsidRDefault="00836C5B" w:rsidP="004279FF">
      <w:pPr>
        <w:jc w:val="center"/>
        <w:rPr>
          <w:rFonts w:ascii="Arial" w:hAnsi="Arial"/>
          <w:b/>
          <w:bCs/>
          <w:sz w:val="28"/>
          <w:szCs w:val="28"/>
        </w:rPr>
      </w:pPr>
    </w:p>
    <w:p w14:paraId="18EDBFA0" w14:textId="77777777" w:rsidR="00836C5B" w:rsidRDefault="00836C5B" w:rsidP="004279FF">
      <w:pPr>
        <w:jc w:val="center"/>
        <w:rPr>
          <w:rFonts w:ascii="Arial" w:hAnsi="Arial"/>
          <w:b/>
          <w:bCs/>
          <w:sz w:val="28"/>
          <w:szCs w:val="28"/>
        </w:rPr>
      </w:pPr>
    </w:p>
    <w:p w14:paraId="21794C21" w14:textId="3CF771BD" w:rsidR="004279FF" w:rsidRPr="0047704E" w:rsidRDefault="004279FF" w:rsidP="0047704E">
      <w:pPr>
        <w:spacing w:line="360" w:lineRule="auto"/>
        <w:jc w:val="center"/>
        <w:rPr>
          <w:rFonts w:ascii="Arial" w:hAnsi="Arial"/>
          <w:b/>
          <w:bCs/>
          <w:sz w:val="28"/>
          <w:szCs w:val="28"/>
        </w:rPr>
      </w:pPr>
      <w:r w:rsidRPr="0047704E">
        <w:rPr>
          <w:rFonts w:ascii="Arial" w:hAnsi="Arial"/>
          <w:b/>
          <w:bCs/>
          <w:sz w:val="28"/>
          <w:szCs w:val="28"/>
        </w:rPr>
        <w:t xml:space="preserve">  </w:t>
      </w:r>
      <w:r w:rsidR="008B628F">
        <w:rPr>
          <w:rFonts w:ascii="Arial" w:hAnsi="Arial"/>
          <w:b/>
          <w:bCs/>
          <w:sz w:val="28"/>
          <w:szCs w:val="28"/>
        </w:rPr>
        <w:t xml:space="preserve">Module Name: </w:t>
      </w:r>
      <w:r w:rsidR="002E5BD4" w:rsidRPr="002E5BD4">
        <w:rPr>
          <w:rFonts w:ascii="Arial" w:hAnsi="Arial" w:hint="eastAsia"/>
          <w:b/>
          <w:bCs/>
          <w:sz w:val="28"/>
          <w:szCs w:val="28"/>
        </w:rPr>
        <w:t>Social Epidemiology and Public Health Development</w:t>
      </w:r>
    </w:p>
    <w:p w14:paraId="456A4450" w14:textId="3989FA83" w:rsidR="004279FF" w:rsidRPr="0047704E" w:rsidRDefault="008B628F" w:rsidP="0047704E">
      <w:pPr>
        <w:spacing w:line="360" w:lineRule="auto"/>
        <w:jc w:val="center"/>
        <w:rPr>
          <w:rFonts w:ascii="Arial" w:hAnsi="Arial"/>
          <w:b/>
          <w:bCs/>
          <w:sz w:val="28"/>
          <w:szCs w:val="28"/>
        </w:rPr>
      </w:pPr>
      <w:r>
        <w:rPr>
          <w:rFonts w:ascii="Arial" w:hAnsi="Arial"/>
          <w:b/>
          <w:bCs/>
          <w:sz w:val="28"/>
          <w:szCs w:val="28"/>
        </w:rPr>
        <w:t xml:space="preserve">Module Code: </w:t>
      </w:r>
      <w:r w:rsidRPr="008B628F">
        <w:rPr>
          <w:rFonts w:ascii="Arial" w:hAnsi="Arial" w:hint="eastAsia"/>
          <w:b/>
          <w:bCs/>
          <w:sz w:val="28"/>
          <w:szCs w:val="28"/>
        </w:rPr>
        <w:t>LCHS7000</w:t>
      </w:r>
    </w:p>
    <w:p w14:paraId="3ACE62A1" w14:textId="77777777" w:rsidR="004279FF" w:rsidRPr="0047704E" w:rsidRDefault="004279FF" w:rsidP="0047704E">
      <w:pPr>
        <w:spacing w:line="360" w:lineRule="auto"/>
        <w:rPr>
          <w:rFonts w:hint="eastAsia"/>
          <w:sz w:val="28"/>
          <w:szCs w:val="28"/>
        </w:rPr>
      </w:pPr>
    </w:p>
    <w:p w14:paraId="1AAA99E0" w14:textId="77777777" w:rsidR="004279FF" w:rsidRPr="0047704E" w:rsidRDefault="004279FF" w:rsidP="0047704E">
      <w:pPr>
        <w:spacing w:before="57" w:after="57" w:line="360" w:lineRule="auto"/>
        <w:jc w:val="center"/>
        <w:rPr>
          <w:rFonts w:ascii="Arial" w:hAnsi="Arial"/>
          <w:b/>
          <w:bCs/>
          <w:sz w:val="28"/>
          <w:szCs w:val="28"/>
        </w:rPr>
      </w:pPr>
      <w:r w:rsidRPr="0047704E">
        <w:rPr>
          <w:rFonts w:ascii="Arial" w:hAnsi="Arial"/>
          <w:b/>
          <w:bCs/>
          <w:sz w:val="28"/>
          <w:szCs w:val="28"/>
        </w:rPr>
        <w:t xml:space="preserve">Ethnicity Inequality and Health Outcomes among the Elderly Population in the United Kingdom </w:t>
      </w:r>
    </w:p>
    <w:p w14:paraId="64DC4DD8" w14:textId="2E8574E1" w:rsidR="004279FF" w:rsidRDefault="004279FF" w:rsidP="002B5BEE">
      <w:pPr>
        <w:spacing w:before="57" w:after="57" w:line="360" w:lineRule="auto"/>
        <w:jc w:val="center"/>
        <w:rPr>
          <w:rFonts w:ascii="Arial" w:hAnsi="Arial"/>
          <w:b/>
          <w:bCs/>
          <w:sz w:val="28"/>
          <w:szCs w:val="28"/>
        </w:rPr>
      </w:pPr>
      <w:r w:rsidRPr="0047704E">
        <w:rPr>
          <w:rFonts w:ascii="Arial" w:hAnsi="Arial"/>
          <w:b/>
          <w:bCs/>
          <w:sz w:val="28"/>
          <w:szCs w:val="28"/>
        </w:rPr>
        <w:t>Epidemiological Analysis of Dementia among the Elderly Population in Birmingham, United Kingdom</w:t>
      </w:r>
    </w:p>
    <w:p w14:paraId="1601167B" w14:textId="77777777" w:rsidR="004531BE" w:rsidRDefault="004531BE" w:rsidP="002B5BEE">
      <w:pPr>
        <w:spacing w:before="57" w:after="57" w:line="360" w:lineRule="auto"/>
        <w:jc w:val="center"/>
        <w:rPr>
          <w:rFonts w:ascii="Arial" w:hAnsi="Arial"/>
          <w:b/>
          <w:bCs/>
          <w:sz w:val="28"/>
          <w:szCs w:val="28"/>
        </w:rPr>
      </w:pPr>
    </w:p>
    <w:p w14:paraId="72A34FE0" w14:textId="224A8B57" w:rsidR="004279FF" w:rsidRDefault="004279FF" w:rsidP="002B5BEE">
      <w:pPr>
        <w:spacing w:before="57" w:after="57" w:line="360" w:lineRule="auto"/>
        <w:jc w:val="center"/>
        <w:rPr>
          <w:rFonts w:ascii="Arial" w:hAnsi="Arial"/>
          <w:b/>
          <w:bCs/>
          <w:sz w:val="28"/>
          <w:szCs w:val="28"/>
        </w:rPr>
      </w:pPr>
      <w:r>
        <w:rPr>
          <w:rFonts w:ascii="Arial" w:hAnsi="Arial"/>
          <w:b/>
          <w:bCs/>
          <w:sz w:val="28"/>
          <w:szCs w:val="28"/>
        </w:rPr>
        <w:t>Student Name:</w:t>
      </w:r>
      <w:r w:rsidR="00EB6982">
        <w:rPr>
          <w:rFonts w:ascii="Arial" w:hAnsi="Arial"/>
          <w:b/>
          <w:bCs/>
          <w:sz w:val="28"/>
          <w:szCs w:val="28"/>
        </w:rPr>
        <w:t xml:space="preserve"> Simona Maria Dinu</w:t>
      </w:r>
    </w:p>
    <w:p w14:paraId="7E3C409A" w14:textId="5757CED2" w:rsidR="004279FF" w:rsidRDefault="004279FF" w:rsidP="002B5BEE">
      <w:pPr>
        <w:spacing w:before="57" w:after="57" w:line="360" w:lineRule="auto"/>
        <w:jc w:val="center"/>
        <w:rPr>
          <w:rFonts w:ascii="Arial" w:hAnsi="Arial"/>
          <w:b/>
          <w:bCs/>
          <w:sz w:val="28"/>
          <w:szCs w:val="28"/>
        </w:rPr>
      </w:pPr>
      <w:r>
        <w:rPr>
          <w:rFonts w:ascii="Arial" w:hAnsi="Arial"/>
          <w:b/>
          <w:bCs/>
          <w:sz w:val="28"/>
          <w:szCs w:val="28"/>
        </w:rPr>
        <w:t>Student ID:</w:t>
      </w:r>
      <w:r w:rsidR="00EB6982">
        <w:rPr>
          <w:rFonts w:ascii="Arial" w:hAnsi="Arial"/>
          <w:b/>
          <w:bCs/>
          <w:sz w:val="28"/>
          <w:szCs w:val="28"/>
        </w:rPr>
        <w:t xml:space="preserve"> 2229007</w:t>
      </w:r>
    </w:p>
    <w:p w14:paraId="68875A70" w14:textId="7DD6E64D" w:rsidR="004279FF" w:rsidRDefault="004279FF" w:rsidP="002B5BEE">
      <w:pPr>
        <w:spacing w:before="57" w:after="57" w:line="360" w:lineRule="auto"/>
        <w:jc w:val="center"/>
        <w:rPr>
          <w:rFonts w:ascii="Arial" w:hAnsi="Arial"/>
          <w:b/>
          <w:bCs/>
          <w:sz w:val="28"/>
          <w:szCs w:val="28"/>
        </w:rPr>
      </w:pPr>
      <w:r>
        <w:rPr>
          <w:rFonts w:ascii="Arial" w:hAnsi="Arial"/>
          <w:b/>
          <w:bCs/>
          <w:sz w:val="28"/>
          <w:szCs w:val="28"/>
        </w:rPr>
        <w:t>Lecturer’s Name:</w:t>
      </w:r>
      <w:r w:rsidR="00EB6982">
        <w:rPr>
          <w:rFonts w:ascii="Arial" w:hAnsi="Arial"/>
          <w:b/>
          <w:bCs/>
          <w:sz w:val="28"/>
          <w:szCs w:val="28"/>
        </w:rPr>
        <w:t xml:space="preserve"> </w:t>
      </w:r>
      <w:r w:rsidR="00897F32">
        <w:rPr>
          <w:rFonts w:ascii="Arial" w:hAnsi="Arial"/>
          <w:b/>
          <w:bCs/>
          <w:sz w:val="28"/>
          <w:szCs w:val="28"/>
        </w:rPr>
        <w:t>Hamdi Hussai</w:t>
      </w:r>
      <w:r w:rsidR="002B5BEE">
        <w:rPr>
          <w:rFonts w:ascii="Arial" w:hAnsi="Arial"/>
          <w:b/>
          <w:bCs/>
          <w:sz w:val="28"/>
          <w:szCs w:val="28"/>
        </w:rPr>
        <w:t>n</w:t>
      </w:r>
    </w:p>
    <w:p w14:paraId="06AD4B66" w14:textId="77777777" w:rsidR="004279FF" w:rsidRDefault="004279FF" w:rsidP="004279FF">
      <w:pPr>
        <w:spacing w:before="57" w:after="57" w:line="360" w:lineRule="auto"/>
        <w:jc w:val="center"/>
        <w:rPr>
          <w:rFonts w:ascii="Arial" w:hAnsi="Arial"/>
          <w:b/>
          <w:bCs/>
          <w:sz w:val="28"/>
          <w:szCs w:val="28"/>
        </w:rPr>
      </w:pPr>
    </w:p>
    <w:p w14:paraId="41324B44" w14:textId="77777777" w:rsidR="004279FF" w:rsidRDefault="004279FF" w:rsidP="004279FF">
      <w:pPr>
        <w:spacing w:before="57" w:after="57" w:line="360" w:lineRule="auto"/>
        <w:jc w:val="center"/>
        <w:rPr>
          <w:rFonts w:ascii="Arial" w:hAnsi="Arial"/>
          <w:b/>
          <w:bCs/>
          <w:sz w:val="28"/>
          <w:szCs w:val="28"/>
        </w:rPr>
      </w:pPr>
    </w:p>
    <w:p w14:paraId="417E46EB" w14:textId="77777777" w:rsidR="004279FF" w:rsidRDefault="004279FF" w:rsidP="004279FF">
      <w:pPr>
        <w:spacing w:before="57" w:after="57" w:line="360" w:lineRule="auto"/>
        <w:jc w:val="center"/>
        <w:rPr>
          <w:rFonts w:ascii="Arial" w:hAnsi="Arial"/>
          <w:b/>
          <w:bCs/>
          <w:sz w:val="28"/>
          <w:szCs w:val="28"/>
        </w:rPr>
      </w:pPr>
    </w:p>
    <w:p w14:paraId="24738FB2" w14:textId="77777777" w:rsidR="004279FF" w:rsidRDefault="004279FF" w:rsidP="004279FF">
      <w:pPr>
        <w:spacing w:before="57" w:after="57" w:line="360" w:lineRule="auto"/>
        <w:jc w:val="center"/>
        <w:rPr>
          <w:rFonts w:ascii="Arial" w:hAnsi="Arial"/>
          <w:b/>
          <w:bCs/>
          <w:sz w:val="28"/>
          <w:szCs w:val="28"/>
        </w:rPr>
      </w:pPr>
    </w:p>
    <w:p w14:paraId="005C6FD7" w14:textId="77777777" w:rsidR="004279FF" w:rsidRDefault="004279FF" w:rsidP="004279FF">
      <w:pPr>
        <w:spacing w:before="57" w:after="57" w:line="360" w:lineRule="auto"/>
        <w:rPr>
          <w:rFonts w:ascii="Arial" w:hAnsi="Arial"/>
          <w:b/>
          <w:bCs/>
          <w:sz w:val="28"/>
          <w:szCs w:val="28"/>
        </w:rPr>
      </w:pPr>
      <w:r>
        <w:rPr>
          <w:rFonts w:ascii="Arial" w:hAnsi="Arial"/>
          <w:b/>
          <w:bCs/>
          <w:sz w:val="28"/>
          <w:szCs w:val="28"/>
        </w:rPr>
        <w:t xml:space="preserve">                                 </w:t>
      </w:r>
    </w:p>
    <w:p w14:paraId="753B4C37" w14:textId="77777777" w:rsidR="004279FF" w:rsidRDefault="004279FF" w:rsidP="004279FF">
      <w:pPr>
        <w:spacing w:before="57" w:after="57" w:line="360" w:lineRule="auto"/>
        <w:rPr>
          <w:rFonts w:ascii="Arial" w:hAnsi="Arial"/>
          <w:b/>
          <w:bCs/>
          <w:sz w:val="28"/>
          <w:szCs w:val="28"/>
        </w:rPr>
      </w:pPr>
    </w:p>
    <w:p w14:paraId="0E1EF900" w14:textId="77777777" w:rsidR="00794C74" w:rsidRDefault="00794C74" w:rsidP="00794C74">
      <w:pPr>
        <w:spacing w:before="57" w:after="57" w:line="360" w:lineRule="auto"/>
        <w:rPr>
          <w:rFonts w:ascii="Arial" w:hAnsi="Arial"/>
          <w:b/>
          <w:bCs/>
          <w:sz w:val="22"/>
          <w:szCs w:val="22"/>
        </w:rPr>
      </w:pPr>
    </w:p>
    <w:p w14:paraId="0ADF543B" w14:textId="77777777" w:rsidR="00794C74" w:rsidRDefault="00794C74" w:rsidP="00794C74">
      <w:pPr>
        <w:spacing w:before="57" w:after="57" w:line="360" w:lineRule="auto"/>
        <w:rPr>
          <w:rFonts w:ascii="Arial" w:hAnsi="Arial"/>
          <w:b/>
          <w:bCs/>
          <w:sz w:val="22"/>
          <w:szCs w:val="22"/>
        </w:rPr>
      </w:pPr>
    </w:p>
    <w:p w14:paraId="3BA22965" w14:textId="77777777" w:rsidR="00794C74" w:rsidRDefault="00794C74" w:rsidP="00794C74">
      <w:pPr>
        <w:spacing w:before="57" w:after="57" w:line="360" w:lineRule="auto"/>
        <w:rPr>
          <w:rFonts w:ascii="Arial" w:hAnsi="Arial"/>
          <w:b/>
          <w:bCs/>
          <w:sz w:val="22"/>
          <w:szCs w:val="22"/>
        </w:rPr>
      </w:pPr>
    </w:p>
    <w:p w14:paraId="329FE937" w14:textId="77777777" w:rsidR="00794C74" w:rsidRDefault="00794C74" w:rsidP="00794C74">
      <w:pPr>
        <w:spacing w:before="57" w:after="57" w:line="360" w:lineRule="auto"/>
        <w:rPr>
          <w:rFonts w:ascii="Arial" w:hAnsi="Arial"/>
          <w:b/>
          <w:bCs/>
          <w:sz w:val="22"/>
          <w:szCs w:val="22"/>
        </w:rPr>
      </w:pPr>
    </w:p>
    <w:p w14:paraId="7EE7D443" w14:textId="2A837733" w:rsidR="004279FF" w:rsidRDefault="004279FF" w:rsidP="00836C5B">
      <w:pPr>
        <w:spacing w:before="57" w:after="57" w:line="360" w:lineRule="auto"/>
        <w:jc w:val="center"/>
        <w:rPr>
          <w:rFonts w:ascii="Arial" w:hAnsi="Arial"/>
          <w:b/>
          <w:bCs/>
          <w:sz w:val="22"/>
          <w:szCs w:val="22"/>
        </w:rPr>
      </w:pPr>
      <w:r w:rsidRPr="00794C74">
        <w:rPr>
          <w:rFonts w:ascii="Arial" w:hAnsi="Arial"/>
          <w:b/>
          <w:bCs/>
          <w:sz w:val="22"/>
          <w:szCs w:val="22"/>
        </w:rPr>
        <w:lastRenderedPageBreak/>
        <w:t>Table of contents</w:t>
      </w:r>
    </w:p>
    <w:p w14:paraId="3199C7C2" w14:textId="77777777" w:rsidR="00836C5B" w:rsidRPr="00794C74" w:rsidRDefault="00836C5B" w:rsidP="00836C5B">
      <w:pPr>
        <w:spacing w:before="57" w:after="57" w:line="360" w:lineRule="auto"/>
        <w:jc w:val="center"/>
        <w:rPr>
          <w:rFonts w:ascii="Arial" w:hAnsi="Arial"/>
          <w:sz w:val="22"/>
          <w:szCs w:val="22"/>
        </w:rPr>
      </w:pPr>
    </w:p>
    <w:p w14:paraId="1EC7075A" w14:textId="77777777" w:rsidR="004279FF" w:rsidRPr="00794C74" w:rsidRDefault="004279FF" w:rsidP="00794C74">
      <w:pPr>
        <w:spacing w:before="57" w:after="57" w:line="360" w:lineRule="auto"/>
        <w:rPr>
          <w:rFonts w:ascii="Arial" w:hAnsi="Arial"/>
          <w:sz w:val="22"/>
          <w:szCs w:val="22"/>
        </w:rPr>
      </w:pPr>
      <w:r w:rsidRPr="00794C74">
        <w:rPr>
          <w:rFonts w:ascii="Arial" w:hAnsi="Arial"/>
          <w:b/>
          <w:bCs/>
          <w:sz w:val="22"/>
          <w:szCs w:val="22"/>
        </w:rPr>
        <w:t xml:space="preserve">Task 1 – Ethnicity Inequality and Health Outcomes among the Elderly Population in the United Kingdom </w:t>
      </w:r>
      <w:r w:rsidRPr="00794C74">
        <w:rPr>
          <w:rFonts w:ascii="Arial" w:hAnsi="Arial"/>
          <w:sz w:val="22"/>
          <w:szCs w:val="22"/>
        </w:rPr>
        <w:t>……………………………………………………………………..……………………..3</w:t>
      </w:r>
    </w:p>
    <w:p w14:paraId="5471C8A8"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 xml:space="preserve">1. Introduction ……………………………………………………………………………………….....……3                                                                                                                                             </w:t>
      </w:r>
    </w:p>
    <w:p w14:paraId="2C2BC161"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2. Contextual Background and Underlying Factors …………………………………………………...…3</w:t>
      </w:r>
    </w:p>
    <w:p w14:paraId="25A672BE"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 xml:space="preserve">2.1 Higher Rates of Mental Illness ………………………………………………………………..3                                                                                                                                                                </w:t>
      </w:r>
    </w:p>
    <w:p w14:paraId="7D8CA7F4"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2.2 Low Rates of Access to Healthcare ………………………………………………………..…3</w:t>
      </w:r>
    </w:p>
    <w:p w14:paraId="1814400B"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2.3 Mortality Rate Among Elderly Population ……………………………………...…………....3</w:t>
      </w:r>
    </w:p>
    <w:p w14:paraId="5BE997F9"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3. Social Issues Affecting Elderly Population ……………………………...……………………………..4</w:t>
      </w:r>
    </w:p>
    <w:p w14:paraId="2B780B38"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3.1 Social Issue 1 – Social Isolation and Loneliness ……………..…………………….………4</w:t>
      </w:r>
    </w:p>
    <w:p w14:paraId="37531C11"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3.2 Social Issue 2 – Poverty ……………………………………………………………………….4</w:t>
      </w:r>
    </w:p>
    <w:p w14:paraId="0A687EE9"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ab/>
        <w:t>3.3 Social Issues 3 – Issues Associated with Housing ………………………………………....4</w:t>
      </w:r>
    </w:p>
    <w:p w14:paraId="65D9761A"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4. National Response to Reduce Health Inequalities …………………………………………………...4</w:t>
      </w:r>
    </w:p>
    <w:p w14:paraId="6294ABE5"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5. Organisations Supporting the Elderly ………………………………………………………………….5</w:t>
      </w:r>
    </w:p>
    <w:p w14:paraId="7C9351F8"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6. Conclusion ………………………………………………………………………………………………..5</w:t>
      </w:r>
    </w:p>
    <w:p w14:paraId="3ABC98DF"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Task 2 – Epidemiological Analysis of Dementia among the Elderly Population in Birmingham, United Kingdom</w:t>
      </w:r>
      <w:r w:rsidRPr="00794C74">
        <w:rPr>
          <w:rFonts w:ascii="Arial" w:hAnsi="Arial"/>
          <w:sz w:val="22"/>
          <w:szCs w:val="22"/>
        </w:rPr>
        <w:t xml:space="preserve"> …………………………………………………………………………..6</w:t>
      </w:r>
    </w:p>
    <w:p w14:paraId="70416D90"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sz w:val="22"/>
          <w:szCs w:val="22"/>
        </w:rPr>
        <w:t>1. Introduction ……………………………………………………………………………………………….6</w:t>
      </w:r>
    </w:p>
    <w:p w14:paraId="19152341"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sz w:val="22"/>
          <w:szCs w:val="22"/>
        </w:rPr>
        <w:t>2. Public Health Measures – Prevention, Protection and Promotion (3Ps) …………………………..6</w:t>
      </w:r>
    </w:p>
    <w:p w14:paraId="5AF6247E"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sz w:val="22"/>
          <w:szCs w:val="22"/>
        </w:rPr>
        <w:t>3. Main Causes and Risk Factors for Dementia ………………………………………………………...6</w:t>
      </w:r>
    </w:p>
    <w:p w14:paraId="2FE2D23C"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4. Epidemiological Studies and Health Needs Assessment ……………………………………………7</w:t>
      </w:r>
    </w:p>
    <w:p w14:paraId="2BA8272F"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5. Systems to Monitor and Supervise and Dementia …………………………………………………...7</w:t>
      </w:r>
    </w:p>
    <w:p w14:paraId="6CF3F250"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6. Public Health Impact and Consequences …………………………………………………………….8</w:t>
      </w:r>
    </w:p>
    <w:p w14:paraId="65A3E8C3"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7. Intervention Programs and Assessment ……………………………………………………………...8</w:t>
      </w:r>
    </w:p>
    <w:p w14:paraId="5C256ADD"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8. Strengths and Limitations of the Epidemiological Approach …………………………………….….8</w:t>
      </w:r>
    </w:p>
    <w:p w14:paraId="22817AF3" w14:textId="77777777" w:rsidR="004279FF" w:rsidRPr="00794C74" w:rsidRDefault="004279FF" w:rsidP="00794C74">
      <w:pPr>
        <w:spacing w:before="57" w:after="57" w:line="360" w:lineRule="auto"/>
        <w:rPr>
          <w:rFonts w:ascii="Arial" w:hAnsi="Arial"/>
          <w:sz w:val="22"/>
          <w:szCs w:val="22"/>
        </w:rPr>
      </w:pPr>
      <w:r w:rsidRPr="00794C74">
        <w:rPr>
          <w:rFonts w:ascii="Arial" w:hAnsi="Arial"/>
          <w:sz w:val="22"/>
          <w:szCs w:val="22"/>
        </w:rPr>
        <w:t>9. Conclusion …………………………………………………………………………………………….…9</w:t>
      </w:r>
    </w:p>
    <w:p w14:paraId="5C568DDF"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 xml:space="preserve">References </w:t>
      </w:r>
      <w:r w:rsidRPr="00794C74">
        <w:rPr>
          <w:rFonts w:ascii="Arial" w:hAnsi="Arial"/>
          <w:sz w:val="22"/>
          <w:szCs w:val="22"/>
        </w:rPr>
        <w:t>………………………………………………………………………………………………..10</w:t>
      </w:r>
    </w:p>
    <w:p w14:paraId="7F8D9CCB" w14:textId="77777777" w:rsidR="004279FF" w:rsidRPr="00794C74" w:rsidRDefault="004279FF" w:rsidP="00794C74">
      <w:pPr>
        <w:spacing w:before="57" w:after="57" w:line="360" w:lineRule="auto"/>
        <w:rPr>
          <w:rFonts w:ascii="Arial" w:hAnsi="Arial"/>
          <w:b/>
          <w:bCs/>
          <w:sz w:val="22"/>
          <w:szCs w:val="22"/>
        </w:rPr>
      </w:pPr>
    </w:p>
    <w:p w14:paraId="76C51074" w14:textId="77777777" w:rsidR="004279FF" w:rsidRPr="00794C74" w:rsidRDefault="004279FF" w:rsidP="00794C74">
      <w:pPr>
        <w:spacing w:before="57" w:after="57" w:line="360" w:lineRule="auto"/>
        <w:rPr>
          <w:rFonts w:ascii="Arial" w:hAnsi="Arial"/>
          <w:b/>
          <w:bCs/>
          <w:sz w:val="22"/>
          <w:szCs w:val="22"/>
        </w:rPr>
      </w:pPr>
    </w:p>
    <w:p w14:paraId="2311448C" w14:textId="77777777" w:rsidR="004279FF" w:rsidRPr="00794C74" w:rsidRDefault="004279FF" w:rsidP="00794C74">
      <w:pPr>
        <w:spacing w:before="57" w:after="57" w:line="360" w:lineRule="auto"/>
        <w:rPr>
          <w:rFonts w:ascii="Arial" w:hAnsi="Arial"/>
          <w:b/>
          <w:bCs/>
          <w:sz w:val="22"/>
          <w:szCs w:val="22"/>
        </w:rPr>
      </w:pPr>
    </w:p>
    <w:p w14:paraId="687F80D4" w14:textId="77777777" w:rsidR="004279FF" w:rsidRPr="00794C74" w:rsidRDefault="004279FF" w:rsidP="00794C74">
      <w:pPr>
        <w:spacing w:before="57" w:after="57" w:line="360" w:lineRule="auto"/>
        <w:rPr>
          <w:rFonts w:ascii="Arial" w:hAnsi="Arial"/>
          <w:sz w:val="22"/>
          <w:szCs w:val="22"/>
        </w:rPr>
      </w:pPr>
      <w:r w:rsidRPr="00794C74">
        <w:rPr>
          <w:rFonts w:ascii="Arial" w:hAnsi="Arial"/>
          <w:b/>
          <w:bCs/>
          <w:sz w:val="22"/>
          <w:szCs w:val="22"/>
        </w:rPr>
        <w:lastRenderedPageBreak/>
        <w:t>Task 1 – Ethnicity Inequality and Health Outcomes among the Elderly Population in the United Kingdom</w:t>
      </w:r>
    </w:p>
    <w:p w14:paraId="7E7E45C7"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1. Introduction</w:t>
      </w:r>
    </w:p>
    <w:p w14:paraId="4D47D615" w14:textId="24DA1E2B"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r>
      <w:r w:rsidRPr="00794C74">
        <w:rPr>
          <w:rFonts w:ascii="Arial" w:hAnsi="Arial"/>
          <w:sz w:val="22"/>
          <w:szCs w:val="22"/>
          <w:lang/>
        </w:rPr>
        <w:t xml:space="preserve">Health inequalities relate to systematic inequalities in health, influenced by circumstances that are avoidable and unethical, such as social, economic, and environmental conditions (Marmot </w:t>
      </w:r>
      <w:r w:rsidRPr="00794C74">
        <w:rPr>
          <w:rFonts w:ascii="Arial" w:hAnsi="Arial"/>
          <w:i/>
          <w:iCs/>
          <w:sz w:val="22"/>
          <w:szCs w:val="22"/>
          <w:lang/>
        </w:rPr>
        <w:t>et al.</w:t>
      </w:r>
      <w:r w:rsidRPr="00794C74">
        <w:rPr>
          <w:rFonts w:ascii="Arial" w:hAnsi="Arial"/>
          <w:sz w:val="22"/>
          <w:szCs w:val="22"/>
          <w:lang/>
        </w:rPr>
        <w:t xml:space="preserve">, 2020). In the UK, ethnicity and age intersect, causing a combined disadvantage affecting the older population (Public Health England, 2021). The elderly, defined as those aged 65 and over, are a rapidly growing group, and it </w:t>
      </w:r>
      <w:proofErr w:type="gramStart"/>
      <w:r w:rsidRPr="00794C74">
        <w:rPr>
          <w:rFonts w:ascii="Arial" w:hAnsi="Arial"/>
          <w:sz w:val="22"/>
          <w:szCs w:val="22"/>
          <w:lang/>
        </w:rPr>
        <w:t>is estimated</w:t>
      </w:r>
      <w:proofErr w:type="gramEnd"/>
      <w:r w:rsidRPr="00794C74">
        <w:rPr>
          <w:rFonts w:ascii="Arial" w:hAnsi="Arial"/>
          <w:sz w:val="22"/>
          <w:szCs w:val="22"/>
          <w:lang/>
        </w:rPr>
        <w:t xml:space="preserve"> that 25% of the UK population will be aged 65 or over by 2040 (ONS, 2023).</w:t>
      </w:r>
      <w:r w:rsidR="00914B6C">
        <w:rPr>
          <w:rFonts w:ascii="Arial" w:hAnsi="Arial"/>
          <w:sz w:val="22"/>
          <w:szCs w:val="22"/>
          <w:lang/>
        </w:rPr>
        <w:t xml:space="preserve"> While </w:t>
      </w:r>
      <w:r w:rsidR="00FC2A0C">
        <w:rPr>
          <w:rFonts w:ascii="Arial" w:hAnsi="Arial"/>
          <w:sz w:val="22"/>
          <w:szCs w:val="22"/>
          <w:lang/>
        </w:rPr>
        <w:t xml:space="preserve">worldwide the number of older </w:t>
      </w:r>
      <w:proofErr w:type="gramStart"/>
      <w:r w:rsidR="00FC2A0C">
        <w:rPr>
          <w:rFonts w:ascii="Arial" w:hAnsi="Arial"/>
          <w:sz w:val="22"/>
          <w:szCs w:val="22"/>
          <w:lang/>
        </w:rPr>
        <w:t>population</w:t>
      </w:r>
      <w:proofErr w:type="gramEnd"/>
      <w:r w:rsidR="00FC2A0C">
        <w:rPr>
          <w:rFonts w:ascii="Arial" w:hAnsi="Arial"/>
          <w:sz w:val="22"/>
          <w:szCs w:val="22"/>
          <w:lang/>
        </w:rPr>
        <w:t xml:space="preserve"> is </w:t>
      </w:r>
      <w:r w:rsidR="008954AE">
        <w:rPr>
          <w:rFonts w:ascii="Arial" w:hAnsi="Arial"/>
          <w:sz w:val="22"/>
          <w:szCs w:val="22"/>
          <w:lang/>
        </w:rPr>
        <w:t xml:space="preserve">doubling </w:t>
      </w:r>
      <w:r w:rsidR="00A85E21">
        <w:rPr>
          <w:rFonts w:ascii="Arial" w:hAnsi="Arial"/>
          <w:sz w:val="22"/>
          <w:szCs w:val="22"/>
          <w:lang/>
        </w:rPr>
        <w:t xml:space="preserve">to 22% </w:t>
      </w:r>
      <w:r w:rsidR="008954AE">
        <w:rPr>
          <w:rFonts w:ascii="Arial" w:hAnsi="Arial"/>
          <w:sz w:val="22"/>
          <w:szCs w:val="22"/>
          <w:lang/>
        </w:rPr>
        <w:t>and expected to reach</w:t>
      </w:r>
      <w:r w:rsidR="00A85E21">
        <w:rPr>
          <w:rFonts w:ascii="Arial" w:hAnsi="Arial"/>
          <w:sz w:val="22"/>
          <w:szCs w:val="22"/>
          <w:lang/>
        </w:rPr>
        <w:t xml:space="preserve"> 30</w:t>
      </w:r>
      <w:r w:rsidR="00B73BF3">
        <w:rPr>
          <w:rFonts w:ascii="Arial" w:hAnsi="Arial"/>
          <w:sz w:val="22"/>
          <w:szCs w:val="22"/>
          <w:lang/>
        </w:rPr>
        <w:t>% by</w:t>
      </w:r>
      <w:r w:rsidR="00A85E21">
        <w:rPr>
          <w:rFonts w:ascii="Arial" w:hAnsi="Arial"/>
          <w:sz w:val="22"/>
          <w:szCs w:val="22"/>
          <w:lang/>
        </w:rPr>
        <w:t xml:space="preserve"> 2050</w:t>
      </w:r>
      <w:r w:rsidR="00D13032">
        <w:rPr>
          <w:rFonts w:ascii="Arial" w:hAnsi="Arial"/>
          <w:sz w:val="22"/>
          <w:szCs w:val="22"/>
          <w:lang/>
        </w:rPr>
        <w:t xml:space="preserve"> and facing more difficulties </w:t>
      </w:r>
      <w:r w:rsidR="00A7361F">
        <w:rPr>
          <w:rFonts w:ascii="Arial" w:hAnsi="Arial"/>
          <w:sz w:val="22"/>
          <w:szCs w:val="22"/>
          <w:lang/>
        </w:rPr>
        <w:t xml:space="preserve">especially in </w:t>
      </w:r>
      <w:proofErr w:type="gramStart"/>
      <w:r w:rsidR="00A7361F">
        <w:rPr>
          <w:rFonts w:ascii="Arial" w:hAnsi="Arial"/>
          <w:sz w:val="22"/>
          <w:szCs w:val="22"/>
          <w:lang/>
        </w:rPr>
        <w:t>low and mi</w:t>
      </w:r>
      <w:r w:rsidR="005B60B4">
        <w:rPr>
          <w:rFonts w:ascii="Arial" w:hAnsi="Arial"/>
          <w:sz w:val="22"/>
          <w:szCs w:val="22"/>
          <w:lang/>
        </w:rPr>
        <w:t>d</w:t>
      </w:r>
      <w:r w:rsidR="00A7361F">
        <w:rPr>
          <w:rFonts w:ascii="Arial" w:hAnsi="Arial"/>
          <w:sz w:val="22"/>
          <w:szCs w:val="22"/>
          <w:lang/>
        </w:rPr>
        <w:t>-income</w:t>
      </w:r>
      <w:proofErr w:type="gramEnd"/>
      <w:r w:rsidR="00A7361F">
        <w:rPr>
          <w:rFonts w:ascii="Arial" w:hAnsi="Arial"/>
          <w:sz w:val="22"/>
          <w:szCs w:val="22"/>
          <w:lang/>
        </w:rPr>
        <w:t xml:space="preserve"> countries</w:t>
      </w:r>
      <w:r w:rsidR="00B73BF3">
        <w:rPr>
          <w:rFonts w:ascii="Arial" w:hAnsi="Arial"/>
          <w:sz w:val="22"/>
          <w:szCs w:val="22"/>
          <w:lang/>
        </w:rPr>
        <w:t xml:space="preserve">. (WHO, 2024). </w:t>
      </w:r>
      <w:r w:rsidRPr="00794C74">
        <w:rPr>
          <w:rFonts w:ascii="Arial" w:hAnsi="Arial"/>
          <w:sz w:val="22"/>
          <w:szCs w:val="22"/>
          <w:lang/>
        </w:rPr>
        <w:t>Older adults from ethnic minority groups are particularly vulnerable, due to socio-economic inequalities, cultural barriers, and limited access to health services, which are associated with lower levels of physical and mental health (</w:t>
      </w:r>
      <w:r w:rsidRPr="00794C74">
        <w:rPr>
          <w:rFonts w:ascii="Arial" w:hAnsi="Arial"/>
          <w:sz w:val="22"/>
          <w:szCs w:val="22"/>
          <w:lang/>
        </w:rPr>
        <w:t xml:space="preserve">Evandrou </w:t>
      </w:r>
      <w:r w:rsidRPr="00794C74">
        <w:rPr>
          <w:rFonts w:ascii="Arial" w:hAnsi="Arial"/>
          <w:i/>
          <w:iCs/>
          <w:sz w:val="22"/>
          <w:szCs w:val="22"/>
          <w:lang/>
        </w:rPr>
        <w:t>et al</w:t>
      </w:r>
      <w:r w:rsidRPr="00794C74">
        <w:rPr>
          <w:rFonts w:ascii="Arial" w:hAnsi="Arial"/>
          <w:sz w:val="22"/>
          <w:szCs w:val="22"/>
          <w:lang/>
        </w:rPr>
        <w:t>., 2021).</w:t>
      </w:r>
    </w:p>
    <w:p w14:paraId="57ECC7F5" w14:textId="77777777" w:rsidR="004279FF" w:rsidRPr="00794C74" w:rsidRDefault="004279FF" w:rsidP="00794C74">
      <w:pPr>
        <w:spacing w:line="360" w:lineRule="auto"/>
        <w:jc w:val="both"/>
        <w:rPr>
          <w:rFonts w:ascii="Arial" w:hAnsi="Arial"/>
          <w:sz w:val="22"/>
          <w:szCs w:val="22"/>
          <w:lang/>
        </w:rPr>
      </w:pPr>
    </w:p>
    <w:p w14:paraId="31BFE429" w14:textId="77777777" w:rsidR="004279FF" w:rsidRPr="00794C74" w:rsidRDefault="004279FF" w:rsidP="00794C74">
      <w:pPr>
        <w:spacing w:line="360" w:lineRule="auto"/>
        <w:jc w:val="both"/>
        <w:rPr>
          <w:rFonts w:ascii="Arial" w:hAnsi="Arial"/>
          <w:sz w:val="22"/>
          <w:szCs w:val="22"/>
        </w:rPr>
      </w:pPr>
      <w:r w:rsidRPr="00794C74">
        <w:rPr>
          <w:rFonts w:ascii="Arial" w:hAnsi="Arial"/>
          <w:b/>
          <w:bCs/>
          <w:sz w:val="22"/>
          <w:szCs w:val="22"/>
        </w:rPr>
        <w:t>2. Contextual Background and Underlying Factors</w:t>
      </w:r>
    </w:p>
    <w:p w14:paraId="29A0D0C9" w14:textId="77777777" w:rsidR="004279FF" w:rsidRPr="00794C74" w:rsidRDefault="004279FF" w:rsidP="00794C74">
      <w:pPr>
        <w:spacing w:line="360" w:lineRule="auto"/>
        <w:jc w:val="both"/>
        <w:rPr>
          <w:rFonts w:ascii="Arial" w:hAnsi="Arial"/>
          <w:sz w:val="22"/>
          <w:szCs w:val="22"/>
        </w:rPr>
      </w:pPr>
      <w:r w:rsidRPr="00794C74">
        <w:rPr>
          <w:rFonts w:ascii="Arial" w:hAnsi="Arial"/>
          <w:b/>
          <w:bCs/>
          <w:sz w:val="22"/>
          <w:szCs w:val="22"/>
        </w:rPr>
        <w:tab/>
        <w:t>2.1 Higher Rates of Mental Illness</w:t>
      </w:r>
    </w:p>
    <w:p w14:paraId="19768B55" w14:textId="77777777" w:rsidR="004279FF" w:rsidRDefault="004279FF" w:rsidP="00794C74">
      <w:pPr>
        <w:spacing w:line="360" w:lineRule="auto"/>
        <w:jc w:val="both"/>
        <w:rPr>
          <w:rFonts w:ascii="Arial" w:hAnsi="Arial"/>
          <w:sz w:val="22"/>
          <w:szCs w:val="22"/>
        </w:rPr>
      </w:pPr>
      <w:r w:rsidRPr="00794C74">
        <w:rPr>
          <w:rFonts w:ascii="Arial" w:hAnsi="Arial"/>
          <w:sz w:val="22"/>
          <w:szCs w:val="22"/>
        </w:rPr>
        <w:t xml:space="preserve">         Mental health conditions are a significant issue among the elderly population, with around 22% of people over 65 years, suffering from depression in United Kingdom (NHS Digital, 2022). Evidence suggests that older adults from ethnic minorities are more likely to experience higher levels of depression and anxiety, due to social exclusion and disadvantages accumulated throughout their lifetime </w:t>
      </w:r>
      <w:r w:rsidRPr="00794C74">
        <w:rPr>
          <w:rFonts w:ascii="Arial" w:hAnsi="Arial"/>
          <w:sz w:val="22"/>
          <w:szCs w:val="22"/>
          <w:lang/>
        </w:rPr>
        <w:t xml:space="preserve">(Nazroo </w:t>
      </w:r>
      <w:r w:rsidRPr="00794C74">
        <w:rPr>
          <w:rFonts w:ascii="Arial" w:hAnsi="Arial"/>
          <w:i/>
          <w:iCs/>
          <w:sz w:val="22"/>
          <w:szCs w:val="22"/>
        </w:rPr>
        <w:t>et al.</w:t>
      </w:r>
      <w:r w:rsidRPr="00794C74">
        <w:rPr>
          <w:rFonts w:ascii="Arial" w:hAnsi="Arial"/>
          <w:sz w:val="22"/>
          <w:szCs w:val="22"/>
        </w:rPr>
        <w:t>, 2020). Cultural stigma and language barrier limit access to mental health services, reducing diagnosis and treatment rates (Public Health England, 2021). Furthermore, factors such as losing a loved one, stress related to migration, and limited social networks can increase the risk of psychological distress for older people (WHO, 2023).</w:t>
      </w:r>
    </w:p>
    <w:p w14:paraId="6789F6E6" w14:textId="77777777" w:rsidR="0084597E" w:rsidRPr="00794C74" w:rsidRDefault="0084597E" w:rsidP="00794C74">
      <w:pPr>
        <w:spacing w:line="360" w:lineRule="auto"/>
        <w:jc w:val="both"/>
        <w:rPr>
          <w:rFonts w:ascii="Arial" w:hAnsi="Arial"/>
          <w:sz w:val="22"/>
          <w:szCs w:val="22"/>
        </w:rPr>
      </w:pPr>
    </w:p>
    <w:p w14:paraId="73CC0D53" w14:textId="77777777" w:rsidR="004279FF" w:rsidRPr="00794C74" w:rsidRDefault="004279FF" w:rsidP="00794C74">
      <w:pPr>
        <w:spacing w:line="360" w:lineRule="auto"/>
        <w:rPr>
          <w:rFonts w:ascii="Arial" w:hAnsi="Arial"/>
          <w:sz w:val="22"/>
          <w:szCs w:val="22"/>
        </w:rPr>
      </w:pPr>
      <w:r w:rsidRPr="00794C74">
        <w:rPr>
          <w:rFonts w:ascii="Arial" w:hAnsi="Arial"/>
          <w:sz w:val="22"/>
          <w:szCs w:val="22"/>
        </w:rPr>
        <w:tab/>
      </w:r>
      <w:r w:rsidRPr="00794C74">
        <w:rPr>
          <w:rFonts w:ascii="Arial" w:hAnsi="Arial"/>
          <w:b/>
          <w:bCs/>
          <w:sz w:val="22"/>
          <w:szCs w:val="22"/>
        </w:rPr>
        <w:t>2.2 Low Rates of Access to Healthcare</w:t>
      </w:r>
    </w:p>
    <w:p w14:paraId="762813FF"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Although the National Health Service (NHS) is free for everyone, access to healthcare services is still unequal, especially among older people from ethnic minorities (NHS England, 2022). Studies indicate that levels of screening services usage, such as cancer, </w:t>
      </w:r>
      <w:proofErr w:type="gramStart"/>
      <w:r w:rsidRPr="00794C74">
        <w:rPr>
          <w:rFonts w:ascii="Arial" w:hAnsi="Arial"/>
          <w:sz w:val="22"/>
          <w:szCs w:val="22"/>
        </w:rPr>
        <w:t>are significantly reduced</w:t>
      </w:r>
      <w:proofErr w:type="gramEnd"/>
      <w:r w:rsidRPr="00794C74">
        <w:rPr>
          <w:rFonts w:ascii="Arial" w:hAnsi="Arial"/>
          <w:sz w:val="22"/>
          <w:szCs w:val="22"/>
        </w:rPr>
        <w:t xml:space="preserve"> among minority groups, leading to delayed detection and poorer health outcomes (UK Health Security Agency, 2023). Language barriers, limited health knowledge and a lack of trust in health systems, have an impact on older individuals behaviour, when it comes to access to healthcare services </w:t>
      </w:r>
      <w:r w:rsidRPr="00794C74">
        <w:rPr>
          <w:rFonts w:ascii="Arial" w:hAnsi="Arial"/>
          <w:sz w:val="22"/>
          <w:szCs w:val="22"/>
          <w:lang/>
        </w:rPr>
        <w:t xml:space="preserve">(Nazroo </w:t>
      </w:r>
      <w:r w:rsidRPr="00794C74">
        <w:rPr>
          <w:rFonts w:ascii="Arial" w:hAnsi="Arial"/>
          <w:i/>
          <w:iCs/>
          <w:sz w:val="22"/>
          <w:szCs w:val="22"/>
          <w:lang/>
        </w:rPr>
        <w:t>et al</w:t>
      </w:r>
      <w:r w:rsidRPr="00794C74">
        <w:rPr>
          <w:rFonts w:ascii="Arial" w:hAnsi="Arial"/>
          <w:sz w:val="22"/>
          <w:szCs w:val="22"/>
          <w:lang/>
        </w:rPr>
        <w:t xml:space="preserve">., 2020). Furthermore, digital exclusion and difficulties in transport, also reduce access to primary healthcare services, especially among those living in disadvantaged communities (Evandrou </w:t>
      </w:r>
      <w:r w:rsidRPr="00794C74">
        <w:rPr>
          <w:rFonts w:ascii="Arial" w:hAnsi="Arial"/>
          <w:i/>
          <w:iCs/>
          <w:sz w:val="22"/>
          <w:szCs w:val="22"/>
          <w:lang/>
        </w:rPr>
        <w:t>et al</w:t>
      </w:r>
      <w:r w:rsidRPr="00794C74">
        <w:rPr>
          <w:rFonts w:ascii="Arial" w:hAnsi="Arial"/>
          <w:sz w:val="22"/>
          <w:szCs w:val="22"/>
          <w:lang/>
        </w:rPr>
        <w:t>., 2021).</w:t>
      </w:r>
    </w:p>
    <w:p w14:paraId="3CBAF171" w14:textId="77777777" w:rsidR="00E343F0" w:rsidRDefault="004279FF" w:rsidP="00794C74">
      <w:pPr>
        <w:spacing w:line="360" w:lineRule="auto"/>
        <w:rPr>
          <w:rFonts w:ascii="Arial" w:hAnsi="Arial"/>
          <w:sz w:val="22"/>
          <w:szCs w:val="22"/>
        </w:rPr>
      </w:pPr>
      <w:r w:rsidRPr="00794C74">
        <w:rPr>
          <w:rFonts w:ascii="Arial" w:hAnsi="Arial"/>
          <w:sz w:val="22"/>
          <w:szCs w:val="22"/>
        </w:rPr>
        <w:tab/>
      </w:r>
    </w:p>
    <w:p w14:paraId="78031DF5" w14:textId="77777777" w:rsidR="0084597E" w:rsidRDefault="0084597E" w:rsidP="00794C74">
      <w:pPr>
        <w:spacing w:line="360" w:lineRule="auto"/>
        <w:rPr>
          <w:rFonts w:ascii="Arial" w:hAnsi="Arial"/>
          <w:b/>
          <w:bCs/>
          <w:sz w:val="22"/>
          <w:szCs w:val="22"/>
        </w:rPr>
      </w:pPr>
    </w:p>
    <w:p w14:paraId="778B1E47" w14:textId="77777777" w:rsidR="0084597E" w:rsidRDefault="0084597E" w:rsidP="00794C74">
      <w:pPr>
        <w:spacing w:line="360" w:lineRule="auto"/>
        <w:rPr>
          <w:rFonts w:ascii="Arial" w:hAnsi="Arial"/>
          <w:b/>
          <w:bCs/>
          <w:sz w:val="22"/>
          <w:szCs w:val="22"/>
        </w:rPr>
      </w:pPr>
    </w:p>
    <w:p w14:paraId="7A941EBC" w14:textId="4223EEC0" w:rsidR="004279FF" w:rsidRPr="00794C74" w:rsidRDefault="004279FF" w:rsidP="00794C74">
      <w:pPr>
        <w:spacing w:line="360" w:lineRule="auto"/>
        <w:rPr>
          <w:rFonts w:ascii="Arial" w:hAnsi="Arial"/>
          <w:sz w:val="22"/>
          <w:szCs w:val="22"/>
        </w:rPr>
      </w:pPr>
      <w:r w:rsidRPr="00794C74">
        <w:rPr>
          <w:rFonts w:ascii="Arial" w:hAnsi="Arial"/>
          <w:b/>
          <w:bCs/>
          <w:sz w:val="22"/>
          <w:szCs w:val="22"/>
        </w:rPr>
        <w:t>2.3 Mortality Rate Among Elderly Population</w:t>
      </w:r>
    </w:p>
    <w:p w14:paraId="1F6C114D"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Mortality rates among elderly reflect long standing inequalities, associated with ethnic background and poverty (ONS, 2023). Individuals living in disadvantaged areas have a life expectancy approximately 10 years shorter, compared to those in wealthier areas (Marmot </w:t>
      </w:r>
      <w:r w:rsidRPr="00794C74">
        <w:rPr>
          <w:rFonts w:ascii="Arial" w:hAnsi="Arial"/>
          <w:i/>
          <w:iCs/>
          <w:sz w:val="22"/>
          <w:szCs w:val="22"/>
        </w:rPr>
        <w:t>et al.</w:t>
      </w:r>
      <w:r w:rsidRPr="00794C74">
        <w:rPr>
          <w:rFonts w:ascii="Arial" w:hAnsi="Arial"/>
          <w:sz w:val="22"/>
          <w:szCs w:val="22"/>
        </w:rPr>
        <w:t xml:space="preserve">, 2020). Chronic illnesses, such as cardiovascular and diabetes, have a significant impact on mortality, with higher rates among ethnic minorities (Public Health England, 2021). For example, diabetes prevalence is </w:t>
      </w:r>
      <w:proofErr w:type="gramStart"/>
      <w:r w:rsidRPr="00794C74">
        <w:rPr>
          <w:rFonts w:ascii="Arial" w:hAnsi="Arial"/>
          <w:sz w:val="22"/>
          <w:szCs w:val="22"/>
        </w:rPr>
        <w:t>nearly six</w:t>
      </w:r>
      <w:proofErr w:type="gramEnd"/>
      <w:r w:rsidRPr="00794C74">
        <w:rPr>
          <w:rFonts w:ascii="Arial" w:hAnsi="Arial"/>
          <w:sz w:val="22"/>
          <w:szCs w:val="22"/>
        </w:rPr>
        <w:t xml:space="preserve"> times higher among South Asian populations, compared to white communities, which increases long-term mortality risk </w:t>
      </w:r>
      <w:r w:rsidRPr="00794C74">
        <w:rPr>
          <w:rFonts w:ascii="Arial" w:hAnsi="Arial"/>
          <w:sz w:val="22"/>
          <w:szCs w:val="22"/>
          <w:lang/>
        </w:rPr>
        <w:t>(UKHSA, 2023).</w:t>
      </w:r>
    </w:p>
    <w:p w14:paraId="0FE08C52" w14:textId="77777777" w:rsidR="004279FF" w:rsidRPr="00794C74" w:rsidRDefault="004279FF" w:rsidP="00794C74">
      <w:pPr>
        <w:spacing w:before="57" w:after="57" w:line="360" w:lineRule="auto"/>
        <w:jc w:val="both"/>
        <w:rPr>
          <w:rFonts w:ascii="Arial" w:hAnsi="Arial"/>
          <w:sz w:val="22"/>
          <w:szCs w:val="22"/>
          <w:lang/>
        </w:rPr>
      </w:pPr>
    </w:p>
    <w:p w14:paraId="3473D4FF"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3. Social Issues Affecting the Elderly Population</w:t>
      </w:r>
    </w:p>
    <w:p w14:paraId="5ABEFEBF" w14:textId="77777777" w:rsidR="004279FF" w:rsidRPr="00794C74" w:rsidRDefault="004279FF" w:rsidP="00794C74">
      <w:pPr>
        <w:spacing w:line="360" w:lineRule="auto"/>
        <w:rPr>
          <w:rFonts w:ascii="Arial" w:hAnsi="Arial"/>
          <w:b/>
          <w:bCs/>
          <w:sz w:val="22"/>
          <w:szCs w:val="22"/>
        </w:rPr>
      </w:pPr>
      <w:r w:rsidRPr="00794C74">
        <w:rPr>
          <w:rFonts w:ascii="Arial" w:hAnsi="Arial"/>
          <w:b/>
          <w:bCs/>
          <w:sz w:val="22"/>
          <w:szCs w:val="22"/>
        </w:rPr>
        <w:tab/>
        <w:t>3.1 Social Issue 1 – Social Isolation and Loneliness</w:t>
      </w:r>
    </w:p>
    <w:p w14:paraId="6C3FC37F"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Social isolation is a significant concern among elderly population, with an estimated 1.4 million older adults in UK, facing chronic loneliness (Age UK, 2023). Older adults from ethnic minorities may experience higher levels of isolation, particularly because of language barriers and reduced integration in the main society </w:t>
      </w:r>
      <w:r w:rsidRPr="00794C74">
        <w:rPr>
          <w:rFonts w:ascii="Arial" w:hAnsi="Arial"/>
          <w:sz w:val="22"/>
          <w:szCs w:val="22"/>
          <w:lang/>
        </w:rPr>
        <w:t xml:space="preserve">(Evandrou </w:t>
      </w:r>
      <w:r w:rsidRPr="00794C74">
        <w:rPr>
          <w:rFonts w:ascii="Arial" w:hAnsi="Arial"/>
          <w:i/>
          <w:iCs/>
          <w:sz w:val="22"/>
          <w:szCs w:val="22"/>
          <w:lang/>
        </w:rPr>
        <w:t>et al</w:t>
      </w:r>
      <w:r w:rsidRPr="00794C74">
        <w:rPr>
          <w:rFonts w:ascii="Arial" w:hAnsi="Arial"/>
          <w:sz w:val="22"/>
          <w:szCs w:val="22"/>
          <w:lang/>
        </w:rPr>
        <w:t>., 2021).</w:t>
      </w:r>
      <w:r w:rsidRPr="00794C74">
        <w:rPr>
          <w:rFonts w:ascii="Arial" w:hAnsi="Arial"/>
          <w:sz w:val="22"/>
          <w:szCs w:val="22"/>
        </w:rPr>
        <w:t xml:space="preserve"> Loneliness has been associated with an increased risk of depression, cognitive decline, and heart disease, having a major impact on an individual health (WHO, 2023). Cultural differences may also limit access to social activities, which further increases the vulnerability of this group (Public Health England, 2021).</w:t>
      </w:r>
    </w:p>
    <w:p w14:paraId="653BBE5E" w14:textId="77777777" w:rsidR="004279FF" w:rsidRPr="00794C74" w:rsidRDefault="004279FF" w:rsidP="00794C74">
      <w:pPr>
        <w:spacing w:line="360" w:lineRule="auto"/>
        <w:rPr>
          <w:rFonts w:ascii="Arial" w:hAnsi="Arial"/>
          <w:sz w:val="22"/>
          <w:szCs w:val="22"/>
        </w:rPr>
      </w:pPr>
      <w:r w:rsidRPr="00794C74">
        <w:rPr>
          <w:rFonts w:ascii="Arial" w:hAnsi="Arial"/>
          <w:sz w:val="22"/>
          <w:szCs w:val="22"/>
        </w:rPr>
        <w:tab/>
      </w:r>
      <w:r w:rsidRPr="00794C74">
        <w:rPr>
          <w:rFonts w:ascii="Arial" w:hAnsi="Arial"/>
          <w:b/>
          <w:bCs/>
          <w:sz w:val="22"/>
          <w:szCs w:val="22"/>
        </w:rPr>
        <w:t>3.2 Social Issue 2 – Poverty</w:t>
      </w:r>
    </w:p>
    <w:p w14:paraId="40031742"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Poverty continues to be a major contributor to health inequalities for older people, with about 18% of retired people in the UK experiencing economic hardship (Department for Work and Pensions, 2023). The elderly from ethnic minorities </w:t>
      </w:r>
      <w:proofErr w:type="gramStart"/>
      <w:r w:rsidRPr="00794C74">
        <w:rPr>
          <w:rFonts w:ascii="Arial" w:hAnsi="Arial"/>
          <w:sz w:val="22"/>
          <w:szCs w:val="22"/>
        </w:rPr>
        <w:t>are particularly impacted</w:t>
      </w:r>
      <w:proofErr w:type="gramEnd"/>
      <w:r w:rsidRPr="00794C74">
        <w:rPr>
          <w:rFonts w:ascii="Arial" w:hAnsi="Arial"/>
          <w:sz w:val="22"/>
          <w:szCs w:val="22"/>
        </w:rPr>
        <w:t xml:space="preserve"> </w:t>
      </w:r>
      <w:proofErr w:type="gramStart"/>
      <w:r w:rsidRPr="00794C74">
        <w:rPr>
          <w:rFonts w:ascii="Arial" w:hAnsi="Arial"/>
          <w:sz w:val="22"/>
          <w:szCs w:val="22"/>
        </w:rPr>
        <w:t>as a result of</w:t>
      </w:r>
      <w:proofErr w:type="gramEnd"/>
      <w:r w:rsidRPr="00794C74">
        <w:rPr>
          <w:rFonts w:ascii="Arial" w:hAnsi="Arial"/>
          <w:sz w:val="22"/>
          <w:szCs w:val="22"/>
        </w:rPr>
        <w:t xml:space="preserve"> lower lifetime salaries and reduced access to pension schemes (</w:t>
      </w:r>
      <w:r w:rsidRPr="00794C74">
        <w:rPr>
          <w:rFonts w:ascii="Arial" w:hAnsi="Arial"/>
          <w:sz w:val="22"/>
          <w:szCs w:val="22"/>
          <w:lang/>
        </w:rPr>
        <w:t>Evandrou</w:t>
      </w:r>
      <w:r w:rsidRPr="00794C74">
        <w:rPr>
          <w:rFonts w:ascii="Arial" w:hAnsi="Arial"/>
          <w:sz w:val="22"/>
          <w:szCs w:val="22"/>
        </w:rPr>
        <w:t xml:space="preserve"> </w:t>
      </w:r>
      <w:r w:rsidRPr="00794C74">
        <w:rPr>
          <w:rFonts w:ascii="Arial" w:hAnsi="Arial"/>
          <w:i/>
          <w:iCs/>
          <w:sz w:val="22"/>
          <w:szCs w:val="22"/>
        </w:rPr>
        <w:t>et al</w:t>
      </w:r>
      <w:r w:rsidRPr="00794C74">
        <w:rPr>
          <w:rFonts w:ascii="Arial" w:hAnsi="Arial"/>
          <w:sz w:val="22"/>
          <w:szCs w:val="22"/>
        </w:rPr>
        <w:t>., 2021). Financial uncertainty can also limit access to essentials, such as nutritious food, proper heating, or healthcare, which can contribute to poorer health outcomes (WHO, 2023). Economic difficulties can also cause delays in accessing health services, which also increases health inequalities among the elderly (Public Health England, 2021).</w:t>
      </w:r>
    </w:p>
    <w:p w14:paraId="51A00329" w14:textId="77777777" w:rsidR="004279FF" w:rsidRPr="00794C74" w:rsidRDefault="004279FF" w:rsidP="00794C74">
      <w:pPr>
        <w:spacing w:line="360" w:lineRule="auto"/>
        <w:rPr>
          <w:rFonts w:ascii="Arial" w:hAnsi="Arial"/>
          <w:sz w:val="22"/>
          <w:szCs w:val="22"/>
        </w:rPr>
      </w:pPr>
      <w:r w:rsidRPr="00794C74">
        <w:rPr>
          <w:rFonts w:ascii="Arial" w:hAnsi="Arial"/>
          <w:sz w:val="22"/>
          <w:szCs w:val="22"/>
        </w:rPr>
        <w:tab/>
      </w:r>
      <w:r w:rsidRPr="00794C74">
        <w:rPr>
          <w:rFonts w:ascii="Arial" w:hAnsi="Arial"/>
          <w:b/>
          <w:bCs/>
          <w:sz w:val="22"/>
          <w:szCs w:val="22"/>
        </w:rPr>
        <w:t>3.3 Social Issue 3 – Issues Associated with Housing</w:t>
      </w:r>
    </w:p>
    <w:p w14:paraId="3A4BCB92" w14:textId="22696CB0" w:rsidR="004279FF" w:rsidRDefault="004279FF" w:rsidP="0084597E">
      <w:pPr>
        <w:spacing w:line="360" w:lineRule="auto"/>
        <w:jc w:val="both"/>
        <w:rPr>
          <w:rFonts w:ascii="Arial" w:hAnsi="Arial"/>
          <w:sz w:val="22"/>
          <w:szCs w:val="22"/>
        </w:rPr>
      </w:pPr>
      <w:r w:rsidRPr="00794C74">
        <w:rPr>
          <w:rFonts w:ascii="Arial" w:hAnsi="Arial"/>
          <w:sz w:val="22"/>
          <w:szCs w:val="22"/>
        </w:rPr>
        <w:tab/>
        <w:t>Housing conditions play a significant role in health outcomes, notably among older adults living in disadvantaged areas (Public Health England, 2021). Evidence suggests that older adults from ethnic minority communities are more likely to reside in overcrowded or poorly maintained properties, which increases their vulnerability to environmental health issues (</w:t>
      </w:r>
      <w:r w:rsidRPr="00794C74">
        <w:rPr>
          <w:rFonts w:ascii="Arial" w:hAnsi="Arial"/>
          <w:sz w:val="22"/>
          <w:szCs w:val="22"/>
          <w:lang/>
        </w:rPr>
        <w:t xml:space="preserve">Evandrou </w:t>
      </w:r>
      <w:r w:rsidRPr="00794C74">
        <w:rPr>
          <w:rFonts w:ascii="Arial" w:hAnsi="Arial"/>
          <w:i/>
          <w:iCs/>
          <w:sz w:val="22"/>
          <w:szCs w:val="22"/>
          <w:lang/>
        </w:rPr>
        <w:t>et al.</w:t>
      </w:r>
      <w:r w:rsidRPr="00794C74">
        <w:rPr>
          <w:rFonts w:ascii="Arial" w:hAnsi="Arial"/>
          <w:sz w:val="22"/>
          <w:szCs w:val="22"/>
          <w:lang/>
        </w:rPr>
        <w:t>,</w:t>
      </w:r>
      <w:r w:rsidRPr="00794C74">
        <w:rPr>
          <w:rFonts w:ascii="Arial" w:hAnsi="Arial"/>
          <w:sz w:val="22"/>
          <w:szCs w:val="22"/>
        </w:rPr>
        <w:t xml:space="preserve"> 2021). Poor housing is associated with respiratory issues, injuries, and reduced mobility amongst </w:t>
      </w:r>
      <w:r w:rsidRPr="00794C74">
        <w:rPr>
          <w:rFonts w:ascii="Arial" w:hAnsi="Arial"/>
          <w:sz w:val="22"/>
          <w:szCs w:val="22"/>
        </w:rPr>
        <w:lastRenderedPageBreak/>
        <w:t>elderly people (WHO, 2023)</w:t>
      </w:r>
      <w:proofErr w:type="gramStart"/>
      <w:r w:rsidRPr="00794C74">
        <w:rPr>
          <w:rFonts w:ascii="Arial" w:hAnsi="Arial"/>
          <w:sz w:val="22"/>
          <w:szCs w:val="22"/>
        </w:rPr>
        <w:t xml:space="preserve">.  </w:t>
      </w:r>
      <w:proofErr w:type="gramEnd"/>
      <w:r w:rsidRPr="00794C74">
        <w:rPr>
          <w:rFonts w:ascii="Arial" w:hAnsi="Arial"/>
          <w:sz w:val="22"/>
          <w:szCs w:val="22"/>
        </w:rPr>
        <w:t xml:space="preserve">Limited access to housing adaptations, such as mobility support equipment, can reduce independence even more and increase hospitalisation risk </w:t>
      </w:r>
      <w:r w:rsidRPr="00794C74">
        <w:rPr>
          <w:rFonts w:ascii="Arial" w:hAnsi="Arial"/>
          <w:sz w:val="22"/>
          <w:szCs w:val="22"/>
          <w:lang/>
        </w:rPr>
        <w:t>(UKHSA,</w:t>
      </w:r>
      <w:r w:rsidRPr="00794C74">
        <w:rPr>
          <w:rFonts w:ascii="Arial" w:hAnsi="Arial"/>
          <w:sz w:val="22"/>
          <w:szCs w:val="22"/>
        </w:rPr>
        <w:t xml:space="preserve"> 2023).</w:t>
      </w:r>
    </w:p>
    <w:p w14:paraId="51CE4C27" w14:textId="77777777" w:rsidR="00C22C6B" w:rsidRPr="00794C74" w:rsidRDefault="00C22C6B" w:rsidP="0084597E">
      <w:pPr>
        <w:spacing w:line="360" w:lineRule="auto"/>
        <w:jc w:val="both"/>
        <w:rPr>
          <w:rFonts w:ascii="Arial" w:hAnsi="Arial"/>
          <w:sz w:val="22"/>
          <w:szCs w:val="22"/>
        </w:rPr>
      </w:pPr>
    </w:p>
    <w:p w14:paraId="08CD7517" w14:textId="77777777" w:rsidR="004279FF" w:rsidRPr="00794C74" w:rsidRDefault="004279FF" w:rsidP="00794C74">
      <w:pPr>
        <w:spacing w:line="360" w:lineRule="auto"/>
        <w:rPr>
          <w:rFonts w:ascii="Arial" w:hAnsi="Arial"/>
          <w:sz w:val="22"/>
          <w:szCs w:val="22"/>
        </w:rPr>
      </w:pPr>
      <w:r w:rsidRPr="00794C74">
        <w:rPr>
          <w:rFonts w:ascii="Arial" w:hAnsi="Arial"/>
          <w:b/>
          <w:bCs/>
          <w:sz w:val="22"/>
          <w:szCs w:val="22"/>
        </w:rPr>
        <w:t>4. National Response to Reduce Health Inequalities</w:t>
      </w:r>
    </w:p>
    <w:p w14:paraId="4D119DB1"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UK government has developed and implemented policies designed to reduce health inequalities for vulnerable communities. National Health Service’s (NHS) Long Term Plan sets out a strategy to prioritise prevention, early intervention, and better access to healthcare for disadvantaged groups (NHS England, 2019). Furthermore, Marmot Report underlines how important it is to address social determinants, such as income, where people live, and education, </w:t>
      </w:r>
      <w:proofErr w:type="gramStart"/>
      <w:r w:rsidRPr="00794C74">
        <w:rPr>
          <w:rFonts w:ascii="Arial" w:hAnsi="Arial"/>
          <w:sz w:val="22"/>
          <w:szCs w:val="22"/>
        </w:rPr>
        <w:t>as a way to</w:t>
      </w:r>
      <w:proofErr w:type="gramEnd"/>
      <w:r w:rsidRPr="00794C74">
        <w:rPr>
          <w:rFonts w:ascii="Arial" w:hAnsi="Arial"/>
          <w:sz w:val="22"/>
          <w:szCs w:val="22"/>
        </w:rPr>
        <w:t xml:space="preserve"> reduce health disparities (Marmot </w:t>
      </w:r>
      <w:r w:rsidRPr="00794C74">
        <w:rPr>
          <w:rFonts w:ascii="Arial" w:hAnsi="Arial"/>
          <w:i/>
          <w:iCs/>
          <w:sz w:val="22"/>
          <w:szCs w:val="22"/>
        </w:rPr>
        <w:t>et al.</w:t>
      </w:r>
      <w:r w:rsidRPr="00794C74">
        <w:rPr>
          <w:rFonts w:ascii="Arial" w:hAnsi="Arial"/>
          <w:sz w:val="22"/>
          <w:szCs w:val="22"/>
        </w:rPr>
        <w:t>, 2020). Public health strategies may also include targeted screening programs and interventions aimed to improve access to healthcare for ethnic populations</w:t>
      </w:r>
      <w:r w:rsidRPr="00794C74">
        <w:rPr>
          <w:rFonts w:ascii="Arial" w:hAnsi="Arial"/>
          <w:sz w:val="22"/>
          <w:szCs w:val="22"/>
          <w:lang/>
        </w:rPr>
        <w:t xml:space="preserve"> (UKHSA, 2023).</w:t>
      </w:r>
      <w:r w:rsidRPr="00794C74">
        <w:rPr>
          <w:rFonts w:ascii="Arial" w:hAnsi="Arial"/>
          <w:sz w:val="22"/>
          <w:szCs w:val="22"/>
        </w:rPr>
        <w:t xml:space="preserve"> These efforts seek to promote equal access to health and reduce disparities over the long term.</w:t>
      </w:r>
    </w:p>
    <w:p w14:paraId="37DB5AD4" w14:textId="77777777" w:rsidR="004279FF" w:rsidRPr="00794C74" w:rsidRDefault="004279FF" w:rsidP="00794C74">
      <w:pPr>
        <w:spacing w:before="57" w:after="57" w:line="360" w:lineRule="auto"/>
        <w:jc w:val="both"/>
        <w:rPr>
          <w:rFonts w:ascii="Arial" w:hAnsi="Arial"/>
          <w:sz w:val="22"/>
          <w:szCs w:val="22"/>
        </w:rPr>
      </w:pPr>
    </w:p>
    <w:p w14:paraId="75385473" w14:textId="77777777" w:rsidR="004279FF" w:rsidRPr="00794C74" w:rsidRDefault="004279FF" w:rsidP="00794C74">
      <w:pPr>
        <w:spacing w:before="57" w:after="57" w:line="360" w:lineRule="auto"/>
        <w:rPr>
          <w:rFonts w:ascii="Arial" w:hAnsi="Arial"/>
          <w:sz w:val="22"/>
          <w:szCs w:val="22"/>
        </w:rPr>
      </w:pPr>
      <w:r w:rsidRPr="00794C74">
        <w:rPr>
          <w:rFonts w:ascii="Arial" w:hAnsi="Arial"/>
          <w:b/>
          <w:bCs/>
          <w:sz w:val="22"/>
          <w:szCs w:val="22"/>
        </w:rPr>
        <w:t>5. Organisations Supporting the Elderly</w:t>
      </w:r>
    </w:p>
    <w:p w14:paraId="0D0CAD07" w14:textId="5427D011"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 xml:space="preserve">Age UK is a prominent non-profit organisation that supports elderly people in UK, focussing on improving health, well-being, and autonomy (Age UK, 2023). Its services encompass health advice, social support, and programs to reduce loneliness and isolation within the community (Age UK, 2023). It also conducts research and campaigns for policies that tackle health inequalities affecting this group (Public Health England, 2021). Age UK supports the vulnerable elderly, particularly those facing poverty and with limited access to public services, by raising awareness on issues that contribute to an improved quality of </w:t>
      </w:r>
      <w:r w:rsidR="00D10C53" w:rsidRPr="00794C74">
        <w:rPr>
          <w:rFonts w:ascii="Arial" w:hAnsi="Arial"/>
          <w:sz w:val="22"/>
          <w:szCs w:val="22"/>
        </w:rPr>
        <w:t>life and</w:t>
      </w:r>
      <w:r w:rsidRPr="00794C74">
        <w:rPr>
          <w:rFonts w:ascii="Arial" w:hAnsi="Arial"/>
          <w:sz w:val="22"/>
          <w:szCs w:val="22"/>
        </w:rPr>
        <w:t xml:space="preserve"> reducing social inequalities.</w:t>
      </w:r>
    </w:p>
    <w:p w14:paraId="3A5692BA" w14:textId="77777777" w:rsidR="004279FF" w:rsidRPr="00794C74" w:rsidRDefault="004279FF" w:rsidP="00794C74">
      <w:pPr>
        <w:spacing w:line="360" w:lineRule="auto"/>
        <w:jc w:val="both"/>
        <w:rPr>
          <w:rFonts w:ascii="Arial" w:hAnsi="Arial"/>
          <w:sz w:val="22"/>
          <w:szCs w:val="22"/>
        </w:rPr>
      </w:pPr>
    </w:p>
    <w:p w14:paraId="2647B15A" w14:textId="77777777" w:rsidR="004279FF" w:rsidRPr="00794C74" w:rsidRDefault="004279FF" w:rsidP="00794C74">
      <w:pPr>
        <w:spacing w:line="360" w:lineRule="auto"/>
        <w:rPr>
          <w:rFonts w:ascii="Arial" w:hAnsi="Arial"/>
          <w:b/>
          <w:bCs/>
          <w:sz w:val="22"/>
          <w:szCs w:val="22"/>
        </w:rPr>
      </w:pPr>
      <w:r w:rsidRPr="00794C74">
        <w:rPr>
          <w:rFonts w:ascii="Arial" w:hAnsi="Arial"/>
          <w:b/>
          <w:bCs/>
          <w:sz w:val="22"/>
          <w:szCs w:val="22"/>
        </w:rPr>
        <w:t>6. Conclusion</w:t>
      </w:r>
    </w:p>
    <w:p w14:paraId="276BA3FC"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Inequalities in health among elderly population in Britain are strongly impacted by ethnic origins, socio-economic status, and healthcare access. Older individuals from disadvantaged ethnic communities face increased rates of mental illness, limited access to healthcare, and a </w:t>
      </w:r>
      <w:proofErr w:type="gramStart"/>
      <w:r w:rsidRPr="00794C74">
        <w:rPr>
          <w:rFonts w:ascii="Arial" w:hAnsi="Arial"/>
          <w:sz w:val="22"/>
          <w:szCs w:val="22"/>
        </w:rPr>
        <w:t>considerably higher</w:t>
      </w:r>
      <w:proofErr w:type="gramEnd"/>
      <w:r w:rsidRPr="00794C74">
        <w:rPr>
          <w:rFonts w:ascii="Arial" w:hAnsi="Arial"/>
          <w:sz w:val="22"/>
          <w:szCs w:val="22"/>
        </w:rPr>
        <w:t xml:space="preserve"> risk of mortality. These inequalities are amplified by social issues, such as loneliness, economic hardship, and inadequate housing. A comprehensive approach to address these inequalities will require integrated public health strategies, combining medical interventions with social policies. National initiatives and charitable organisations have an essential role in reducing inequalities and promoting a fair distribution of healthcare outcomes. To ensure positive health outcomes for elderly people, it is necessary to continue addressing the medical and social factors that impact health.</w:t>
      </w:r>
    </w:p>
    <w:p w14:paraId="677ECFAA" w14:textId="77777777" w:rsidR="004279FF" w:rsidRPr="00794C74" w:rsidRDefault="004279FF" w:rsidP="00794C74">
      <w:pPr>
        <w:spacing w:before="57" w:after="57" w:line="360" w:lineRule="auto"/>
        <w:jc w:val="both"/>
        <w:rPr>
          <w:rFonts w:ascii="Arial" w:hAnsi="Arial"/>
          <w:sz w:val="22"/>
          <w:szCs w:val="22"/>
        </w:rPr>
      </w:pPr>
    </w:p>
    <w:p w14:paraId="06F193CA" w14:textId="77777777" w:rsidR="004279FF" w:rsidRPr="00794C74" w:rsidRDefault="004279FF" w:rsidP="00794C74">
      <w:pPr>
        <w:spacing w:before="57" w:after="57" w:line="360" w:lineRule="auto"/>
        <w:jc w:val="both"/>
        <w:rPr>
          <w:rFonts w:ascii="Arial" w:hAnsi="Arial"/>
          <w:sz w:val="22"/>
          <w:szCs w:val="22"/>
        </w:rPr>
      </w:pPr>
    </w:p>
    <w:p w14:paraId="7EE1B16B" w14:textId="1D9F11A6"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lastRenderedPageBreak/>
        <w:t xml:space="preserve">                                                                                              </w:t>
      </w:r>
    </w:p>
    <w:p w14:paraId="33605613"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b/>
          <w:bCs/>
          <w:sz w:val="22"/>
          <w:szCs w:val="22"/>
        </w:rPr>
        <w:t xml:space="preserve">Task 2 – </w:t>
      </w:r>
      <w:r w:rsidRPr="00794C74">
        <w:rPr>
          <w:rFonts w:ascii="Arial" w:eastAsia="Arial" w:hAnsi="Arial"/>
          <w:b/>
          <w:bCs/>
          <w:sz w:val="22"/>
          <w:szCs w:val="22"/>
        </w:rPr>
        <w:t>Epidemiological Analysis of Dementia among the Elderly Population in Birmingham, United Kingdom</w:t>
      </w:r>
    </w:p>
    <w:p w14:paraId="11D2E8A7" w14:textId="77777777" w:rsidR="004279FF" w:rsidRPr="00794C74" w:rsidRDefault="004279FF" w:rsidP="00794C74">
      <w:pPr>
        <w:spacing w:before="57" w:after="57" w:line="360" w:lineRule="auto"/>
        <w:jc w:val="both"/>
        <w:rPr>
          <w:rFonts w:ascii="Arial" w:eastAsia="Arial" w:hAnsi="Arial"/>
          <w:sz w:val="22"/>
          <w:szCs w:val="22"/>
        </w:rPr>
      </w:pPr>
    </w:p>
    <w:p w14:paraId="633408A9"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1. Introduction</w:t>
      </w:r>
    </w:p>
    <w:p w14:paraId="5E3D2BDC" w14:textId="77777777" w:rsidR="004279FF" w:rsidRPr="00794C74" w:rsidRDefault="004279FF" w:rsidP="00794C74">
      <w:pPr>
        <w:spacing w:before="57" w:after="57" w:line="360" w:lineRule="auto"/>
        <w:jc w:val="both"/>
        <w:rPr>
          <w:rFonts w:ascii="Arial" w:hAnsi="Arial"/>
          <w:b/>
          <w:bCs/>
          <w:sz w:val="22"/>
          <w:szCs w:val="22"/>
        </w:rPr>
      </w:pPr>
      <w:r w:rsidRPr="00794C74">
        <w:rPr>
          <w:rFonts w:ascii="Arial" w:hAnsi="Arial"/>
          <w:sz w:val="22"/>
          <w:szCs w:val="22"/>
        </w:rPr>
        <w:tab/>
        <w:t>Dementia is a gradual neurological condition, which is marked by a decline in thinking, memory loss, and issues with daily activities, and it really impacts elderly people's life quality (NHS, 2024). This represents a major public health concern, given its rising incidence and related social and economic implications (WHO, 2023). On a global level, over 55 million people have dementia, with approximately 10 million new cases diagnosed each year (WHO, 2023). In the UK, around 944,000 people are currently living with dementia, and the incidence is expected to increase due to an ageing population (Alzheimer’s Society, 2025). Dementia is a leading cause of death in the UK, causing over 70,000 deaths annually (Alzheimer’s Research UK, 2025). In Birmingham, an ageing and ethnically diverse population is driving demand for targeted public health interventions and health service planning (Age UK, 2025).</w:t>
      </w:r>
    </w:p>
    <w:p w14:paraId="6BC88969" w14:textId="77777777" w:rsidR="004279FF" w:rsidRPr="00794C74" w:rsidRDefault="004279FF" w:rsidP="00794C74">
      <w:pPr>
        <w:spacing w:before="57" w:after="57" w:line="360" w:lineRule="auto"/>
        <w:jc w:val="both"/>
        <w:rPr>
          <w:rFonts w:ascii="Arial" w:hAnsi="Arial"/>
          <w:sz w:val="22"/>
          <w:szCs w:val="22"/>
        </w:rPr>
      </w:pPr>
    </w:p>
    <w:p w14:paraId="074C6FF8"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2. Public Health Measures – Prevention, Protection and Promotion (3Ps)</w:t>
      </w:r>
    </w:p>
    <w:p w14:paraId="1A702316"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Public health strategies addressing dementia focus on preventing, protecting, and promoting health, aiming to reduce incidence and improve outcomes for the elderly population (Department of Health, 2022). Prevention strategies focus on preventable risk factors, such as smoking, a sedentary lifestyle, and high blood pressure, which are responsible for about 40% of dementia across the world (WHO, 2023). Research suggests that interventions targeting cardiovascular risk factors, during middle age, may significantly reduce dementia risk for older people (UCL, 2024).</w:t>
      </w:r>
    </w:p>
    <w:p w14:paraId="5AFEB9FD"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 xml:space="preserve">Preventive strategies include early diagnosis, support for vulnerable groups, and improving access to care services (NHS England, 2023). Early detection using dementia clinics and screening programs allows timely intervention, improving disease management and slowing its progression (Alzheimer’s Society, 2025). Advocacy strategies focus on increasing awareness, reduce stigma, and encourage a healthy lifestyle, especially among populations that are at </w:t>
      </w:r>
      <w:proofErr w:type="gramStart"/>
      <w:r w:rsidRPr="00794C74">
        <w:rPr>
          <w:rFonts w:ascii="Arial" w:hAnsi="Arial"/>
          <w:sz w:val="22"/>
          <w:szCs w:val="22"/>
        </w:rPr>
        <w:t>high risk</w:t>
      </w:r>
      <w:proofErr w:type="gramEnd"/>
      <w:r w:rsidRPr="00794C74">
        <w:rPr>
          <w:rFonts w:ascii="Arial" w:hAnsi="Arial"/>
          <w:sz w:val="22"/>
          <w:szCs w:val="22"/>
        </w:rPr>
        <w:t>, such as older adults in disadvantaged communities (Age UK, 2025).</w:t>
      </w:r>
    </w:p>
    <w:p w14:paraId="7932052F" w14:textId="77777777" w:rsidR="004279FF" w:rsidRPr="00794C74" w:rsidRDefault="004279FF" w:rsidP="00794C74">
      <w:pPr>
        <w:spacing w:line="360" w:lineRule="auto"/>
        <w:jc w:val="both"/>
        <w:rPr>
          <w:rFonts w:ascii="Arial" w:hAnsi="Arial"/>
          <w:sz w:val="22"/>
          <w:szCs w:val="22"/>
        </w:rPr>
      </w:pPr>
    </w:p>
    <w:p w14:paraId="0EFDD9F5" w14:textId="77777777" w:rsidR="004279FF" w:rsidRPr="00794C74" w:rsidRDefault="004279FF" w:rsidP="00794C74">
      <w:pPr>
        <w:spacing w:line="360" w:lineRule="auto"/>
        <w:rPr>
          <w:rFonts w:ascii="Arial" w:hAnsi="Arial"/>
          <w:b/>
          <w:bCs/>
          <w:sz w:val="22"/>
          <w:szCs w:val="22"/>
        </w:rPr>
      </w:pPr>
      <w:r w:rsidRPr="00794C74">
        <w:rPr>
          <w:rFonts w:ascii="Arial" w:hAnsi="Arial"/>
          <w:b/>
          <w:bCs/>
          <w:sz w:val="22"/>
          <w:szCs w:val="22"/>
        </w:rPr>
        <w:t>3. Main Causes and Risk Factors for Dementia</w:t>
      </w:r>
    </w:p>
    <w:p w14:paraId="3B9F4579" w14:textId="77777777" w:rsidR="004279FF" w:rsidRPr="00794C74" w:rsidRDefault="004279FF" w:rsidP="00794C74">
      <w:pPr>
        <w:spacing w:line="360" w:lineRule="auto"/>
        <w:jc w:val="both"/>
        <w:rPr>
          <w:rFonts w:ascii="Arial" w:hAnsi="Arial"/>
          <w:b/>
          <w:bCs/>
          <w:sz w:val="22"/>
          <w:szCs w:val="22"/>
        </w:rPr>
      </w:pPr>
      <w:r w:rsidRPr="00794C74">
        <w:rPr>
          <w:rFonts w:ascii="Arial" w:hAnsi="Arial"/>
          <w:sz w:val="22"/>
          <w:szCs w:val="22"/>
        </w:rPr>
        <w:tab/>
        <w:t xml:space="preserve">Dementia is caused by a combination of biological, </w:t>
      </w:r>
      <w:proofErr w:type="gramStart"/>
      <w:r w:rsidRPr="00794C74">
        <w:rPr>
          <w:rFonts w:ascii="Arial" w:hAnsi="Arial"/>
          <w:sz w:val="22"/>
          <w:szCs w:val="22"/>
        </w:rPr>
        <w:t>behavioural</w:t>
      </w:r>
      <w:proofErr w:type="gramEnd"/>
      <w:r w:rsidRPr="00794C74">
        <w:rPr>
          <w:rFonts w:ascii="Arial" w:hAnsi="Arial"/>
          <w:sz w:val="22"/>
          <w:szCs w:val="22"/>
        </w:rPr>
        <w:t xml:space="preserve"> and social factors, which can interact throughout an individual's life (WHO, 2023). Age continues to be the most significant risk factor, with the prevalence </w:t>
      </w:r>
      <w:proofErr w:type="gramStart"/>
      <w:r w:rsidRPr="00794C74">
        <w:rPr>
          <w:rFonts w:ascii="Arial" w:hAnsi="Arial"/>
          <w:sz w:val="22"/>
          <w:szCs w:val="22"/>
        </w:rPr>
        <w:t>approximately double</w:t>
      </w:r>
      <w:proofErr w:type="gramEnd"/>
      <w:r w:rsidRPr="00794C74">
        <w:rPr>
          <w:rFonts w:ascii="Arial" w:hAnsi="Arial"/>
          <w:sz w:val="22"/>
          <w:szCs w:val="22"/>
        </w:rPr>
        <w:t xml:space="preserve"> every five years, after the age of 65 (Alzheimer’s Society, 2025). However, socio-economic disadvantage, educational status, and </w:t>
      </w:r>
      <w:r w:rsidRPr="00794C74">
        <w:rPr>
          <w:rFonts w:ascii="Arial" w:hAnsi="Arial"/>
          <w:sz w:val="22"/>
          <w:szCs w:val="22"/>
        </w:rPr>
        <w:lastRenderedPageBreak/>
        <w:t>lifestyle choices also contribute significantly to an individual's risk to develop the disease (Public Health England, 2021).</w:t>
      </w:r>
    </w:p>
    <w:p w14:paraId="68391902" w14:textId="77777777" w:rsidR="004279FF" w:rsidRPr="00794C74" w:rsidRDefault="004279FF" w:rsidP="00794C74">
      <w:pPr>
        <w:spacing w:line="360" w:lineRule="auto"/>
        <w:jc w:val="both"/>
        <w:rPr>
          <w:rFonts w:ascii="Arial" w:hAnsi="Arial"/>
          <w:b/>
          <w:bCs/>
          <w:sz w:val="22"/>
          <w:szCs w:val="22"/>
        </w:rPr>
      </w:pPr>
      <w:r w:rsidRPr="00794C74">
        <w:rPr>
          <w:rFonts w:ascii="Arial" w:hAnsi="Arial"/>
          <w:sz w:val="22"/>
          <w:szCs w:val="22"/>
        </w:rPr>
        <w:tab/>
        <w:t xml:space="preserve">Cardiovascular factors for risk, such as high blood pressure, diabetes, and excess weight, increase an individual's chance to develop dementia, especially vascular dementia (Dementia UK, 2024). Furthermore, social factors, such as poverty, low levels of education, and social exclusion, are associated with increased risk, due to a reduced cognitive reserve and limited health service access (Age UK, 2025). Ethnic inequalities are also evident, with </w:t>
      </w:r>
      <w:proofErr w:type="gramStart"/>
      <w:r w:rsidRPr="00794C74">
        <w:rPr>
          <w:rFonts w:ascii="Arial" w:hAnsi="Arial"/>
          <w:sz w:val="22"/>
          <w:szCs w:val="22"/>
        </w:rPr>
        <w:t>some</w:t>
      </w:r>
      <w:proofErr w:type="gramEnd"/>
      <w:r w:rsidRPr="00794C74">
        <w:rPr>
          <w:rFonts w:ascii="Arial" w:hAnsi="Arial"/>
          <w:sz w:val="22"/>
          <w:szCs w:val="22"/>
        </w:rPr>
        <w:t xml:space="preserve"> minority populations recording higher prevalence rates, reflecting a combination of health inequalities and social disadvantages (</w:t>
      </w:r>
      <w:r w:rsidRPr="00794C74">
        <w:rPr>
          <w:rFonts w:ascii="Arial" w:hAnsi="Arial"/>
          <w:sz w:val="22"/>
          <w:szCs w:val="22"/>
          <w:lang/>
        </w:rPr>
        <w:t>Dementiastatistics.org, 2024).</w:t>
      </w:r>
    </w:p>
    <w:p w14:paraId="71814AB3" w14:textId="77777777" w:rsidR="004279FF" w:rsidRPr="00794C74" w:rsidRDefault="004279FF" w:rsidP="00794C74">
      <w:pPr>
        <w:spacing w:line="360" w:lineRule="auto"/>
        <w:jc w:val="both"/>
        <w:rPr>
          <w:rFonts w:ascii="Arial" w:hAnsi="Arial"/>
          <w:sz w:val="22"/>
          <w:szCs w:val="22"/>
          <w:lang/>
        </w:rPr>
      </w:pPr>
    </w:p>
    <w:p w14:paraId="081BA13A"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lang/>
        </w:rPr>
        <w:t>4. Epidemi</w:t>
      </w:r>
      <w:proofErr w:type="spellStart"/>
      <w:r w:rsidRPr="00794C74">
        <w:rPr>
          <w:rFonts w:ascii="Arial" w:hAnsi="Arial"/>
          <w:b/>
          <w:bCs/>
          <w:sz w:val="22"/>
          <w:szCs w:val="22"/>
        </w:rPr>
        <w:t>ological</w:t>
      </w:r>
      <w:proofErr w:type="spellEnd"/>
      <w:r w:rsidRPr="00794C74">
        <w:rPr>
          <w:rFonts w:ascii="Arial" w:hAnsi="Arial"/>
          <w:b/>
          <w:bCs/>
          <w:sz w:val="22"/>
          <w:szCs w:val="22"/>
        </w:rPr>
        <w:t xml:space="preserve"> Studies and Health Needs Assessment</w:t>
      </w:r>
    </w:p>
    <w:p w14:paraId="2704ECA3"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 xml:space="preserve">Epidemiological studies are </w:t>
      </w:r>
      <w:proofErr w:type="gramStart"/>
      <w:r w:rsidRPr="00794C74">
        <w:rPr>
          <w:rFonts w:ascii="Arial" w:hAnsi="Arial"/>
          <w:sz w:val="22"/>
          <w:szCs w:val="22"/>
        </w:rPr>
        <w:t>really important</w:t>
      </w:r>
      <w:proofErr w:type="gramEnd"/>
      <w:r w:rsidRPr="00794C74">
        <w:rPr>
          <w:rFonts w:ascii="Arial" w:hAnsi="Arial"/>
          <w:sz w:val="22"/>
          <w:szCs w:val="22"/>
        </w:rPr>
        <w:t xml:space="preserve"> to identify populations at risk and inform public health interventions</w:t>
      </w:r>
      <w:r w:rsidRPr="00794C74">
        <w:rPr>
          <w:rFonts w:ascii="Arial" w:hAnsi="Arial"/>
          <w:sz w:val="22"/>
          <w:szCs w:val="22"/>
          <w:lang/>
        </w:rPr>
        <w:t xml:space="preserve"> (Friis and </w:t>
      </w:r>
      <w:r w:rsidRPr="00794C74">
        <w:rPr>
          <w:rFonts w:ascii="Arial" w:hAnsi="Arial"/>
          <w:sz w:val="22"/>
          <w:szCs w:val="22"/>
        </w:rPr>
        <w:t>Sellers, 2021). In Birmingham, health needs evaluations indicate a growing elderly population, with increasing rates of dementia, especially in disadvantaged communities (Birmingham City Council, 2024). Research indicates that dementia rates are higher among people over 75, with women representing a higher proportion, due to a longer life expectancy (ONS, 2023).</w:t>
      </w:r>
    </w:p>
    <w:p w14:paraId="02F6F665"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Health needs evaluations also reveal disparities in diagnosis rates, with undiagnosed cases being common among ethnic minorities, due to cultural barriers and limited involvement in healthcare (</w:t>
      </w:r>
      <w:r w:rsidRPr="00794C74">
        <w:rPr>
          <w:rFonts w:ascii="Arial" w:hAnsi="Arial"/>
          <w:sz w:val="22"/>
          <w:szCs w:val="22"/>
          <w:lang/>
        </w:rPr>
        <w:t xml:space="preserve">Nazroo </w:t>
      </w:r>
      <w:r w:rsidRPr="00794C74">
        <w:rPr>
          <w:rFonts w:ascii="Arial" w:hAnsi="Arial"/>
          <w:i/>
          <w:iCs/>
          <w:sz w:val="22"/>
          <w:szCs w:val="22"/>
        </w:rPr>
        <w:t>et al.</w:t>
      </w:r>
      <w:r w:rsidRPr="00794C74">
        <w:rPr>
          <w:rFonts w:ascii="Arial" w:hAnsi="Arial"/>
          <w:sz w:val="22"/>
          <w:szCs w:val="22"/>
        </w:rPr>
        <w:t>, 2020). These results highlight how important it is to have targeted interventions, addressing medical and social factors that influence health. Consequently, epidemiological research is vital to allocate resources, plan services, and decide which groups within local communities should be a priority.</w:t>
      </w:r>
    </w:p>
    <w:p w14:paraId="5757379D" w14:textId="77777777" w:rsidR="004279FF" w:rsidRPr="00794C74" w:rsidRDefault="004279FF" w:rsidP="00794C74">
      <w:pPr>
        <w:spacing w:line="360" w:lineRule="auto"/>
        <w:jc w:val="both"/>
        <w:rPr>
          <w:rFonts w:ascii="Arial" w:hAnsi="Arial"/>
          <w:sz w:val="22"/>
          <w:szCs w:val="22"/>
        </w:rPr>
      </w:pPr>
    </w:p>
    <w:p w14:paraId="47FD6159" w14:textId="77777777" w:rsidR="004279FF" w:rsidRPr="00794C74" w:rsidRDefault="004279FF" w:rsidP="00794C74">
      <w:pPr>
        <w:spacing w:line="360" w:lineRule="auto"/>
        <w:rPr>
          <w:rFonts w:ascii="Arial" w:hAnsi="Arial"/>
          <w:b/>
          <w:bCs/>
          <w:sz w:val="22"/>
          <w:szCs w:val="22"/>
        </w:rPr>
      </w:pPr>
      <w:r w:rsidRPr="00794C74">
        <w:rPr>
          <w:rFonts w:ascii="Arial" w:hAnsi="Arial"/>
          <w:b/>
          <w:bCs/>
          <w:sz w:val="22"/>
          <w:szCs w:val="22"/>
        </w:rPr>
        <w:t>5. Systems to Monitor and Supervise and Dementia</w:t>
      </w:r>
    </w:p>
    <w:p w14:paraId="5E8C5F9C"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 xml:space="preserve">Monitoring dementia incidence and mortality relies on a series of epidemiological monitoring systems at national and local levels (WHO, 2023). In United Kingdom, frameworks such as NHS Digital datasets, Quality and Outcomes Framework </w:t>
      </w:r>
      <w:r w:rsidRPr="00794C74">
        <w:rPr>
          <w:rFonts w:ascii="Arial" w:hAnsi="Arial"/>
          <w:sz w:val="22"/>
          <w:szCs w:val="22"/>
          <w:lang/>
        </w:rPr>
        <w:t>(QOF),</w:t>
      </w:r>
      <w:r w:rsidRPr="00794C74">
        <w:rPr>
          <w:rFonts w:ascii="Arial" w:hAnsi="Arial"/>
          <w:sz w:val="22"/>
          <w:szCs w:val="22"/>
        </w:rPr>
        <w:t xml:space="preserve"> and Public Health England monitoring tools provide invaluable data on dementia patterns (NHS Digital, 2023). These systems allow monitoring diagnosis rates, service </w:t>
      </w:r>
      <w:proofErr w:type="gramStart"/>
      <w:r w:rsidRPr="00794C74">
        <w:rPr>
          <w:rFonts w:ascii="Arial" w:hAnsi="Arial"/>
          <w:sz w:val="22"/>
          <w:szCs w:val="22"/>
        </w:rPr>
        <w:t>use</w:t>
      </w:r>
      <w:proofErr w:type="gramEnd"/>
      <w:r w:rsidRPr="00794C74">
        <w:rPr>
          <w:rFonts w:ascii="Arial" w:hAnsi="Arial"/>
          <w:sz w:val="22"/>
          <w:szCs w:val="22"/>
        </w:rPr>
        <w:t xml:space="preserve"> and health outcomes among the elderly population.</w:t>
      </w:r>
      <w:r w:rsidRPr="00794C74">
        <w:rPr>
          <w:rFonts w:ascii="Arial" w:hAnsi="Arial"/>
          <w:sz w:val="22"/>
          <w:szCs w:val="22"/>
        </w:rPr>
        <w:br/>
      </w:r>
      <w:r w:rsidRPr="00794C74">
        <w:rPr>
          <w:rFonts w:ascii="Arial" w:hAnsi="Arial"/>
          <w:sz w:val="22"/>
          <w:szCs w:val="22"/>
        </w:rPr>
        <w:tab/>
        <w:t xml:space="preserve">At the local level, Birmingham is using integrated care systems and public health dashboards </w:t>
      </w:r>
      <w:proofErr w:type="gramStart"/>
      <w:r w:rsidRPr="00794C74">
        <w:rPr>
          <w:rFonts w:ascii="Arial" w:hAnsi="Arial"/>
          <w:sz w:val="22"/>
          <w:szCs w:val="22"/>
        </w:rPr>
        <w:t>in order to</w:t>
      </w:r>
      <w:proofErr w:type="gramEnd"/>
      <w:r w:rsidRPr="00794C74">
        <w:rPr>
          <w:rFonts w:ascii="Arial" w:hAnsi="Arial"/>
          <w:sz w:val="22"/>
          <w:szCs w:val="22"/>
        </w:rPr>
        <w:t xml:space="preserve"> monitor disease trends and service delivery (Birmingham City Council, 2024). Monitoring data informs early identification trends and informs policy decisions, which are intended to improve health service delivery. However, challenges such as reporting gaps and late diagnosis, may impact data accuracy, especially in disadvantaged communities (Alzheimer’s Research UK, 2025).</w:t>
      </w:r>
    </w:p>
    <w:p w14:paraId="4A3CBA10"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lastRenderedPageBreak/>
        <w:t>6. Public Health Impact and Consequences</w:t>
      </w:r>
    </w:p>
    <w:p w14:paraId="16BAE237"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Dementia has significant consequences for individuals, families, and health care systems, both in the short and long term (WHO, 2023). Shortly after diagnosis, individuals experience cognitive difficulties, reduced independence, and increased requirements for medical treatment (NHS, 2024). Consequences over the long term include admission to a care institution, increased reliance on medical care, and high economic expenses, which are estimated to exceed £25 billion annually, in United Kingdom (Alzheimer’s Society, 2025).</w:t>
      </w:r>
    </w:p>
    <w:p w14:paraId="1A8508C3" w14:textId="44CF3ACB"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 xml:space="preserve">There is also a high social impact, as family members are often the unpaid primary caregivers, which leads to emotional and financial pressures (Age UK, 2025). In addition, dementia contributes to health inequalities, as people from disadvantaged groups may experience delayed diagnostic and limited access to care provision (Public Health England, 2021). An understanding of these effects is critical to developing effective public health </w:t>
      </w:r>
      <w:r w:rsidR="00523511" w:rsidRPr="00794C74">
        <w:rPr>
          <w:rFonts w:ascii="Arial" w:hAnsi="Arial"/>
          <w:sz w:val="22"/>
          <w:szCs w:val="22"/>
        </w:rPr>
        <w:t>strategies and</w:t>
      </w:r>
      <w:r w:rsidRPr="00794C74">
        <w:rPr>
          <w:rFonts w:ascii="Arial" w:hAnsi="Arial"/>
          <w:sz w:val="22"/>
          <w:szCs w:val="22"/>
        </w:rPr>
        <w:t xml:space="preserve"> ensuring that resources are properly allocated.</w:t>
      </w:r>
    </w:p>
    <w:p w14:paraId="7CADDDD4" w14:textId="77777777" w:rsidR="004279FF" w:rsidRPr="00794C74" w:rsidRDefault="004279FF" w:rsidP="00794C74">
      <w:pPr>
        <w:spacing w:line="360" w:lineRule="auto"/>
        <w:jc w:val="both"/>
        <w:rPr>
          <w:rFonts w:ascii="Arial" w:hAnsi="Arial"/>
          <w:sz w:val="22"/>
          <w:szCs w:val="22"/>
        </w:rPr>
      </w:pPr>
    </w:p>
    <w:p w14:paraId="352408AD"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7. Intervention Programs and Assessment</w:t>
      </w:r>
    </w:p>
    <w:p w14:paraId="426D95A9"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An effective dementia action program in Birmingham must employ a multi-level approach, focusing on prevention, early diagnosis, and long-term care (Department of Health, 2022). Community initiatives encouraging physical activity, healthy food choices, and cognitive stimulation, may reduce risk factors among the elderly population (WHO, 2023). The expansion of screening programs and dementia clinic services is necessary to improve early diagnosis, with a particular focus on vulnerable communities (NHS England, 2023).</w:t>
      </w:r>
    </w:p>
    <w:p w14:paraId="011352CF"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Integrated care models, which involve cooperation between healthcare providers, social services, and non-profit organisations, may improve patient outcomes and decrease admission rates in hospitals (Age UK, 2025). When evaluating interventions, it is important to consider factors, such as decreased incidence rates, improved life quality, and more accessible services. An analysis of costs and effectiveness is also essential, as studies suggest that prevention measures can save up to £4 billion in healthcare expenses (UCL, 2024).</w:t>
      </w:r>
    </w:p>
    <w:p w14:paraId="5D5C7D94" w14:textId="77777777" w:rsidR="004279FF" w:rsidRPr="00794C74" w:rsidRDefault="004279FF" w:rsidP="00794C74">
      <w:pPr>
        <w:spacing w:line="360" w:lineRule="auto"/>
        <w:jc w:val="both"/>
        <w:rPr>
          <w:rFonts w:ascii="Arial" w:hAnsi="Arial"/>
          <w:sz w:val="22"/>
          <w:szCs w:val="22"/>
        </w:rPr>
      </w:pPr>
    </w:p>
    <w:p w14:paraId="404A8151" w14:textId="77777777" w:rsidR="004279FF" w:rsidRPr="00794C74" w:rsidRDefault="004279FF" w:rsidP="00794C74">
      <w:pPr>
        <w:spacing w:before="57" w:after="57" w:line="360" w:lineRule="auto"/>
        <w:rPr>
          <w:rFonts w:ascii="Arial" w:hAnsi="Arial"/>
          <w:b/>
          <w:bCs/>
          <w:sz w:val="22"/>
          <w:szCs w:val="22"/>
        </w:rPr>
      </w:pPr>
      <w:r w:rsidRPr="00794C74">
        <w:rPr>
          <w:rFonts w:ascii="Arial" w:hAnsi="Arial"/>
          <w:b/>
          <w:bCs/>
          <w:sz w:val="22"/>
          <w:szCs w:val="22"/>
        </w:rPr>
        <w:t>8. Strengths and Limitations of the Epidemiological Approach</w:t>
      </w:r>
    </w:p>
    <w:p w14:paraId="054FCA9C" w14:textId="77777777" w:rsidR="004279FF" w:rsidRPr="00794C74" w:rsidRDefault="004279FF" w:rsidP="00794C74">
      <w:pPr>
        <w:spacing w:before="57" w:after="57" w:line="360" w:lineRule="auto"/>
        <w:jc w:val="both"/>
        <w:rPr>
          <w:rFonts w:ascii="Arial" w:hAnsi="Arial"/>
          <w:sz w:val="22"/>
          <w:szCs w:val="22"/>
        </w:rPr>
      </w:pPr>
      <w:r w:rsidRPr="00794C74">
        <w:rPr>
          <w:rFonts w:ascii="Arial" w:hAnsi="Arial"/>
          <w:sz w:val="22"/>
          <w:szCs w:val="22"/>
        </w:rPr>
        <w:tab/>
        <w:t>An epidemiological approach offers a structured framework to understand trends in a disease, to identify risk factors, and to support public health interventions (Friis and Sellers, 2021). It allows decisions to be made based on evidence, while supporting an efficient allocation of funds in healthcare systems. Furthermore, monitoring systems allow for continuous observation of the disease trends, allowing for a timely response to any arising issues (WHO, 2023).</w:t>
      </w:r>
    </w:p>
    <w:p w14:paraId="611C6F67" w14:textId="77777777" w:rsidR="004279FF" w:rsidRPr="00794C74" w:rsidRDefault="004279FF" w:rsidP="00794C74">
      <w:pPr>
        <w:spacing w:line="360" w:lineRule="auto"/>
        <w:jc w:val="both"/>
        <w:rPr>
          <w:rFonts w:ascii="Arial" w:hAnsi="Arial"/>
          <w:sz w:val="22"/>
          <w:szCs w:val="22"/>
        </w:rPr>
      </w:pPr>
      <w:r w:rsidRPr="00794C74">
        <w:rPr>
          <w:rFonts w:ascii="Arial" w:hAnsi="Arial"/>
          <w:sz w:val="22"/>
          <w:szCs w:val="22"/>
        </w:rPr>
        <w:tab/>
        <w:t xml:space="preserve">Nevertheless, there are shortcomings, especially in terms of data precision and coverage. For example, dementia is frequently not diagnosed properly, specifically in its early phases, which </w:t>
      </w:r>
      <w:r w:rsidRPr="00794C74">
        <w:rPr>
          <w:rFonts w:ascii="Arial" w:hAnsi="Arial"/>
          <w:sz w:val="22"/>
          <w:szCs w:val="22"/>
        </w:rPr>
        <w:lastRenderedPageBreak/>
        <w:t>leads to an inaccurate prevalence rate (Alzheimer’s Research UK, 2025). Moreover, epidemiological studies may not adequately capture all the social and cultural factors affecting behaviours related to health and access to healthcare (</w:t>
      </w:r>
      <w:r w:rsidRPr="00794C74">
        <w:rPr>
          <w:rFonts w:ascii="Arial" w:hAnsi="Arial"/>
          <w:sz w:val="22"/>
          <w:szCs w:val="22"/>
          <w:lang/>
        </w:rPr>
        <w:t xml:space="preserve">Nazroo </w:t>
      </w:r>
      <w:r w:rsidRPr="00794C74">
        <w:rPr>
          <w:rFonts w:ascii="Arial" w:hAnsi="Arial"/>
          <w:i/>
          <w:iCs/>
          <w:sz w:val="22"/>
          <w:szCs w:val="22"/>
          <w:lang/>
        </w:rPr>
        <w:t>et al</w:t>
      </w:r>
      <w:r w:rsidRPr="00794C74">
        <w:rPr>
          <w:rFonts w:ascii="Arial" w:hAnsi="Arial"/>
          <w:sz w:val="22"/>
          <w:szCs w:val="22"/>
          <w:lang/>
        </w:rPr>
        <w:t xml:space="preserve">., 2020). </w:t>
      </w:r>
      <w:r w:rsidRPr="00794C74">
        <w:rPr>
          <w:rFonts w:ascii="Arial" w:hAnsi="Arial"/>
          <w:sz w:val="22"/>
          <w:szCs w:val="22"/>
        </w:rPr>
        <w:t xml:space="preserve">These constraints highlight how important it is to combine data from quantitative studies and qualitative research, </w:t>
      </w:r>
      <w:proofErr w:type="gramStart"/>
      <w:r w:rsidRPr="00794C74">
        <w:rPr>
          <w:rFonts w:ascii="Arial" w:hAnsi="Arial"/>
          <w:sz w:val="22"/>
          <w:szCs w:val="22"/>
        </w:rPr>
        <w:t>in order to</w:t>
      </w:r>
      <w:proofErr w:type="gramEnd"/>
      <w:r w:rsidRPr="00794C74">
        <w:rPr>
          <w:rFonts w:ascii="Arial" w:hAnsi="Arial"/>
          <w:sz w:val="22"/>
          <w:szCs w:val="22"/>
        </w:rPr>
        <w:t xml:space="preserve"> develop a more comprehensive understanding about dementia, and its impact on </w:t>
      </w:r>
      <w:proofErr w:type="gramStart"/>
      <w:r w:rsidRPr="00794C74">
        <w:rPr>
          <w:rFonts w:ascii="Arial" w:hAnsi="Arial"/>
          <w:sz w:val="22"/>
          <w:szCs w:val="22"/>
        </w:rPr>
        <w:t>different groups</w:t>
      </w:r>
      <w:proofErr w:type="gramEnd"/>
      <w:r w:rsidRPr="00794C74">
        <w:rPr>
          <w:rFonts w:ascii="Arial" w:hAnsi="Arial"/>
          <w:sz w:val="22"/>
          <w:szCs w:val="22"/>
        </w:rPr>
        <w:t xml:space="preserve"> of people.</w:t>
      </w:r>
    </w:p>
    <w:p w14:paraId="1AEAAD1E" w14:textId="77777777" w:rsidR="004279FF" w:rsidRPr="00794C74" w:rsidRDefault="004279FF" w:rsidP="00794C74">
      <w:pPr>
        <w:spacing w:line="360" w:lineRule="auto"/>
        <w:jc w:val="both"/>
        <w:rPr>
          <w:rFonts w:ascii="Arial" w:hAnsi="Arial"/>
          <w:sz w:val="22"/>
          <w:szCs w:val="22"/>
        </w:rPr>
      </w:pPr>
    </w:p>
    <w:p w14:paraId="3800248D" w14:textId="77777777" w:rsidR="004279FF" w:rsidRPr="00794C74" w:rsidRDefault="004279FF" w:rsidP="00794C74">
      <w:pPr>
        <w:spacing w:line="360" w:lineRule="auto"/>
        <w:rPr>
          <w:rFonts w:ascii="Arial" w:hAnsi="Arial"/>
          <w:b/>
          <w:bCs/>
          <w:sz w:val="22"/>
          <w:szCs w:val="22"/>
        </w:rPr>
      </w:pPr>
      <w:r w:rsidRPr="00794C74">
        <w:rPr>
          <w:rFonts w:ascii="Arial" w:eastAsia="Arial" w:hAnsi="Arial"/>
          <w:b/>
          <w:bCs/>
          <w:sz w:val="22"/>
          <w:szCs w:val="22"/>
        </w:rPr>
        <w:t>9. Conclusion</w:t>
      </w:r>
    </w:p>
    <w:p w14:paraId="78870817" w14:textId="77777777" w:rsidR="004279FF" w:rsidRPr="00794C74" w:rsidRDefault="004279FF" w:rsidP="00794C74">
      <w:pPr>
        <w:spacing w:before="57" w:after="57" w:line="360" w:lineRule="auto"/>
        <w:jc w:val="both"/>
        <w:rPr>
          <w:rFonts w:ascii="Arial" w:hAnsi="Arial"/>
          <w:sz w:val="22"/>
          <w:szCs w:val="22"/>
        </w:rPr>
      </w:pPr>
      <w:r w:rsidRPr="00794C74">
        <w:rPr>
          <w:rFonts w:ascii="Arial" w:eastAsia="Arial" w:hAnsi="Arial"/>
          <w:sz w:val="22"/>
          <w:szCs w:val="22"/>
        </w:rPr>
        <w:tab/>
        <w:t>Dementia represents a significant, and increasing public health issue, with a high prevalence among elderly people in urban areas, such as Birmingham. Epidemiological research highlights how important it is to understand the disease patterns, risk factors, and socio-economic factors that influence health results. Prevention, protection, and promoting public health strategies, are essential to reduce morbidity and improve quality of life, for those suffering from this disease.</w:t>
      </w:r>
    </w:p>
    <w:p w14:paraId="6F4E5682" w14:textId="77777777" w:rsidR="004279FF" w:rsidRPr="00794C74" w:rsidRDefault="004279FF" w:rsidP="00794C74">
      <w:pPr>
        <w:spacing w:before="57" w:after="57" w:line="360" w:lineRule="auto"/>
        <w:jc w:val="both"/>
        <w:rPr>
          <w:rFonts w:ascii="Arial" w:hAnsi="Arial"/>
          <w:sz w:val="22"/>
          <w:szCs w:val="22"/>
        </w:rPr>
      </w:pPr>
      <w:r w:rsidRPr="00794C74">
        <w:rPr>
          <w:rFonts w:ascii="Arial" w:eastAsia="Arial" w:hAnsi="Arial"/>
          <w:sz w:val="22"/>
          <w:szCs w:val="22"/>
        </w:rPr>
        <w:tab/>
        <w:t xml:space="preserve">Monitoring systems and the assessment of health needs, play </w:t>
      </w:r>
      <w:proofErr w:type="gramStart"/>
      <w:r w:rsidRPr="00794C74">
        <w:rPr>
          <w:rFonts w:ascii="Arial" w:eastAsia="Arial" w:hAnsi="Arial"/>
          <w:sz w:val="22"/>
          <w:szCs w:val="22"/>
        </w:rPr>
        <w:t>a major role</w:t>
      </w:r>
      <w:proofErr w:type="gramEnd"/>
      <w:r w:rsidRPr="00794C74">
        <w:rPr>
          <w:rFonts w:ascii="Arial" w:eastAsia="Arial" w:hAnsi="Arial"/>
          <w:sz w:val="22"/>
          <w:szCs w:val="22"/>
        </w:rPr>
        <w:t xml:space="preserve"> in monitoring disease trends and support evidence-based policy decisions. However, issues related to data accuracy and undiagnosed cases must be addressed </w:t>
      </w:r>
      <w:proofErr w:type="gramStart"/>
      <w:r w:rsidRPr="00794C74">
        <w:rPr>
          <w:rFonts w:ascii="Arial" w:eastAsia="Arial" w:hAnsi="Arial"/>
          <w:sz w:val="22"/>
          <w:szCs w:val="22"/>
        </w:rPr>
        <w:t>in order to</w:t>
      </w:r>
      <w:proofErr w:type="gramEnd"/>
      <w:r w:rsidRPr="00794C74">
        <w:rPr>
          <w:rFonts w:ascii="Arial" w:eastAsia="Arial" w:hAnsi="Arial"/>
          <w:sz w:val="22"/>
          <w:szCs w:val="22"/>
        </w:rPr>
        <w:t xml:space="preserve"> improve the epidemiological effectiveness of these strategies. A comprehensive strategy is needed, combining medical interventions, social support, and public policies, to reduce the impact of dementia and improve health inequalities. Evidence-based interventions can improve health outcomes, decrease healthcare costs, and improve well-being among people living with dementia.</w:t>
      </w:r>
    </w:p>
    <w:p w14:paraId="2B59B8AE" w14:textId="77777777" w:rsidR="004279FF" w:rsidRDefault="004279FF" w:rsidP="004279FF">
      <w:pPr>
        <w:spacing w:before="57" w:after="57" w:line="360" w:lineRule="auto"/>
        <w:jc w:val="both"/>
        <w:rPr>
          <w:rFonts w:ascii="Arial" w:eastAsia="Arial" w:hAnsi="Arial"/>
          <w:sz w:val="22"/>
          <w:szCs w:val="22"/>
        </w:rPr>
      </w:pPr>
    </w:p>
    <w:p w14:paraId="2C0EC401" w14:textId="77777777" w:rsidR="004279FF" w:rsidRDefault="004279FF" w:rsidP="004279FF">
      <w:pPr>
        <w:spacing w:before="57" w:after="57" w:line="360" w:lineRule="auto"/>
        <w:jc w:val="both"/>
        <w:rPr>
          <w:rFonts w:ascii="Arial" w:eastAsia="Arial" w:hAnsi="Arial"/>
          <w:sz w:val="22"/>
          <w:szCs w:val="22"/>
        </w:rPr>
      </w:pPr>
    </w:p>
    <w:p w14:paraId="4D821734" w14:textId="77777777" w:rsidR="004279FF" w:rsidRDefault="004279FF" w:rsidP="004279FF">
      <w:pPr>
        <w:spacing w:before="57" w:after="57" w:line="360" w:lineRule="auto"/>
        <w:jc w:val="both"/>
        <w:rPr>
          <w:rFonts w:ascii="Arial" w:eastAsia="Arial" w:hAnsi="Arial"/>
          <w:sz w:val="22"/>
          <w:szCs w:val="22"/>
        </w:rPr>
      </w:pPr>
    </w:p>
    <w:p w14:paraId="12C1129D" w14:textId="77777777" w:rsidR="004279FF" w:rsidRDefault="004279FF" w:rsidP="004279FF">
      <w:pPr>
        <w:spacing w:before="57" w:after="57" w:line="360" w:lineRule="auto"/>
        <w:jc w:val="both"/>
        <w:rPr>
          <w:rFonts w:ascii="Arial" w:eastAsia="Arial" w:hAnsi="Arial"/>
          <w:sz w:val="22"/>
          <w:szCs w:val="22"/>
        </w:rPr>
      </w:pPr>
    </w:p>
    <w:p w14:paraId="13F3DA05" w14:textId="77777777" w:rsidR="004279FF" w:rsidRDefault="004279FF" w:rsidP="004279FF">
      <w:pPr>
        <w:spacing w:before="57" w:after="57" w:line="360" w:lineRule="auto"/>
        <w:jc w:val="both"/>
        <w:rPr>
          <w:rFonts w:ascii="Arial" w:eastAsia="Arial" w:hAnsi="Arial"/>
          <w:sz w:val="22"/>
          <w:szCs w:val="22"/>
        </w:rPr>
      </w:pPr>
    </w:p>
    <w:p w14:paraId="0CFFA226" w14:textId="77777777" w:rsidR="004279FF" w:rsidRDefault="004279FF" w:rsidP="004279FF">
      <w:pPr>
        <w:spacing w:before="57" w:after="57" w:line="360" w:lineRule="auto"/>
        <w:jc w:val="both"/>
        <w:rPr>
          <w:rFonts w:ascii="Arial" w:hAnsi="Arial"/>
          <w:sz w:val="22"/>
          <w:szCs w:val="22"/>
        </w:rPr>
      </w:pPr>
    </w:p>
    <w:p w14:paraId="45FC4559" w14:textId="77777777" w:rsidR="004279FF" w:rsidRDefault="004279FF" w:rsidP="004279FF">
      <w:pPr>
        <w:spacing w:before="57" w:after="57" w:line="360" w:lineRule="auto"/>
        <w:jc w:val="both"/>
        <w:rPr>
          <w:rFonts w:ascii="Arial" w:hAnsi="Arial"/>
          <w:sz w:val="22"/>
          <w:szCs w:val="22"/>
        </w:rPr>
      </w:pPr>
    </w:p>
    <w:p w14:paraId="79FD5459" w14:textId="77777777" w:rsidR="004279FF" w:rsidRDefault="004279FF" w:rsidP="004279FF">
      <w:pPr>
        <w:spacing w:before="57" w:after="57" w:line="360" w:lineRule="auto"/>
        <w:jc w:val="both"/>
        <w:rPr>
          <w:rFonts w:ascii="Arial" w:hAnsi="Arial"/>
          <w:sz w:val="22"/>
          <w:szCs w:val="22"/>
        </w:rPr>
      </w:pPr>
    </w:p>
    <w:p w14:paraId="0699E58D" w14:textId="77777777" w:rsidR="004279FF" w:rsidRDefault="004279FF" w:rsidP="004279FF">
      <w:pPr>
        <w:spacing w:before="57" w:after="57" w:line="360" w:lineRule="auto"/>
        <w:jc w:val="both"/>
        <w:rPr>
          <w:rFonts w:ascii="Arial" w:hAnsi="Arial"/>
          <w:sz w:val="22"/>
          <w:szCs w:val="22"/>
        </w:rPr>
      </w:pPr>
    </w:p>
    <w:p w14:paraId="59081894" w14:textId="77777777" w:rsidR="004279FF" w:rsidRDefault="004279FF" w:rsidP="004279FF">
      <w:pPr>
        <w:spacing w:before="57" w:after="57" w:line="360" w:lineRule="auto"/>
        <w:jc w:val="both"/>
        <w:rPr>
          <w:rFonts w:ascii="Arial" w:hAnsi="Arial"/>
          <w:sz w:val="22"/>
          <w:szCs w:val="22"/>
        </w:rPr>
      </w:pPr>
    </w:p>
    <w:p w14:paraId="26A3D51C" w14:textId="77777777" w:rsidR="004279FF" w:rsidRDefault="004279FF" w:rsidP="004279FF">
      <w:pPr>
        <w:spacing w:before="57" w:after="57" w:line="360" w:lineRule="auto"/>
        <w:jc w:val="both"/>
        <w:rPr>
          <w:rFonts w:ascii="Arial" w:hAnsi="Arial"/>
          <w:sz w:val="22"/>
          <w:szCs w:val="22"/>
        </w:rPr>
      </w:pPr>
    </w:p>
    <w:p w14:paraId="763369DC" w14:textId="77777777" w:rsidR="004279FF" w:rsidRDefault="004279FF" w:rsidP="004279FF">
      <w:pPr>
        <w:spacing w:before="57" w:after="57" w:line="360" w:lineRule="auto"/>
        <w:jc w:val="both"/>
        <w:rPr>
          <w:rFonts w:ascii="Arial" w:hAnsi="Arial"/>
          <w:sz w:val="22"/>
          <w:szCs w:val="22"/>
        </w:rPr>
      </w:pPr>
    </w:p>
    <w:p w14:paraId="17736B92" w14:textId="77777777" w:rsidR="00E378E0" w:rsidRDefault="00E378E0" w:rsidP="004279FF">
      <w:pPr>
        <w:spacing w:before="57" w:after="57" w:line="360" w:lineRule="auto"/>
        <w:jc w:val="both"/>
        <w:rPr>
          <w:rFonts w:ascii="Arial" w:hAnsi="Arial"/>
          <w:sz w:val="22"/>
          <w:szCs w:val="22"/>
        </w:rPr>
      </w:pPr>
    </w:p>
    <w:p w14:paraId="4EA3877E" w14:textId="77777777" w:rsidR="00B860DA" w:rsidRDefault="00B860DA" w:rsidP="004279FF">
      <w:pPr>
        <w:spacing w:before="57" w:after="57" w:line="360" w:lineRule="auto"/>
        <w:jc w:val="both"/>
        <w:rPr>
          <w:rFonts w:ascii="Arial" w:hAnsi="Arial"/>
          <w:b/>
          <w:bCs/>
          <w:sz w:val="22"/>
          <w:szCs w:val="22"/>
        </w:rPr>
      </w:pPr>
    </w:p>
    <w:p w14:paraId="685FFBD2" w14:textId="0E2F3627" w:rsidR="004279FF" w:rsidRDefault="004279FF" w:rsidP="00E378E0">
      <w:pPr>
        <w:spacing w:before="57" w:after="57" w:line="360" w:lineRule="auto"/>
        <w:jc w:val="center"/>
        <w:rPr>
          <w:rFonts w:ascii="Arial" w:hAnsi="Arial"/>
          <w:b/>
          <w:bCs/>
          <w:sz w:val="22"/>
          <w:szCs w:val="22"/>
        </w:rPr>
      </w:pPr>
      <w:r>
        <w:rPr>
          <w:rFonts w:ascii="Arial" w:hAnsi="Arial"/>
          <w:b/>
          <w:bCs/>
          <w:sz w:val="22"/>
          <w:szCs w:val="22"/>
        </w:rPr>
        <w:lastRenderedPageBreak/>
        <w:t>References</w:t>
      </w:r>
    </w:p>
    <w:p w14:paraId="7B19FD99" w14:textId="77777777" w:rsidR="00E378E0" w:rsidRDefault="00E378E0" w:rsidP="00E378E0">
      <w:pPr>
        <w:spacing w:before="57" w:after="57" w:line="360" w:lineRule="auto"/>
        <w:jc w:val="center"/>
        <w:rPr>
          <w:rFonts w:hint="eastAsia"/>
          <w:b/>
          <w:bCs/>
        </w:rPr>
      </w:pPr>
    </w:p>
    <w:p w14:paraId="454C8C24" w14:textId="47329D15" w:rsidR="004279FF" w:rsidRPr="00592AC2" w:rsidRDefault="004279FF" w:rsidP="00DD2B1E">
      <w:pPr>
        <w:spacing w:line="360" w:lineRule="auto"/>
        <w:rPr>
          <w:rFonts w:ascii="Arial" w:hAnsi="Arial"/>
          <w:sz w:val="22"/>
          <w:szCs w:val="22"/>
        </w:rPr>
      </w:pPr>
      <w:r w:rsidRPr="00592AC2">
        <w:rPr>
          <w:rFonts w:ascii="Arial" w:hAnsi="Arial"/>
          <w:sz w:val="22"/>
          <w:szCs w:val="22"/>
        </w:rPr>
        <w:t xml:space="preserve">Age UK (2023) </w:t>
      </w:r>
      <w:r w:rsidRPr="00592AC2">
        <w:rPr>
          <w:rStyle w:val="Emphasis"/>
          <w:rFonts w:ascii="Arial" w:hAnsi="Arial"/>
          <w:sz w:val="22"/>
          <w:szCs w:val="22"/>
        </w:rPr>
        <w:t>Later life in the United Kingdom 2023</w:t>
      </w:r>
      <w:r w:rsidRPr="00592AC2">
        <w:rPr>
          <w:rFonts w:ascii="Arial" w:hAnsi="Arial"/>
          <w:sz w:val="22"/>
          <w:szCs w:val="22"/>
        </w:rPr>
        <w:t xml:space="preserve">. Available at: </w:t>
      </w:r>
      <w:hyperlink r:id="rId5">
        <w:r w:rsidRPr="00592AC2">
          <w:rPr>
            <w:rStyle w:val="Hyperlink"/>
            <w:rFonts w:ascii="Arial" w:hAnsi="Arial"/>
            <w:sz w:val="22"/>
            <w:szCs w:val="22"/>
          </w:rPr>
          <w:t>https://www.ageuk.org.uk/globalassets/age-uk/documents/reports-and-publications/later-life-uk-factsheet.pdf</w:t>
        </w:r>
      </w:hyperlink>
      <w:r w:rsidRPr="00592AC2">
        <w:rPr>
          <w:rFonts w:ascii="Arial" w:hAnsi="Arial"/>
          <w:sz w:val="22"/>
          <w:szCs w:val="22"/>
        </w:rPr>
        <w:t xml:space="preserve">  (Accessed: 6 March 2026)</w:t>
      </w:r>
      <w:r w:rsidR="00A36A46">
        <w:rPr>
          <w:rFonts w:ascii="Arial" w:hAnsi="Arial"/>
          <w:sz w:val="22"/>
          <w:szCs w:val="22"/>
        </w:rPr>
        <w:t>.</w:t>
      </w:r>
    </w:p>
    <w:p w14:paraId="24A92DA7" w14:textId="12C914E0"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Age UK (2025) </w:t>
      </w:r>
      <w:r w:rsidRPr="00592AC2">
        <w:rPr>
          <w:rStyle w:val="Emphasis"/>
          <w:rFonts w:ascii="Arial" w:hAnsi="Arial"/>
          <w:sz w:val="22"/>
          <w:szCs w:val="22"/>
        </w:rPr>
        <w:t>State of health and care of older people in England 2025</w:t>
      </w:r>
      <w:r w:rsidRPr="00592AC2">
        <w:rPr>
          <w:rFonts w:ascii="Arial" w:hAnsi="Arial"/>
          <w:sz w:val="22"/>
          <w:szCs w:val="22"/>
        </w:rPr>
        <w:t xml:space="preserve">. Available at: </w:t>
      </w:r>
      <w:hyperlink r:id="rId6" w:tgtFrame="_new">
        <w:r w:rsidRPr="00592AC2">
          <w:rPr>
            <w:rStyle w:val="Hyperlink"/>
            <w:rFonts w:ascii="Arial" w:hAnsi="Arial"/>
            <w:sz w:val="22"/>
            <w:szCs w:val="22"/>
          </w:rPr>
          <w:t>https://www.ageuk.org.uk/siteassets/documents/reports-and-publications/reports-and-briefings/health--wellbeing/state-of-health-and-care/state-of-health-care-of-older-people-in-england-2025.pdf</w:t>
        </w:r>
      </w:hyperlink>
      <w:r w:rsidRPr="00592AC2">
        <w:rPr>
          <w:rFonts w:ascii="Arial" w:hAnsi="Arial"/>
          <w:sz w:val="22"/>
          <w:szCs w:val="22"/>
        </w:rPr>
        <w:t xml:space="preserve"> (Accessed: 12 March 2026)</w:t>
      </w:r>
      <w:r w:rsidR="00A36A46">
        <w:rPr>
          <w:rFonts w:ascii="Arial" w:hAnsi="Arial"/>
          <w:sz w:val="22"/>
          <w:szCs w:val="22"/>
        </w:rPr>
        <w:t>.</w:t>
      </w:r>
    </w:p>
    <w:p w14:paraId="09491AB7" w14:textId="1F3A1875"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Alzheimer’s Research UK (2025) </w:t>
      </w:r>
      <w:r w:rsidRPr="00592AC2">
        <w:rPr>
          <w:rStyle w:val="Emphasis"/>
          <w:rFonts w:ascii="Arial" w:hAnsi="Arial"/>
          <w:sz w:val="22"/>
          <w:szCs w:val="22"/>
        </w:rPr>
        <w:t>Dementia is still the UK’s biggest killer</w:t>
      </w:r>
      <w:r w:rsidRPr="00592AC2">
        <w:rPr>
          <w:rFonts w:ascii="Arial" w:hAnsi="Arial"/>
          <w:sz w:val="22"/>
          <w:szCs w:val="22"/>
        </w:rPr>
        <w:t xml:space="preserve">. Available at: </w:t>
      </w:r>
      <w:hyperlink r:id="rId7" w:tgtFrame="_new">
        <w:r w:rsidRPr="00592AC2">
          <w:rPr>
            <w:rStyle w:val="Hyperlink"/>
            <w:rFonts w:ascii="Arial" w:hAnsi="Arial"/>
            <w:sz w:val="22"/>
            <w:szCs w:val="22"/>
          </w:rPr>
          <w:t>https://www.alzheimersresearchuk.org/news/dementia-is-still-uks-biggest-killer-where-do-we-go-from-here/</w:t>
        </w:r>
      </w:hyperlink>
      <w:r w:rsidRPr="00592AC2">
        <w:rPr>
          <w:rFonts w:ascii="Arial" w:hAnsi="Arial"/>
          <w:sz w:val="22"/>
          <w:szCs w:val="22"/>
        </w:rPr>
        <w:t xml:space="preserve"> (Accessed: 13 March 2026)</w:t>
      </w:r>
      <w:r w:rsidR="00A36A46">
        <w:rPr>
          <w:rFonts w:ascii="Arial" w:hAnsi="Arial"/>
          <w:sz w:val="22"/>
          <w:szCs w:val="22"/>
        </w:rPr>
        <w:t>.</w:t>
      </w:r>
    </w:p>
    <w:p w14:paraId="5492970D" w14:textId="431F34D1"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Alzheimer’s Society (2025) </w:t>
      </w:r>
      <w:r w:rsidRPr="00592AC2">
        <w:rPr>
          <w:rStyle w:val="Emphasis"/>
          <w:rFonts w:ascii="Arial" w:hAnsi="Arial"/>
          <w:sz w:val="22"/>
          <w:szCs w:val="22"/>
        </w:rPr>
        <w:t>Dementia statistics</w:t>
      </w:r>
      <w:r w:rsidRPr="00592AC2">
        <w:rPr>
          <w:rFonts w:ascii="Arial" w:hAnsi="Arial"/>
          <w:sz w:val="22"/>
          <w:szCs w:val="22"/>
        </w:rPr>
        <w:t xml:space="preserve">. Available at: </w:t>
      </w:r>
      <w:hyperlink r:id="rId8" w:tgtFrame="_new">
        <w:r w:rsidRPr="00592AC2">
          <w:rPr>
            <w:rStyle w:val="Hyperlink"/>
            <w:rFonts w:ascii="Arial" w:hAnsi="Arial"/>
            <w:sz w:val="22"/>
            <w:szCs w:val="22"/>
          </w:rPr>
          <w:t>https://www.alzheimers.org.uk/what-we-do/news-and-media/facts-media</w:t>
        </w:r>
      </w:hyperlink>
      <w:r w:rsidRPr="00592AC2">
        <w:rPr>
          <w:rFonts w:ascii="Arial" w:hAnsi="Arial"/>
          <w:sz w:val="22"/>
          <w:szCs w:val="22"/>
        </w:rPr>
        <w:t xml:space="preserve"> (Accessed: 14 March 2026)</w:t>
      </w:r>
      <w:r w:rsidR="00A36A46">
        <w:rPr>
          <w:rFonts w:ascii="Arial" w:hAnsi="Arial"/>
          <w:sz w:val="22"/>
          <w:szCs w:val="22"/>
        </w:rPr>
        <w:t>.</w:t>
      </w:r>
    </w:p>
    <w:p w14:paraId="16B9ACE2" w14:textId="7A87B45C" w:rsidR="004279FF" w:rsidRPr="00592AC2" w:rsidRDefault="004279FF" w:rsidP="00DD2B1E">
      <w:pPr>
        <w:pStyle w:val="BodyText"/>
        <w:spacing w:line="360" w:lineRule="auto"/>
        <w:rPr>
          <w:rFonts w:ascii="Arial" w:hAnsi="Arial"/>
          <w:sz w:val="22"/>
          <w:szCs w:val="22"/>
        </w:rPr>
      </w:pPr>
      <w:r w:rsidRPr="00592AC2">
        <w:rPr>
          <w:rFonts w:ascii="Arial" w:hAnsi="Arial"/>
          <w:sz w:val="22"/>
          <w:szCs w:val="22"/>
        </w:rPr>
        <w:t xml:space="preserve">Birmingham City Council (2024) </w:t>
      </w:r>
      <w:r w:rsidRPr="00592AC2">
        <w:rPr>
          <w:rStyle w:val="Emphasis"/>
          <w:rFonts w:ascii="Arial" w:hAnsi="Arial"/>
          <w:sz w:val="22"/>
          <w:szCs w:val="22"/>
        </w:rPr>
        <w:t>Public health intelligence</w:t>
      </w:r>
      <w:r w:rsidRPr="00592AC2">
        <w:rPr>
          <w:rFonts w:ascii="Arial" w:hAnsi="Arial"/>
          <w:sz w:val="22"/>
          <w:szCs w:val="22"/>
        </w:rPr>
        <w:t xml:space="preserve">. Available at: </w:t>
      </w:r>
      <w:hyperlink r:id="rId9">
        <w:r w:rsidRPr="00592AC2">
          <w:rPr>
            <w:rStyle w:val="Hyperlink"/>
            <w:rFonts w:ascii="Arial" w:hAnsi="Arial"/>
            <w:sz w:val="22"/>
            <w:szCs w:val="22"/>
          </w:rPr>
          <w:t>https://www.birmingham.gov.uk/downloads/download/1664/public_health_intelligence</w:t>
        </w:r>
      </w:hyperlink>
      <w:r w:rsidRPr="00592AC2">
        <w:rPr>
          <w:rFonts w:ascii="Arial" w:hAnsi="Arial"/>
          <w:sz w:val="22"/>
          <w:szCs w:val="22"/>
        </w:rPr>
        <w:t xml:space="preserve"> Accessed: 15 March 2026)</w:t>
      </w:r>
      <w:r w:rsidR="00A36A46">
        <w:rPr>
          <w:rFonts w:ascii="Arial" w:hAnsi="Arial"/>
          <w:sz w:val="22"/>
          <w:szCs w:val="22"/>
        </w:rPr>
        <w:t>.</w:t>
      </w:r>
    </w:p>
    <w:p w14:paraId="6C2A27CD" w14:textId="766ACEAD"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Department for Work and Pensions (2023) </w:t>
      </w:r>
      <w:r w:rsidRPr="00592AC2">
        <w:rPr>
          <w:rStyle w:val="Emphasis"/>
          <w:rFonts w:ascii="Arial" w:hAnsi="Arial"/>
          <w:sz w:val="22"/>
          <w:szCs w:val="22"/>
        </w:rPr>
        <w:t>Households below average income: statistics on poverty and income inequality</w:t>
      </w:r>
      <w:r w:rsidRPr="00592AC2">
        <w:rPr>
          <w:rFonts w:ascii="Arial" w:hAnsi="Arial"/>
          <w:sz w:val="22"/>
          <w:szCs w:val="22"/>
        </w:rPr>
        <w:t xml:space="preserve">. Available at: </w:t>
      </w:r>
      <w:hyperlink r:id="rId10">
        <w:r w:rsidRPr="00592AC2">
          <w:rPr>
            <w:rStyle w:val="Hyperlink"/>
            <w:rFonts w:ascii="Arial" w:hAnsi="Arial"/>
            <w:sz w:val="22"/>
            <w:szCs w:val="22"/>
          </w:rPr>
          <w:t>https://www.gov.uk/government/statistics/households-below-average-income</w:t>
        </w:r>
      </w:hyperlink>
      <w:hyperlink>
        <w:r w:rsidRPr="00592AC2">
          <w:rPr>
            <w:rFonts w:ascii="Arial" w:hAnsi="Arial"/>
            <w:sz w:val="22"/>
            <w:szCs w:val="22"/>
          </w:rPr>
          <w:t xml:space="preserve">  (Accessed: 7 March 2026)</w:t>
        </w:r>
      </w:hyperlink>
      <w:r w:rsidR="00A36A46">
        <w:rPr>
          <w:rFonts w:ascii="Arial" w:hAnsi="Arial"/>
          <w:sz w:val="22"/>
          <w:szCs w:val="22"/>
        </w:rPr>
        <w:t>.</w:t>
      </w:r>
    </w:p>
    <w:p w14:paraId="2845CB2D" w14:textId="7FFF0B8B"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Department of Health and Social Care (2022) </w:t>
      </w:r>
      <w:r w:rsidRPr="00592AC2">
        <w:rPr>
          <w:rStyle w:val="Emphasis"/>
          <w:rFonts w:ascii="Arial" w:hAnsi="Arial"/>
          <w:sz w:val="22"/>
          <w:szCs w:val="22"/>
        </w:rPr>
        <w:t>Dementia: applying All Our Health</w:t>
      </w:r>
      <w:r w:rsidRPr="00592AC2">
        <w:rPr>
          <w:rFonts w:ascii="Arial" w:hAnsi="Arial"/>
          <w:sz w:val="22"/>
          <w:szCs w:val="22"/>
        </w:rPr>
        <w:t xml:space="preserve">. Available at: </w:t>
      </w:r>
      <w:hyperlink r:id="rId11" w:tgtFrame="_new">
        <w:r w:rsidRPr="00592AC2">
          <w:rPr>
            <w:rStyle w:val="Hyperlink"/>
            <w:rFonts w:ascii="Arial" w:hAnsi="Arial"/>
            <w:sz w:val="22"/>
            <w:szCs w:val="22"/>
          </w:rPr>
          <w:t>https://www.gov.uk/government/publications/dementia-applying-all-our-health</w:t>
        </w:r>
      </w:hyperlink>
      <w:r w:rsidRPr="00592AC2">
        <w:rPr>
          <w:rFonts w:ascii="Arial" w:hAnsi="Arial"/>
          <w:sz w:val="22"/>
          <w:szCs w:val="22"/>
        </w:rPr>
        <w:t xml:space="preserve"> (Accessed: 11 March 2026)</w:t>
      </w:r>
      <w:r w:rsidR="00A36A46">
        <w:rPr>
          <w:rFonts w:ascii="Arial" w:hAnsi="Arial"/>
          <w:sz w:val="22"/>
          <w:szCs w:val="22"/>
        </w:rPr>
        <w:t>.</w:t>
      </w:r>
    </w:p>
    <w:p w14:paraId="18903FD0" w14:textId="54A95A6E" w:rsidR="004279FF" w:rsidRPr="00A36A46" w:rsidRDefault="004279FF" w:rsidP="00DD2B1E">
      <w:pPr>
        <w:pStyle w:val="BodyText"/>
        <w:spacing w:after="0" w:line="360" w:lineRule="auto"/>
        <w:rPr>
          <w:rFonts w:ascii="Arial" w:hAnsi="Arial"/>
          <w:sz w:val="22"/>
          <w:szCs w:val="22"/>
        </w:rPr>
      </w:pPr>
      <w:r w:rsidRPr="00592AC2">
        <w:rPr>
          <w:rFonts w:ascii="Arial" w:hAnsi="Arial"/>
          <w:sz w:val="22"/>
          <w:szCs w:val="22"/>
        </w:rPr>
        <w:t xml:space="preserve">Dementia UK (2024) </w:t>
      </w:r>
      <w:r w:rsidRPr="00592AC2">
        <w:rPr>
          <w:rStyle w:val="Emphasis"/>
          <w:rFonts w:ascii="Arial" w:hAnsi="Arial"/>
          <w:sz w:val="22"/>
          <w:szCs w:val="22"/>
        </w:rPr>
        <w:t>Causes and risk factors of dementia</w:t>
      </w:r>
      <w:r w:rsidRPr="00592AC2">
        <w:rPr>
          <w:rFonts w:ascii="Arial" w:hAnsi="Arial"/>
          <w:sz w:val="22"/>
          <w:szCs w:val="22"/>
        </w:rPr>
        <w:t xml:space="preserve">. Available at: </w:t>
      </w:r>
      <w:hyperlink r:id="rId12" w:tgtFrame="_new">
        <w:r w:rsidRPr="00592AC2">
          <w:rPr>
            <w:rStyle w:val="Hyperlink"/>
            <w:rFonts w:ascii="Arial" w:hAnsi="Arial"/>
            <w:sz w:val="22"/>
            <w:szCs w:val="22"/>
          </w:rPr>
          <w:t>https://www.dementiauk.org/information-and-support/about-dementia/causes-and-risk-factors/</w:t>
        </w:r>
      </w:hyperlink>
      <w:r w:rsidRPr="00592AC2">
        <w:rPr>
          <w:rFonts w:ascii="Arial" w:hAnsi="Arial"/>
          <w:sz w:val="22"/>
          <w:szCs w:val="22"/>
        </w:rPr>
        <w:t xml:space="preserve"> </w:t>
      </w:r>
      <w:r w:rsidRPr="00592AC2">
        <w:rPr>
          <w:rFonts w:ascii="Arial" w:hAnsi="Arial"/>
          <w:sz w:val="22"/>
          <w:szCs w:val="22"/>
          <w:lang/>
        </w:rPr>
        <w:t>(Accessed: 16 March 2026)</w:t>
      </w:r>
      <w:r w:rsidR="00A36A46">
        <w:rPr>
          <w:rFonts w:ascii="Arial" w:hAnsi="Arial"/>
          <w:sz w:val="22"/>
          <w:szCs w:val="22"/>
          <w:lang/>
        </w:rPr>
        <w:t>.</w:t>
      </w:r>
    </w:p>
    <w:p w14:paraId="70ECC675" w14:textId="6B631F01" w:rsidR="004279FF" w:rsidRPr="00A36A46"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Evandrou, M., Falkingham, J. and Feng, Z. (2021) </w:t>
      </w:r>
      <w:r w:rsidRPr="00592AC2">
        <w:rPr>
          <w:rStyle w:val="Emphasis"/>
          <w:rFonts w:ascii="Arial" w:hAnsi="Arial"/>
          <w:sz w:val="22"/>
          <w:szCs w:val="22"/>
          <w:lang/>
        </w:rPr>
        <w:t>Ethnic inequalities in later life in the UK</w:t>
      </w:r>
      <w:r w:rsidRPr="00592AC2">
        <w:rPr>
          <w:rFonts w:ascii="Arial" w:hAnsi="Arial"/>
          <w:sz w:val="22"/>
          <w:szCs w:val="22"/>
          <w:lang/>
        </w:rPr>
        <w:t xml:space="preserve">. Centre for Research on Ageing, University of Southampton. Available at: </w:t>
      </w:r>
      <w:hyperlink r:id="rId13" w:tgtFrame="_new">
        <w:r w:rsidRPr="00592AC2">
          <w:rPr>
            <w:rStyle w:val="Hyperlink"/>
            <w:rFonts w:ascii="Arial" w:hAnsi="Arial"/>
            <w:sz w:val="22"/>
            <w:szCs w:val="22"/>
          </w:rPr>
          <w:t>https://www.ageing.ox.ac.uk/publications</w:t>
        </w:r>
      </w:hyperlink>
      <w:r w:rsidRPr="00592AC2">
        <w:rPr>
          <w:rFonts w:ascii="Arial" w:hAnsi="Arial"/>
          <w:sz w:val="22"/>
          <w:szCs w:val="22"/>
          <w:lang/>
        </w:rPr>
        <w:t xml:space="preserve"> (Accessed: 8 March 2026)</w:t>
      </w:r>
      <w:r w:rsidR="00A36A46">
        <w:rPr>
          <w:rFonts w:ascii="Arial" w:hAnsi="Arial"/>
          <w:sz w:val="22"/>
          <w:szCs w:val="22"/>
          <w:lang/>
        </w:rPr>
        <w:t>.</w:t>
      </w:r>
    </w:p>
    <w:p w14:paraId="468663AD" w14:textId="51D4CA56" w:rsidR="004279FF" w:rsidRPr="00A36A46"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Friis, R.H. and Sellers, T.A. (2021) </w:t>
      </w:r>
      <w:r w:rsidRPr="00592AC2">
        <w:rPr>
          <w:rStyle w:val="Emphasis"/>
          <w:rFonts w:ascii="Arial" w:hAnsi="Arial"/>
          <w:sz w:val="22"/>
          <w:szCs w:val="22"/>
          <w:lang/>
        </w:rPr>
        <w:t>Epidemiology for public health practice</w:t>
      </w:r>
      <w:r w:rsidRPr="00592AC2">
        <w:rPr>
          <w:rFonts w:ascii="Arial" w:hAnsi="Arial"/>
          <w:sz w:val="22"/>
          <w:szCs w:val="22"/>
          <w:lang/>
        </w:rPr>
        <w:t>. 6th edn. Burlington: Jones &amp; Bartlett (pp. 3-450)</w:t>
      </w:r>
      <w:r w:rsidR="00A36A46">
        <w:rPr>
          <w:rFonts w:ascii="Arial" w:hAnsi="Arial"/>
          <w:sz w:val="22"/>
          <w:szCs w:val="22"/>
          <w:lang/>
        </w:rPr>
        <w:t>.</w:t>
      </w:r>
    </w:p>
    <w:p w14:paraId="2CAAB05A" w14:textId="43EBAAAC"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Marmot, M., Allen, J., Boyce, T., Goldblatt, P. and Morrison, J. (2020) </w:t>
      </w:r>
      <w:r w:rsidRPr="00592AC2">
        <w:rPr>
          <w:rStyle w:val="Emphasis"/>
          <w:rFonts w:ascii="Arial" w:hAnsi="Arial"/>
          <w:sz w:val="22"/>
          <w:szCs w:val="22"/>
          <w:lang/>
        </w:rPr>
        <w:t>Health equity in England: The Marmot Review 10 years on</w:t>
      </w:r>
      <w:r w:rsidRPr="00592AC2">
        <w:rPr>
          <w:rFonts w:ascii="Arial" w:hAnsi="Arial"/>
          <w:sz w:val="22"/>
          <w:szCs w:val="22"/>
          <w:lang/>
        </w:rPr>
        <w:t xml:space="preserve">. London: The Health Foundation. Available at: </w:t>
      </w:r>
      <w:hyperlink r:id="rId14">
        <w:r w:rsidRPr="00592AC2">
          <w:rPr>
            <w:rStyle w:val="Hyperlink"/>
            <w:rFonts w:ascii="Arial" w:hAnsi="Arial"/>
            <w:sz w:val="22"/>
            <w:szCs w:val="22"/>
          </w:rPr>
          <w:t>https://www.health.org.uk/publications/reports/the-marmot-review-10-years-on</w:t>
        </w:r>
      </w:hyperlink>
      <w:hyperlink>
        <w:r w:rsidRPr="00592AC2">
          <w:rPr>
            <w:rFonts w:ascii="Arial" w:hAnsi="Arial"/>
            <w:sz w:val="22"/>
            <w:szCs w:val="22"/>
            <w:lang/>
          </w:rPr>
          <w:t xml:space="preserve">  (Accessed: 5 March 2026)</w:t>
        </w:r>
      </w:hyperlink>
      <w:r w:rsidR="004D291F">
        <w:rPr>
          <w:rFonts w:ascii="Arial" w:hAnsi="Arial"/>
          <w:sz w:val="22"/>
          <w:szCs w:val="22"/>
        </w:rPr>
        <w:t>.</w:t>
      </w:r>
    </w:p>
    <w:p w14:paraId="2B3C31A2" w14:textId="7CC2455B" w:rsidR="004279FF" w:rsidRPr="004D291F" w:rsidRDefault="004279FF" w:rsidP="00DD2B1E">
      <w:pPr>
        <w:pStyle w:val="BodyText"/>
        <w:spacing w:after="0" w:line="360" w:lineRule="auto"/>
        <w:rPr>
          <w:rFonts w:ascii="Arial" w:hAnsi="Arial"/>
          <w:sz w:val="22"/>
          <w:szCs w:val="22"/>
        </w:rPr>
      </w:pPr>
      <w:r w:rsidRPr="00592AC2">
        <w:rPr>
          <w:rFonts w:ascii="Arial" w:hAnsi="Arial"/>
          <w:sz w:val="22"/>
          <w:szCs w:val="22"/>
          <w:lang/>
        </w:rPr>
        <w:lastRenderedPageBreak/>
        <w:t xml:space="preserve">Nazroo, J., Bécares, L. and Stafford, M. (2020) Ethnic inequalities in health and ageing, </w:t>
      </w:r>
      <w:r w:rsidRPr="00592AC2">
        <w:rPr>
          <w:rStyle w:val="Emphasis"/>
          <w:rFonts w:ascii="Arial" w:hAnsi="Arial"/>
          <w:sz w:val="22"/>
          <w:szCs w:val="22"/>
          <w:lang/>
        </w:rPr>
        <w:t>The Lancet Public Health</w:t>
      </w:r>
      <w:r w:rsidRPr="00592AC2">
        <w:rPr>
          <w:rFonts w:ascii="Arial" w:hAnsi="Arial"/>
          <w:sz w:val="22"/>
          <w:szCs w:val="22"/>
          <w:lang/>
        </w:rPr>
        <w:t xml:space="preserve">, 5(3). Available at: </w:t>
      </w:r>
      <w:hyperlink r:id="rId15">
        <w:r w:rsidRPr="00592AC2">
          <w:rPr>
            <w:rStyle w:val="Hyperlink"/>
            <w:rFonts w:ascii="Arial" w:hAnsi="Arial"/>
            <w:sz w:val="22"/>
            <w:szCs w:val="22"/>
          </w:rPr>
          <w:t>https://www.thelancet.com/journals/lanpub/article/PIIS2468-2667(20)30026-0/fulltext</w:t>
        </w:r>
      </w:hyperlink>
      <w:r w:rsidRPr="00592AC2">
        <w:rPr>
          <w:rFonts w:ascii="Arial" w:hAnsi="Arial"/>
          <w:sz w:val="22"/>
          <w:szCs w:val="22"/>
          <w:lang/>
        </w:rPr>
        <w:t xml:space="preserve">    (Accessed: 9 March 2026)</w:t>
      </w:r>
      <w:r w:rsidR="004D291F">
        <w:rPr>
          <w:rFonts w:ascii="Arial" w:hAnsi="Arial"/>
          <w:sz w:val="22"/>
          <w:szCs w:val="22"/>
          <w:lang/>
        </w:rPr>
        <w:t>.</w:t>
      </w:r>
    </w:p>
    <w:p w14:paraId="3F48CB86" w14:textId="2339D58D" w:rsidR="004279FF" w:rsidRPr="004D291F"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Digital (2022) </w:t>
      </w:r>
      <w:r w:rsidRPr="00592AC2">
        <w:rPr>
          <w:rStyle w:val="Emphasis"/>
          <w:rFonts w:ascii="Arial" w:hAnsi="Arial"/>
          <w:sz w:val="22"/>
          <w:szCs w:val="22"/>
          <w:lang/>
        </w:rPr>
        <w:t>Mental health of older adults in England: prevalence and outcomes</w:t>
      </w:r>
      <w:r w:rsidRPr="00592AC2">
        <w:rPr>
          <w:rFonts w:ascii="Arial" w:hAnsi="Arial"/>
          <w:sz w:val="22"/>
          <w:szCs w:val="22"/>
          <w:lang/>
        </w:rPr>
        <w:t xml:space="preserve">. Available at: </w:t>
      </w:r>
      <w:hyperlink r:id="rId16" w:tgtFrame="_new">
        <w:r w:rsidRPr="00592AC2">
          <w:rPr>
            <w:rStyle w:val="Hyperlink"/>
            <w:rFonts w:ascii="Arial" w:hAnsi="Arial"/>
            <w:sz w:val="22"/>
            <w:szCs w:val="22"/>
          </w:rPr>
          <w:t>https://digital.nhs.uk/data-and-information</w:t>
        </w:r>
      </w:hyperlink>
      <w:r w:rsidRPr="00592AC2">
        <w:rPr>
          <w:rFonts w:ascii="Arial" w:hAnsi="Arial"/>
          <w:sz w:val="22"/>
          <w:szCs w:val="22"/>
          <w:lang/>
        </w:rPr>
        <w:t xml:space="preserve"> (Accessed: 6 March 2026)</w:t>
      </w:r>
      <w:r w:rsidR="004D291F">
        <w:rPr>
          <w:rFonts w:ascii="Arial" w:hAnsi="Arial"/>
          <w:sz w:val="22"/>
          <w:szCs w:val="22"/>
          <w:lang/>
        </w:rPr>
        <w:t>.</w:t>
      </w:r>
    </w:p>
    <w:p w14:paraId="66B4ABF1" w14:textId="3F866E14" w:rsidR="004279FF" w:rsidRPr="004D291F"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England (2019) </w:t>
      </w:r>
      <w:r w:rsidRPr="00592AC2">
        <w:rPr>
          <w:rStyle w:val="Emphasis"/>
          <w:rFonts w:ascii="Arial" w:hAnsi="Arial"/>
          <w:sz w:val="22"/>
          <w:szCs w:val="22"/>
          <w:lang/>
        </w:rPr>
        <w:t>The NHS Long Term Plan</w:t>
      </w:r>
      <w:r w:rsidRPr="00592AC2">
        <w:rPr>
          <w:rFonts w:ascii="Arial" w:hAnsi="Arial"/>
          <w:sz w:val="22"/>
          <w:szCs w:val="22"/>
          <w:lang/>
        </w:rPr>
        <w:t xml:space="preserve">. Available at: </w:t>
      </w:r>
      <w:hyperlink r:id="rId17" w:tgtFrame="_new">
        <w:r w:rsidRPr="00592AC2">
          <w:rPr>
            <w:rStyle w:val="Hyperlink"/>
            <w:rFonts w:ascii="Arial" w:hAnsi="Arial"/>
            <w:sz w:val="22"/>
            <w:szCs w:val="22"/>
          </w:rPr>
          <w:t>https://www.longtermplan.nhs.uk</w:t>
        </w:r>
      </w:hyperlink>
      <w:r w:rsidRPr="00592AC2">
        <w:rPr>
          <w:rFonts w:ascii="Arial" w:hAnsi="Arial"/>
          <w:sz w:val="22"/>
          <w:szCs w:val="22"/>
          <w:lang/>
        </w:rPr>
        <w:t xml:space="preserve"> (Accessed: 5 March 2026)</w:t>
      </w:r>
      <w:r w:rsidR="004D291F">
        <w:rPr>
          <w:rFonts w:ascii="Arial" w:hAnsi="Arial"/>
          <w:sz w:val="22"/>
          <w:szCs w:val="22"/>
          <w:lang/>
        </w:rPr>
        <w:t>.</w:t>
      </w:r>
    </w:p>
    <w:p w14:paraId="3C353BB4" w14:textId="36E30D6A"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England (2022) </w:t>
      </w:r>
      <w:r w:rsidRPr="00592AC2">
        <w:rPr>
          <w:rStyle w:val="Emphasis"/>
          <w:rFonts w:ascii="Arial" w:hAnsi="Arial"/>
          <w:sz w:val="22"/>
          <w:szCs w:val="22"/>
          <w:lang/>
        </w:rPr>
        <w:t>Health inequalities improvement programme</w:t>
      </w:r>
      <w:r w:rsidRPr="00592AC2">
        <w:rPr>
          <w:rFonts w:ascii="Arial" w:hAnsi="Arial"/>
          <w:sz w:val="22"/>
          <w:szCs w:val="22"/>
          <w:lang/>
        </w:rPr>
        <w:t xml:space="preserve">. Available at: </w:t>
      </w:r>
      <w:hyperlink r:id="rId18">
        <w:r w:rsidRPr="00592AC2">
          <w:rPr>
            <w:rStyle w:val="Hyperlink"/>
            <w:rFonts w:ascii="Arial" w:hAnsi="Arial"/>
            <w:sz w:val="22"/>
            <w:szCs w:val="22"/>
          </w:rPr>
          <w:t>https://www.england.nhs.uk/about/equality/health-inequalities</w:t>
        </w:r>
      </w:hyperlink>
      <w:hyperlink>
        <w:r w:rsidRPr="00592AC2">
          <w:rPr>
            <w:rFonts w:ascii="Arial" w:hAnsi="Arial"/>
            <w:sz w:val="22"/>
            <w:szCs w:val="22"/>
            <w:lang/>
          </w:rPr>
          <w:t xml:space="preserve">  (Accessed: 7 March 2026)</w:t>
        </w:r>
      </w:hyperlink>
      <w:r w:rsidR="004D291F">
        <w:rPr>
          <w:rFonts w:ascii="Arial" w:hAnsi="Arial"/>
          <w:sz w:val="22"/>
          <w:szCs w:val="22"/>
        </w:rPr>
        <w:t>.</w:t>
      </w:r>
    </w:p>
    <w:p w14:paraId="61404B98" w14:textId="31AF8DE3" w:rsidR="004279FF" w:rsidRPr="004D291F"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(2024) </w:t>
      </w:r>
      <w:r w:rsidRPr="00592AC2">
        <w:rPr>
          <w:rStyle w:val="Emphasis"/>
          <w:rFonts w:ascii="Arial" w:hAnsi="Arial"/>
          <w:sz w:val="22"/>
          <w:szCs w:val="22"/>
          <w:lang/>
        </w:rPr>
        <w:t>What is dementia?</w:t>
      </w:r>
      <w:r w:rsidRPr="00592AC2">
        <w:rPr>
          <w:rFonts w:ascii="Arial" w:hAnsi="Arial"/>
          <w:sz w:val="22"/>
          <w:szCs w:val="22"/>
          <w:lang/>
        </w:rPr>
        <w:t xml:space="preserve">. Available at: </w:t>
      </w:r>
      <w:hyperlink r:id="rId19" w:tgtFrame="_new">
        <w:r w:rsidRPr="00592AC2">
          <w:rPr>
            <w:rStyle w:val="Hyperlink"/>
            <w:rFonts w:ascii="Arial" w:hAnsi="Arial"/>
            <w:sz w:val="22"/>
            <w:szCs w:val="22"/>
          </w:rPr>
          <w:t>https://www.nhs.uk/conditions/dementia/about-dementia/what-is-dementia/</w:t>
        </w:r>
      </w:hyperlink>
      <w:r w:rsidRPr="00592AC2">
        <w:rPr>
          <w:rFonts w:ascii="Arial" w:hAnsi="Arial"/>
          <w:sz w:val="22"/>
          <w:szCs w:val="22"/>
          <w:lang/>
        </w:rPr>
        <w:t xml:space="preserve"> (Accessed: 12 March 2026)</w:t>
      </w:r>
      <w:r w:rsidR="004D291F">
        <w:rPr>
          <w:rFonts w:ascii="Arial" w:hAnsi="Arial"/>
          <w:sz w:val="22"/>
          <w:szCs w:val="22"/>
          <w:lang/>
        </w:rPr>
        <w:t>.</w:t>
      </w:r>
    </w:p>
    <w:p w14:paraId="7AA0F2F0" w14:textId="75C21514"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Digital (2023) </w:t>
      </w:r>
      <w:r w:rsidRPr="00592AC2">
        <w:rPr>
          <w:rStyle w:val="Emphasis"/>
          <w:rFonts w:ascii="Arial" w:hAnsi="Arial"/>
          <w:sz w:val="22"/>
          <w:szCs w:val="22"/>
          <w:lang/>
        </w:rPr>
        <w:t>Dementia data and statistics</w:t>
      </w:r>
      <w:r w:rsidRPr="00592AC2">
        <w:rPr>
          <w:rFonts w:ascii="Arial" w:hAnsi="Arial"/>
          <w:sz w:val="22"/>
          <w:szCs w:val="22"/>
          <w:lang/>
        </w:rPr>
        <w:t xml:space="preserve">. Available at: </w:t>
      </w:r>
      <w:hyperlink r:id="rId20">
        <w:r w:rsidRPr="00592AC2">
          <w:rPr>
            <w:rStyle w:val="Hyperlink"/>
            <w:rFonts w:ascii="Arial" w:hAnsi="Arial"/>
            <w:sz w:val="22"/>
            <w:szCs w:val="22"/>
          </w:rPr>
          <w:t>https://digital.nhs.uk/data-and-information/data-tools-and-services/data-services/general-practice-data-for-planning-and-research/dementia</w:t>
        </w:r>
      </w:hyperlink>
      <w:hyperlink>
        <w:r w:rsidRPr="00592AC2">
          <w:rPr>
            <w:rFonts w:ascii="Arial" w:hAnsi="Arial"/>
            <w:sz w:val="22"/>
            <w:szCs w:val="22"/>
            <w:lang/>
          </w:rPr>
          <w:t xml:space="preserve">   (Accessed: 13 March 2026)</w:t>
        </w:r>
      </w:hyperlink>
      <w:r w:rsidR="004D291F">
        <w:rPr>
          <w:rFonts w:ascii="Arial" w:hAnsi="Arial"/>
          <w:sz w:val="22"/>
          <w:szCs w:val="22"/>
        </w:rPr>
        <w:t>.</w:t>
      </w:r>
    </w:p>
    <w:p w14:paraId="0B94D089" w14:textId="574E6694" w:rsidR="004279FF" w:rsidRPr="004D291F"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NHS England (2023) </w:t>
      </w:r>
      <w:r w:rsidRPr="00592AC2">
        <w:rPr>
          <w:rStyle w:val="Emphasis"/>
          <w:rFonts w:ascii="Arial" w:hAnsi="Arial"/>
          <w:sz w:val="22"/>
          <w:szCs w:val="22"/>
          <w:lang/>
        </w:rPr>
        <w:t>Dementia care pathways</w:t>
      </w:r>
      <w:r w:rsidRPr="00592AC2">
        <w:rPr>
          <w:rFonts w:ascii="Arial" w:hAnsi="Arial"/>
          <w:sz w:val="22"/>
          <w:szCs w:val="22"/>
          <w:lang/>
        </w:rPr>
        <w:t xml:space="preserve">. Available at: </w:t>
      </w:r>
      <w:hyperlink r:id="rId21" w:tgtFrame="_new">
        <w:r w:rsidRPr="00592AC2">
          <w:rPr>
            <w:rStyle w:val="Hyperlink"/>
            <w:rFonts w:ascii="Arial" w:hAnsi="Arial"/>
            <w:sz w:val="22"/>
            <w:szCs w:val="22"/>
          </w:rPr>
          <w:t>https://www.england.nhs.uk/mental-health/dementia/</w:t>
        </w:r>
      </w:hyperlink>
      <w:r w:rsidRPr="00592AC2">
        <w:rPr>
          <w:rFonts w:ascii="Arial" w:hAnsi="Arial"/>
          <w:sz w:val="22"/>
          <w:szCs w:val="22"/>
          <w:lang/>
        </w:rPr>
        <w:t xml:space="preserve">  (Accessed: 14 March 2026)</w:t>
      </w:r>
      <w:r w:rsidR="004D291F">
        <w:rPr>
          <w:rFonts w:ascii="Arial" w:hAnsi="Arial"/>
          <w:sz w:val="22"/>
          <w:szCs w:val="22"/>
          <w:lang/>
        </w:rPr>
        <w:t>.</w:t>
      </w:r>
    </w:p>
    <w:p w14:paraId="6710C83F" w14:textId="6B8618BA" w:rsidR="004279FF" w:rsidRPr="00DD2B1E"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Office for National Statistics (2023) </w:t>
      </w:r>
      <w:r w:rsidRPr="00592AC2">
        <w:rPr>
          <w:rStyle w:val="Emphasis"/>
          <w:rFonts w:ascii="Arial" w:hAnsi="Arial"/>
          <w:sz w:val="22"/>
          <w:szCs w:val="22"/>
          <w:lang/>
        </w:rPr>
        <w:t>Health state life expectancy in the UK: 2018–2020</w:t>
      </w:r>
      <w:r w:rsidRPr="00592AC2">
        <w:rPr>
          <w:rFonts w:ascii="Arial" w:hAnsi="Arial"/>
          <w:sz w:val="22"/>
          <w:szCs w:val="22"/>
          <w:lang/>
        </w:rPr>
        <w:t xml:space="preserve">. Available at: </w:t>
      </w:r>
      <w:hyperlink r:id="rId22" w:tgtFrame="_new">
        <w:r w:rsidRPr="00592AC2">
          <w:rPr>
            <w:rStyle w:val="Hyperlink"/>
            <w:rFonts w:ascii="Arial" w:hAnsi="Arial"/>
            <w:sz w:val="22"/>
            <w:szCs w:val="22"/>
          </w:rPr>
          <w:t>https://www.ons.gov.uk/peoplepopulationandcommunity/healthandsocialcare</w:t>
        </w:r>
      </w:hyperlink>
      <w:r w:rsidRPr="00592AC2">
        <w:rPr>
          <w:rFonts w:ascii="Arial" w:hAnsi="Arial"/>
          <w:sz w:val="22"/>
          <w:szCs w:val="22"/>
          <w:lang/>
        </w:rPr>
        <w:t xml:space="preserve"> (Accessed: 8 March 2026)</w:t>
      </w:r>
      <w:r w:rsidR="00DD2B1E">
        <w:rPr>
          <w:rFonts w:ascii="Arial" w:hAnsi="Arial"/>
          <w:sz w:val="22"/>
          <w:szCs w:val="22"/>
          <w:lang/>
        </w:rPr>
        <w:t>.</w:t>
      </w:r>
    </w:p>
    <w:p w14:paraId="09DF06BC" w14:textId="3D0DD919"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Public Health England (2021) </w:t>
      </w:r>
      <w:r w:rsidRPr="00592AC2">
        <w:rPr>
          <w:rStyle w:val="Emphasis"/>
          <w:rFonts w:ascii="Arial" w:hAnsi="Arial"/>
          <w:sz w:val="22"/>
          <w:szCs w:val="22"/>
          <w:lang/>
        </w:rPr>
        <w:t>Health inequalities: ethnic disparities in health outcomes</w:t>
      </w:r>
      <w:r w:rsidRPr="00592AC2">
        <w:rPr>
          <w:rFonts w:ascii="Arial" w:hAnsi="Arial"/>
          <w:sz w:val="22"/>
          <w:szCs w:val="22"/>
          <w:lang/>
        </w:rPr>
        <w:t xml:space="preserve">. Available at: </w:t>
      </w:r>
      <w:hyperlink r:id="rId23">
        <w:r w:rsidRPr="00592AC2">
          <w:rPr>
            <w:rStyle w:val="Hyperlink"/>
            <w:rFonts w:ascii="Arial" w:hAnsi="Arial"/>
            <w:sz w:val="22"/>
            <w:szCs w:val="22"/>
          </w:rPr>
          <w:t>https://www.gov.uk/government/publications/health-inequalities</w:t>
        </w:r>
      </w:hyperlink>
      <w:hyperlink>
        <w:r w:rsidRPr="00592AC2">
          <w:rPr>
            <w:rFonts w:ascii="Arial" w:hAnsi="Arial"/>
            <w:sz w:val="22"/>
            <w:szCs w:val="22"/>
            <w:lang/>
          </w:rPr>
          <w:t xml:space="preserve">  (Accessed: 6 March 2026)</w:t>
        </w:r>
      </w:hyperlink>
      <w:r w:rsidR="004D291F">
        <w:rPr>
          <w:rFonts w:ascii="Arial" w:hAnsi="Arial"/>
          <w:sz w:val="22"/>
          <w:szCs w:val="22"/>
        </w:rPr>
        <w:t>.</w:t>
      </w:r>
    </w:p>
    <w:p w14:paraId="6D4AE3B8" w14:textId="78021297"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Public Health England (2021) </w:t>
      </w:r>
      <w:r w:rsidRPr="00592AC2">
        <w:rPr>
          <w:rStyle w:val="Emphasis"/>
          <w:rFonts w:ascii="Arial" w:hAnsi="Arial"/>
          <w:sz w:val="22"/>
          <w:szCs w:val="22"/>
          <w:lang/>
        </w:rPr>
        <w:t>Health matters: dementia prevention</w:t>
      </w:r>
      <w:r w:rsidRPr="00592AC2">
        <w:rPr>
          <w:rFonts w:ascii="Arial" w:hAnsi="Arial"/>
          <w:sz w:val="22"/>
          <w:szCs w:val="22"/>
          <w:lang/>
        </w:rPr>
        <w:t xml:space="preserve">. Available at: </w:t>
      </w:r>
      <w:hyperlink r:id="rId24" w:tgtFrame="_new">
        <w:r w:rsidRPr="00592AC2">
          <w:rPr>
            <w:rStyle w:val="Hyperlink"/>
            <w:rFonts w:ascii="Arial" w:hAnsi="Arial"/>
            <w:sz w:val="22"/>
            <w:szCs w:val="22"/>
          </w:rPr>
          <w:t>https://www.gov.uk/government/publications/health-matters-midlife-approaches-to-reduce-dementia-risk</w:t>
        </w:r>
      </w:hyperlink>
      <w:r w:rsidRPr="00592AC2">
        <w:rPr>
          <w:rFonts w:ascii="Arial" w:hAnsi="Arial"/>
          <w:sz w:val="22"/>
          <w:szCs w:val="22"/>
          <w:lang/>
        </w:rPr>
        <w:t xml:space="preserve">   (Accessed: 16 March 2026)</w:t>
      </w:r>
      <w:r w:rsidR="00DD2B1E">
        <w:rPr>
          <w:rFonts w:ascii="Arial" w:hAnsi="Arial"/>
          <w:sz w:val="22"/>
          <w:szCs w:val="22"/>
          <w:lang/>
        </w:rPr>
        <w:t>.</w:t>
      </w:r>
      <w:r w:rsidRPr="00592AC2">
        <w:rPr>
          <w:rFonts w:ascii="Arial" w:hAnsi="Arial"/>
          <w:sz w:val="22"/>
          <w:szCs w:val="22"/>
          <w:lang/>
        </w:rPr>
        <w:t xml:space="preserve">                                                                                                                                              UCL (2024) </w:t>
      </w:r>
      <w:r w:rsidRPr="00592AC2">
        <w:rPr>
          <w:rStyle w:val="Emphasis"/>
          <w:rFonts w:ascii="Arial" w:hAnsi="Arial"/>
          <w:sz w:val="22"/>
          <w:szCs w:val="22"/>
          <w:lang/>
        </w:rPr>
        <w:t>Public health measures reduce dementia risk</w:t>
      </w:r>
      <w:r w:rsidRPr="00592AC2">
        <w:rPr>
          <w:rFonts w:ascii="Arial" w:hAnsi="Arial"/>
          <w:sz w:val="22"/>
          <w:szCs w:val="22"/>
          <w:lang/>
        </w:rPr>
        <w:t xml:space="preserve">. Available at: </w:t>
      </w:r>
      <w:hyperlink r:id="rId25" w:tgtFrame="_new">
        <w:r w:rsidRPr="00592AC2">
          <w:rPr>
            <w:rStyle w:val="Hyperlink"/>
            <w:rFonts w:ascii="Arial" w:hAnsi="Arial"/>
            <w:sz w:val="22"/>
            <w:szCs w:val="22"/>
          </w:rPr>
          <w:t>https://www.ucl.ac.uk/news/2024/jul/public-health-measures-reduce-dementia-risk-could-save-ps4bn</w:t>
        </w:r>
      </w:hyperlink>
      <w:r w:rsidRPr="00592AC2">
        <w:rPr>
          <w:rFonts w:ascii="Arial" w:hAnsi="Arial"/>
          <w:sz w:val="22"/>
          <w:szCs w:val="22"/>
          <w:lang/>
        </w:rPr>
        <w:t xml:space="preserve"> (Accessed: 18 March 2026).</w:t>
      </w:r>
    </w:p>
    <w:p w14:paraId="6D0EEF5F" w14:textId="3E14D2F1"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UK Health Security Agency (2023) </w:t>
      </w:r>
      <w:r w:rsidRPr="00592AC2">
        <w:rPr>
          <w:rStyle w:val="Emphasis"/>
          <w:rFonts w:ascii="Arial" w:hAnsi="Arial"/>
          <w:sz w:val="22"/>
          <w:szCs w:val="22"/>
          <w:lang/>
        </w:rPr>
        <w:t>Health disparities in England: the Black Report revisited</w:t>
      </w:r>
      <w:r w:rsidRPr="00592AC2">
        <w:rPr>
          <w:rFonts w:ascii="Arial" w:hAnsi="Arial"/>
          <w:sz w:val="22"/>
          <w:szCs w:val="22"/>
          <w:lang/>
        </w:rPr>
        <w:t xml:space="preserve">. Available at: </w:t>
      </w:r>
      <w:hyperlink r:id="rId26">
        <w:r w:rsidRPr="00592AC2">
          <w:rPr>
            <w:rStyle w:val="Hyperlink"/>
            <w:rFonts w:ascii="Arial" w:hAnsi="Arial"/>
            <w:sz w:val="22"/>
            <w:szCs w:val="22"/>
          </w:rPr>
          <w:t>https://www.gov.uk/government/publications/health-disparities-in-england</w:t>
        </w:r>
      </w:hyperlink>
      <w:hyperlink>
        <w:r w:rsidRPr="00592AC2">
          <w:rPr>
            <w:rFonts w:ascii="Arial" w:hAnsi="Arial"/>
            <w:sz w:val="22"/>
            <w:szCs w:val="22"/>
            <w:lang/>
          </w:rPr>
          <w:t xml:space="preserve">  (Accessed: 9 March 2026)</w:t>
        </w:r>
      </w:hyperlink>
      <w:r w:rsidR="006C53F3" w:rsidRPr="00592AC2">
        <w:rPr>
          <w:rFonts w:ascii="Arial" w:hAnsi="Arial"/>
          <w:sz w:val="22"/>
          <w:szCs w:val="22"/>
        </w:rPr>
        <w:t>.</w:t>
      </w:r>
    </w:p>
    <w:p w14:paraId="7101EE25" w14:textId="243307A0" w:rsidR="004279FF" w:rsidRPr="00592AC2" w:rsidRDefault="004279FF" w:rsidP="00DD2B1E">
      <w:pPr>
        <w:pStyle w:val="BodyText"/>
        <w:spacing w:after="0" w:line="360" w:lineRule="auto"/>
        <w:rPr>
          <w:rFonts w:ascii="Arial" w:hAnsi="Arial"/>
          <w:sz w:val="22"/>
          <w:szCs w:val="22"/>
        </w:rPr>
      </w:pPr>
      <w:r w:rsidRPr="00592AC2">
        <w:rPr>
          <w:rFonts w:ascii="Arial" w:hAnsi="Arial"/>
          <w:sz w:val="22"/>
          <w:szCs w:val="22"/>
          <w:lang/>
        </w:rPr>
        <w:t xml:space="preserve">World Health Organization (2023) </w:t>
      </w:r>
      <w:r w:rsidRPr="00592AC2">
        <w:rPr>
          <w:rStyle w:val="Emphasis"/>
          <w:rFonts w:ascii="Arial" w:hAnsi="Arial"/>
          <w:sz w:val="22"/>
          <w:szCs w:val="22"/>
          <w:lang/>
        </w:rPr>
        <w:t>Social determinants of health</w:t>
      </w:r>
      <w:r w:rsidRPr="00592AC2">
        <w:rPr>
          <w:rFonts w:ascii="Arial" w:hAnsi="Arial"/>
          <w:sz w:val="22"/>
          <w:szCs w:val="22"/>
          <w:lang/>
        </w:rPr>
        <w:t xml:space="preserve">. Available at: </w:t>
      </w:r>
      <w:hyperlink r:id="rId27" w:tgtFrame="_new">
        <w:r w:rsidRPr="00592AC2">
          <w:rPr>
            <w:rStyle w:val="Hyperlink"/>
            <w:rFonts w:ascii="Arial" w:hAnsi="Arial"/>
            <w:sz w:val="22"/>
            <w:szCs w:val="22"/>
          </w:rPr>
          <w:t>https://www.who.int/health-topics/social-determinants-of-health</w:t>
        </w:r>
      </w:hyperlink>
      <w:r w:rsidRPr="00592AC2">
        <w:rPr>
          <w:rFonts w:ascii="Arial" w:hAnsi="Arial"/>
          <w:sz w:val="22"/>
          <w:szCs w:val="22"/>
          <w:lang/>
        </w:rPr>
        <w:t xml:space="preserve"> (Accessed: 10 March 2026)</w:t>
      </w:r>
      <w:r w:rsidR="006C53F3" w:rsidRPr="00592AC2">
        <w:rPr>
          <w:rFonts w:ascii="Arial" w:hAnsi="Arial"/>
          <w:sz w:val="22"/>
          <w:szCs w:val="22"/>
          <w:lang/>
        </w:rPr>
        <w:t>.</w:t>
      </w:r>
    </w:p>
    <w:p w14:paraId="296C27CA" w14:textId="77777777" w:rsidR="00A31D3C" w:rsidRDefault="00A31D3C" w:rsidP="00EA6522">
      <w:pPr>
        <w:spacing w:before="57" w:after="57" w:line="360" w:lineRule="auto"/>
        <w:rPr>
          <w:rFonts w:ascii="Arial" w:hAnsi="Arial"/>
          <w:sz w:val="22"/>
          <w:szCs w:val="22"/>
          <w:lang/>
        </w:rPr>
      </w:pPr>
    </w:p>
    <w:p w14:paraId="690E7FF6" w14:textId="2BD870CD" w:rsidR="00EA6522" w:rsidRDefault="004279FF" w:rsidP="00EA6522">
      <w:pPr>
        <w:spacing w:before="57" w:after="57" w:line="360" w:lineRule="auto"/>
        <w:rPr>
          <w:rFonts w:ascii="Arial" w:hAnsi="Arial"/>
          <w:sz w:val="22"/>
          <w:szCs w:val="22"/>
          <w:lang/>
        </w:rPr>
      </w:pPr>
      <w:r w:rsidRPr="00592AC2">
        <w:rPr>
          <w:rFonts w:ascii="Arial" w:hAnsi="Arial"/>
          <w:sz w:val="22"/>
          <w:szCs w:val="22"/>
          <w:lang/>
        </w:rPr>
        <w:lastRenderedPageBreak/>
        <w:t xml:space="preserve">World Health Organization (2023) </w:t>
      </w:r>
      <w:r w:rsidRPr="00592AC2">
        <w:rPr>
          <w:rStyle w:val="Emphasis"/>
          <w:rFonts w:ascii="Arial" w:hAnsi="Arial"/>
          <w:sz w:val="22"/>
          <w:szCs w:val="22"/>
          <w:lang/>
        </w:rPr>
        <w:t>Global status report on dementia</w:t>
      </w:r>
      <w:r w:rsidRPr="00592AC2">
        <w:rPr>
          <w:rFonts w:ascii="Arial" w:hAnsi="Arial"/>
          <w:sz w:val="22"/>
          <w:szCs w:val="22"/>
          <w:lang/>
        </w:rPr>
        <w:t xml:space="preserve">. Available at: </w:t>
      </w:r>
      <w:hyperlink r:id="rId28" w:tgtFrame="_new">
        <w:r w:rsidRPr="00592AC2">
          <w:rPr>
            <w:rStyle w:val="Hyperlink"/>
            <w:rFonts w:ascii="Arial" w:hAnsi="Arial"/>
            <w:sz w:val="22"/>
            <w:szCs w:val="22"/>
          </w:rPr>
          <w:t>https://iris.who.int/server/api/core/bitstreams/8fc586d7-b864-42eb-9274-95462496b328/content</w:t>
        </w:r>
      </w:hyperlink>
      <w:r w:rsidRPr="00592AC2">
        <w:rPr>
          <w:rFonts w:ascii="Arial" w:hAnsi="Arial"/>
          <w:sz w:val="22"/>
          <w:szCs w:val="22"/>
          <w:lang/>
        </w:rPr>
        <w:t xml:space="preserve"> (Accessed: 19 March 2026)</w:t>
      </w:r>
      <w:r w:rsidRPr="00592AC2">
        <w:rPr>
          <w:rFonts w:ascii="Arial" w:hAnsi="Arial"/>
          <w:sz w:val="22"/>
          <w:szCs w:val="22"/>
          <w:lang/>
        </w:rPr>
        <w:t>.</w:t>
      </w:r>
      <w:r w:rsidR="00651C2B">
        <w:rPr>
          <w:rFonts w:ascii="Arial" w:hAnsi="Arial"/>
          <w:sz w:val="22"/>
          <w:szCs w:val="22"/>
          <w:lang/>
        </w:rPr>
        <w:t xml:space="preserve"> </w:t>
      </w:r>
    </w:p>
    <w:p w14:paraId="0E9590AF" w14:textId="2A4B8855" w:rsidR="00EA6522" w:rsidRPr="00EA6522" w:rsidRDefault="00EA6522" w:rsidP="00EA6522">
      <w:pPr>
        <w:spacing w:before="57" w:after="57" w:line="360" w:lineRule="auto"/>
        <w:rPr>
          <w:rFonts w:ascii="Arial" w:hAnsi="Arial"/>
          <w:sz w:val="22"/>
          <w:szCs w:val="22"/>
          <w:lang/>
        </w:rPr>
      </w:pPr>
      <w:r w:rsidRPr="00EA6522">
        <w:rPr>
          <w:rFonts w:ascii="Arial" w:hAnsi="Arial"/>
          <w:sz w:val="22"/>
          <w:szCs w:val="22"/>
          <w:lang/>
        </w:rPr>
        <w:t>World Health Organization (2024). </w:t>
      </w:r>
      <w:r w:rsidRPr="00EA6522">
        <w:rPr>
          <w:rFonts w:ascii="Arial" w:hAnsi="Arial"/>
          <w:i/>
          <w:iCs/>
          <w:sz w:val="22"/>
          <w:szCs w:val="22"/>
          <w:lang/>
        </w:rPr>
        <w:t>Ageing and health</w:t>
      </w:r>
      <w:r w:rsidRPr="00EA6522">
        <w:rPr>
          <w:rFonts w:ascii="Arial" w:hAnsi="Arial"/>
          <w:sz w:val="22"/>
          <w:szCs w:val="22"/>
          <w:lang/>
        </w:rPr>
        <w:t xml:space="preserve">. World Health Organization. Available at: </w:t>
      </w:r>
      <w:hyperlink r:id="rId29" w:history="1">
        <w:r w:rsidR="00807D6A" w:rsidRPr="00C47AA1">
          <w:rPr>
            <w:rStyle w:val="Hyperlink"/>
            <w:rFonts w:ascii="Arial" w:hAnsi="Arial"/>
            <w:sz w:val="22"/>
            <w:szCs w:val="22"/>
            <w:lang w:val="en-GB"/>
          </w:rPr>
          <w:t>https://www.who.int/news-room/fact-sheets/detail/ageing-and-health</w:t>
        </w:r>
      </w:hyperlink>
      <w:r w:rsidRPr="00EA6522">
        <w:rPr>
          <w:rFonts w:ascii="Arial" w:hAnsi="Arial"/>
          <w:sz w:val="22"/>
          <w:szCs w:val="22"/>
          <w:lang/>
        </w:rPr>
        <w:t>.</w:t>
      </w:r>
      <w:r w:rsidR="00807D6A">
        <w:rPr>
          <w:rFonts w:ascii="Arial" w:hAnsi="Arial"/>
          <w:sz w:val="22"/>
          <w:szCs w:val="22"/>
          <w:lang/>
        </w:rPr>
        <w:t xml:space="preserve"> (21 Mar. 2026).</w:t>
      </w:r>
    </w:p>
    <w:p w14:paraId="1ADC30FD" w14:textId="77777777" w:rsidR="00EA6522" w:rsidRPr="00EA6522" w:rsidRDefault="00EA6522" w:rsidP="00EA6522">
      <w:pPr>
        <w:spacing w:before="57" w:after="57" w:line="360" w:lineRule="auto"/>
        <w:rPr>
          <w:rFonts w:ascii="Arial" w:hAnsi="Arial"/>
          <w:sz w:val="22"/>
          <w:szCs w:val="22"/>
          <w:lang/>
        </w:rPr>
      </w:pPr>
      <w:r w:rsidRPr="00EA6522">
        <w:rPr>
          <w:rFonts w:ascii="Arial" w:hAnsi="Arial"/>
          <w:sz w:val="22"/>
          <w:szCs w:val="22"/>
          <w:lang/>
        </w:rPr>
        <w:t>‌</w:t>
      </w:r>
    </w:p>
    <w:p w14:paraId="7219EB2A" w14:textId="0C502238" w:rsidR="004279FF" w:rsidRDefault="004279FF" w:rsidP="00DD2B1E">
      <w:pPr>
        <w:spacing w:before="57" w:after="57" w:line="360" w:lineRule="auto"/>
        <w:rPr>
          <w:rFonts w:ascii="Arial" w:hAnsi="Arial"/>
          <w:sz w:val="22"/>
          <w:szCs w:val="22"/>
          <w:lang/>
        </w:rPr>
      </w:pPr>
    </w:p>
    <w:p w14:paraId="4B823236" w14:textId="77777777" w:rsidR="00651C2B" w:rsidRPr="00592AC2" w:rsidRDefault="00651C2B" w:rsidP="00DD2B1E">
      <w:pPr>
        <w:spacing w:before="57" w:after="57" w:line="360" w:lineRule="auto"/>
        <w:rPr>
          <w:rFonts w:ascii="Arial" w:hAnsi="Arial"/>
          <w:sz w:val="22"/>
          <w:szCs w:val="22"/>
        </w:rPr>
      </w:pPr>
    </w:p>
    <w:sectPr w:rsidR="00651C2B" w:rsidRPr="00592AC2" w:rsidSect="004279FF">
      <w:footerReference w:type="default" r:id="rId30"/>
      <w:pgSz w:w="11906" w:h="16838"/>
      <w:pgMar w:top="1134" w:right="1134" w:bottom="1694" w:left="1134" w:header="0" w:footer="1134"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0712C" w14:textId="77777777" w:rsidR="004279FF" w:rsidRDefault="004279FF">
    <w:pPr>
      <w:pStyle w:val="Footer"/>
      <w:rPr>
        <w:rFonts w:hint="eastAsia"/>
      </w:rPr>
    </w:pPr>
    <w:r>
      <w:tab/>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rPr>
      <w:t>12</w:t>
    </w:r>
    <w:r>
      <w:rPr>
        <w:rFonts w:ascii="Arial" w:hAnsi="Arial"/>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42ECC"/>
    <w:rsid w:val="00107C78"/>
    <w:rsid w:val="001254F6"/>
    <w:rsid w:val="002738BA"/>
    <w:rsid w:val="002869A6"/>
    <w:rsid w:val="002B5BEE"/>
    <w:rsid w:val="002E5BD4"/>
    <w:rsid w:val="004279FF"/>
    <w:rsid w:val="004531BE"/>
    <w:rsid w:val="0047704E"/>
    <w:rsid w:val="00494AAB"/>
    <w:rsid w:val="004D291F"/>
    <w:rsid w:val="00515525"/>
    <w:rsid w:val="00523511"/>
    <w:rsid w:val="00542ECC"/>
    <w:rsid w:val="00592AC2"/>
    <w:rsid w:val="005B60B4"/>
    <w:rsid w:val="00651C2B"/>
    <w:rsid w:val="006C53F3"/>
    <w:rsid w:val="006E03CB"/>
    <w:rsid w:val="00794C74"/>
    <w:rsid w:val="00807D6A"/>
    <w:rsid w:val="00826E28"/>
    <w:rsid w:val="00836C5B"/>
    <w:rsid w:val="0084597E"/>
    <w:rsid w:val="008510A2"/>
    <w:rsid w:val="008954AE"/>
    <w:rsid w:val="00897F32"/>
    <w:rsid w:val="008B628F"/>
    <w:rsid w:val="00914B6C"/>
    <w:rsid w:val="00A31D3C"/>
    <w:rsid w:val="00A3549C"/>
    <w:rsid w:val="00A36A46"/>
    <w:rsid w:val="00A7361F"/>
    <w:rsid w:val="00A85E21"/>
    <w:rsid w:val="00B71F32"/>
    <w:rsid w:val="00B73BF3"/>
    <w:rsid w:val="00B860DA"/>
    <w:rsid w:val="00BC4A71"/>
    <w:rsid w:val="00C22C6B"/>
    <w:rsid w:val="00D10C53"/>
    <w:rsid w:val="00D13032"/>
    <w:rsid w:val="00DD2B1E"/>
    <w:rsid w:val="00E20C2F"/>
    <w:rsid w:val="00E343F0"/>
    <w:rsid w:val="00E34AC6"/>
    <w:rsid w:val="00E378E0"/>
    <w:rsid w:val="00EA6522"/>
    <w:rsid w:val="00EB6982"/>
    <w:rsid w:val="00FA6FD5"/>
    <w:rsid w:val="00FC2A0C"/>
    <w:rsid w:val="00FC3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8DBC4"/>
  <w15:chartTrackingRefBased/>
  <w15:docId w15:val="{3C00A4EB-9159-4CD1-8E68-FFDA63CF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9FF"/>
    <w:pPr>
      <w:suppressAutoHyphens/>
      <w:spacing w:after="0" w:line="240" w:lineRule="auto"/>
    </w:pPr>
    <w:rPr>
      <w:rFonts w:ascii="Liberation Serif" w:eastAsia="NSimSun" w:hAnsi="Liberation Serif" w:cs="Arial"/>
      <w:sz w:val="24"/>
      <w:szCs w:val="24"/>
      <w:lang w:eastAsia="zh-CN" w:bidi="hi-IN"/>
    </w:rPr>
  </w:style>
  <w:style w:type="paragraph" w:styleId="Heading1">
    <w:name w:val="heading 1"/>
    <w:basedOn w:val="Normal"/>
    <w:next w:val="Normal"/>
    <w:link w:val="Heading1Char"/>
    <w:uiPriority w:val="9"/>
    <w:qFormat/>
    <w:rsid w:val="00542E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2E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2E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2E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2E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2EC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EC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EC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EC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E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2E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2EC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2EC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2EC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2E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E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E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ECC"/>
    <w:rPr>
      <w:rFonts w:eastAsiaTheme="majorEastAsia" w:cstheme="majorBidi"/>
      <w:color w:val="272727" w:themeColor="text1" w:themeTint="D8"/>
    </w:rPr>
  </w:style>
  <w:style w:type="paragraph" w:styleId="Title">
    <w:name w:val="Title"/>
    <w:basedOn w:val="Normal"/>
    <w:next w:val="Normal"/>
    <w:link w:val="TitleChar"/>
    <w:uiPriority w:val="10"/>
    <w:qFormat/>
    <w:rsid w:val="00542EC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E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E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E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ECC"/>
    <w:pPr>
      <w:spacing w:before="160"/>
      <w:jc w:val="center"/>
    </w:pPr>
    <w:rPr>
      <w:i/>
      <w:iCs/>
      <w:color w:val="404040" w:themeColor="text1" w:themeTint="BF"/>
    </w:rPr>
  </w:style>
  <w:style w:type="character" w:customStyle="1" w:styleId="QuoteChar">
    <w:name w:val="Quote Char"/>
    <w:basedOn w:val="DefaultParagraphFont"/>
    <w:link w:val="Quote"/>
    <w:uiPriority w:val="29"/>
    <w:rsid w:val="00542ECC"/>
    <w:rPr>
      <w:i/>
      <w:iCs/>
      <w:color w:val="404040" w:themeColor="text1" w:themeTint="BF"/>
    </w:rPr>
  </w:style>
  <w:style w:type="paragraph" w:styleId="ListParagraph">
    <w:name w:val="List Paragraph"/>
    <w:basedOn w:val="Normal"/>
    <w:uiPriority w:val="34"/>
    <w:qFormat/>
    <w:rsid w:val="00542ECC"/>
    <w:pPr>
      <w:ind w:left="720"/>
      <w:contextualSpacing/>
    </w:pPr>
  </w:style>
  <w:style w:type="character" w:styleId="IntenseEmphasis">
    <w:name w:val="Intense Emphasis"/>
    <w:basedOn w:val="DefaultParagraphFont"/>
    <w:uiPriority w:val="21"/>
    <w:qFormat/>
    <w:rsid w:val="00542ECC"/>
    <w:rPr>
      <w:i/>
      <w:iCs/>
      <w:color w:val="2F5496" w:themeColor="accent1" w:themeShade="BF"/>
    </w:rPr>
  </w:style>
  <w:style w:type="paragraph" w:styleId="IntenseQuote">
    <w:name w:val="Intense Quote"/>
    <w:basedOn w:val="Normal"/>
    <w:next w:val="Normal"/>
    <w:link w:val="IntenseQuoteChar"/>
    <w:uiPriority w:val="30"/>
    <w:qFormat/>
    <w:rsid w:val="00542E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2ECC"/>
    <w:rPr>
      <w:i/>
      <w:iCs/>
      <w:color w:val="2F5496" w:themeColor="accent1" w:themeShade="BF"/>
    </w:rPr>
  </w:style>
  <w:style w:type="character" w:styleId="IntenseReference">
    <w:name w:val="Intense Reference"/>
    <w:basedOn w:val="DefaultParagraphFont"/>
    <w:uiPriority w:val="32"/>
    <w:qFormat/>
    <w:rsid w:val="00542ECC"/>
    <w:rPr>
      <w:b/>
      <w:bCs/>
      <w:smallCaps/>
      <w:color w:val="2F5496" w:themeColor="accent1" w:themeShade="BF"/>
      <w:spacing w:val="5"/>
    </w:rPr>
  </w:style>
  <w:style w:type="character" w:styleId="Emphasis">
    <w:name w:val="Emphasis"/>
    <w:qFormat/>
    <w:rsid w:val="004279FF"/>
    <w:rPr>
      <w:i/>
      <w:iCs/>
    </w:rPr>
  </w:style>
  <w:style w:type="character" w:styleId="Hyperlink">
    <w:name w:val="Hyperlink"/>
    <w:rsid w:val="004279FF"/>
    <w:rPr>
      <w:color w:val="000080"/>
      <w:u w:val="single"/>
      <w:lang/>
    </w:rPr>
  </w:style>
  <w:style w:type="paragraph" w:styleId="BodyText">
    <w:name w:val="Body Text"/>
    <w:basedOn w:val="Normal"/>
    <w:link w:val="BodyTextChar"/>
    <w:rsid w:val="004279FF"/>
    <w:pPr>
      <w:spacing w:after="140" w:line="276" w:lineRule="auto"/>
    </w:pPr>
  </w:style>
  <w:style w:type="character" w:customStyle="1" w:styleId="BodyTextChar">
    <w:name w:val="Body Text Char"/>
    <w:basedOn w:val="DefaultParagraphFont"/>
    <w:link w:val="BodyText"/>
    <w:rsid w:val="004279FF"/>
    <w:rPr>
      <w:rFonts w:ascii="Liberation Serif" w:eastAsia="NSimSun" w:hAnsi="Liberation Serif" w:cs="Arial"/>
      <w:sz w:val="24"/>
      <w:szCs w:val="24"/>
      <w:lang w:eastAsia="zh-CN" w:bidi="hi-IN"/>
    </w:rPr>
  </w:style>
  <w:style w:type="paragraph" w:styleId="Footer">
    <w:name w:val="footer"/>
    <w:basedOn w:val="Normal"/>
    <w:link w:val="FooterChar"/>
    <w:rsid w:val="004279FF"/>
    <w:pPr>
      <w:suppressLineNumbers/>
      <w:tabs>
        <w:tab w:val="center" w:pos="4819"/>
        <w:tab w:val="right" w:pos="9638"/>
      </w:tabs>
    </w:pPr>
  </w:style>
  <w:style w:type="character" w:customStyle="1" w:styleId="FooterChar">
    <w:name w:val="Footer Char"/>
    <w:basedOn w:val="DefaultParagraphFont"/>
    <w:link w:val="Footer"/>
    <w:rsid w:val="004279FF"/>
    <w:rPr>
      <w:rFonts w:ascii="Liberation Serif" w:eastAsia="NSimSun" w:hAnsi="Liberation Serif" w:cs="Arial"/>
      <w:sz w:val="24"/>
      <w:szCs w:val="24"/>
      <w:lang w:eastAsia="zh-CN" w:bidi="hi-IN"/>
    </w:rPr>
  </w:style>
  <w:style w:type="paragraph" w:styleId="NormalWeb">
    <w:name w:val="Normal (Web)"/>
    <w:basedOn w:val="Normal"/>
    <w:uiPriority w:val="99"/>
    <w:semiHidden/>
    <w:unhideWhenUsed/>
    <w:rsid w:val="00EA6522"/>
    <w:rPr>
      <w:rFonts w:ascii="Times New Roman" w:hAnsi="Times New Roman" w:cs="Mangal"/>
      <w:szCs w:val="21"/>
    </w:rPr>
  </w:style>
  <w:style w:type="character" w:styleId="UnresolvedMention">
    <w:name w:val="Unresolved Mention"/>
    <w:basedOn w:val="DefaultParagraphFont"/>
    <w:uiPriority w:val="99"/>
    <w:semiHidden/>
    <w:unhideWhenUsed/>
    <w:rsid w:val="00807D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what-we-do/news-and-media/facts-media" TargetMode="External"/><Relationship Id="rId13" Type="http://schemas.openxmlformats.org/officeDocument/2006/relationships/hyperlink" Target="https://www.ageing.ox.ac.uk/publications" TargetMode="External"/><Relationship Id="rId18" Type="http://schemas.openxmlformats.org/officeDocument/2006/relationships/hyperlink" Target="https://www.england.nhs.uk/about/equality/health-inequalities" TargetMode="External"/><Relationship Id="rId26" Type="http://schemas.openxmlformats.org/officeDocument/2006/relationships/hyperlink" Target="https://www.gov.uk/government/publications/health-disparities-in-england" TargetMode="External"/><Relationship Id="rId3" Type="http://schemas.openxmlformats.org/officeDocument/2006/relationships/webSettings" Target="webSettings.xml"/><Relationship Id="rId21" Type="http://schemas.openxmlformats.org/officeDocument/2006/relationships/hyperlink" Target="https://www.england.nhs.uk/mental-health/dementia/" TargetMode="External"/><Relationship Id="rId7" Type="http://schemas.openxmlformats.org/officeDocument/2006/relationships/hyperlink" Target="https://www.alzheimersresearchuk.org/news/dementia-is-still-uks-biggest-killer-where-do-we-go-from-here/" TargetMode="External"/><Relationship Id="rId12" Type="http://schemas.openxmlformats.org/officeDocument/2006/relationships/hyperlink" Target="https://www.dementiauk.org/information-and-support/about-dementia/causes-and-risk-factors/" TargetMode="External"/><Relationship Id="rId17" Type="http://schemas.openxmlformats.org/officeDocument/2006/relationships/hyperlink" Target="https://www.longtermplan.nhs.uk/" TargetMode="External"/><Relationship Id="rId25" Type="http://schemas.openxmlformats.org/officeDocument/2006/relationships/hyperlink" Target="https://www.ucl.ac.uk/news/2024/jul/public-health-measures-reduce-dementia-risk-could-save-ps4bn" TargetMode="External"/><Relationship Id="rId2" Type="http://schemas.openxmlformats.org/officeDocument/2006/relationships/settings" Target="settings.xml"/><Relationship Id="rId16" Type="http://schemas.openxmlformats.org/officeDocument/2006/relationships/hyperlink" Target="https://digital.nhs.uk/data-and-information" TargetMode="External"/><Relationship Id="rId20" Type="http://schemas.openxmlformats.org/officeDocument/2006/relationships/hyperlink" Target="https://digital.nhs.uk/data-and-information/data-tools-and-services/data-services/general-practice-data-for-planning-and-research/dementia" TargetMode="External"/><Relationship Id="rId29" Type="http://schemas.openxmlformats.org/officeDocument/2006/relationships/hyperlink" Target="https://www.who.int/news-room/fact-sheets/detail/ageing-and-health" TargetMode="External"/><Relationship Id="rId1" Type="http://schemas.openxmlformats.org/officeDocument/2006/relationships/styles" Target="styles.xml"/><Relationship Id="rId6" Type="http://schemas.openxmlformats.org/officeDocument/2006/relationships/hyperlink" Target="https://www.ageuk.org.uk/siteassets/documents/reports-and-publications/reports-and-briefings/health--wellbeing/state-of-health-and-care/state-of-health-care-of-older-people-in-england-2025.pdf" TargetMode="External"/><Relationship Id="rId11" Type="http://schemas.openxmlformats.org/officeDocument/2006/relationships/hyperlink" Target="https://www.gov.uk/government/publications/dementia-applying-all-our-health" TargetMode="External"/><Relationship Id="rId24" Type="http://schemas.openxmlformats.org/officeDocument/2006/relationships/hyperlink" Target="https://www.gov.uk/government/publications/health-matters-midlife-approaches-to-reduce-dementia-risk" TargetMode="External"/><Relationship Id="rId32" Type="http://schemas.openxmlformats.org/officeDocument/2006/relationships/theme" Target="theme/theme1.xml"/><Relationship Id="rId5" Type="http://schemas.openxmlformats.org/officeDocument/2006/relationships/hyperlink" Target="https://www.ageuk.org.uk/globalassets/age-uk/documents/reports-and-publications/later-life-uk-factsheet.pdf" TargetMode="External"/><Relationship Id="rId15" Type="http://schemas.openxmlformats.org/officeDocument/2006/relationships/hyperlink" Target="https://www.thelancet.com/journals/lanpub/article/PIIS2468-2667(20)30026-0/fulltext" TargetMode="External"/><Relationship Id="rId23" Type="http://schemas.openxmlformats.org/officeDocument/2006/relationships/hyperlink" Target="https://www.gov.uk/government/publications/health-inequalities" TargetMode="External"/><Relationship Id="rId28" Type="http://schemas.openxmlformats.org/officeDocument/2006/relationships/hyperlink" Target="https://iris.who.int/server/api/core/bitstreams/8fc586d7-b864-42eb-9274-95462496b328/content" TargetMode="External"/><Relationship Id="rId10" Type="http://schemas.openxmlformats.org/officeDocument/2006/relationships/hyperlink" Target="https://www.gov.uk/government/statistics/households-below-average-income" TargetMode="External"/><Relationship Id="rId19" Type="http://schemas.openxmlformats.org/officeDocument/2006/relationships/hyperlink" Target="https://www.nhs.uk/conditions/dementia/about-dementia/what-is-dementia/" TargetMode="External"/><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birmingham.gov.uk/downloads/download/1664/public_health_intelligence" TargetMode="External"/><Relationship Id="rId14" Type="http://schemas.openxmlformats.org/officeDocument/2006/relationships/hyperlink" Target="https://www.health.org.uk/publications/reports/the-marmot-review-10-years-on" TargetMode="External"/><Relationship Id="rId22" Type="http://schemas.openxmlformats.org/officeDocument/2006/relationships/hyperlink" Target="https://www.ons.gov.uk/peoplepopulationandcommunity/healthandsocialcare" TargetMode="External"/><Relationship Id="rId27" Type="http://schemas.openxmlformats.org/officeDocument/2006/relationships/hyperlink" Target="https://www.who.int/health-topics/social-determinants-of-health"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12</Pages>
  <Words>4267</Words>
  <Characters>24322</Characters>
  <Application>Microsoft Office Word</Application>
  <DocSecurity>0</DocSecurity>
  <Lines>202</Lines>
  <Paragraphs>57</Paragraphs>
  <ScaleCrop>false</ScaleCrop>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Dinu</dc:creator>
  <cp:keywords/>
  <dc:description/>
  <cp:lastModifiedBy>Simona Dinu</cp:lastModifiedBy>
  <cp:revision>47</cp:revision>
  <dcterms:created xsi:type="dcterms:W3CDTF">2026-03-23T07:40:00Z</dcterms:created>
  <dcterms:modified xsi:type="dcterms:W3CDTF">2026-03-23T10:13:00Z</dcterms:modified>
</cp:coreProperties>
</file>