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3536" w:rsidRPr="001D121B" w:rsidRDefault="00E63536" w:rsidP="003A0A29">
      <w:pPr>
        <w:rPr>
          <w:rFonts w:cs="Times New Roman"/>
          <w:b/>
          <w:bCs/>
          <w:sz w:val="36"/>
          <w:szCs w:val="40"/>
        </w:rPr>
      </w:pPr>
    </w:p>
    <w:p w:rsidR="00760523" w:rsidRPr="001D121B" w:rsidRDefault="00760523" w:rsidP="003A0A29">
      <w:pPr>
        <w:rPr>
          <w:rFonts w:cs="Times New Roman"/>
          <w:b/>
          <w:bCs/>
          <w:sz w:val="40"/>
          <w:szCs w:val="44"/>
        </w:rPr>
      </w:pPr>
    </w:p>
    <w:p w:rsidR="00760523" w:rsidRPr="001D121B" w:rsidRDefault="00760523" w:rsidP="003A0A29">
      <w:pPr>
        <w:rPr>
          <w:rFonts w:cs="Times New Roman"/>
          <w:b/>
          <w:bCs/>
          <w:sz w:val="40"/>
          <w:szCs w:val="44"/>
        </w:rPr>
      </w:pPr>
    </w:p>
    <w:p w:rsidR="00AD7D55" w:rsidRPr="001D121B" w:rsidRDefault="00AD7D55" w:rsidP="003A0A29">
      <w:pPr>
        <w:rPr>
          <w:rFonts w:cs="Times New Roman"/>
          <w:b/>
          <w:bCs/>
          <w:sz w:val="40"/>
          <w:szCs w:val="44"/>
        </w:rPr>
      </w:pPr>
      <w:r w:rsidRPr="001D121B">
        <w:rPr>
          <w:rFonts w:cs="Times New Roman"/>
          <w:b/>
          <w:bCs/>
          <w:sz w:val="40"/>
          <w:szCs w:val="44"/>
        </w:rPr>
        <w:t>UNIVERSITY OF WALES TRINITY SAINT DAVID</w:t>
      </w:r>
    </w:p>
    <w:p w:rsidR="00AD7D55" w:rsidRPr="001D121B" w:rsidRDefault="00AD7D55" w:rsidP="003A0A29">
      <w:pPr>
        <w:rPr>
          <w:rFonts w:cs="Times New Roman"/>
          <w:b/>
          <w:bCs/>
          <w:sz w:val="40"/>
          <w:szCs w:val="44"/>
        </w:rPr>
      </w:pPr>
    </w:p>
    <w:p w:rsidR="00AD7D55" w:rsidRPr="001D121B" w:rsidRDefault="00AD7D55" w:rsidP="003A0A29">
      <w:pPr>
        <w:rPr>
          <w:rFonts w:cs="Times New Roman"/>
          <w:b/>
          <w:bCs/>
          <w:sz w:val="32"/>
          <w:szCs w:val="36"/>
        </w:rPr>
      </w:pPr>
      <w:r w:rsidRPr="001D121B">
        <w:rPr>
          <w:rFonts w:cs="Times New Roman"/>
          <w:b/>
          <w:bCs/>
          <w:sz w:val="32"/>
          <w:szCs w:val="36"/>
        </w:rPr>
        <w:t>Finance for Business Managers</w:t>
      </w:r>
    </w:p>
    <w:p w:rsidR="00AD7D55" w:rsidRPr="001D121B" w:rsidRDefault="00AD7D55" w:rsidP="003A0A29">
      <w:pPr>
        <w:rPr>
          <w:rFonts w:cs="Times New Roman"/>
          <w:b/>
          <w:bCs/>
          <w:sz w:val="32"/>
          <w:szCs w:val="36"/>
        </w:rPr>
      </w:pPr>
      <w:r w:rsidRPr="001D121B">
        <w:rPr>
          <w:rFonts w:cs="Times New Roman"/>
          <w:b/>
          <w:bCs/>
          <w:sz w:val="32"/>
          <w:szCs w:val="36"/>
        </w:rPr>
        <w:t xml:space="preserve">Module Code: </w:t>
      </w:r>
      <w:r w:rsidRPr="001D121B">
        <w:rPr>
          <w:rFonts w:cs="Times New Roman"/>
          <w:sz w:val="32"/>
          <w:szCs w:val="36"/>
        </w:rPr>
        <w:t>BMMB7005D</w:t>
      </w:r>
    </w:p>
    <w:p w:rsidR="00AD7D55" w:rsidRPr="001D121B" w:rsidRDefault="00AD7D55" w:rsidP="003A0A29">
      <w:pPr>
        <w:rPr>
          <w:rFonts w:cs="Times New Roman"/>
          <w:b/>
          <w:bCs/>
          <w:sz w:val="32"/>
          <w:szCs w:val="36"/>
        </w:rPr>
      </w:pPr>
    </w:p>
    <w:p w:rsidR="00AD7D55" w:rsidRPr="001D121B" w:rsidRDefault="00AD7D55" w:rsidP="003A0A29">
      <w:pPr>
        <w:rPr>
          <w:rFonts w:cs="Times New Roman"/>
          <w:sz w:val="32"/>
          <w:szCs w:val="36"/>
        </w:rPr>
      </w:pPr>
      <w:r w:rsidRPr="001D121B">
        <w:rPr>
          <w:rFonts w:cs="Times New Roman"/>
          <w:b/>
          <w:bCs/>
          <w:sz w:val="32"/>
          <w:szCs w:val="36"/>
        </w:rPr>
        <w:t xml:space="preserve">Assignment Title: </w:t>
      </w:r>
      <w:r w:rsidRPr="001D121B">
        <w:rPr>
          <w:rFonts w:cs="Times New Roman"/>
          <w:sz w:val="32"/>
          <w:szCs w:val="36"/>
        </w:rPr>
        <w:t>Beard Plc. – Financial Analysis and Investment Appraisal Report</w:t>
      </w:r>
    </w:p>
    <w:p w:rsidR="00AD7D55" w:rsidRPr="001D121B" w:rsidRDefault="00AD7D55" w:rsidP="003A0A29">
      <w:pPr>
        <w:rPr>
          <w:rFonts w:cs="Times New Roman"/>
          <w:sz w:val="32"/>
          <w:szCs w:val="36"/>
        </w:rPr>
      </w:pPr>
    </w:p>
    <w:p w:rsidR="00AD7D55" w:rsidRPr="001D121B" w:rsidRDefault="00AD7D55" w:rsidP="003A0A29">
      <w:pPr>
        <w:rPr>
          <w:rFonts w:cs="Times New Roman"/>
          <w:sz w:val="32"/>
          <w:szCs w:val="36"/>
        </w:rPr>
      </w:pPr>
      <w:r w:rsidRPr="001D121B">
        <w:rPr>
          <w:rFonts w:cs="Times New Roman"/>
          <w:b/>
          <w:bCs/>
          <w:sz w:val="32"/>
          <w:szCs w:val="36"/>
        </w:rPr>
        <w:t>Student Name:</w:t>
      </w:r>
      <w:r w:rsidRPr="001D121B">
        <w:rPr>
          <w:rFonts w:cs="Times New Roman"/>
          <w:sz w:val="32"/>
          <w:szCs w:val="36"/>
        </w:rPr>
        <w:t xml:space="preserve"> </w:t>
      </w:r>
      <w:proofErr w:type="spellStart"/>
      <w:r w:rsidRPr="001D121B">
        <w:rPr>
          <w:rFonts w:cs="Times New Roman"/>
          <w:sz w:val="32"/>
          <w:szCs w:val="36"/>
        </w:rPr>
        <w:t>Jony</w:t>
      </w:r>
      <w:proofErr w:type="spellEnd"/>
      <w:r w:rsidRPr="001D121B">
        <w:rPr>
          <w:rFonts w:cs="Times New Roman"/>
          <w:sz w:val="32"/>
          <w:szCs w:val="36"/>
        </w:rPr>
        <w:t xml:space="preserve"> </w:t>
      </w:r>
      <w:proofErr w:type="spellStart"/>
      <w:r w:rsidRPr="001D121B">
        <w:rPr>
          <w:rFonts w:cs="Times New Roman"/>
          <w:sz w:val="32"/>
          <w:szCs w:val="36"/>
        </w:rPr>
        <w:t>Ramany</w:t>
      </w:r>
      <w:proofErr w:type="spellEnd"/>
    </w:p>
    <w:p w:rsidR="00AD7D55" w:rsidRPr="001D121B" w:rsidRDefault="00AD7D55" w:rsidP="003A0A29">
      <w:pPr>
        <w:rPr>
          <w:rFonts w:cs="Times New Roman"/>
          <w:sz w:val="32"/>
          <w:szCs w:val="36"/>
        </w:rPr>
      </w:pPr>
      <w:r w:rsidRPr="001D121B">
        <w:rPr>
          <w:rFonts w:cs="Times New Roman"/>
          <w:b/>
          <w:bCs/>
          <w:sz w:val="32"/>
          <w:szCs w:val="36"/>
        </w:rPr>
        <w:t>Student ID:</w:t>
      </w:r>
      <w:r w:rsidRPr="001D121B">
        <w:rPr>
          <w:rFonts w:cs="Times New Roman"/>
          <w:sz w:val="32"/>
          <w:szCs w:val="36"/>
        </w:rPr>
        <w:t xml:space="preserve"> 2514896</w:t>
      </w:r>
    </w:p>
    <w:p w:rsidR="00AD7D55" w:rsidRPr="001D121B" w:rsidRDefault="00AD7D55" w:rsidP="003A0A29">
      <w:pPr>
        <w:rPr>
          <w:rFonts w:cs="Times New Roman"/>
          <w:sz w:val="32"/>
          <w:szCs w:val="36"/>
        </w:rPr>
      </w:pPr>
      <w:r w:rsidRPr="001D121B">
        <w:rPr>
          <w:rFonts w:cs="Times New Roman"/>
          <w:b/>
          <w:bCs/>
          <w:sz w:val="32"/>
          <w:szCs w:val="36"/>
        </w:rPr>
        <w:t xml:space="preserve">Programme: </w:t>
      </w:r>
      <w:r w:rsidRPr="001D121B">
        <w:rPr>
          <w:rFonts w:cs="Times New Roman"/>
          <w:sz w:val="32"/>
          <w:szCs w:val="36"/>
        </w:rPr>
        <w:t>MBA</w:t>
      </w:r>
    </w:p>
    <w:p w:rsidR="00AD7D55" w:rsidRPr="001D121B" w:rsidRDefault="00AD7D55" w:rsidP="003A0A29">
      <w:pPr>
        <w:rPr>
          <w:rFonts w:cs="Times New Roman"/>
          <w:sz w:val="32"/>
          <w:szCs w:val="36"/>
        </w:rPr>
      </w:pPr>
      <w:r w:rsidRPr="001D121B">
        <w:rPr>
          <w:rFonts w:cs="Times New Roman"/>
          <w:b/>
          <w:bCs/>
          <w:sz w:val="32"/>
          <w:szCs w:val="36"/>
        </w:rPr>
        <w:t xml:space="preserve">Level: </w:t>
      </w:r>
      <w:r w:rsidRPr="001D121B">
        <w:rPr>
          <w:rFonts w:cs="Times New Roman"/>
          <w:sz w:val="32"/>
          <w:szCs w:val="36"/>
        </w:rPr>
        <w:t>7</w:t>
      </w:r>
    </w:p>
    <w:p w:rsidR="00AD7D55" w:rsidRPr="001D121B" w:rsidRDefault="00AD7D55" w:rsidP="003A0A29">
      <w:pPr>
        <w:rPr>
          <w:rFonts w:cs="Times New Roman"/>
          <w:sz w:val="32"/>
          <w:szCs w:val="36"/>
        </w:rPr>
      </w:pPr>
      <w:r w:rsidRPr="001D121B">
        <w:rPr>
          <w:rFonts w:cs="Times New Roman"/>
          <w:b/>
          <w:bCs/>
          <w:sz w:val="32"/>
          <w:szCs w:val="36"/>
        </w:rPr>
        <w:t xml:space="preserve">Lecturer: </w:t>
      </w:r>
      <w:r w:rsidRPr="001D121B">
        <w:rPr>
          <w:rFonts w:cs="Times New Roman"/>
          <w:sz w:val="32"/>
          <w:szCs w:val="36"/>
        </w:rPr>
        <w:t xml:space="preserve">Marie </w:t>
      </w:r>
      <w:proofErr w:type="spellStart"/>
      <w:r w:rsidRPr="001D121B">
        <w:rPr>
          <w:rFonts w:cs="Times New Roman"/>
          <w:sz w:val="32"/>
          <w:szCs w:val="36"/>
        </w:rPr>
        <w:t>Pitson</w:t>
      </w:r>
      <w:proofErr w:type="spellEnd"/>
    </w:p>
    <w:p w:rsidR="00AD7D55" w:rsidRPr="001D121B" w:rsidRDefault="00AD7D55" w:rsidP="003A0A29">
      <w:pPr>
        <w:rPr>
          <w:rFonts w:cs="Times New Roman"/>
          <w:sz w:val="32"/>
          <w:szCs w:val="36"/>
        </w:rPr>
      </w:pPr>
    </w:p>
    <w:p w:rsidR="00AD7D55" w:rsidRPr="001D121B" w:rsidRDefault="00AD7D55" w:rsidP="003A0A29">
      <w:pPr>
        <w:rPr>
          <w:rFonts w:cs="Times New Roman"/>
          <w:sz w:val="32"/>
          <w:szCs w:val="36"/>
        </w:rPr>
      </w:pPr>
      <w:r w:rsidRPr="001D121B">
        <w:rPr>
          <w:rFonts w:cs="Times New Roman"/>
          <w:b/>
          <w:bCs/>
          <w:sz w:val="32"/>
          <w:szCs w:val="36"/>
        </w:rPr>
        <w:t xml:space="preserve">Submission Date: </w:t>
      </w:r>
      <w:r w:rsidRPr="001D121B">
        <w:rPr>
          <w:rFonts w:cs="Times New Roman"/>
          <w:sz w:val="32"/>
          <w:szCs w:val="36"/>
        </w:rPr>
        <w:t>20</w:t>
      </w:r>
      <w:r w:rsidRPr="001D121B">
        <w:rPr>
          <w:rFonts w:cs="Times New Roman"/>
          <w:sz w:val="32"/>
          <w:szCs w:val="36"/>
          <w:vertAlign w:val="superscript"/>
        </w:rPr>
        <w:t>th</w:t>
      </w:r>
      <w:r w:rsidRPr="001D121B">
        <w:rPr>
          <w:rFonts w:cs="Times New Roman"/>
          <w:sz w:val="32"/>
          <w:szCs w:val="36"/>
        </w:rPr>
        <w:t xml:space="preserve"> April 2026</w:t>
      </w:r>
    </w:p>
    <w:p w:rsidR="00AD7D55" w:rsidRPr="001D121B" w:rsidRDefault="00AD7D55" w:rsidP="003A0A29">
      <w:pPr>
        <w:rPr>
          <w:rFonts w:cs="Times New Roman"/>
          <w:sz w:val="32"/>
          <w:szCs w:val="36"/>
        </w:rPr>
      </w:pPr>
    </w:p>
    <w:p w:rsidR="0046283D" w:rsidRDefault="00AD7D55" w:rsidP="003A0A29">
      <w:pPr>
        <w:rPr>
          <w:rFonts w:cs="Times New Roman"/>
          <w:b/>
          <w:bCs/>
          <w:sz w:val="32"/>
          <w:szCs w:val="36"/>
        </w:rPr>
      </w:pPr>
      <w:r w:rsidRPr="001D121B">
        <w:rPr>
          <w:rFonts w:cs="Times New Roman"/>
          <w:b/>
          <w:bCs/>
          <w:sz w:val="32"/>
          <w:szCs w:val="36"/>
        </w:rPr>
        <w:t xml:space="preserve">Word Count: </w:t>
      </w:r>
    </w:p>
    <w:p w:rsidR="0046283D" w:rsidRDefault="0046283D">
      <w:pPr>
        <w:spacing w:line="240" w:lineRule="auto"/>
        <w:jc w:val="left"/>
        <w:rPr>
          <w:rFonts w:cs="Times New Roman"/>
          <w:b/>
          <w:bCs/>
          <w:sz w:val="32"/>
          <w:szCs w:val="36"/>
        </w:rPr>
      </w:pPr>
      <w:r>
        <w:rPr>
          <w:rFonts w:cs="Times New Roman"/>
          <w:b/>
          <w:bCs/>
          <w:sz w:val="32"/>
          <w:szCs w:val="36"/>
        </w:rPr>
        <w:br w:type="page"/>
      </w:r>
    </w:p>
    <w:p w:rsidR="00AD7D55" w:rsidRPr="001D121B" w:rsidRDefault="00AD7D55" w:rsidP="003A0A29">
      <w:pPr>
        <w:rPr>
          <w:rFonts w:cs="Times New Roman"/>
          <w:sz w:val="32"/>
          <w:szCs w:val="36"/>
        </w:rPr>
      </w:pPr>
    </w:p>
    <w:sdt>
      <w:sdtPr>
        <w:rPr>
          <w:rFonts w:ascii="Times New Roman" w:hAnsi="Times New Roman" w:cs="Times New Roman"/>
        </w:rPr>
        <w:id w:val="-1274543825"/>
        <w:docPartObj>
          <w:docPartGallery w:val="Table of Contents"/>
          <w:docPartUnique/>
        </w:docPartObj>
      </w:sdtPr>
      <w:sdtEndPr>
        <w:rPr>
          <w:rFonts w:eastAsiaTheme="minorHAnsi"/>
          <w:noProof/>
          <w:color w:val="auto"/>
          <w:kern w:val="2"/>
          <w:sz w:val="24"/>
          <w:szCs w:val="30"/>
          <w:lang w:val="en-GB" w:bidi="bn-IN"/>
          <w14:ligatures w14:val="standardContextual"/>
        </w:rPr>
      </w:sdtEndPr>
      <w:sdtContent>
        <w:p w:rsidR="0046283D" w:rsidRPr="001D121B" w:rsidRDefault="0046283D" w:rsidP="0046283D">
          <w:pPr>
            <w:pStyle w:val="TOCHeading"/>
            <w:jc w:val="center"/>
            <w:rPr>
              <w:rFonts w:ascii="Times New Roman" w:hAnsi="Times New Roman" w:cs="Times New Roman"/>
            </w:rPr>
          </w:pPr>
          <w:r w:rsidRPr="001D121B">
            <w:rPr>
              <w:rFonts w:ascii="Times New Roman" w:hAnsi="Times New Roman" w:cs="Times New Roman"/>
            </w:rPr>
            <w:t>Table of Contents</w:t>
          </w:r>
        </w:p>
        <w:p w:rsidR="0046283D" w:rsidRPr="001D121B" w:rsidRDefault="0046283D" w:rsidP="0046283D">
          <w:pPr>
            <w:rPr>
              <w:szCs w:val="24"/>
              <w:lang w:val="en-US" w:bidi="ar-SA"/>
            </w:rPr>
          </w:pPr>
        </w:p>
        <w:p w:rsidR="0046283D" w:rsidRPr="001D121B" w:rsidRDefault="0046283D" w:rsidP="0046283D">
          <w:pPr>
            <w:pStyle w:val="TOC1"/>
            <w:tabs>
              <w:tab w:val="right" w:leader="dot" w:pos="9016"/>
            </w:tabs>
            <w:rPr>
              <w:rFonts w:ascii="Times New Roman" w:hAnsi="Times New Roman" w:cs="Times New Roman"/>
              <w:noProof/>
              <w:sz w:val="24"/>
              <w:szCs w:val="24"/>
            </w:rPr>
          </w:pPr>
          <w:r w:rsidRPr="001D121B">
            <w:rPr>
              <w:rFonts w:ascii="Times New Roman" w:hAnsi="Times New Roman" w:cs="Times New Roman"/>
              <w:b w:val="0"/>
              <w:bCs w:val="0"/>
              <w:sz w:val="24"/>
              <w:szCs w:val="24"/>
            </w:rPr>
            <w:fldChar w:fldCharType="begin"/>
          </w:r>
          <w:r w:rsidRPr="001D121B">
            <w:rPr>
              <w:rFonts w:ascii="Times New Roman" w:hAnsi="Times New Roman" w:cs="Times New Roman"/>
              <w:sz w:val="24"/>
              <w:szCs w:val="24"/>
            </w:rPr>
            <w:instrText xml:space="preserve"> TOC \o "1-3" \h \z \u </w:instrText>
          </w:r>
          <w:r w:rsidRPr="001D121B">
            <w:rPr>
              <w:rFonts w:ascii="Times New Roman" w:hAnsi="Times New Roman" w:cs="Times New Roman"/>
              <w:b w:val="0"/>
              <w:bCs w:val="0"/>
              <w:sz w:val="24"/>
              <w:szCs w:val="24"/>
            </w:rPr>
            <w:fldChar w:fldCharType="separate"/>
          </w:r>
          <w:hyperlink w:anchor="_Toc227410895" w:history="1">
            <w:r w:rsidRPr="001D121B">
              <w:rPr>
                <w:rStyle w:val="Hyperlink"/>
                <w:rFonts w:ascii="Times New Roman" w:hAnsi="Times New Roman" w:cs="Times New Roman"/>
                <w:noProof/>
                <w:sz w:val="24"/>
                <w:szCs w:val="24"/>
              </w:rPr>
              <w:t>PART I</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_Toc227410895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2</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1"/>
            <w:tabs>
              <w:tab w:val="right" w:leader="dot" w:pos="9016"/>
            </w:tabs>
            <w:rPr>
              <w:rFonts w:ascii="Times New Roman" w:hAnsi="Times New Roman" w:cs="Times New Roman"/>
              <w:noProof/>
              <w:sz w:val="24"/>
              <w:szCs w:val="24"/>
            </w:rPr>
          </w:pPr>
          <w:hyperlink w:anchor="_Toc227410896" w:history="1">
            <w:r w:rsidRPr="001D121B">
              <w:rPr>
                <w:rStyle w:val="Hyperlink"/>
                <w:rFonts w:ascii="Times New Roman" w:hAnsi="Times New Roman" w:cs="Times New Roman"/>
                <w:noProof/>
                <w:sz w:val="24"/>
                <w:szCs w:val="24"/>
              </w:rPr>
              <w:t>Executive Summary</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_Toc227410896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3</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2"/>
            <w:tabs>
              <w:tab w:val="left" w:pos="960"/>
              <w:tab w:val="right" w:leader="dot" w:pos="9016"/>
            </w:tabs>
            <w:rPr>
              <w:rFonts w:ascii="Times New Roman" w:hAnsi="Times New Roman" w:cs="Times New Roman"/>
              <w:noProof/>
              <w:sz w:val="24"/>
              <w:szCs w:val="24"/>
            </w:rPr>
          </w:pPr>
          <w:hyperlink w:anchor="_Toc227410897" w:history="1">
            <w:r w:rsidRPr="001D121B">
              <w:rPr>
                <w:rStyle w:val="Hyperlink"/>
                <w:rFonts w:ascii="Times New Roman" w:hAnsi="Times New Roman" w:cs="Times New Roman"/>
                <w:b/>
                <w:bCs/>
                <w:noProof/>
                <w:sz w:val="24"/>
                <w:szCs w:val="24"/>
              </w:rPr>
              <w:t>1.1</w:t>
            </w:r>
            <w:r w:rsidRPr="001D121B">
              <w:rPr>
                <w:rFonts w:ascii="Times New Roman" w:hAnsi="Times New Roman" w:cs="Times New Roman"/>
                <w:noProof/>
                <w:sz w:val="24"/>
                <w:szCs w:val="24"/>
              </w:rPr>
              <w:tab/>
            </w:r>
            <w:r w:rsidRPr="001D121B">
              <w:rPr>
                <w:rStyle w:val="Hyperlink"/>
                <w:rFonts w:ascii="Times New Roman" w:hAnsi="Times New Roman" w:cs="Times New Roman"/>
                <w:b/>
                <w:bCs/>
                <w:noProof/>
                <w:sz w:val="24"/>
                <w:szCs w:val="24"/>
              </w:rPr>
              <w:t>Introduction</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_Toc227410897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5</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2"/>
            <w:tabs>
              <w:tab w:val="left" w:pos="960"/>
              <w:tab w:val="right" w:leader="dot" w:pos="9016"/>
            </w:tabs>
            <w:rPr>
              <w:rFonts w:ascii="Times New Roman" w:hAnsi="Times New Roman" w:cs="Times New Roman"/>
              <w:noProof/>
              <w:sz w:val="24"/>
              <w:szCs w:val="24"/>
            </w:rPr>
          </w:pPr>
          <w:hyperlink w:anchor="_Toc227410898" w:history="1">
            <w:r w:rsidRPr="001D121B">
              <w:rPr>
                <w:rStyle w:val="Hyperlink"/>
                <w:rFonts w:ascii="Times New Roman" w:hAnsi="Times New Roman" w:cs="Times New Roman"/>
                <w:b/>
                <w:bCs/>
                <w:noProof/>
                <w:sz w:val="24"/>
                <w:szCs w:val="24"/>
              </w:rPr>
              <w:t>1.1</w:t>
            </w:r>
            <w:r w:rsidRPr="001D121B">
              <w:rPr>
                <w:rFonts w:ascii="Times New Roman" w:hAnsi="Times New Roman" w:cs="Times New Roman"/>
                <w:noProof/>
                <w:sz w:val="24"/>
                <w:szCs w:val="24"/>
              </w:rPr>
              <w:tab/>
            </w:r>
            <w:r w:rsidRPr="001D121B">
              <w:rPr>
                <w:rStyle w:val="Hyperlink"/>
                <w:rFonts w:ascii="Times New Roman" w:hAnsi="Times New Roman" w:cs="Times New Roman"/>
                <w:b/>
                <w:bCs/>
                <w:noProof/>
                <w:sz w:val="24"/>
                <w:szCs w:val="24"/>
              </w:rPr>
              <w:t>Profitability Ratios</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_Toc227410898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5</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2"/>
            <w:tabs>
              <w:tab w:val="left" w:pos="960"/>
              <w:tab w:val="right" w:leader="dot" w:pos="9016"/>
            </w:tabs>
            <w:rPr>
              <w:rFonts w:ascii="Times New Roman" w:hAnsi="Times New Roman" w:cs="Times New Roman"/>
              <w:noProof/>
              <w:sz w:val="24"/>
              <w:szCs w:val="24"/>
            </w:rPr>
          </w:pPr>
          <w:hyperlink w:anchor="_Toc227410899" w:history="1">
            <w:r w:rsidRPr="001D121B">
              <w:rPr>
                <w:rStyle w:val="Hyperlink"/>
                <w:rFonts w:ascii="Times New Roman" w:hAnsi="Times New Roman" w:cs="Times New Roman"/>
                <w:b/>
                <w:bCs/>
                <w:noProof/>
                <w:sz w:val="24"/>
                <w:szCs w:val="24"/>
              </w:rPr>
              <w:t>1.2</w:t>
            </w:r>
            <w:r w:rsidRPr="001D121B">
              <w:rPr>
                <w:rFonts w:ascii="Times New Roman" w:hAnsi="Times New Roman" w:cs="Times New Roman"/>
                <w:noProof/>
                <w:sz w:val="24"/>
                <w:szCs w:val="24"/>
              </w:rPr>
              <w:tab/>
            </w:r>
            <w:r w:rsidRPr="001D121B">
              <w:rPr>
                <w:rStyle w:val="Hyperlink"/>
                <w:rFonts w:ascii="Times New Roman" w:hAnsi="Times New Roman" w:cs="Times New Roman"/>
                <w:b/>
                <w:bCs/>
                <w:noProof/>
                <w:sz w:val="24"/>
                <w:szCs w:val="24"/>
              </w:rPr>
              <w:t>Efficiency Ratios</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_Toc227410899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7</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2"/>
            <w:tabs>
              <w:tab w:val="left" w:pos="960"/>
              <w:tab w:val="right" w:leader="dot" w:pos="9016"/>
            </w:tabs>
            <w:rPr>
              <w:rFonts w:ascii="Times New Roman" w:hAnsi="Times New Roman" w:cs="Times New Roman"/>
              <w:noProof/>
              <w:sz w:val="24"/>
              <w:szCs w:val="24"/>
            </w:rPr>
          </w:pPr>
          <w:hyperlink w:anchor="_Toc227410900" w:history="1">
            <w:r w:rsidRPr="001D121B">
              <w:rPr>
                <w:rStyle w:val="Hyperlink"/>
                <w:rFonts w:ascii="Times New Roman" w:hAnsi="Times New Roman" w:cs="Times New Roman"/>
                <w:b/>
                <w:bCs/>
                <w:noProof/>
                <w:sz w:val="24"/>
                <w:szCs w:val="24"/>
              </w:rPr>
              <w:t>1.3</w:t>
            </w:r>
            <w:r w:rsidRPr="001D121B">
              <w:rPr>
                <w:rFonts w:ascii="Times New Roman" w:hAnsi="Times New Roman" w:cs="Times New Roman"/>
                <w:noProof/>
                <w:sz w:val="24"/>
                <w:szCs w:val="24"/>
              </w:rPr>
              <w:tab/>
            </w:r>
            <w:r w:rsidRPr="001D121B">
              <w:rPr>
                <w:rStyle w:val="Hyperlink"/>
                <w:rFonts w:ascii="Times New Roman" w:hAnsi="Times New Roman" w:cs="Times New Roman"/>
                <w:b/>
                <w:bCs/>
                <w:noProof/>
                <w:sz w:val="24"/>
                <w:szCs w:val="24"/>
              </w:rPr>
              <w:t>Liquidity Ratios</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_Toc227410900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8</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2"/>
            <w:tabs>
              <w:tab w:val="left" w:pos="960"/>
              <w:tab w:val="right" w:leader="dot" w:pos="9016"/>
            </w:tabs>
            <w:rPr>
              <w:rFonts w:ascii="Times New Roman" w:hAnsi="Times New Roman" w:cs="Times New Roman"/>
              <w:noProof/>
              <w:sz w:val="24"/>
              <w:szCs w:val="24"/>
            </w:rPr>
          </w:pPr>
          <w:hyperlink w:anchor="_Toc227410901" w:history="1">
            <w:r w:rsidRPr="001D121B">
              <w:rPr>
                <w:rStyle w:val="Hyperlink"/>
                <w:rFonts w:ascii="Times New Roman" w:hAnsi="Times New Roman" w:cs="Times New Roman"/>
                <w:b/>
                <w:bCs/>
                <w:noProof/>
                <w:sz w:val="24"/>
                <w:szCs w:val="24"/>
              </w:rPr>
              <w:t>1.4</w:t>
            </w:r>
            <w:r w:rsidRPr="001D121B">
              <w:rPr>
                <w:rFonts w:ascii="Times New Roman" w:hAnsi="Times New Roman" w:cs="Times New Roman"/>
                <w:noProof/>
                <w:sz w:val="24"/>
                <w:szCs w:val="24"/>
              </w:rPr>
              <w:tab/>
            </w:r>
            <w:r w:rsidRPr="001D121B">
              <w:rPr>
                <w:rStyle w:val="Hyperlink"/>
                <w:rFonts w:ascii="Times New Roman" w:hAnsi="Times New Roman" w:cs="Times New Roman"/>
                <w:b/>
                <w:bCs/>
                <w:noProof/>
                <w:sz w:val="24"/>
                <w:szCs w:val="24"/>
              </w:rPr>
              <w:t>Investment Ratios</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_Toc227410901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10</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2"/>
            <w:tabs>
              <w:tab w:val="left" w:pos="960"/>
              <w:tab w:val="right" w:leader="dot" w:pos="9016"/>
            </w:tabs>
            <w:rPr>
              <w:rFonts w:ascii="Times New Roman" w:hAnsi="Times New Roman" w:cs="Times New Roman"/>
              <w:noProof/>
              <w:sz w:val="24"/>
              <w:szCs w:val="24"/>
            </w:rPr>
          </w:pPr>
          <w:hyperlink w:anchor="_Toc227410902" w:history="1">
            <w:r w:rsidRPr="001D121B">
              <w:rPr>
                <w:rStyle w:val="Hyperlink"/>
                <w:rFonts w:ascii="Times New Roman" w:hAnsi="Times New Roman" w:cs="Times New Roman"/>
                <w:b/>
                <w:bCs/>
                <w:noProof/>
                <w:sz w:val="24"/>
                <w:szCs w:val="24"/>
              </w:rPr>
              <w:t>1.5</w:t>
            </w:r>
            <w:r w:rsidRPr="001D121B">
              <w:rPr>
                <w:rFonts w:ascii="Times New Roman" w:hAnsi="Times New Roman" w:cs="Times New Roman"/>
                <w:noProof/>
                <w:sz w:val="24"/>
                <w:szCs w:val="24"/>
              </w:rPr>
              <w:tab/>
            </w:r>
            <w:r w:rsidRPr="001D121B">
              <w:rPr>
                <w:rStyle w:val="Hyperlink"/>
                <w:rFonts w:ascii="Times New Roman" w:hAnsi="Times New Roman" w:cs="Times New Roman"/>
                <w:b/>
                <w:bCs/>
                <w:noProof/>
                <w:sz w:val="24"/>
                <w:szCs w:val="24"/>
              </w:rPr>
              <w:t>Gearing Ratios</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_Toc227410902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11</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1"/>
            <w:tabs>
              <w:tab w:val="right" w:leader="dot" w:pos="9016"/>
            </w:tabs>
            <w:rPr>
              <w:rFonts w:ascii="Times New Roman" w:hAnsi="Times New Roman" w:cs="Times New Roman"/>
              <w:noProof/>
              <w:sz w:val="24"/>
              <w:szCs w:val="24"/>
            </w:rPr>
          </w:pPr>
          <w:hyperlink w:anchor="_Toc227410903" w:history="1">
            <w:r w:rsidRPr="001D121B">
              <w:rPr>
                <w:rStyle w:val="Hyperlink"/>
                <w:rFonts w:ascii="Times New Roman" w:hAnsi="Times New Roman" w:cs="Times New Roman"/>
                <w:noProof/>
                <w:sz w:val="24"/>
                <w:szCs w:val="24"/>
              </w:rPr>
              <w:t>PART II</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_Toc227410903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13</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1"/>
            <w:tabs>
              <w:tab w:val="right" w:leader="dot" w:pos="9016"/>
            </w:tabs>
            <w:rPr>
              <w:rFonts w:ascii="Times New Roman" w:hAnsi="Times New Roman" w:cs="Times New Roman"/>
              <w:noProof/>
              <w:sz w:val="24"/>
              <w:szCs w:val="24"/>
            </w:rPr>
          </w:pPr>
          <w:hyperlink w:anchor="_Toc227410904" w:history="1">
            <w:r w:rsidRPr="001D121B">
              <w:rPr>
                <w:rStyle w:val="Hyperlink"/>
                <w:rFonts w:ascii="Times New Roman" w:hAnsi="Times New Roman" w:cs="Times New Roman"/>
                <w:noProof/>
                <w:sz w:val="24"/>
                <w:szCs w:val="24"/>
              </w:rPr>
              <w:t>Executive Summary</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_Toc227410904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14</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1"/>
            <w:tabs>
              <w:tab w:val="right" w:leader="dot" w:pos="9016"/>
            </w:tabs>
            <w:rPr>
              <w:rFonts w:ascii="Times New Roman" w:hAnsi="Times New Roman" w:cs="Times New Roman"/>
              <w:noProof/>
              <w:sz w:val="24"/>
              <w:szCs w:val="24"/>
            </w:rPr>
          </w:pPr>
          <w:hyperlink w:anchor="_Toc227410905" w:history="1">
            <w:r w:rsidRPr="001D121B">
              <w:rPr>
                <w:rStyle w:val="Hyperlink"/>
                <w:rFonts w:ascii="Times New Roman" w:hAnsi="Times New Roman" w:cs="Times New Roman"/>
                <w:noProof/>
                <w:sz w:val="24"/>
                <w:szCs w:val="24"/>
              </w:rPr>
              <w:t>2.1 Introduction</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_Toc227410905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15</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1"/>
            <w:tabs>
              <w:tab w:val="right" w:leader="dot" w:pos="9016"/>
            </w:tabs>
            <w:rPr>
              <w:rFonts w:ascii="Times New Roman" w:hAnsi="Times New Roman" w:cs="Times New Roman"/>
              <w:noProof/>
              <w:sz w:val="24"/>
              <w:szCs w:val="24"/>
            </w:rPr>
          </w:pPr>
          <w:hyperlink w:anchor="_Toc227410906" w:history="1">
            <w:r w:rsidRPr="001D121B">
              <w:rPr>
                <w:rStyle w:val="Hyperlink"/>
                <w:rFonts w:ascii="Times New Roman" w:hAnsi="Times New Roman" w:cs="Times New Roman"/>
                <w:noProof/>
                <w:sz w:val="24"/>
                <w:szCs w:val="24"/>
              </w:rPr>
              <w:t>2.2 Analysis of Net Present Value and Internal Rate of Return</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_Toc227410906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15</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1"/>
            <w:tabs>
              <w:tab w:val="right" w:leader="dot" w:pos="9016"/>
            </w:tabs>
            <w:rPr>
              <w:rFonts w:ascii="Times New Roman" w:hAnsi="Times New Roman" w:cs="Times New Roman"/>
              <w:noProof/>
              <w:sz w:val="24"/>
              <w:szCs w:val="24"/>
            </w:rPr>
          </w:pPr>
          <w:hyperlink w:anchor="_Toc227410907" w:history="1">
            <w:r w:rsidRPr="001D121B">
              <w:rPr>
                <w:rStyle w:val="Hyperlink"/>
                <w:rFonts w:ascii="Times New Roman" w:hAnsi="Times New Roman" w:cs="Times New Roman"/>
                <w:noProof/>
                <w:sz w:val="24"/>
                <w:szCs w:val="24"/>
              </w:rPr>
              <w:t>1.4 Other Factors of Consideration</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_Toc227410907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17</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1"/>
            <w:tabs>
              <w:tab w:val="right" w:leader="dot" w:pos="9016"/>
            </w:tabs>
            <w:rPr>
              <w:rFonts w:ascii="Times New Roman" w:hAnsi="Times New Roman" w:cs="Times New Roman"/>
              <w:noProof/>
              <w:sz w:val="24"/>
              <w:szCs w:val="24"/>
            </w:rPr>
          </w:pPr>
          <w:hyperlink w:anchor="_Toc227410908" w:history="1">
            <w:r w:rsidRPr="001D121B">
              <w:rPr>
                <w:rStyle w:val="Hyperlink"/>
                <w:rFonts w:ascii="Times New Roman" w:hAnsi="Times New Roman" w:cs="Times New Roman"/>
                <w:noProof/>
                <w:sz w:val="24"/>
                <w:szCs w:val="24"/>
              </w:rPr>
              <w:t>1.5 Optimal Investment Policy for Beard Plc.</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_Toc227410908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19</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1"/>
            <w:tabs>
              <w:tab w:val="right" w:leader="dot" w:pos="9016"/>
            </w:tabs>
            <w:rPr>
              <w:rFonts w:ascii="Times New Roman" w:hAnsi="Times New Roman" w:cs="Times New Roman"/>
              <w:noProof/>
              <w:sz w:val="24"/>
              <w:szCs w:val="24"/>
            </w:rPr>
          </w:pPr>
          <w:hyperlink w:anchor="_Toc227410909" w:history="1">
            <w:r w:rsidRPr="001D121B">
              <w:rPr>
                <w:rStyle w:val="Hyperlink"/>
                <w:rFonts w:ascii="Times New Roman" w:hAnsi="Times New Roman" w:cs="Times New Roman"/>
                <w:noProof/>
                <w:sz w:val="24"/>
                <w:szCs w:val="24"/>
              </w:rPr>
              <w:t>1.6 Recommendation</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_Toc227410909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20</w:t>
            </w:r>
            <w:r w:rsidRPr="001D121B">
              <w:rPr>
                <w:rFonts w:ascii="Times New Roman" w:hAnsi="Times New Roman" w:cs="Times New Roman"/>
                <w:noProof/>
                <w:webHidden/>
                <w:sz w:val="24"/>
                <w:szCs w:val="24"/>
              </w:rPr>
              <w:fldChar w:fldCharType="end"/>
            </w:r>
          </w:hyperlink>
        </w:p>
        <w:p w:rsidR="0046283D" w:rsidRPr="001D121B" w:rsidRDefault="0046283D" w:rsidP="0046283D">
          <w:pPr>
            <w:pStyle w:val="TOC1"/>
            <w:tabs>
              <w:tab w:val="right" w:leader="dot" w:pos="9016"/>
            </w:tabs>
            <w:rPr>
              <w:rFonts w:ascii="Times New Roman" w:hAnsi="Times New Roman" w:cs="Times New Roman"/>
              <w:noProof/>
              <w:sz w:val="24"/>
              <w:szCs w:val="24"/>
            </w:rPr>
          </w:pPr>
          <w:hyperlink w:anchor="_Toc227410910" w:history="1">
            <w:r w:rsidRPr="001D121B">
              <w:rPr>
                <w:rStyle w:val="Hyperlink"/>
                <w:rFonts w:ascii="Times New Roman" w:hAnsi="Times New Roman" w:cs="Times New Roman"/>
                <w:noProof/>
                <w:sz w:val="24"/>
                <w:szCs w:val="24"/>
              </w:rPr>
              <w:t>Appendix</w:t>
            </w:r>
            <w:r w:rsidRPr="001D121B">
              <w:rPr>
                <w:rFonts w:ascii="Times New Roman" w:hAnsi="Times New Roman" w:cs="Times New Roman"/>
                <w:noProof/>
                <w:webHidden/>
                <w:sz w:val="24"/>
                <w:szCs w:val="24"/>
              </w:rPr>
              <w:tab/>
            </w:r>
            <w:r w:rsidRPr="001D121B">
              <w:rPr>
                <w:rFonts w:ascii="Times New Roman" w:hAnsi="Times New Roman" w:cs="Times New Roman"/>
                <w:noProof/>
                <w:webHidden/>
                <w:sz w:val="24"/>
                <w:szCs w:val="24"/>
              </w:rPr>
              <w:fldChar w:fldCharType="begin"/>
            </w:r>
            <w:r w:rsidRPr="001D121B">
              <w:rPr>
                <w:rFonts w:ascii="Times New Roman" w:hAnsi="Times New Roman" w:cs="Times New Roman"/>
                <w:noProof/>
                <w:webHidden/>
                <w:sz w:val="24"/>
                <w:szCs w:val="24"/>
              </w:rPr>
              <w:instrText xml:space="preserve"> PAGEREF _Toc227410910 \h </w:instrText>
            </w:r>
            <w:r w:rsidRPr="001D121B">
              <w:rPr>
                <w:rFonts w:ascii="Times New Roman" w:hAnsi="Times New Roman" w:cs="Times New Roman"/>
                <w:noProof/>
                <w:webHidden/>
                <w:sz w:val="24"/>
                <w:szCs w:val="24"/>
              </w:rPr>
            </w:r>
            <w:r w:rsidRPr="001D121B">
              <w:rPr>
                <w:rFonts w:ascii="Times New Roman" w:hAnsi="Times New Roman" w:cs="Times New Roman"/>
                <w:noProof/>
                <w:webHidden/>
                <w:sz w:val="24"/>
                <w:szCs w:val="24"/>
              </w:rPr>
              <w:fldChar w:fldCharType="separate"/>
            </w:r>
            <w:r w:rsidRPr="001D121B">
              <w:rPr>
                <w:rFonts w:ascii="Times New Roman" w:hAnsi="Times New Roman" w:cs="Times New Roman"/>
                <w:noProof/>
                <w:webHidden/>
                <w:sz w:val="24"/>
                <w:szCs w:val="24"/>
              </w:rPr>
              <w:t>21</w:t>
            </w:r>
            <w:r w:rsidRPr="001D121B">
              <w:rPr>
                <w:rFonts w:ascii="Times New Roman" w:hAnsi="Times New Roman" w:cs="Times New Roman"/>
                <w:noProof/>
                <w:webHidden/>
                <w:sz w:val="24"/>
                <w:szCs w:val="24"/>
              </w:rPr>
              <w:fldChar w:fldCharType="end"/>
            </w:r>
          </w:hyperlink>
        </w:p>
        <w:p w:rsidR="0046283D" w:rsidRDefault="0046283D" w:rsidP="0046283D">
          <w:pPr>
            <w:rPr>
              <w:rFonts w:cs="Times New Roman"/>
              <w:b/>
              <w:bCs/>
              <w:noProof/>
            </w:rPr>
          </w:pPr>
          <w:r w:rsidRPr="001D121B">
            <w:rPr>
              <w:rFonts w:cs="Times New Roman"/>
              <w:b/>
              <w:bCs/>
              <w:noProof/>
              <w:szCs w:val="24"/>
            </w:rPr>
            <w:fldChar w:fldCharType="end"/>
          </w:r>
        </w:p>
      </w:sdtContent>
    </w:sdt>
    <w:p w:rsidR="00C92A8F" w:rsidRPr="001D121B" w:rsidRDefault="00C92A8F" w:rsidP="00557E93">
      <w:pPr>
        <w:pStyle w:val="Heading1"/>
        <w:rPr>
          <w:rFonts w:cs="Times New Roman"/>
        </w:rPr>
      </w:pPr>
    </w:p>
    <w:p w:rsidR="00C92A8F" w:rsidRPr="001D121B" w:rsidRDefault="00C92A8F" w:rsidP="00557E93">
      <w:pPr>
        <w:pStyle w:val="Heading1"/>
        <w:rPr>
          <w:rFonts w:cs="Times New Roman"/>
        </w:rPr>
      </w:pPr>
    </w:p>
    <w:p w:rsidR="00C92A8F" w:rsidRPr="001D121B" w:rsidRDefault="00C92A8F" w:rsidP="00557E93">
      <w:pPr>
        <w:pStyle w:val="Heading1"/>
        <w:rPr>
          <w:rFonts w:cs="Times New Roman"/>
        </w:rPr>
      </w:pPr>
    </w:p>
    <w:p w:rsidR="00C92A8F" w:rsidRPr="001D121B" w:rsidRDefault="00C92A8F" w:rsidP="00C92A8F">
      <w:pPr>
        <w:pStyle w:val="Heading1"/>
        <w:jc w:val="center"/>
        <w:rPr>
          <w:rFonts w:cs="Times New Roman"/>
          <w:sz w:val="40"/>
          <w:szCs w:val="48"/>
        </w:rPr>
      </w:pPr>
    </w:p>
    <w:p w:rsidR="00C92A8F" w:rsidRPr="001D121B" w:rsidRDefault="00C92A8F" w:rsidP="00C92A8F">
      <w:pPr>
        <w:pStyle w:val="Heading1"/>
        <w:jc w:val="center"/>
        <w:rPr>
          <w:rFonts w:cs="Times New Roman"/>
          <w:sz w:val="40"/>
          <w:szCs w:val="48"/>
        </w:rPr>
      </w:pPr>
    </w:p>
    <w:p w:rsidR="00C92A8F" w:rsidRPr="001D121B" w:rsidRDefault="00C92A8F" w:rsidP="00C92A8F">
      <w:pPr>
        <w:pStyle w:val="Heading1"/>
        <w:jc w:val="center"/>
        <w:rPr>
          <w:rFonts w:cs="Times New Roman"/>
          <w:sz w:val="40"/>
          <w:szCs w:val="48"/>
        </w:rPr>
      </w:pPr>
    </w:p>
    <w:p w:rsidR="000A6E98" w:rsidRPr="001D121B" w:rsidRDefault="000A6E98" w:rsidP="000A6E98">
      <w:pPr>
        <w:pStyle w:val="Heading1"/>
        <w:jc w:val="center"/>
        <w:rPr>
          <w:rFonts w:cs="Times New Roman"/>
        </w:rPr>
      </w:pPr>
    </w:p>
    <w:p w:rsidR="0046283D" w:rsidRDefault="0046283D" w:rsidP="0046283D">
      <w:pPr>
        <w:pStyle w:val="Heading1"/>
        <w:rPr>
          <w:rFonts w:cs="Times New Roman"/>
        </w:rPr>
      </w:pPr>
      <w:bookmarkStart w:id="0" w:name="_Toc227410895"/>
    </w:p>
    <w:p w:rsidR="00C92A8F" w:rsidRPr="001D121B" w:rsidRDefault="00C92A8F" w:rsidP="0046283D">
      <w:pPr>
        <w:pStyle w:val="Heading1"/>
        <w:jc w:val="center"/>
        <w:rPr>
          <w:rFonts w:cs="Times New Roman"/>
        </w:rPr>
      </w:pPr>
      <w:r w:rsidRPr="001D121B">
        <w:rPr>
          <w:rFonts w:cs="Times New Roman"/>
        </w:rPr>
        <w:t>PART I</w:t>
      </w:r>
      <w:bookmarkEnd w:id="0"/>
    </w:p>
    <w:p w:rsidR="00C92A8F" w:rsidRPr="001D121B" w:rsidRDefault="00C92A8F" w:rsidP="00C92A8F">
      <w:pPr>
        <w:rPr>
          <w:rFonts w:eastAsiaTheme="majorEastAsia" w:cs="Times New Roman"/>
          <w:color w:val="2F5496" w:themeColor="accent1" w:themeShade="BF"/>
          <w:sz w:val="32"/>
          <w:szCs w:val="40"/>
        </w:rPr>
      </w:pPr>
      <w:r w:rsidRPr="001D121B">
        <w:rPr>
          <w:rFonts w:cs="Times New Roman"/>
        </w:rPr>
        <w:br w:type="page"/>
      </w:r>
    </w:p>
    <w:p w:rsidR="004D0BDD" w:rsidRPr="001D121B" w:rsidRDefault="004D0BDD" w:rsidP="004D0BDD">
      <w:pPr>
        <w:pStyle w:val="Heading1"/>
        <w:jc w:val="center"/>
        <w:rPr>
          <w:rFonts w:cs="Times New Roman"/>
        </w:rPr>
      </w:pPr>
      <w:bookmarkStart w:id="1" w:name="_Toc227410896"/>
      <w:r w:rsidRPr="001D121B">
        <w:rPr>
          <w:rFonts w:cs="Times New Roman"/>
        </w:rPr>
        <w:lastRenderedPageBreak/>
        <w:t>Executive Summary</w:t>
      </w:r>
      <w:bookmarkEnd w:id="1"/>
    </w:p>
    <w:p w:rsidR="00FE479C" w:rsidRPr="001D121B" w:rsidRDefault="00FE479C" w:rsidP="00FE479C">
      <w:pPr>
        <w:rPr>
          <w:rFonts w:cs="Times New Roman"/>
        </w:rPr>
      </w:pPr>
    </w:p>
    <w:p w:rsidR="00A35D47" w:rsidRPr="00EA7C60" w:rsidRDefault="00361BAC" w:rsidP="00EA7C60">
      <w:pPr>
        <w:rPr>
          <w:rFonts w:eastAsiaTheme="majorEastAsia" w:cs="Times New Roman"/>
          <w:color w:val="2F5496" w:themeColor="accent1" w:themeShade="BF"/>
          <w:sz w:val="32"/>
          <w:szCs w:val="40"/>
        </w:rPr>
      </w:pPr>
      <w:r w:rsidRPr="001D121B">
        <w:rPr>
          <w:rFonts w:cs="Times New Roman"/>
        </w:rPr>
        <w:t xml:space="preserve">The first of the report analyses the financial health and other factors of two of the leading companies listed in the London Stock Exchange: AstraZeneca and Unilever Plc. using some common ratios. </w:t>
      </w:r>
      <w:r w:rsidR="00216A60" w:rsidRPr="001D121B">
        <w:rPr>
          <w:rFonts w:cs="Times New Roman"/>
        </w:rPr>
        <w:t>Beginning with the profitability ratios, gross profit ratios of both the companies have been in the industry standard for the two years, but both took a huge leap in terms of their net profit ratio</w:t>
      </w:r>
      <w:r w:rsidR="00C368C6" w:rsidRPr="001D121B">
        <w:rPr>
          <w:rFonts w:cs="Times New Roman"/>
        </w:rPr>
        <w:t xml:space="preserve"> in 2025</w:t>
      </w:r>
      <w:r w:rsidR="00216A60" w:rsidRPr="001D121B">
        <w:rPr>
          <w:rFonts w:cs="Times New Roman"/>
        </w:rPr>
        <w:t>, which could be due to a major event boosting their profitability.</w:t>
      </w:r>
      <w:r w:rsidR="00F54447" w:rsidRPr="001D121B">
        <w:rPr>
          <w:rFonts w:cs="Times New Roman"/>
        </w:rPr>
        <w:t xml:space="preserve"> Return on capital employed (ROCE)</w:t>
      </w:r>
      <w:r w:rsidR="00C65080" w:rsidRPr="001D121B">
        <w:rPr>
          <w:rFonts w:cs="Times New Roman"/>
        </w:rPr>
        <w:t xml:space="preserve"> for AstraZeneca increased quite a bit. Both the companies proved to be quite profitable for the years, possibly due to major events like AstraZeneca making about $1 billion from finally selling 16 of their newly developed drugs and Unilever taking a few important financial decisions, such as demerging a low-margin unit or executing a productivity plan saving $670 millions.</w:t>
      </w:r>
      <w:r w:rsidR="00524BE2" w:rsidRPr="001D121B">
        <w:rPr>
          <w:rFonts w:cs="Times New Roman"/>
        </w:rPr>
        <w:t xml:space="preserve"> However, </w:t>
      </w:r>
      <w:r w:rsidR="009C6862" w:rsidRPr="001D121B">
        <w:rPr>
          <w:rFonts w:cs="Times New Roman"/>
        </w:rPr>
        <w:t xml:space="preserve">their efficiency ratios are not very promising, especially, in terms of managing liabilities and receivables. Debtors’ and creditors’ days are both far from the standard even for blue-chips. Similarly, they fell slightly behind of efficient use of assets and inventory, judging by their stock days, asset turnover, and stock turnover ratios of the two years. </w:t>
      </w:r>
      <w:r w:rsidR="00106CC8" w:rsidRPr="001D121B">
        <w:rPr>
          <w:rFonts w:cs="Times New Roman"/>
        </w:rPr>
        <w:t>Efficiency</w:t>
      </w:r>
      <w:r w:rsidR="009C6862" w:rsidRPr="001D121B">
        <w:rPr>
          <w:rFonts w:cs="Times New Roman"/>
        </w:rPr>
        <w:t xml:space="preserve"> should</w:t>
      </w:r>
      <w:r w:rsidR="00106CC8" w:rsidRPr="001D121B">
        <w:rPr>
          <w:rFonts w:cs="Times New Roman"/>
        </w:rPr>
        <w:t xml:space="preserve"> definitely</w:t>
      </w:r>
      <w:r w:rsidR="009C6862" w:rsidRPr="001D121B">
        <w:rPr>
          <w:rFonts w:cs="Times New Roman"/>
        </w:rPr>
        <w:t xml:space="preserve"> be improved.</w:t>
      </w:r>
      <w:r w:rsidR="00F13284" w:rsidRPr="001D121B">
        <w:rPr>
          <w:rFonts w:cs="Times New Roman"/>
        </w:rPr>
        <w:t xml:space="preserve"> Likewise, analysis of their liquidity using current and quick ratios proves that both the companies do not have enough current assets to meet their current liabilities any given period. This should not be a problem for such profitable and stable large-scale businesses, but should still be put under consideration for better financial health and safety.</w:t>
      </w:r>
      <w:r w:rsidR="004D0BDD" w:rsidRPr="001D121B">
        <w:rPr>
          <w:rFonts w:cs="Times New Roman"/>
        </w:rPr>
        <w:br w:type="page"/>
      </w:r>
      <w:bookmarkStart w:id="2" w:name="_Toc227410897"/>
      <w:r w:rsidR="00EA7C60" w:rsidRPr="00EA7C60">
        <w:rPr>
          <w:rStyle w:val="Heading1Char"/>
        </w:rPr>
        <w:lastRenderedPageBreak/>
        <w:t>1.1 I</w:t>
      </w:r>
      <w:r w:rsidR="000C2F4B" w:rsidRPr="00EA7C60">
        <w:rPr>
          <w:rStyle w:val="Heading1Char"/>
        </w:rPr>
        <w:t>ntroduction</w:t>
      </w:r>
      <w:bookmarkEnd w:id="2"/>
    </w:p>
    <w:p w:rsidR="000C2F4B" w:rsidRPr="001D121B" w:rsidRDefault="000C2F4B" w:rsidP="000C2F4B">
      <w:pPr>
        <w:rPr>
          <w:rFonts w:cs="Times New Roman"/>
        </w:rPr>
      </w:pPr>
    </w:p>
    <w:p w:rsidR="00A35D47" w:rsidRPr="001D121B" w:rsidRDefault="000C2F4B" w:rsidP="00A35D47">
      <w:pPr>
        <w:rPr>
          <w:rFonts w:cs="Times New Roman"/>
        </w:rPr>
      </w:pPr>
      <w:r w:rsidRPr="001D121B">
        <w:rPr>
          <w:rFonts w:cs="Times New Roman"/>
        </w:rPr>
        <w:t xml:space="preserve">Two companies used for the first part of this report are AstraZeneca and </w:t>
      </w:r>
      <w:r w:rsidR="00B6008E" w:rsidRPr="001D121B">
        <w:rPr>
          <w:rFonts w:cs="Times New Roman"/>
        </w:rPr>
        <w:t>Unilever Plc</w:t>
      </w:r>
      <w:r w:rsidRPr="001D121B">
        <w:rPr>
          <w:rFonts w:cs="Times New Roman"/>
        </w:rPr>
        <w:t>. Both of them are publicly listed on the London Stock Exchange and are in the FTSE 100 index. The annual reports of the past two years of these companies have been used for th</w:t>
      </w:r>
      <w:r w:rsidR="00FC0337" w:rsidRPr="001D121B">
        <w:rPr>
          <w:rFonts w:cs="Times New Roman"/>
        </w:rPr>
        <w:t>is</w:t>
      </w:r>
      <w:r w:rsidRPr="001D121B">
        <w:rPr>
          <w:rFonts w:cs="Times New Roman"/>
        </w:rPr>
        <w:t xml:space="preserve"> report. This part of the report aims to calculate ratios and analyse them to evaluate their individual financial health and make recommendations</w:t>
      </w:r>
      <w:r w:rsidR="0006665F" w:rsidRPr="001D121B">
        <w:rPr>
          <w:rFonts w:cs="Times New Roman"/>
        </w:rPr>
        <w:t xml:space="preserve"> to the management</w:t>
      </w:r>
      <w:r w:rsidRPr="001D121B">
        <w:rPr>
          <w:rFonts w:cs="Times New Roman"/>
        </w:rPr>
        <w:t xml:space="preserve"> for the improvement of the companies.</w:t>
      </w:r>
    </w:p>
    <w:p w:rsidR="008A44BA" w:rsidRPr="001D121B" w:rsidRDefault="008A44BA" w:rsidP="00A35D47">
      <w:pPr>
        <w:rPr>
          <w:rFonts w:cs="Times New Roman"/>
        </w:rPr>
      </w:pPr>
    </w:p>
    <w:p w:rsidR="008A44BA" w:rsidRPr="001D121B" w:rsidRDefault="00EA7C60" w:rsidP="00EA7C60">
      <w:pPr>
        <w:pStyle w:val="Heading1"/>
      </w:pPr>
      <w:bookmarkStart w:id="3" w:name="_Toc227410898"/>
      <w:r>
        <w:t xml:space="preserve">1.2 </w:t>
      </w:r>
      <w:r w:rsidR="008A44BA" w:rsidRPr="001D121B">
        <w:t>Profitability Ratios</w:t>
      </w:r>
      <w:bookmarkEnd w:id="3"/>
    </w:p>
    <w:p w:rsidR="008A44BA" w:rsidRPr="001D121B" w:rsidRDefault="008A44BA" w:rsidP="008A44BA">
      <w:pPr>
        <w:rPr>
          <w:rFonts w:cs="Times New Roman"/>
        </w:rPr>
      </w:pPr>
    </w:p>
    <w:p w:rsidR="00A7069F" w:rsidRPr="001D121B" w:rsidRDefault="007E7EE2" w:rsidP="008A44BA">
      <w:pPr>
        <w:rPr>
          <w:rFonts w:cs="Times New Roman"/>
        </w:rPr>
      </w:pPr>
      <w:r w:rsidRPr="001D121B">
        <w:rPr>
          <w:rFonts w:cs="Times New Roman"/>
        </w:rPr>
        <w:t>Profitability ratios are used to measure how much revenue a company can generate against its expenses, revenue, assets, capital, etc. items. The common profitability ratios for the y</w:t>
      </w:r>
      <w:r w:rsidR="00232A80" w:rsidRPr="001D121B">
        <w:rPr>
          <w:rFonts w:cs="Times New Roman"/>
        </w:rPr>
        <w:t>e</w:t>
      </w:r>
      <w:r w:rsidRPr="001D121B">
        <w:rPr>
          <w:rFonts w:cs="Times New Roman"/>
        </w:rPr>
        <w:t xml:space="preserve">ars 2024 and 2025 </w:t>
      </w:r>
      <w:r w:rsidR="00232A80" w:rsidRPr="001D121B">
        <w:rPr>
          <w:rFonts w:cs="Times New Roman"/>
        </w:rPr>
        <w:t xml:space="preserve">for both the companies </w:t>
      </w:r>
      <w:r w:rsidRPr="001D121B">
        <w:rPr>
          <w:rFonts w:cs="Times New Roman"/>
        </w:rPr>
        <w:t>have been calculated and analysed below:</w:t>
      </w:r>
    </w:p>
    <w:p w:rsidR="007E7EE2" w:rsidRPr="001D121B" w:rsidRDefault="007E7EE2" w:rsidP="008A44BA">
      <w:pPr>
        <w:rPr>
          <w:rFonts w:cs="Times New Roman"/>
        </w:rPr>
      </w:pPr>
    </w:p>
    <w:p w:rsidR="00AB0E22" w:rsidRPr="001D121B" w:rsidRDefault="008A44BA" w:rsidP="00AB0E22">
      <w:pPr>
        <w:pStyle w:val="ListParagraph"/>
        <w:numPr>
          <w:ilvl w:val="0"/>
          <w:numId w:val="9"/>
        </w:numPr>
        <w:rPr>
          <w:rFonts w:cs="Times New Roman"/>
        </w:rPr>
      </w:pPr>
      <w:r w:rsidRPr="001D121B">
        <w:rPr>
          <w:rFonts w:cs="Times New Roman"/>
          <w:b/>
          <w:bCs/>
        </w:rPr>
        <w:t>Gross profit</w:t>
      </w:r>
      <w:r w:rsidR="003B605A" w:rsidRPr="001D121B">
        <w:rPr>
          <w:rFonts w:cs="Times New Roman"/>
          <w:b/>
          <w:bCs/>
        </w:rPr>
        <w:t xml:space="preserve"> (GP)</w:t>
      </w:r>
      <w:r w:rsidRPr="001D121B">
        <w:rPr>
          <w:rFonts w:cs="Times New Roman"/>
          <w:b/>
          <w:bCs/>
        </w:rPr>
        <w:t xml:space="preserve"> ratio</w:t>
      </w:r>
      <w:r w:rsidR="002456E9" w:rsidRPr="001D121B">
        <w:rPr>
          <w:rFonts w:cs="Times New Roman"/>
          <w:b/>
          <w:bCs/>
        </w:rPr>
        <w:t xml:space="preserve">: </w:t>
      </w:r>
      <w:r w:rsidR="002456E9" w:rsidRPr="001D121B">
        <w:rPr>
          <w:rFonts w:cs="Times New Roman"/>
        </w:rPr>
        <w:t>This ratio</w:t>
      </w:r>
      <w:r w:rsidRPr="001D121B">
        <w:rPr>
          <w:rFonts w:cs="Times New Roman"/>
        </w:rPr>
        <w:t xml:space="preserve"> demonstrates how much revenue exceeds costs of goods sold (COGS) in percentage.</w:t>
      </w:r>
      <w:r w:rsidR="003B605A" w:rsidRPr="001D121B">
        <w:rPr>
          <w:rFonts w:cs="Times New Roman"/>
        </w:rPr>
        <w:t xml:space="preserve"> COGS is the cost of production. There are other expenses to cover too. GP ratio shows how much money is left to cover operating and other expenses and taxes after covering COGS.</w:t>
      </w:r>
      <w:r w:rsidR="00B443EE" w:rsidRPr="001D121B">
        <w:rPr>
          <w:rFonts w:cs="Times New Roman"/>
        </w:rPr>
        <w:t xml:space="preserve"> A pharmaceuticals company has comparatively less COGS than a retailer. In that sense, both the companies are doing very well in covering their COGS with their respective revenue.</w:t>
      </w:r>
    </w:p>
    <w:p w:rsidR="00AB0E22" w:rsidRPr="001D121B" w:rsidRDefault="00AE7328" w:rsidP="008B5898">
      <w:pPr>
        <w:ind w:left="1080"/>
        <w:rPr>
          <w:rFonts w:cs="Times New Roman"/>
          <w:b/>
          <w:bCs/>
        </w:rPr>
      </w:pPr>
      <w:r w:rsidRPr="001D121B">
        <w:rPr>
          <w:rFonts w:cs="Times New Roman"/>
          <w:b/>
          <w:bCs/>
        </w:rPr>
        <w:t xml:space="preserve">GP ratio </w:t>
      </w:r>
      <w:r w:rsidR="00E67F90" w:rsidRPr="001D121B">
        <w:rPr>
          <w:rFonts w:cs="Times New Roman"/>
          <w:b/>
          <w:bCs/>
        </w:rPr>
        <w:t>for the year 2024:</w:t>
      </w:r>
    </w:p>
    <w:p w:rsidR="00E67F90" w:rsidRPr="001D121B" w:rsidRDefault="00E67F90" w:rsidP="00E67F90">
      <w:pPr>
        <w:pStyle w:val="ListParagraph"/>
        <w:ind w:left="1080"/>
        <w:jc w:val="left"/>
        <w:rPr>
          <w:rFonts w:eastAsiaTheme="minorEastAsia" w:cs="Times New Roman"/>
        </w:rPr>
      </w:pPr>
      <w:r w:rsidRPr="001D121B">
        <w:rPr>
          <w:rFonts w:eastAsiaTheme="minorEastAsia" w:cs="Times New Roman"/>
        </w:rPr>
        <w:t xml:space="preserve">AstraZeneca = 86.11% </w:t>
      </w:r>
    </w:p>
    <w:p w:rsidR="00E67F90" w:rsidRPr="001D121B" w:rsidRDefault="00E67F90" w:rsidP="00E67F90">
      <w:pPr>
        <w:pStyle w:val="ListParagraph"/>
        <w:ind w:left="1080"/>
        <w:jc w:val="left"/>
        <w:rPr>
          <w:rFonts w:eastAsiaTheme="minorEastAsia" w:cs="Times New Roman"/>
        </w:rPr>
      </w:pPr>
      <w:r w:rsidRPr="001D121B">
        <w:rPr>
          <w:rFonts w:eastAsiaTheme="minorEastAsia" w:cs="Times New Roman"/>
        </w:rPr>
        <w:t>Unilever = 46.7%</w:t>
      </w:r>
    </w:p>
    <w:p w:rsidR="00E67F90" w:rsidRPr="001D121B" w:rsidRDefault="00E67F90" w:rsidP="008B5898">
      <w:pPr>
        <w:ind w:left="720"/>
        <w:jc w:val="left"/>
        <w:rPr>
          <w:rFonts w:eastAsiaTheme="minorEastAsia" w:cs="Times New Roman"/>
          <w:b/>
          <w:bCs/>
        </w:rPr>
      </w:pPr>
      <w:r w:rsidRPr="001D121B">
        <w:rPr>
          <w:rFonts w:eastAsiaTheme="minorEastAsia" w:cs="Times New Roman"/>
          <w:b/>
          <w:bCs/>
        </w:rPr>
        <w:t xml:space="preserve">      GP ratio for the year 2025:</w:t>
      </w:r>
    </w:p>
    <w:p w:rsidR="00E67F90" w:rsidRPr="001D121B" w:rsidRDefault="00E67F90" w:rsidP="00E67F90">
      <w:pPr>
        <w:pStyle w:val="ListParagraph"/>
        <w:ind w:left="1080"/>
        <w:jc w:val="left"/>
        <w:rPr>
          <w:rFonts w:eastAsiaTheme="minorEastAsia" w:cs="Times New Roman"/>
        </w:rPr>
      </w:pPr>
      <w:r w:rsidRPr="001D121B">
        <w:rPr>
          <w:rFonts w:eastAsiaTheme="minorEastAsia" w:cs="Times New Roman"/>
        </w:rPr>
        <w:t>AstraZeneca = 86.56%</w:t>
      </w:r>
    </w:p>
    <w:p w:rsidR="00E67F90" w:rsidRPr="001D121B" w:rsidRDefault="00E67F90" w:rsidP="00E67F90">
      <w:pPr>
        <w:pStyle w:val="ListParagraph"/>
        <w:ind w:left="1080"/>
        <w:jc w:val="left"/>
        <w:rPr>
          <w:rFonts w:eastAsiaTheme="minorEastAsia" w:cs="Times New Roman"/>
        </w:rPr>
      </w:pPr>
      <w:r w:rsidRPr="001D121B">
        <w:rPr>
          <w:rFonts w:eastAsiaTheme="minorEastAsia" w:cs="Times New Roman"/>
        </w:rPr>
        <w:t>Unilever = 46.94%</w:t>
      </w:r>
    </w:p>
    <w:p w:rsidR="004D0BDD" w:rsidRPr="001D121B" w:rsidRDefault="004D0BDD" w:rsidP="00E67F90">
      <w:pPr>
        <w:pStyle w:val="ListParagraph"/>
        <w:ind w:left="1080"/>
        <w:jc w:val="left"/>
        <w:rPr>
          <w:rFonts w:eastAsiaTheme="minorEastAsia" w:cs="Times New Roman"/>
        </w:rPr>
      </w:pPr>
    </w:p>
    <w:p w:rsidR="004D0BDD" w:rsidRPr="001D121B" w:rsidRDefault="004D0BDD">
      <w:pPr>
        <w:spacing w:line="240" w:lineRule="auto"/>
        <w:jc w:val="left"/>
        <w:rPr>
          <w:rFonts w:eastAsiaTheme="minorEastAsia" w:cs="Times New Roman"/>
          <w:b/>
          <w:bCs/>
        </w:rPr>
      </w:pPr>
      <w:r w:rsidRPr="001D121B">
        <w:rPr>
          <w:rFonts w:eastAsiaTheme="minorEastAsia" w:cs="Times New Roman"/>
          <w:b/>
          <w:bCs/>
        </w:rPr>
        <w:br w:type="page"/>
      </w:r>
    </w:p>
    <w:p w:rsidR="00395054" w:rsidRPr="001D121B" w:rsidRDefault="00AF2046" w:rsidP="008B5898">
      <w:pPr>
        <w:pStyle w:val="ListParagraph"/>
        <w:numPr>
          <w:ilvl w:val="0"/>
          <w:numId w:val="9"/>
        </w:numPr>
        <w:rPr>
          <w:rFonts w:cs="Times New Roman"/>
          <w:b/>
          <w:bCs/>
        </w:rPr>
      </w:pPr>
      <w:r w:rsidRPr="001D121B">
        <w:rPr>
          <w:rFonts w:eastAsiaTheme="minorEastAsia" w:cs="Times New Roman"/>
          <w:b/>
          <w:bCs/>
        </w:rPr>
        <w:lastRenderedPageBreak/>
        <w:t xml:space="preserve">Net profit ratio: </w:t>
      </w:r>
      <w:r w:rsidRPr="001D121B">
        <w:rPr>
          <w:rFonts w:eastAsiaTheme="minorEastAsia" w:cs="Times New Roman"/>
        </w:rPr>
        <w:t xml:space="preserve">The net profit ratio </w:t>
      </w:r>
      <w:r w:rsidR="00BC668C" w:rsidRPr="001D121B">
        <w:rPr>
          <w:rFonts w:eastAsiaTheme="minorEastAsia" w:cs="Times New Roman"/>
        </w:rPr>
        <w:t>or the net profit margin measures efficiency and financial health. A low ratio suggests high risks whereas a high ratio suggests good management and proper risk mitigation.</w:t>
      </w:r>
      <w:r w:rsidR="004D0BDD" w:rsidRPr="001D121B">
        <w:rPr>
          <w:rFonts w:eastAsiaTheme="minorEastAsia" w:cs="Times New Roman"/>
        </w:rPr>
        <w:t xml:space="preserve"> Both the companies had a huge leap from the previous year in terms of this ratio. </w:t>
      </w:r>
    </w:p>
    <w:p w:rsidR="00BC668C" w:rsidRPr="001D121B" w:rsidRDefault="00BC668C" w:rsidP="00395054">
      <w:pPr>
        <w:pStyle w:val="ListParagraph"/>
        <w:ind w:left="1080"/>
        <w:rPr>
          <w:rFonts w:cs="Times New Roman"/>
          <w:b/>
          <w:bCs/>
        </w:rPr>
      </w:pPr>
      <w:r w:rsidRPr="001D121B">
        <w:rPr>
          <w:rFonts w:cs="Times New Roman"/>
          <w:b/>
          <w:bCs/>
        </w:rPr>
        <w:t>Net profit ratio for the year 2024:</w:t>
      </w:r>
    </w:p>
    <w:p w:rsidR="00894667" w:rsidRPr="001D121B" w:rsidRDefault="00BC668C" w:rsidP="00BC668C">
      <w:pPr>
        <w:ind w:left="360"/>
        <w:jc w:val="left"/>
        <w:rPr>
          <w:rFonts w:eastAsiaTheme="minorEastAsia" w:cs="Times New Roman"/>
        </w:rPr>
      </w:pPr>
      <w:r w:rsidRPr="001D121B">
        <w:rPr>
          <w:rFonts w:eastAsiaTheme="minorEastAsia" w:cs="Times New Roman"/>
        </w:rPr>
        <w:t xml:space="preserve">            </w:t>
      </w:r>
      <w:r w:rsidR="00894667" w:rsidRPr="001D121B">
        <w:rPr>
          <w:rFonts w:eastAsiaTheme="minorEastAsia" w:cs="Times New Roman"/>
        </w:rPr>
        <w:t>AstraZeneca = 13%</w:t>
      </w:r>
    </w:p>
    <w:p w:rsidR="00894667" w:rsidRPr="001D121B" w:rsidRDefault="00894667" w:rsidP="00894667">
      <w:pPr>
        <w:pStyle w:val="ListParagraph"/>
        <w:ind w:left="1080"/>
        <w:jc w:val="left"/>
        <w:rPr>
          <w:rFonts w:eastAsiaTheme="minorEastAsia" w:cs="Times New Roman"/>
        </w:rPr>
      </w:pPr>
      <w:r w:rsidRPr="001D121B">
        <w:rPr>
          <w:rFonts w:eastAsiaTheme="minorEastAsia" w:cs="Times New Roman"/>
        </w:rPr>
        <w:t>Unilever = 12.13%</w:t>
      </w:r>
    </w:p>
    <w:p w:rsidR="00BC668C" w:rsidRPr="001D121B" w:rsidRDefault="00BC668C" w:rsidP="008B5898">
      <w:pPr>
        <w:ind w:left="1080"/>
        <w:rPr>
          <w:rFonts w:cs="Times New Roman"/>
          <w:b/>
          <w:bCs/>
        </w:rPr>
      </w:pPr>
      <w:r w:rsidRPr="001D121B">
        <w:rPr>
          <w:rFonts w:cs="Times New Roman"/>
          <w:b/>
          <w:bCs/>
        </w:rPr>
        <w:t>Net profit ratio for the year 2025:</w:t>
      </w:r>
    </w:p>
    <w:p w:rsidR="00894667" w:rsidRPr="001D121B" w:rsidRDefault="00894667" w:rsidP="00894667">
      <w:pPr>
        <w:pStyle w:val="ListParagraph"/>
        <w:ind w:left="1080"/>
        <w:jc w:val="left"/>
        <w:rPr>
          <w:rFonts w:eastAsiaTheme="minorEastAsia" w:cs="Times New Roman"/>
        </w:rPr>
      </w:pPr>
      <w:r w:rsidRPr="001D121B">
        <w:rPr>
          <w:rFonts w:eastAsiaTheme="minorEastAsia" w:cs="Times New Roman"/>
        </w:rPr>
        <w:t>AstraZeneca = 17.42%</w:t>
      </w:r>
    </w:p>
    <w:p w:rsidR="00894667" w:rsidRPr="001D121B" w:rsidRDefault="00894667" w:rsidP="00894667">
      <w:pPr>
        <w:pStyle w:val="ListParagraph"/>
        <w:ind w:left="1080"/>
        <w:jc w:val="left"/>
        <w:rPr>
          <w:rFonts w:eastAsiaTheme="minorEastAsia" w:cs="Times New Roman"/>
        </w:rPr>
      </w:pPr>
      <w:r w:rsidRPr="001D121B">
        <w:rPr>
          <w:rFonts w:eastAsiaTheme="minorEastAsia" w:cs="Times New Roman"/>
        </w:rPr>
        <w:t>Unilever = 19.82%</w:t>
      </w:r>
    </w:p>
    <w:p w:rsidR="004D0BDD" w:rsidRPr="001D121B" w:rsidRDefault="004D0BDD" w:rsidP="00894667">
      <w:pPr>
        <w:pStyle w:val="ListParagraph"/>
        <w:ind w:left="1080"/>
        <w:jc w:val="left"/>
        <w:rPr>
          <w:rFonts w:eastAsiaTheme="minorEastAsia" w:cs="Times New Roman"/>
        </w:rPr>
      </w:pPr>
    </w:p>
    <w:p w:rsidR="00840E30" w:rsidRPr="001D121B" w:rsidRDefault="00232CC1" w:rsidP="00E71C35">
      <w:pPr>
        <w:pStyle w:val="ListParagraph"/>
        <w:numPr>
          <w:ilvl w:val="0"/>
          <w:numId w:val="9"/>
        </w:numPr>
        <w:rPr>
          <w:rFonts w:eastAsiaTheme="minorEastAsia" w:cs="Times New Roman"/>
        </w:rPr>
      </w:pPr>
      <w:r w:rsidRPr="001D121B">
        <w:rPr>
          <w:rFonts w:eastAsiaTheme="minorEastAsia" w:cs="Times New Roman"/>
          <w:b/>
          <w:bCs/>
        </w:rPr>
        <w:t>Return on capital employed</w:t>
      </w:r>
      <w:r w:rsidR="005D683D" w:rsidRPr="001D121B">
        <w:rPr>
          <w:rFonts w:eastAsiaTheme="minorEastAsia" w:cs="Times New Roman"/>
          <w:b/>
          <w:bCs/>
        </w:rPr>
        <w:t xml:space="preserve"> (ROCE): </w:t>
      </w:r>
      <w:r w:rsidR="000D573E" w:rsidRPr="001D121B">
        <w:rPr>
          <w:rFonts w:eastAsiaTheme="minorEastAsia" w:cs="Times New Roman"/>
        </w:rPr>
        <w:t>This ratio show</w:t>
      </w:r>
      <w:r w:rsidR="009E302C" w:rsidRPr="001D121B">
        <w:rPr>
          <w:rFonts w:eastAsiaTheme="minorEastAsia" w:cs="Times New Roman"/>
        </w:rPr>
        <w:t>s</w:t>
      </w:r>
      <w:r w:rsidR="000D573E" w:rsidRPr="001D121B">
        <w:rPr>
          <w:rFonts w:eastAsiaTheme="minorEastAsia" w:cs="Times New Roman"/>
        </w:rPr>
        <w:t xml:space="preserve"> how efficiently a company uses its capital to generate profit.</w:t>
      </w:r>
      <w:r w:rsidR="00E71C35" w:rsidRPr="001D121B">
        <w:rPr>
          <w:rFonts w:eastAsiaTheme="minorEastAsia" w:cs="Times New Roman"/>
        </w:rPr>
        <w:t xml:space="preserve"> AstraZeneca had a spike in this ratio as well, proving a huge return on their capital base. On the other hand, Unilever has a lean efficiency.</w:t>
      </w:r>
    </w:p>
    <w:p w:rsidR="00E30CCB" w:rsidRPr="001D121B" w:rsidRDefault="00E30CCB" w:rsidP="00E71C35">
      <w:pPr>
        <w:ind w:left="1080"/>
        <w:jc w:val="left"/>
        <w:rPr>
          <w:rFonts w:eastAsiaTheme="minorEastAsia" w:cs="Times New Roman"/>
          <w:b/>
          <w:bCs/>
        </w:rPr>
      </w:pPr>
      <w:r w:rsidRPr="001D121B">
        <w:rPr>
          <w:rFonts w:eastAsiaTheme="minorEastAsia" w:cs="Times New Roman"/>
          <w:b/>
          <w:bCs/>
        </w:rPr>
        <w:t>ROCE for the year 2024:</w:t>
      </w:r>
    </w:p>
    <w:p w:rsidR="009E302C" w:rsidRPr="001D121B" w:rsidRDefault="009E302C" w:rsidP="009E302C">
      <w:pPr>
        <w:pStyle w:val="ListParagraph"/>
        <w:ind w:left="1080"/>
        <w:jc w:val="left"/>
        <w:rPr>
          <w:rFonts w:eastAsiaTheme="minorEastAsia" w:cs="Times New Roman"/>
        </w:rPr>
      </w:pPr>
      <w:r w:rsidRPr="001D121B">
        <w:rPr>
          <w:rFonts w:eastAsiaTheme="minorEastAsia" w:cs="Times New Roman"/>
        </w:rPr>
        <w:t>AstraZeneca</w:t>
      </w:r>
      <w:r w:rsidR="00E30CCB" w:rsidRPr="001D121B">
        <w:rPr>
          <w:rFonts w:eastAsiaTheme="minorEastAsia" w:cs="Times New Roman"/>
        </w:rPr>
        <w:t xml:space="preserve"> </w:t>
      </w:r>
      <w:r w:rsidRPr="001D121B">
        <w:rPr>
          <w:rFonts w:eastAsiaTheme="minorEastAsia" w:cs="Times New Roman"/>
        </w:rPr>
        <w:t>= 19.61%</w:t>
      </w:r>
    </w:p>
    <w:p w:rsidR="009E302C" w:rsidRPr="001D121B" w:rsidRDefault="009E302C" w:rsidP="009E302C">
      <w:pPr>
        <w:pStyle w:val="ListParagraph"/>
        <w:ind w:left="1080"/>
        <w:jc w:val="left"/>
        <w:rPr>
          <w:rFonts w:eastAsiaTheme="minorEastAsia" w:cs="Times New Roman"/>
        </w:rPr>
      </w:pPr>
      <w:r w:rsidRPr="001D121B">
        <w:rPr>
          <w:rFonts w:eastAsiaTheme="minorEastAsia" w:cs="Times New Roman"/>
        </w:rPr>
        <w:t>Unilever</w:t>
      </w:r>
      <w:r w:rsidR="00E30CCB" w:rsidRPr="001D121B">
        <w:rPr>
          <w:rFonts w:eastAsiaTheme="minorEastAsia" w:cs="Times New Roman"/>
        </w:rPr>
        <w:t xml:space="preserve"> = </w:t>
      </w:r>
      <w:r w:rsidR="00330371" w:rsidRPr="001D121B">
        <w:rPr>
          <w:rFonts w:eastAsiaTheme="minorEastAsia" w:cs="Times New Roman"/>
        </w:rPr>
        <w:t>1</w:t>
      </w:r>
      <w:r w:rsidR="00E71C35" w:rsidRPr="001D121B">
        <w:rPr>
          <w:rFonts w:eastAsiaTheme="minorEastAsia" w:cs="Times New Roman"/>
        </w:rPr>
        <w:t>8.98</w:t>
      </w:r>
      <w:r w:rsidRPr="001D121B">
        <w:rPr>
          <w:rFonts w:eastAsiaTheme="minorEastAsia" w:cs="Times New Roman"/>
        </w:rPr>
        <w:t>%</w:t>
      </w:r>
    </w:p>
    <w:p w:rsidR="00E30CCB" w:rsidRPr="001D121B" w:rsidRDefault="00E30CCB" w:rsidP="00E71C35">
      <w:pPr>
        <w:ind w:left="1080"/>
        <w:jc w:val="left"/>
        <w:rPr>
          <w:rFonts w:eastAsiaTheme="minorEastAsia" w:cs="Times New Roman"/>
          <w:b/>
          <w:bCs/>
        </w:rPr>
      </w:pPr>
      <w:r w:rsidRPr="001D121B">
        <w:rPr>
          <w:rFonts w:eastAsiaTheme="minorEastAsia" w:cs="Times New Roman"/>
          <w:b/>
          <w:bCs/>
        </w:rPr>
        <w:t>ROCE for the year 2025:</w:t>
      </w:r>
    </w:p>
    <w:p w:rsidR="009E302C" w:rsidRPr="001D121B" w:rsidRDefault="009E302C" w:rsidP="009E302C">
      <w:pPr>
        <w:pStyle w:val="ListParagraph"/>
        <w:ind w:left="1080"/>
        <w:jc w:val="left"/>
        <w:rPr>
          <w:rFonts w:eastAsiaTheme="minorEastAsia" w:cs="Times New Roman"/>
        </w:rPr>
      </w:pPr>
      <w:r w:rsidRPr="001D121B">
        <w:rPr>
          <w:rFonts w:eastAsiaTheme="minorEastAsia" w:cs="Times New Roman"/>
        </w:rPr>
        <w:t>AstraZeneca</w:t>
      </w:r>
      <w:r w:rsidR="00E30CCB" w:rsidRPr="001D121B">
        <w:rPr>
          <w:rFonts w:eastAsiaTheme="minorEastAsia" w:cs="Times New Roman"/>
        </w:rPr>
        <w:t xml:space="preserve"> = </w:t>
      </w:r>
      <w:r w:rsidRPr="001D121B">
        <w:rPr>
          <w:rFonts w:eastAsiaTheme="minorEastAsia" w:cs="Times New Roman"/>
        </w:rPr>
        <w:t>26.5%</w:t>
      </w:r>
    </w:p>
    <w:p w:rsidR="009E302C" w:rsidRPr="001D121B" w:rsidRDefault="009E302C" w:rsidP="009E302C">
      <w:pPr>
        <w:pStyle w:val="ListParagraph"/>
        <w:ind w:left="1080"/>
        <w:jc w:val="left"/>
        <w:rPr>
          <w:rFonts w:eastAsiaTheme="minorEastAsia" w:cs="Times New Roman"/>
        </w:rPr>
      </w:pPr>
      <w:r w:rsidRPr="001D121B">
        <w:rPr>
          <w:rFonts w:eastAsiaTheme="minorEastAsia" w:cs="Times New Roman"/>
        </w:rPr>
        <w:t>Unilever</w:t>
      </w:r>
      <w:r w:rsidR="00E30CCB" w:rsidRPr="001D121B">
        <w:rPr>
          <w:rFonts w:eastAsiaTheme="minorEastAsia" w:cs="Times New Roman"/>
        </w:rPr>
        <w:t xml:space="preserve"> = </w:t>
      </w:r>
      <w:r w:rsidR="00330371" w:rsidRPr="001D121B">
        <w:rPr>
          <w:rFonts w:eastAsiaTheme="minorEastAsia" w:cs="Times New Roman"/>
        </w:rPr>
        <w:t>19.66</w:t>
      </w:r>
      <w:r w:rsidRPr="001D121B">
        <w:rPr>
          <w:rFonts w:eastAsiaTheme="minorEastAsia" w:cs="Times New Roman"/>
        </w:rPr>
        <w:t>%</w:t>
      </w:r>
    </w:p>
    <w:p w:rsidR="00395054" w:rsidRPr="001D121B" w:rsidRDefault="00395054" w:rsidP="00395054">
      <w:pPr>
        <w:jc w:val="left"/>
        <w:rPr>
          <w:rFonts w:eastAsiaTheme="minorEastAsia" w:cs="Times New Roman"/>
        </w:rPr>
      </w:pPr>
    </w:p>
    <w:p w:rsidR="00395054" w:rsidRPr="001D121B" w:rsidRDefault="00E75E66" w:rsidP="00395054">
      <w:pPr>
        <w:rPr>
          <w:rFonts w:eastAsiaTheme="minorEastAsia" w:cs="Times New Roman"/>
        </w:rPr>
      </w:pPr>
      <w:r w:rsidRPr="001D121B">
        <w:rPr>
          <w:rFonts w:eastAsiaTheme="minorEastAsia" w:cs="Times New Roman"/>
        </w:rPr>
        <w:t xml:space="preserve">Both the companies are very strong and profitable. </w:t>
      </w:r>
      <w:r w:rsidR="00395054" w:rsidRPr="001D121B">
        <w:rPr>
          <w:rFonts w:eastAsiaTheme="minorEastAsia" w:cs="Times New Roman"/>
        </w:rPr>
        <w:t>Major events like 16 drugs generating a record-breaking $1billion in revenue for AstraZeneca or a successful productivity plan saving £670 millions for Unilever ensured an increase in the companies’ individual profitability. Long-term R&amp;D projects finally ended with the production and selling of major drugs. For Unilever, they also demerged a low-margin ice-cream unit</w:t>
      </w:r>
      <w:r w:rsidR="00B572FE" w:rsidRPr="001D121B">
        <w:rPr>
          <w:rFonts w:eastAsiaTheme="minorEastAsia" w:cs="Times New Roman"/>
        </w:rPr>
        <w:t>, helping cut off unnecessary expenses.</w:t>
      </w:r>
      <w:r w:rsidR="00CB5D2D" w:rsidRPr="001D121B">
        <w:rPr>
          <w:rFonts w:eastAsiaTheme="minorEastAsia" w:cs="Times New Roman"/>
        </w:rPr>
        <w:t xml:space="preserve"> </w:t>
      </w:r>
      <w:sdt>
        <w:sdtPr>
          <w:rPr>
            <w:rFonts w:eastAsiaTheme="minorEastAsia" w:cs="Times New Roman"/>
          </w:rPr>
          <w:id w:val="-1260362965"/>
          <w:citation/>
        </w:sdtPr>
        <w:sdtContent>
          <w:r w:rsidR="00CB5D2D" w:rsidRPr="001D121B">
            <w:rPr>
              <w:rFonts w:eastAsiaTheme="minorEastAsia" w:cs="Times New Roman"/>
            </w:rPr>
            <w:fldChar w:fldCharType="begin"/>
          </w:r>
          <w:r w:rsidR="00CB5D2D" w:rsidRPr="001D121B">
            <w:rPr>
              <w:rFonts w:eastAsiaTheme="minorEastAsia" w:cs="Times New Roman"/>
              <w:lang w:val="en-US"/>
            </w:rPr>
            <w:instrText xml:space="preserve"> CITATION Ast26 \l 1033 </w:instrText>
          </w:r>
          <w:r w:rsidR="00CB5D2D" w:rsidRPr="001D121B">
            <w:rPr>
              <w:rFonts w:eastAsiaTheme="minorEastAsia" w:cs="Times New Roman"/>
            </w:rPr>
            <w:fldChar w:fldCharType="separate"/>
          </w:r>
          <w:r w:rsidR="00CB5D2D" w:rsidRPr="001D121B">
            <w:rPr>
              <w:rFonts w:eastAsiaTheme="minorEastAsia" w:cs="Times New Roman"/>
              <w:noProof/>
              <w:lang w:val="en-US"/>
            </w:rPr>
            <w:t>(AstraZeneca, 2026)</w:t>
          </w:r>
          <w:r w:rsidR="00CB5D2D" w:rsidRPr="001D121B">
            <w:rPr>
              <w:rFonts w:eastAsiaTheme="minorEastAsia" w:cs="Times New Roman"/>
            </w:rPr>
            <w:fldChar w:fldCharType="end"/>
          </w:r>
        </w:sdtContent>
      </w:sdt>
      <w:r w:rsidR="00CB5D2D" w:rsidRPr="001D121B">
        <w:rPr>
          <w:rFonts w:eastAsiaTheme="minorEastAsia" w:cs="Times New Roman"/>
        </w:rPr>
        <w:t xml:space="preserve"> </w:t>
      </w:r>
      <w:sdt>
        <w:sdtPr>
          <w:rPr>
            <w:rFonts w:eastAsiaTheme="minorEastAsia" w:cs="Times New Roman"/>
          </w:rPr>
          <w:id w:val="-1887175007"/>
          <w:citation/>
        </w:sdtPr>
        <w:sdtContent>
          <w:r w:rsidR="00CB5D2D" w:rsidRPr="001D121B">
            <w:rPr>
              <w:rFonts w:eastAsiaTheme="minorEastAsia" w:cs="Times New Roman"/>
            </w:rPr>
            <w:fldChar w:fldCharType="begin"/>
          </w:r>
          <w:r w:rsidR="00CB5D2D" w:rsidRPr="001D121B">
            <w:rPr>
              <w:rFonts w:eastAsiaTheme="minorEastAsia" w:cs="Times New Roman"/>
              <w:lang w:val="en-US"/>
            </w:rPr>
            <w:instrText xml:space="preserve"> CITATION Uni26 \l 1033 </w:instrText>
          </w:r>
          <w:r w:rsidR="00CB5D2D" w:rsidRPr="001D121B">
            <w:rPr>
              <w:rFonts w:eastAsiaTheme="minorEastAsia" w:cs="Times New Roman"/>
            </w:rPr>
            <w:fldChar w:fldCharType="separate"/>
          </w:r>
          <w:r w:rsidR="00CB5D2D" w:rsidRPr="001D121B">
            <w:rPr>
              <w:rFonts w:eastAsiaTheme="minorEastAsia" w:cs="Times New Roman"/>
              <w:noProof/>
              <w:lang w:val="en-US"/>
            </w:rPr>
            <w:t>(Unilever, 2026)</w:t>
          </w:r>
          <w:r w:rsidR="00CB5D2D" w:rsidRPr="001D121B">
            <w:rPr>
              <w:rFonts w:eastAsiaTheme="minorEastAsia" w:cs="Times New Roman"/>
            </w:rPr>
            <w:fldChar w:fldCharType="end"/>
          </w:r>
        </w:sdtContent>
      </w:sdt>
    </w:p>
    <w:p w:rsidR="00395054" w:rsidRPr="001D121B" w:rsidRDefault="00395054" w:rsidP="00395054">
      <w:pPr>
        <w:jc w:val="left"/>
        <w:rPr>
          <w:rFonts w:eastAsiaTheme="minorEastAsia" w:cs="Times New Roman"/>
        </w:rPr>
      </w:pPr>
    </w:p>
    <w:p w:rsidR="000E1CEA" w:rsidRPr="001D121B" w:rsidRDefault="000E1CEA" w:rsidP="009E302C">
      <w:pPr>
        <w:pStyle w:val="ListParagraph"/>
        <w:ind w:left="1080"/>
        <w:jc w:val="left"/>
        <w:rPr>
          <w:rFonts w:eastAsiaTheme="minorEastAsia" w:cs="Times New Roman"/>
        </w:rPr>
      </w:pPr>
    </w:p>
    <w:p w:rsidR="00290816" w:rsidRPr="001D121B" w:rsidRDefault="00290816">
      <w:pPr>
        <w:spacing w:line="240" w:lineRule="auto"/>
        <w:jc w:val="left"/>
        <w:rPr>
          <w:rFonts w:eastAsiaTheme="majorEastAsia" w:cs="Times New Roman"/>
          <w:b/>
          <w:bCs/>
          <w:color w:val="2F5496" w:themeColor="accent1" w:themeShade="BF"/>
          <w:sz w:val="28"/>
          <w:szCs w:val="33"/>
        </w:rPr>
      </w:pPr>
      <w:r w:rsidRPr="001D121B">
        <w:rPr>
          <w:rFonts w:cs="Times New Roman"/>
          <w:b/>
          <w:bCs/>
        </w:rPr>
        <w:br w:type="page"/>
      </w:r>
    </w:p>
    <w:p w:rsidR="000E1CEA" w:rsidRPr="001D121B" w:rsidRDefault="00EA7C60" w:rsidP="00EA7C60">
      <w:pPr>
        <w:pStyle w:val="Heading1"/>
      </w:pPr>
      <w:bookmarkStart w:id="4" w:name="_Toc227410899"/>
      <w:r>
        <w:lastRenderedPageBreak/>
        <w:t xml:space="preserve"> 1.3 </w:t>
      </w:r>
      <w:r w:rsidR="000E1CEA" w:rsidRPr="001D121B">
        <w:t>Efficiency Ratios</w:t>
      </w:r>
      <w:bookmarkEnd w:id="4"/>
    </w:p>
    <w:p w:rsidR="00A7069F" w:rsidRPr="001D121B" w:rsidRDefault="00A7069F" w:rsidP="00A7069F">
      <w:pPr>
        <w:rPr>
          <w:rFonts w:cs="Times New Roman"/>
        </w:rPr>
      </w:pPr>
    </w:p>
    <w:p w:rsidR="00A7069F" w:rsidRPr="001D121B" w:rsidRDefault="00A7069F" w:rsidP="00A7069F">
      <w:pPr>
        <w:rPr>
          <w:rFonts w:cs="Times New Roman"/>
        </w:rPr>
      </w:pPr>
      <w:r w:rsidRPr="001D121B">
        <w:rPr>
          <w:rFonts w:cs="Times New Roman"/>
        </w:rPr>
        <w:t>Efficiency ratios measure how efficiently a company uses its assets and manages its liabilities. Common efficiency ratios of the years 2024 and 2025 of the companies have been calculated and analysed below:</w:t>
      </w:r>
    </w:p>
    <w:p w:rsidR="000E1CEA" w:rsidRPr="001D121B" w:rsidRDefault="000E1CEA" w:rsidP="000E1CEA">
      <w:pPr>
        <w:rPr>
          <w:rFonts w:cs="Times New Roman"/>
        </w:rPr>
      </w:pPr>
    </w:p>
    <w:p w:rsidR="00D40FF3" w:rsidRPr="001D121B" w:rsidRDefault="000E1CEA" w:rsidP="00D40FF3">
      <w:pPr>
        <w:pStyle w:val="ListParagraph"/>
        <w:numPr>
          <w:ilvl w:val="0"/>
          <w:numId w:val="12"/>
        </w:numPr>
        <w:rPr>
          <w:rFonts w:cs="Times New Roman"/>
          <w:b/>
          <w:bCs/>
        </w:rPr>
      </w:pPr>
      <w:r w:rsidRPr="001D121B">
        <w:rPr>
          <w:rFonts w:cs="Times New Roman"/>
          <w:b/>
          <w:bCs/>
        </w:rPr>
        <w:t xml:space="preserve">Asset turnover ratio: </w:t>
      </w:r>
      <w:r w:rsidRPr="001D121B">
        <w:rPr>
          <w:rFonts w:cs="Times New Roman"/>
        </w:rPr>
        <w:t>Every company aims to use its assets efficiently. Asset turnover ratio signifies</w:t>
      </w:r>
      <w:r w:rsidR="00D40FF3" w:rsidRPr="001D121B">
        <w:rPr>
          <w:rFonts w:cs="Times New Roman"/>
        </w:rPr>
        <w:t xml:space="preserve"> whether a company has underutilised or</w:t>
      </w:r>
      <w:r w:rsidR="00D841A8" w:rsidRPr="001D121B">
        <w:rPr>
          <w:rFonts w:cs="Times New Roman"/>
        </w:rPr>
        <w:t xml:space="preserve"> have</w:t>
      </w:r>
      <w:r w:rsidR="00D40FF3" w:rsidRPr="001D121B">
        <w:rPr>
          <w:rFonts w:cs="Times New Roman"/>
        </w:rPr>
        <w:t xml:space="preserve"> idle assets. The higher the ratio, the better.</w:t>
      </w:r>
      <w:r w:rsidR="005623E4" w:rsidRPr="001D121B">
        <w:rPr>
          <w:rFonts w:cs="Times New Roman"/>
        </w:rPr>
        <w:t xml:space="preserve"> </w:t>
      </w:r>
      <w:r w:rsidR="005127DC" w:rsidRPr="001D121B">
        <w:rPr>
          <w:rFonts w:cs="Times New Roman"/>
        </w:rPr>
        <w:t>For every £1 owned in assets, the companies generate about £.5 or £.6 in revenue respectively, which is not very efficient. But the ideal ratio varies among the industries.</w:t>
      </w:r>
    </w:p>
    <w:p w:rsidR="00D841A8" w:rsidRPr="001D121B" w:rsidRDefault="00E37BEA" w:rsidP="00D841A8">
      <w:pPr>
        <w:ind w:left="360"/>
        <w:jc w:val="left"/>
        <w:rPr>
          <w:rFonts w:eastAsiaTheme="minorEastAsia" w:cs="Times New Roman"/>
          <w:b/>
          <w:bCs/>
        </w:rPr>
      </w:pPr>
      <w:r w:rsidRPr="001D121B">
        <w:rPr>
          <w:rFonts w:eastAsiaTheme="minorEastAsia" w:cs="Times New Roman"/>
        </w:rPr>
        <w:t xml:space="preserve">            </w:t>
      </w:r>
      <w:r w:rsidR="00D841A8" w:rsidRPr="001D121B">
        <w:rPr>
          <w:rFonts w:eastAsiaTheme="minorEastAsia" w:cs="Times New Roman"/>
          <w:b/>
          <w:bCs/>
        </w:rPr>
        <w:t>Asset turnover ratio for the year 2024:</w:t>
      </w:r>
    </w:p>
    <w:p w:rsidR="00D841A8" w:rsidRPr="001D121B" w:rsidRDefault="00D841A8" w:rsidP="00D841A8">
      <w:pPr>
        <w:ind w:left="360"/>
        <w:jc w:val="left"/>
        <w:rPr>
          <w:rFonts w:eastAsiaTheme="minorEastAsia" w:cs="Times New Roman"/>
        </w:rPr>
      </w:pPr>
      <w:r w:rsidRPr="001D121B">
        <w:rPr>
          <w:rFonts w:eastAsiaTheme="minorEastAsia" w:cs="Times New Roman"/>
        </w:rPr>
        <w:t xml:space="preserve">            AstraZeneca = .51</w:t>
      </w:r>
    </w:p>
    <w:p w:rsidR="00D841A8" w:rsidRPr="001D121B" w:rsidRDefault="00D841A8" w:rsidP="00D841A8">
      <w:pPr>
        <w:pStyle w:val="ListParagraph"/>
        <w:ind w:left="1080"/>
        <w:jc w:val="left"/>
        <w:rPr>
          <w:rFonts w:eastAsiaTheme="minorEastAsia" w:cs="Times New Roman"/>
        </w:rPr>
      </w:pPr>
      <w:r w:rsidRPr="001D121B">
        <w:rPr>
          <w:rFonts w:eastAsiaTheme="minorEastAsia" w:cs="Times New Roman"/>
        </w:rPr>
        <w:t>Unilever = .65</w:t>
      </w:r>
    </w:p>
    <w:p w:rsidR="00D841A8" w:rsidRPr="001D121B" w:rsidRDefault="00D841A8" w:rsidP="00E37BEA">
      <w:pPr>
        <w:ind w:left="1080"/>
        <w:jc w:val="left"/>
        <w:rPr>
          <w:rFonts w:eastAsiaTheme="minorEastAsia" w:cs="Times New Roman"/>
          <w:b/>
          <w:bCs/>
        </w:rPr>
      </w:pPr>
      <w:r w:rsidRPr="001D121B">
        <w:rPr>
          <w:rFonts w:eastAsiaTheme="minorEastAsia" w:cs="Times New Roman"/>
          <w:b/>
          <w:bCs/>
        </w:rPr>
        <w:t>Asset turnover ratio for the year 2024:</w:t>
      </w:r>
    </w:p>
    <w:p w:rsidR="00D841A8" w:rsidRPr="001D121B" w:rsidRDefault="00D841A8" w:rsidP="00D841A8">
      <w:pPr>
        <w:pStyle w:val="ListParagraph"/>
        <w:ind w:left="1080"/>
        <w:jc w:val="left"/>
        <w:rPr>
          <w:rFonts w:eastAsiaTheme="minorEastAsia" w:cs="Times New Roman"/>
        </w:rPr>
      </w:pPr>
      <w:r w:rsidRPr="001D121B">
        <w:rPr>
          <w:rFonts w:eastAsiaTheme="minorEastAsia" w:cs="Times New Roman"/>
        </w:rPr>
        <w:t>AstraZeneca = .51</w:t>
      </w:r>
    </w:p>
    <w:p w:rsidR="00D841A8" w:rsidRPr="001D121B" w:rsidRDefault="00D841A8" w:rsidP="00D841A8">
      <w:pPr>
        <w:pStyle w:val="ListParagraph"/>
        <w:ind w:left="1080"/>
        <w:jc w:val="left"/>
        <w:rPr>
          <w:rFonts w:eastAsiaTheme="minorEastAsia" w:cs="Times New Roman"/>
        </w:rPr>
      </w:pPr>
      <w:r w:rsidRPr="001D121B">
        <w:rPr>
          <w:rFonts w:eastAsiaTheme="minorEastAsia" w:cs="Times New Roman"/>
        </w:rPr>
        <w:t>Unilever = .71</w:t>
      </w:r>
    </w:p>
    <w:p w:rsidR="00615A2B" w:rsidRPr="001D121B" w:rsidRDefault="00615A2B" w:rsidP="00D841A8">
      <w:pPr>
        <w:pStyle w:val="ListParagraph"/>
        <w:ind w:left="1080"/>
        <w:jc w:val="left"/>
        <w:rPr>
          <w:rFonts w:eastAsiaTheme="minorEastAsia" w:cs="Times New Roman"/>
        </w:rPr>
      </w:pPr>
    </w:p>
    <w:p w:rsidR="004F475E" w:rsidRPr="001D121B" w:rsidRDefault="002F0DF8" w:rsidP="004F475E">
      <w:pPr>
        <w:pStyle w:val="ListParagraph"/>
        <w:numPr>
          <w:ilvl w:val="0"/>
          <w:numId w:val="12"/>
        </w:numPr>
        <w:rPr>
          <w:rFonts w:cs="Times New Roman"/>
        </w:rPr>
      </w:pPr>
      <w:r w:rsidRPr="001D121B">
        <w:rPr>
          <w:rFonts w:cs="Times New Roman"/>
          <w:b/>
          <w:bCs/>
        </w:rPr>
        <w:t>Debtors’ days:</w:t>
      </w:r>
      <w:r w:rsidRPr="001D121B">
        <w:rPr>
          <w:rFonts w:cs="Times New Roman"/>
        </w:rPr>
        <w:t xml:space="preserve"> This signifies how soon debtors pay back their credit. A low ratio of about 30 days or less is acceptable in terms of risk.</w:t>
      </w:r>
      <w:r w:rsidR="00A8288E" w:rsidRPr="001D121B">
        <w:rPr>
          <w:rFonts w:cs="Times New Roman"/>
        </w:rPr>
        <w:t xml:space="preserve"> For both companies, the average return of debt is about a year, which is a high-risk ratio. It increases the chances of default loans, hampering a company’s financial wellbeing.</w:t>
      </w:r>
      <w:r w:rsidR="005623E4" w:rsidRPr="001D121B">
        <w:rPr>
          <w:rFonts w:cs="Times New Roman"/>
        </w:rPr>
        <w:t xml:space="preserve"> Even for large companies, this is not preferable.</w:t>
      </w:r>
    </w:p>
    <w:p w:rsidR="00C154A5" w:rsidRPr="001D121B" w:rsidRDefault="004F475E" w:rsidP="00C154A5">
      <w:pPr>
        <w:ind w:left="360"/>
        <w:rPr>
          <w:rFonts w:cs="Times New Roman"/>
        </w:rPr>
      </w:pPr>
      <w:r w:rsidRPr="001D121B">
        <w:rPr>
          <w:rFonts w:cs="Times New Roman"/>
        </w:rPr>
        <w:t xml:space="preserve">            </w:t>
      </w:r>
      <w:r w:rsidR="002F0DF8" w:rsidRPr="001D121B">
        <w:rPr>
          <w:rFonts w:cs="Times New Roman"/>
          <w:b/>
          <w:bCs/>
        </w:rPr>
        <w:t xml:space="preserve">Debtors’ </w:t>
      </w:r>
      <w:r w:rsidRPr="001D121B">
        <w:rPr>
          <w:rFonts w:cs="Times New Roman"/>
          <w:b/>
          <w:bCs/>
        </w:rPr>
        <w:t>day</w:t>
      </w:r>
      <w:r w:rsidR="00327649" w:rsidRPr="001D121B">
        <w:rPr>
          <w:rFonts w:cs="Times New Roman"/>
          <w:b/>
          <w:bCs/>
        </w:rPr>
        <w:t>s</w:t>
      </w:r>
      <w:r w:rsidR="002F0DF8" w:rsidRPr="001D121B">
        <w:rPr>
          <w:rFonts w:cs="Times New Roman"/>
          <w:b/>
          <w:bCs/>
        </w:rPr>
        <w:t xml:space="preserve"> </w:t>
      </w:r>
      <w:r w:rsidR="00327649" w:rsidRPr="001D121B">
        <w:rPr>
          <w:rFonts w:cs="Times New Roman"/>
          <w:b/>
          <w:bCs/>
        </w:rPr>
        <w:t>of</w:t>
      </w:r>
      <w:r w:rsidRPr="001D121B">
        <w:rPr>
          <w:rFonts w:cs="Times New Roman"/>
          <w:b/>
          <w:bCs/>
        </w:rPr>
        <w:t xml:space="preserve"> AstraZeneca:</w:t>
      </w:r>
      <w:r w:rsidRPr="001D121B">
        <w:rPr>
          <w:rFonts w:cs="Times New Roman"/>
        </w:rPr>
        <w:t xml:space="preserve"> 232 days</w:t>
      </w:r>
    </w:p>
    <w:p w:rsidR="002F0DF8" w:rsidRPr="001D121B" w:rsidRDefault="004F475E" w:rsidP="002F0DF8">
      <w:pPr>
        <w:ind w:left="360"/>
        <w:rPr>
          <w:rFonts w:cs="Times New Roman"/>
        </w:rPr>
      </w:pPr>
      <w:r w:rsidRPr="001D121B">
        <w:rPr>
          <w:rFonts w:cs="Times New Roman"/>
        </w:rPr>
        <w:t xml:space="preserve">            </w:t>
      </w:r>
      <w:r w:rsidR="002F0DF8" w:rsidRPr="001D121B">
        <w:rPr>
          <w:rFonts w:cs="Times New Roman"/>
          <w:b/>
          <w:bCs/>
        </w:rPr>
        <w:t xml:space="preserve">Debtors’ </w:t>
      </w:r>
      <w:r w:rsidRPr="001D121B">
        <w:rPr>
          <w:rFonts w:cs="Times New Roman"/>
          <w:b/>
          <w:bCs/>
        </w:rPr>
        <w:t>day</w:t>
      </w:r>
      <w:r w:rsidR="00327649" w:rsidRPr="001D121B">
        <w:rPr>
          <w:rFonts w:cs="Times New Roman"/>
          <w:b/>
          <w:bCs/>
        </w:rPr>
        <w:t>s of</w:t>
      </w:r>
      <w:r w:rsidR="002F0DF8" w:rsidRPr="001D121B">
        <w:rPr>
          <w:rFonts w:cs="Times New Roman"/>
          <w:b/>
          <w:bCs/>
        </w:rPr>
        <w:t xml:space="preserve"> </w:t>
      </w:r>
      <w:r w:rsidRPr="001D121B">
        <w:rPr>
          <w:rFonts w:cs="Times New Roman"/>
          <w:b/>
          <w:bCs/>
        </w:rPr>
        <w:t>Unilever:</w:t>
      </w:r>
      <w:r w:rsidRPr="001D121B">
        <w:rPr>
          <w:rFonts w:cs="Times New Roman"/>
        </w:rPr>
        <w:t xml:space="preserve"> </w:t>
      </w:r>
      <w:r w:rsidR="005E2B3A" w:rsidRPr="001D121B">
        <w:rPr>
          <w:rFonts w:cs="Times New Roman"/>
        </w:rPr>
        <w:t>225 days</w:t>
      </w:r>
    </w:p>
    <w:p w:rsidR="00615A2B" w:rsidRPr="001D121B" w:rsidRDefault="00615A2B" w:rsidP="002F0DF8">
      <w:pPr>
        <w:ind w:left="360"/>
        <w:rPr>
          <w:rFonts w:cs="Times New Roman"/>
        </w:rPr>
      </w:pPr>
    </w:p>
    <w:p w:rsidR="00C154A5" w:rsidRPr="001D121B" w:rsidRDefault="00C154A5" w:rsidP="00C154A5">
      <w:pPr>
        <w:pStyle w:val="ListParagraph"/>
        <w:numPr>
          <w:ilvl w:val="0"/>
          <w:numId w:val="12"/>
        </w:numPr>
        <w:rPr>
          <w:rFonts w:cs="Times New Roman"/>
        </w:rPr>
      </w:pPr>
      <w:r w:rsidRPr="001D121B">
        <w:rPr>
          <w:rFonts w:cs="Times New Roman"/>
          <w:b/>
          <w:bCs/>
        </w:rPr>
        <w:t>Creditors’ days:</w:t>
      </w:r>
      <w:r w:rsidRPr="001D121B">
        <w:rPr>
          <w:rFonts w:cs="Times New Roman"/>
        </w:rPr>
        <w:t xml:space="preserve"> Similar to the debtors’ days ratio, this signifies how soon the company can pay back their debt</w:t>
      </w:r>
      <w:r w:rsidR="0046090A" w:rsidRPr="001D121B">
        <w:rPr>
          <w:rFonts w:cs="Times New Roman"/>
        </w:rPr>
        <w:t>.</w:t>
      </w:r>
      <w:r w:rsidR="00AD2D3C" w:rsidRPr="001D121B">
        <w:rPr>
          <w:rFonts w:cs="Times New Roman"/>
        </w:rPr>
        <w:t xml:space="preserve"> The ideal is within 60 days at most. Belated payment of payables risk</w:t>
      </w:r>
      <w:r w:rsidR="007007AE" w:rsidRPr="001D121B">
        <w:rPr>
          <w:rFonts w:cs="Times New Roman"/>
        </w:rPr>
        <w:t>s</w:t>
      </w:r>
      <w:r w:rsidR="00AD2D3C" w:rsidRPr="001D121B">
        <w:rPr>
          <w:rFonts w:cs="Times New Roman"/>
        </w:rPr>
        <w:t xml:space="preserve"> a company’s reputation and credit rating</w:t>
      </w:r>
      <w:r w:rsidR="00F83B23" w:rsidRPr="001D121B">
        <w:rPr>
          <w:rFonts w:cs="Times New Roman"/>
        </w:rPr>
        <w:t>.</w:t>
      </w:r>
      <w:r w:rsidR="007007AE" w:rsidRPr="001D121B">
        <w:rPr>
          <w:rFonts w:cs="Times New Roman"/>
        </w:rPr>
        <w:t xml:space="preserve"> So, both the companies should be more prompt regarding repayments.</w:t>
      </w:r>
    </w:p>
    <w:p w:rsidR="004F475E" w:rsidRPr="001D121B" w:rsidRDefault="00327649" w:rsidP="004F475E">
      <w:pPr>
        <w:pStyle w:val="ListParagraph"/>
        <w:ind w:left="1080"/>
        <w:rPr>
          <w:rFonts w:cs="Times New Roman"/>
        </w:rPr>
      </w:pPr>
      <w:r w:rsidRPr="001D121B">
        <w:rPr>
          <w:rFonts w:cs="Times New Roman"/>
          <w:b/>
          <w:bCs/>
        </w:rPr>
        <w:t>Creditors’</w:t>
      </w:r>
      <w:r w:rsidR="004F475E" w:rsidRPr="001D121B">
        <w:rPr>
          <w:rFonts w:cs="Times New Roman"/>
          <w:b/>
          <w:bCs/>
        </w:rPr>
        <w:t xml:space="preserve"> day</w:t>
      </w:r>
      <w:r w:rsidRPr="001D121B">
        <w:rPr>
          <w:rFonts w:cs="Times New Roman"/>
          <w:b/>
          <w:bCs/>
        </w:rPr>
        <w:t>s</w:t>
      </w:r>
      <w:r w:rsidR="004F475E" w:rsidRPr="001D121B">
        <w:rPr>
          <w:rFonts w:cs="Times New Roman"/>
          <w:b/>
          <w:bCs/>
        </w:rPr>
        <w:t xml:space="preserve"> </w:t>
      </w:r>
      <w:r w:rsidRPr="001D121B">
        <w:rPr>
          <w:rFonts w:cs="Times New Roman"/>
          <w:b/>
          <w:bCs/>
        </w:rPr>
        <w:t>of</w:t>
      </w:r>
      <w:r w:rsidR="004F475E" w:rsidRPr="001D121B">
        <w:rPr>
          <w:rFonts w:cs="Times New Roman"/>
          <w:b/>
          <w:bCs/>
        </w:rPr>
        <w:t xml:space="preserve"> AstraZeneca:</w:t>
      </w:r>
      <w:r w:rsidR="004F475E" w:rsidRPr="001D121B">
        <w:rPr>
          <w:rFonts w:cs="Times New Roman"/>
        </w:rPr>
        <w:t xml:space="preserve"> </w:t>
      </w:r>
      <w:r w:rsidR="000D1D71" w:rsidRPr="001D121B">
        <w:rPr>
          <w:rFonts w:cs="Times New Roman"/>
        </w:rPr>
        <w:t>409</w:t>
      </w:r>
      <w:r w:rsidR="004F475E" w:rsidRPr="001D121B">
        <w:rPr>
          <w:rFonts w:cs="Times New Roman"/>
        </w:rPr>
        <w:t xml:space="preserve"> days</w:t>
      </w:r>
    </w:p>
    <w:p w:rsidR="004F475E" w:rsidRPr="001D121B" w:rsidRDefault="00327649" w:rsidP="004F475E">
      <w:pPr>
        <w:pStyle w:val="ListParagraph"/>
        <w:ind w:left="1080"/>
        <w:rPr>
          <w:rFonts w:cs="Times New Roman"/>
        </w:rPr>
      </w:pPr>
      <w:r w:rsidRPr="001D121B">
        <w:rPr>
          <w:rFonts w:cs="Times New Roman"/>
          <w:b/>
          <w:bCs/>
        </w:rPr>
        <w:t>Creditors’</w:t>
      </w:r>
      <w:r w:rsidR="004F475E" w:rsidRPr="001D121B">
        <w:rPr>
          <w:rFonts w:cs="Times New Roman"/>
          <w:b/>
          <w:bCs/>
        </w:rPr>
        <w:t xml:space="preserve"> day</w:t>
      </w:r>
      <w:r w:rsidRPr="001D121B">
        <w:rPr>
          <w:rFonts w:cs="Times New Roman"/>
          <w:b/>
          <w:bCs/>
        </w:rPr>
        <w:t>s of</w:t>
      </w:r>
      <w:r w:rsidR="004F475E" w:rsidRPr="001D121B">
        <w:rPr>
          <w:rFonts w:cs="Times New Roman"/>
          <w:b/>
          <w:bCs/>
        </w:rPr>
        <w:t xml:space="preserve"> Unilever:</w:t>
      </w:r>
      <w:r w:rsidR="004F475E" w:rsidRPr="001D121B">
        <w:rPr>
          <w:rFonts w:cs="Times New Roman"/>
        </w:rPr>
        <w:t xml:space="preserve"> </w:t>
      </w:r>
      <w:r w:rsidR="000D1D71" w:rsidRPr="001D121B">
        <w:rPr>
          <w:rFonts w:cs="Times New Roman"/>
        </w:rPr>
        <w:t>228 days</w:t>
      </w:r>
    </w:p>
    <w:p w:rsidR="00EC10F1" w:rsidRPr="001D121B" w:rsidRDefault="00EC10F1" w:rsidP="00EC10F1">
      <w:pPr>
        <w:pStyle w:val="ListParagraph"/>
        <w:numPr>
          <w:ilvl w:val="0"/>
          <w:numId w:val="12"/>
        </w:numPr>
        <w:rPr>
          <w:rFonts w:cs="Times New Roman"/>
          <w:b/>
          <w:bCs/>
        </w:rPr>
      </w:pPr>
      <w:r w:rsidRPr="001D121B">
        <w:rPr>
          <w:rFonts w:cs="Times New Roman"/>
          <w:b/>
          <w:bCs/>
        </w:rPr>
        <w:lastRenderedPageBreak/>
        <w:t>Stock days:</w:t>
      </w:r>
      <w:r w:rsidR="004818E7" w:rsidRPr="001D121B">
        <w:rPr>
          <w:rFonts w:cs="Times New Roman"/>
          <w:b/>
          <w:bCs/>
        </w:rPr>
        <w:t xml:space="preserve"> </w:t>
      </w:r>
      <w:r w:rsidR="00C12978" w:rsidRPr="001D121B">
        <w:rPr>
          <w:rFonts w:cs="Times New Roman"/>
        </w:rPr>
        <w:t>This is also known as inventory days and shows how soon a company sells its inventory. 60 days at most is acceptable. A low ratio ensures efficiency by saving storage cost and preventing expiration of inventory.</w:t>
      </w:r>
      <w:r w:rsidR="00635646" w:rsidRPr="001D121B">
        <w:rPr>
          <w:rFonts w:cs="Times New Roman"/>
        </w:rPr>
        <w:t xml:space="preserve"> Unilever, being a retail company, has expectedly a short cycle. Pharmaceuticals or similar companies generally have a longer cycle.</w:t>
      </w:r>
    </w:p>
    <w:p w:rsidR="00C118FF" w:rsidRPr="001D121B" w:rsidRDefault="00C118FF" w:rsidP="00C118FF">
      <w:pPr>
        <w:pStyle w:val="ListParagraph"/>
        <w:ind w:left="1080"/>
        <w:rPr>
          <w:rFonts w:cs="Times New Roman"/>
        </w:rPr>
      </w:pPr>
      <w:r w:rsidRPr="001D121B">
        <w:rPr>
          <w:rFonts w:cs="Times New Roman"/>
          <w:b/>
          <w:bCs/>
        </w:rPr>
        <w:t>Debtors’ days of AstraZeneca:</w:t>
      </w:r>
      <w:r w:rsidRPr="001D121B">
        <w:rPr>
          <w:rFonts w:cs="Times New Roman"/>
        </w:rPr>
        <w:t xml:space="preserve"> </w:t>
      </w:r>
      <w:r w:rsidR="005C5BA2" w:rsidRPr="001D121B">
        <w:rPr>
          <w:rFonts w:cs="Times New Roman"/>
        </w:rPr>
        <w:t>217</w:t>
      </w:r>
      <w:r w:rsidRPr="001D121B">
        <w:rPr>
          <w:rFonts w:cs="Times New Roman"/>
        </w:rPr>
        <w:t xml:space="preserve"> days</w:t>
      </w:r>
    </w:p>
    <w:p w:rsidR="00C118FF" w:rsidRPr="001D121B" w:rsidRDefault="00C118FF" w:rsidP="00C118FF">
      <w:pPr>
        <w:pStyle w:val="ListParagraph"/>
        <w:ind w:left="1080"/>
        <w:rPr>
          <w:rFonts w:cs="Times New Roman"/>
        </w:rPr>
      </w:pPr>
      <w:r w:rsidRPr="001D121B">
        <w:rPr>
          <w:rFonts w:cs="Times New Roman"/>
          <w:b/>
          <w:bCs/>
        </w:rPr>
        <w:t>Debtors’ days of Unilever:</w:t>
      </w:r>
      <w:r w:rsidRPr="001D121B">
        <w:rPr>
          <w:rFonts w:cs="Times New Roman"/>
        </w:rPr>
        <w:t xml:space="preserve"> </w:t>
      </w:r>
      <w:r w:rsidR="005C5BA2" w:rsidRPr="001D121B">
        <w:rPr>
          <w:rFonts w:cs="Times New Roman"/>
        </w:rPr>
        <w:t>62</w:t>
      </w:r>
      <w:r w:rsidRPr="001D121B">
        <w:rPr>
          <w:rFonts w:cs="Times New Roman"/>
        </w:rPr>
        <w:t xml:space="preserve"> days</w:t>
      </w:r>
    </w:p>
    <w:p w:rsidR="00615A2B" w:rsidRPr="001D121B" w:rsidRDefault="00615A2B" w:rsidP="00C118FF">
      <w:pPr>
        <w:pStyle w:val="ListParagraph"/>
        <w:ind w:left="1080"/>
        <w:rPr>
          <w:rFonts w:cs="Times New Roman"/>
        </w:rPr>
      </w:pPr>
    </w:p>
    <w:p w:rsidR="00EC10F1" w:rsidRPr="001D121B" w:rsidRDefault="00EC10F1" w:rsidP="00EC10F1">
      <w:pPr>
        <w:pStyle w:val="ListParagraph"/>
        <w:numPr>
          <w:ilvl w:val="0"/>
          <w:numId w:val="12"/>
        </w:numPr>
        <w:rPr>
          <w:rFonts w:cs="Times New Roman"/>
          <w:b/>
          <w:bCs/>
        </w:rPr>
      </w:pPr>
      <w:r w:rsidRPr="001D121B">
        <w:rPr>
          <w:rFonts w:cs="Times New Roman"/>
          <w:b/>
          <w:bCs/>
        </w:rPr>
        <w:t>Stock turnover</w:t>
      </w:r>
      <w:r w:rsidR="004E55A9" w:rsidRPr="001D121B">
        <w:rPr>
          <w:rFonts w:cs="Times New Roman"/>
          <w:b/>
          <w:bCs/>
        </w:rPr>
        <w:t xml:space="preserve"> ratio:</w:t>
      </w:r>
      <w:r w:rsidR="009573BC" w:rsidRPr="001D121B">
        <w:rPr>
          <w:rFonts w:cs="Times New Roman"/>
          <w:b/>
          <w:bCs/>
        </w:rPr>
        <w:t xml:space="preserve"> </w:t>
      </w:r>
      <w:r w:rsidR="009573BC" w:rsidRPr="001D121B">
        <w:rPr>
          <w:rFonts w:cs="Times New Roman"/>
        </w:rPr>
        <w:t>Similarly,</w:t>
      </w:r>
      <w:r w:rsidR="00F730EA" w:rsidRPr="001D121B">
        <w:rPr>
          <w:rFonts w:cs="Times New Roman"/>
        </w:rPr>
        <w:t xml:space="preserve"> stock turnover ratio shows how often a company replaces its stocks and refills its inventory.</w:t>
      </w:r>
      <w:r w:rsidR="009573BC" w:rsidRPr="001D121B">
        <w:rPr>
          <w:rFonts w:cs="Times New Roman"/>
        </w:rPr>
        <w:t xml:space="preserve"> </w:t>
      </w:r>
      <w:r w:rsidR="00F730EA" w:rsidRPr="001D121B">
        <w:rPr>
          <w:rFonts w:cs="Times New Roman"/>
        </w:rPr>
        <w:t xml:space="preserve">AstraZeneca, being a pharmaceutical company, replaced its stocks </w:t>
      </w:r>
      <w:r w:rsidR="00413897" w:rsidRPr="001D121B">
        <w:rPr>
          <w:rFonts w:cs="Times New Roman"/>
        </w:rPr>
        <w:t>less than 2 times</w:t>
      </w:r>
      <w:r w:rsidR="00F730EA" w:rsidRPr="001D121B">
        <w:rPr>
          <w:rFonts w:cs="Times New Roman"/>
        </w:rPr>
        <w:t xml:space="preserve"> in the previous year, which is quite normal. A retail company like Unilever is expected to do so more frequently to ensure efficient use of inventory and high sales.</w:t>
      </w:r>
    </w:p>
    <w:p w:rsidR="004E55A9" w:rsidRPr="001D121B" w:rsidRDefault="004E55A9" w:rsidP="004E55A9">
      <w:pPr>
        <w:pStyle w:val="ListParagraph"/>
        <w:ind w:left="1080"/>
        <w:jc w:val="left"/>
        <w:rPr>
          <w:rFonts w:eastAsiaTheme="minorEastAsia" w:cs="Times New Roman"/>
        </w:rPr>
      </w:pPr>
      <w:r w:rsidRPr="001D121B">
        <w:rPr>
          <w:rFonts w:eastAsiaTheme="minorEastAsia" w:cs="Times New Roman"/>
          <w:b/>
          <w:bCs/>
        </w:rPr>
        <w:t>Stock turnover ratio of AstraZeneca</w:t>
      </w:r>
      <w:r w:rsidR="00BB7F39" w:rsidRPr="001D121B">
        <w:rPr>
          <w:rFonts w:eastAsiaTheme="minorEastAsia" w:cs="Times New Roman"/>
          <w:b/>
          <w:bCs/>
        </w:rPr>
        <w:t xml:space="preserve"> for the year 202</w:t>
      </w:r>
      <w:r w:rsidR="000765F6" w:rsidRPr="001D121B">
        <w:rPr>
          <w:rFonts w:eastAsiaTheme="minorEastAsia" w:cs="Times New Roman"/>
          <w:b/>
          <w:bCs/>
        </w:rPr>
        <w:t>5:</w:t>
      </w:r>
      <w:r w:rsidRPr="001D121B">
        <w:rPr>
          <w:rFonts w:eastAsiaTheme="minorEastAsia" w:cs="Times New Roman"/>
        </w:rPr>
        <w:t xml:space="preserve"> </w:t>
      </w:r>
      <w:r w:rsidR="000765F6" w:rsidRPr="001D121B">
        <w:rPr>
          <w:rFonts w:eastAsiaTheme="minorEastAsia" w:cs="Times New Roman"/>
        </w:rPr>
        <w:t>1.7</w:t>
      </w:r>
      <w:r w:rsidR="009573BC" w:rsidRPr="001D121B">
        <w:rPr>
          <w:rFonts w:eastAsiaTheme="minorEastAsia" w:cs="Times New Roman"/>
        </w:rPr>
        <w:t xml:space="preserve"> times</w:t>
      </w:r>
    </w:p>
    <w:p w:rsidR="004E55A9" w:rsidRPr="001D121B" w:rsidRDefault="004E55A9" w:rsidP="004E55A9">
      <w:pPr>
        <w:pStyle w:val="ListParagraph"/>
        <w:ind w:left="1080"/>
        <w:jc w:val="left"/>
        <w:rPr>
          <w:rFonts w:eastAsiaTheme="minorEastAsia" w:cs="Times New Roman"/>
        </w:rPr>
      </w:pPr>
      <w:r w:rsidRPr="001D121B">
        <w:rPr>
          <w:rFonts w:eastAsiaTheme="minorEastAsia" w:cs="Times New Roman"/>
          <w:b/>
          <w:bCs/>
        </w:rPr>
        <w:t>Stock turnover ratio of Unilever</w:t>
      </w:r>
      <w:r w:rsidR="00BB7F39" w:rsidRPr="001D121B">
        <w:rPr>
          <w:rFonts w:eastAsiaTheme="minorEastAsia" w:cs="Times New Roman"/>
          <w:b/>
          <w:bCs/>
        </w:rPr>
        <w:t xml:space="preserve"> for the year 2025</w:t>
      </w:r>
      <w:r w:rsidR="000765F6" w:rsidRPr="001D121B">
        <w:rPr>
          <w:rFonts w:eastAsiaTheme="minorEastAsia" w:cs="Times New Roman"/>
          <w:b/>
          <w:bCs/>
        </w:rPr>
        <w:t>:</w:t>
      </w:r>
      <w:r w:rsidRPr="001D121B">
        <w:rPr>
          <w:rFonts w:eastAsiaTheme="minorEastAsia" w:cs="Times New Roman"/>
        </w:rPr>
        <w:t xml:space="preserve"> </w:t>
      </w:r>
      <w:r w:rsidR="00413897" w:rsidRPr="001D121B">
        <w:rPr>
          <w:rFonts w:eastAsiaTheme="minorEastAsia" w:cs="Times New Roman"/>
        </w:rPr>
        <w:t>5.8</w:t>
      </w:r>
      <w:r w:rsidR="009573BC" w:rsidRPr="001D121B">
        <w:rPr>
          <w:rFonts w:eastAsiaTheme="minorEastAsia" w:cs="Times New Roman"/>
        </w:rPr>
        <w:t xml:space="preserve"> times</w:t>
      </w:r>
    </w:p>
    <w:p w:rsidR="00236F87" w:rsidRPr="001D121B" w:rsidRDefault="00236F87" w:rsidP="00974F43">
      <w:pPr>
        <w:rPr>
          <w:rFonts w:eastAsiaTheme="minorEastAsia" w:cs="Times New Roman"/>
        </w:rPr>
      </w:pPr>
    </w:p>
    <w:p w:rsidR="00236F87" w:rsidRPr="001D121B" w:rsidRDefault="00236F87" w:rsidP="00974F43">
      <w:pPr>
        <w:rPr>
          <w:rFonts w:eastAsiaTheme="minorEastAsia" w:cs="Times New Roman"/>
        </w:rPr>
      </w:pPr>
      <w:r w:rsidRPr="001D121B">
        <w:rPr>
          <w:rFonts w:eastAsiaTheme="minorEastAsia" w:cs="Times New Roman"/>
        </w:rPr>
        <w:t xml:space="preserve">AstraZeneca and Unilever both are </w:t>
      </w:r>
      <w:r w:rsidR="0019677B" w:rsidRPr="001D121B">
        <w:rPr>
          <w:rFonts w:eastAsiaTheme="minorEastAsia" w:cs="Times New Roman"/>
        </w:rPr>
        <w:t>slightly</w:t>
      </w:r>
      <w:r w:rsidRPr="001D121B">
        <w:rPr>
          <w:rFonts w:eastAsiaTheme="minorEastAsia" w:cs="Times New Roman"/>
        </w:rPr>
        <w:t xml:space="preserve"> inefficient in utilising their assets</w:t>
      </w:r>
      <w:r w:rsidR="00974F43" w:rsidRPr="001D121B">
        <w:rPr>
          <w:rFonts w:eastAsiaTheme="minorEastAsia" w:cs="Times New Roman"/>
        </w:rPr>
        <w:t>. Their stock turnover and efficient use of inventory is a positive aspect. But</w:t>
      </w:r>
      <w:r w:rsidRPr="001D121B">
        <w:rPr>
          <w:rFonts w:eastAsiaTheme="minorEastAsia" w:cs="Times New Roman"/>
        </w:rPr>
        <w:t xml:space="preserve"> a big</w:t>
      </w:r>
      <w:r w:rsidR="00974F43" w:rsidRPr="001D121B">
        <w:rPr>
          <w:rFonts w:eastAsiaTheme="minorEastAsia" w:cs="Times New Roman"/>
        </w:rPr>
        <w:t xml:space="preserve"> </w:t>
      </w:r>
      <w:r w:rsidRPr="001D121B">
        <w:rPr>
          <w:rFonts w:eastAsiaTheme="minorEastAsia" w:cs="Times New Roman"/>
        </w:rPr>
        <w:t xml:space="preserve">concern is how slow </w:t>
      </w:r>
      <w:r w:rsidR="00974F43" w:rsidRPr="001D121B">
        <w:rPr>
          <w:rFonts w:eastAsiaTheme="minorEastAsia" w:cs="Times New Roman"/>
        </w:rPr>
        <w:t>the companies</w:t>
      </w:r>
      <w:r w:rsidRPr="001D121B">
        <w:rPr>
          <w:rFonts w:eastAsiaTheme="minorEastAsia" w:cs="Times New Roman"/>
        </w:rPr>
        <w:t xml:space="preserve"> are to pay off their debts and to collect receivables.</w:t>
      </w:r>
    </w:p>
    <w:p w:rsidR="004E55A9" w:rsidRPr="001D121B" w:rsidRDefault="004E55A9" w:rsidP="00834CC5">
      <w:pPr>
        <w:rPr>
          <w:rFonts w:cs="Times New Roman"/>
        </w:rPr>
      </w:pPr>
    </w:p>
    <w:p w:rsidR="00834CC5" w:rsidRPr="001D121B" w:rsidRDefault="00EA7C60" w:rsidP="00EA7C60">
      <w:pPr>
        <w:pStyle w:val="Heading1"/>
      </w:pPr>
      <w:bookmarkStart w:id="5" w:name="_Toc227410900"/>
      <w:r>
        <w:t xml:space="preserve">1.4 </w:t>
      </w:r>
      <w:r w:rsidR="00834CC5" w:rsidRPr="001D121B">
        <w:t>Liquidity Ratios</w:t>
      </w:r>
      <w:bookmarkEnd w:id="5"/>
    </w:p>
    <w:p w:rsidR="00615A2B" w:rsidRPr="001D121B" w:rsidRDefault="00615A2B" w:rsidP="00615A2B">
      <w:pPr>
        <w:rPr>
          <w:rFonts w:cs="Times New Roman"/>
        </w:rPr>
      </w:pPr>
    </w:p>
    <w:p w:rsidR="00615A2B" w:rsidRPr="001D121B" w:rsidRDefault="00615A2B" w:rsidP="00615A2B">
      <w:pPr>
        <w:rPr>
          <w:rFonts w:cs="Times New Roman"/>
        </w:rPr>
      </w:pPr>
      <w:r w:rsidRPr="001D121B">
        <w:rPr>
          <w:rFonts w:cs="Times New Roman"/>
        </w:rPr>
        <w:t>Liquidity ratios help measure its ability to pay of its current liabilities with its current assets. The ratios being consistently below 1 pose high risk for future liquidity crisis and may lead to bankruptcy as the worst-case scenario.</w:t>
      </w:r>
      <w:r w:rsidR="008A21F9" w:rsidRPr="001D121B">
        <w:rPr>
          <w:rFonts w:cs="Times New Roman"/>
        </w:rPr>
        <w:t xml:space="preserve"> However, for big and stable companies, the </w:t>
      </w:r>
      <w:r w:rsidR="00BF51AF" w:rsidRPr="001D121B">
        <w:rPr>
          <w:rFonts w:cs="Times New Roman"/>
        </w:rPr>
        <w:t>criterion</w:t>
      </w:r>
      <w:r w:rsidR="008A21F9" w:rsidRPr="001D121B">
        <w:rPr>
          <w:rFonts w:cs="Times New Roman"/>
        </w:rPr>
        <w:t xml:space="preserve"> is</w:t>
      </w:r>
      <w:r w:rsidR="00C25168" w:rsidRPr="001D121B">
        <w:rPr>
          <w:rFonts w:cs="Times New Roman"/>
        </w:rPr>
        <w:t xml:space="preserve"> more f</w:t>
      </w:r>
      <w:r w:rsidR="008A21F9" w:rsidRPr="001D121B">
        <w:rPr>
          <w:rFonts w:cs="Times New Roman"/>
        </w:rPr>
        <w:t>lexible</w:t>
      </w:r>
      <w:r w:rsidR="00C25168" w:rsidRPr="001D121B">
        <w:rPr>
          <w:rFonts w:cs="Times New Roman"/>
        </w:rPr>
        <w:t xml:space="preserve"> compared to a start</w:t>
      </w:r>
      <w:r w:rsidR="000A59D8" w:rsidRPr="001D121B">
        <w:rPr>
          <w:rFonts w:cs="Times New Roman"/>
        </w:rPr>
        <w:t>-</w:t>
      </w:r>
      <w:r w:rsidR="00C25168" w:rsidRPr="001D121B">
        <w:rPr>
          <w:rFonts w:cs="Times New Roman"/>
        </w:rPr>
        <w:t>up</w:t>
      </w:r>
      <w:r w:rsidR="000A59D8" w:rsidRPr="001D121B">
        <w:rPr>
          <w:rFonts w:cs="Times New Roman"/>
        </w:rPr>
        <w:t>. Two of the most used liquidity ratios for the years 2-24 and 2025 have been calculated for both the companies</w:t>
      </w:r>
      <w:r w:rsidR="008968C6" w:rsidRPr="001D121B">
        <w:rPr>
          <w:rFonts w:cs="Times New Roman"/>
        </w:rPr>
        <w:t>:</w:t>
      </w:r>
    </w:p>
    <w:p w:rsidR="008A21F9" w:rsidRPr="001D121B" w:rsidRDefault="008A21F9">
      <w:pPr>
        <w:spacing w:line="240" w:lineRule="auto"/>
        <w:jc w:val="left"/>
        <w:rPr>
          <w:rFonts w:cs="Times New Roman"/>
        </w:rPr>
      </w:pPr>
      <w:r w:rsidRPr="001D121B">
        <w:rPr>
          <w:rFonts w:cs="Times New Roman"/>
        </w:rPr>
        <w:br w:type="page"/>
      </w:r>
    </w:p>
    <w:p w:rsidR="008A21F9" w:rsidRPr="001D121B" w:rsidRDefault="008A21F9" w:rsidP="00615A2B">
      <w:pPr>
        <w:rPr>
          <w:rFonts w:cs="Times New Roman"/>
        </w:rPr>
      </w:pPr>
    </w:p>
    <w:p w:rsidR="004F475E" w:rsidRPr="001D121B" w:rsidRDefault="004F475E" w:rsidP="00834CC5">
      <w:pPr>
        <w:rPr>
          <w:rFonts w:cs="Times New Roman"/>
        </w:rPr>
      </w:pPr>
    </w:p>
    <w:p w:rsidR="00D36178" w:rsidRPr="001D121B" w:rsidRDefault="00834CC5" w:rsidP="00D36178">
      <w:pPr>
        <w:pStyle w:val="ListParagraph"/>
        <w:numPr>
          <w:ilvl w:val="0"/>
          <w:numId w:val="13"/>
        </w:numPr>
        <w:rPr>
          <w:rFonts w:cs="Times New Roman"/>
          <w:b/>
          <w:bCs/>
        </w:rPr>
      </w:pPr>
      <w:r w:rsidRPr="001D121B">
        <w:rPr>
          <w:rFonts w:cs="Times New Roman"/>
          <w:b/>
          <w:bCs/>
        </w:rPr>
        <w:t>Current ratio:</w:t>
      </w:r>
      <w:r w:rsidR="00B37DBE" w:rsidRPr="001D121B">
        <w:rPr>
          <w:rFonts w:cs="Times New Roman"/>
          <w:b/>
          <w:bCs/>
        </w:rPr>
        <w:t xml:space="preserve"> </w:t>
      </w:r>
      <w:r w:rsidR="00B37DBE" w:rsidRPr="001D121B">
        <w:rPr>
          <w:rFonts w:cs="Times New Roman"/>
        </w:rPr>
        <w:t xml:space="preserve">Current ratio is </w:t>
      </w:r>
      <w:r w:rsidR="00615A2B" w:rsidRPr="001D121B">
        <w:rPr>
          <w:rFonts w:cs="Times New Roman"/>
        </w:rPr>
        <w:t>the most common ratio</w:t>
      </w:r>
      <w:r w:rsidR="00B37DBE" w:rsidRPr="001D121B">
        <w:rPr>
          <w:rFonts w:cs="Times New Roman"/>
        </w:rPr>
        <w:t xml:space="preserve"> to measure a company’s ability to pay off short-term debts. Having this ratio below 1 is quite risky, </w:t>
      </w:r>
      <w:r w:rsidR="00F800BA" w:rsidRPr="001D121B">
        <w:rPr>
          <w:rFonts w:cs="Times New Roman"/>
        </w:rPr>
        <w:t>or that b</w:t>
      </w:r>
      <w:r w:rsidR="00B37DBE" w:rsidRPr="001D121B">
        <w:rPr>
          <w:rFonts w:cs="Times New Roman"/>
        </w:rPr>
        <w:t xml:space="preserve">oth the companies don’t have enough current assets to pay </w:t>
      </w:r>
      <w:r w:rsidR="00F800BA" w:rsidRPr="001D121B">
        <w:rPr>
          <w:rFonts w:cs="Times New Roman"/>
        </w:rPr>
        <w:t xml:space="preserve">off their </w:t>
      </w:r>
      <w:r w:rsidR="00B37DBE" w:rsidRPr="001D121B">
        <w:rPr>
          <w:rFonts w:cs="Times New Roman"/>
        </w:rPr>
        <w:t>short-term debt, and Unilever is in a tighter spot.</w:t>
      </w:r>
      <w:r w:rsidR="00C80C21" w:rsidRPr="001D121B">
        <w:rPr>
          <w:rFonts w:cs="Times New Roman"/>
        </w:rPr>
        <w:t xml:space="preserve"> But the ratio has slightly improved the next year.</w:t>
      </w:r>
      <w:r w:rsidR="005C6BCE" w:rsidRPr="001D121B">
        <w:rPr>
          <w:rFonts w:cs="Times New Roman"/>
        </w:rPr>
        <w:t xml:space="preserve"> This may cause a liquidity crisis in the long-run.</w:t>
      </w:r>
    </w:p>
    <w:p w:rsidR="00834CC5" w:rsidRPr="001D121B" w:rsidRDefault="00834CC5" w:rsidP="00C65ECC">
      <w:pPr>
        <w:ind w:left="1080"/>
        <w:rPr>
          <w:rFonts w:cs="Times New Roman"/>
          <w:b/>
          <w:bCs/>
        </w:rPr>
      </w:pPr>
      <w:r w:rsidRPr="001D121B">
        <w:rPr>
          <w:rFonts w:cs="Times New Roman"/>
          <w:b/>
          <w:bCs/>
        </w:rPr>
        <w:t>Current ratio for the year 2024:</w:t>
      </w:r>
    </w:p>
    <w:p w:rsidR="004C08F8" w:rsidRPr="001D121B" w:rsidRDefault="00834CC5" w:rsidP="004C08F8">
      <w:pPr>
        <w:ind w:left="360"/>
        <w:rPr>
          <w:rFonts w:cs="Times New Roman"/>
        </w:rPr>
      </w:pPr>
      <w:r w:rsidRPr="001D121B">
        <w:rPr>
          <w:rFonts w:cs="Times New Roman"/>
        </w:rPr>
        <w:t xml:space="preserve">            </w:t>
      </w:r>
      <w:r w:rsidR="004C08F8" w:rsidRPr="001D121B">
        <w:rPr>
          <w:rFonts w:cs="Times New Roman"/>
        </w:rPr>
        <w:t>AstraZeneca =</w:t>
      </w:r>
      <w:r w:rsidR="00B37DBE" w:rsidRPr="001D121B">
        <w:rPr>
          <w:rFonts w:cs="Times New Roman"/>
        </w:rPr>
        <w:t xml:space="preserve"> .92</w:t>
      </w:r>
    </w:p>
    <w:p w:rsidR="00B37DBE" w:rsidRPr="001D121B" w:rsidRDefault="004C08F8" w:rsidP="00B37DBE">
      <w:pPr>
        <w:ind w:left="360"/>
        <w:rPr>
          <w:rFonts w:eastAsiaTheme="minorEastAsia" w:cs="Times New Roman"/>
        </w:rPr>
      </w:pPr>
      <w:r w:rsidRPr="001D121B">
        <w:rPr>
          <w:rFonts w:cs="Times New Roman"/>
        </w:rPr>
        <w:t xml:space="preserve">            Unilever = </w:t>
      </w:r>
      <w:r w:rsidR="00B37DBE" w:rsidRPr="001D121B">
        <w:rPr>
          <w:rFonts w:eastAsiaTheme="minorEastAsia" w:cs="Times New Roman"/>
        </w:rPr>
        <w:t>.76</w:t>
      </w:r>
    </w:p>
    <w:p w:rsidR="00834CC5" w:rsidRPr="001D121B" w:rsidRDefault="00834CC5" w:rsidP="00C65ECC">
      <w:pPr>
        <w:ind w:left="720"/>
        <w:rPr>
          <w:rFonts w:cs="Times New Roman"/>
          <w:b/>
          <w:bCs/>
        </w:rPr>
      </w:pPr>
      <w:r w:rsidRPr="001D121B">
        <w:rPr>
          <w:rFonts w:cs="Times New Roman"/>
          <w:b/>
          <w:bCs/>
        </w:rPr>
        <w:t xml:space="preserve">      Current ratio for the year 2025:</w:t>
      </w:r>
    </w:p>
    <w:p w:rsidR="0078028D" w:rsidRPr="001D121B" w:rsidRDefault="0078028D" w:rsidP="0078028D">
      <w:pPr>
        <w:ind w:left="360"/>
        <w:rPr>
          <w:rFonts w:cs="Times New Roman"/>
        </w:rPr>
      </w:pPr>
      <w:r w:rsidRPr="001D121B">
        <w:rPr>
          <w:rFonts w:cs="Times New Roman"/>
        </w:rPr>
        <w:t xml:space="preserve">            AstraZeneca =</w:t>
      </w:r>
      <w:r w:rsidR="004C08F8" w:rsidRPr="001D121B">
        <w:rPr>
          <w:rFonts w:cs="Times New Roman"/>
        </w:rPr>
        <w:t xml:space="preserve"> </w:t>
      </w:r>
      <w:r w:rsidR="00B37DBE" w:rsidRPr="001D121B">
        <w:rPr>
          <w:rFonts w:eastAsiaTheme="minorEastAsia" w:cs="Times New Roman"/>
        </w:rPr>
        <w:t>.93</w:t>
      </w:r>
    </w:p>
    <w:p w:rsidR="00B37DBE" w:rsidRPr="001D121B" w:rsidRDefault="0078028D" w:rsidP="00B37DBE">
      <w:pPr>
        <w:ind w:left="360"/>
        <w:rPr>
          <w:rFonts w:eastAsiaTheme="minorEastAsia" w:cs="Times New Roman"/>
        </w:rPr>
      </w:pPr>
      <w:r w:rsidRPr="001D121B">
        <w:rPr>
          <w:rFonts w:cs="Times New Roman"/>
        </w:rPr>
        <w:t xml:space="preserve">            Unilever =</w:t>
      </w:r>
      <w:r w:rsidR="004C08F8" w:rsidRPr="001D121B">
        <w:rPr>
          <w:rFonts w:cs="Times New Roman"/>
        </w:rPr>
        <w:t xml:space="preserve"> </w:t>
      </w:r>
      <w:r w:rsidR="00B37DBE" w:rsidRPr="001D121B">
        <w:rPr>
          <w:rFonts w:eastAsiaTheme="minorEastAsia" w:cs="Times New Roman"/>
        </w:rPr>
        <w:t>.78</w:t>
      </w:r>
    </w:p>
    <w:p w:rsidR="00834CC5" w:rsidRPr="001D121B" w:rsidRDefault="00834CC5" w:rsidP="00834CC5">
      <w:pPr>
        <w:pStyle w:val="ListParagraph"/>
        <w:ind w:left="1080"/>
        <w:rPr>
          <w:rFonts w:cs="Times New Roman"/>
        </w:rPr>
      </w:pPr>
    </w:p>
    <w:p w:rsidR="00834CC5" w:rsidRPr="001D121B" w:rsidRDefault="00834CC5" w:rsidP="00834CC5">
      <w:pPr>
        <w:pStyle w:val="ListParagraph"/>
        <w:numPr>
          <w:ilvl w:val="0"/>
          <w:numId w:val="13"/>
        </w:numPr>
        <w:rPr>
          <w:rFonts w:cs="Times New Roman"/>
        </w:rPr>
      </w:pPr>
      <w:r w:rsidRPr="001D121B">
        <w:rPr>
          <w:rFonts w:cs="Times New Roman"/>
          <w:b/>
          <w:bCs/>
        </w:rPr>
        <w:t>Quick ratio:</w:t>
      </w:r>
      <w:r w:rsidR="005C6BCE" w:rsidRPr="001D121B">
        <w:rPr>
          <w:rFonts w:cs="Times New Roman"/>
          <w:b/>
          <w:bCs/>
        </w:rPr>
        <w:t xml:space="preserve"> </w:t>
      </w:r>
      <w:r w:rsidR="001C70D6" w:rsidRPr="001D121B">
        <w:rPr>
          <w:rFonts w:cs="Times New Roman"/>
        </w:rPr>
        <w:t xml:space="preserve">Quick ratio measures if the company can pay off its short-term debt using only its most liquid assets like cash. This is surely a red flag for both the companies, if their current ratio is less than 1. Unilever can only meet about 50% of its debts </w:t>
      </w:r>
      <w:r w:rsidR="00092A36" w:rsidRPr="001D121B">
        <w:rPr>
          <w:rFonts w:cs="Times New Roman"/>
        </w:rPr>
        <w:t>on an emergency.</w:t>
      </w:r>
      <w:r w:rsidR="004B652C" w:rsidRPr="001D121B">
        <w:rPr>
          <w:rFonts w:cs="Times New Roman"/>
        </w:rPr>
        <w:t xml:space="preserve"> But even though this is low and risky, big, reliable, and stable companies like AstraZeneca or Unilever do not usually ever face a liquidity crisis.</w:t>
      </w:r>
    </w:p>
    <w:p w:rsidR="0078028D" w:rsidRPr="001D121B" w:rsidRDefault="002B73C0" w:rsidP="00C65ECC">
      <w:pPr>
        <w:ind w:left="1080"/>
        <w:rPr>
          <w:rFonts w:cs="Times New Roman"/>
          <w:b/>
          <w:bCs/>
        </w:rPr>
      </w:pPr>
      <w:r w:rsidRPr="001D121B">
        <w:rPr>
          <w:rFonts w:cs="Times New Roman"/>
          <w:b/>
          <w:bCs/>
        </w:rPr>
        <w:t>Quick</w:t>
      </w:r>
      <w:r w:rsidR="0078028D" w:rsidRPr="001D121B">
        <w:rPr>
          <w:rFonts w:cs="Times New Roman"/>
          <w:b/>
          <w:bCs/>
        </w:rPr>
        <w:t xml:space="preserve"> ratio for the year 2024:</w:t>
      </w:r>
    </w:p>
    <w:p w:rsidR="0078028D" w:rsidRPr="001D121B" w:rsidRDefault="0078028D" w:rsidP="00234B8B">
      <w:pPr>
        <w:pStyle w:val="ListParagraph"/>
        <w:ind w:left="1080"/>
        <w:jc w:val="left"/>
        <w:rPr>
          <w:rFonts w:eastAsiaTheme="minorEastAsia" w:cs="Times New Roman"/>
        </w:rPr>
      </w:pPr>
      <w:r w:rsidRPr="001D121B">
        <w:rPr>
          <w:rFonts w:cs="Times New Roman"/>
        </w:rPr>
        <w:t>AstraZeneca =</w:t>
      </w:r>
      <w:r w:rsidR="004C08F8" w:rsidRPr="001D121B">
        <w:rPr>
          <w:rFonts w:cs="Times New Roman"/>
        </w:rPr>
        <w:t xml:space="preserve"> </w:t>
      </w:r>
      <w:r w:rsidR="006F246E" w:rsidRPr="001D121B">
        <w:rPr>
          <w:rFonts w:eastAsiaTheme="minorEastAsia" w:cs="Times New Roman"/>
        </w:rPr>
        <w:t>.71</w:t>
      </w:r>
    </w:p>
    <w:p w:rsidR="0078028D" w:rsidRPr="001D121B" w:rsidRDefault="0078028D" w:rsidP="0078028D">
      <w:pPr>
        <w:ind w:left="360"/>
        <w:rPr>
          <w:rFonts w:cs="Times New Roman"/>
        </w:rPr>
      </w:pPr>
      <w:r w:rsidRPr="001D121B">
        <w:rPr>
          <w:rFonts w:cs="Times New Roman"/>
        </w:rPr>
        <w:t xml:space="preserve">            Unilever =</w:t>
      </w:r>
      <w:r w:rsidR="00234B8B" w:rsidRPr="001D121B">
        <w:rPr>
          <w:rFonts w:cs="Times New Roman"/>
        </w:rPr>
        <w:t xml:space="preserve"> </w:t>
      </w:r>
      <w:r w:rsidR="006F246E" w:rsidRPr="001D121B">
        <w:rPr>
          <w:rFonts w:eastAsiaTheme="minorEastAsia" w:cs="Times New Roman"/>
        </w:rPr>
        <w:t>.55</w:t>
      </w:r>
    </w:p>
    <w:p w:rsidR="0078028D" w:rsidRPr="001D121B" w:rsidRDefault="0078028D" w:rsidP="00C65ECC">
      <w:pPr>
        <w:ind w:left="720"/>
        <w:rPr>
          <w:rFonts w:cs="Times New Roman"/>
          <w:b/>
          <w:bCs/>
        </w:rPr>
      </w:pPr>
      <w:r w:rsidRPr="001D121B">
        <w:rPr>
          <w:rFonts w:cs="Times New Roman"/>
          <w:b/>
          <w:bCs/>
        </w:rPr>
        <w:t xml:space="preserve">      </w:t>
      </w:r>
      <w:r w:rsidR="002B73C0" w:rsidRPr="001D121B">
        <w:rPr>
          <w:rFonts w:cs="Times New Roman"/>
          <w:b/>
          <w:bCs/>
        </w:rPr>
        <w:t>Quick</w:t>
      </w:r>
      <w:r w:rsidRPr="001D121B">
        <w:rPr>
          <w:rFonts w:cs="Times New Roman"/>
          <w:b/>
          <w:bCs/>
        </w:rPr>
        <w:t xml:space="preserve"> ratio for the year 2025:</w:t>
      </w:r>
    </w:p>
    <w:p w:rsidR="0078028D" w:rsidRPr="001D121B" w:rsidRDefault="0078028D" w:rsidP="0078028D">
      <w:pPr>
        <w:ind w:left="360"/>
        <w:rPr>
          <w:rFonts w:cs="Times New Roman"/>
        </w:rPr>
      </w:pPr>
      <w:r w:rsidRPr="001D121B">
        <w:rPr>
          <w:rFonts w:cs="Times New Roman"/>
        </w:rPr>
        <w:t xml:space="preserve">            AstraZeneca =</w:t>
      </w:r>
      <w:r w:rsidR="00234B8B" w:rsidRPr="001D121B">
        <w:rPr>
          <w:rFonts w:cs="Times New Roman"/>
        </w:rPr>
        <w:t xml:space="preserve"> </w:t>
      </w:r>
      <w:r w:rsidR="006F246E" w:rsidRPr="001D121B">
        <w:rPr>
          <w:rFonts w:eastAsiaTheme="minorEastAsia" w:cs="Times New Roman"/>
        </w:rPr>
        <w:t>.73</w:t>
      </w:r>
    </w:p>
    <w:p w:rsidR="00DE0BB9" w:rsidRPr="001D121B" w:rsidRDefault="0078028D" w:rsidP="00DE0BB9">
      <w:pPr>
        <w:ind w:left="360"/>
        <w:rPr>
          <w:rFonts w:eastAsiaTheme="minorEastAsia" w:cs="Times New Roman"/>
        </w:rPr>
      </w:pPr>
      <w:r w:rsidRPr="001D121B">
        <w:rPr>
          <w:rFonts w:cs="Times New Roman"/>
        </w:rPr>
        <w:t xml:space="preserve">            Unilever =</w:t>
      </w:r>
      <w:r w:rsidR="00234B8B" w:rsidRPr="001D121B">
        <w:rPr>
          <w:rFonts w:cs="Times New Roman"/>
        </w:rPr>
        <w:t xml:space="preserve"> </w:t>
      </w:r>
      <w:r w:rsidR="006F246E" w:rsidRPr="001D121B">
        <w:rPr>
          <w:rFonts w:eastAsiaTheme="minorEastAsia" w:cs="Times New Roman"/>
        </w:rPr>
        <w:t>.60</w:t>
      </w:r>
    </w:p>
    <w:p w:rsidR="00DE0BB9" w:rsidRPr="001D121B" w:rsidRDefault="00DE0BB9" w:rsidP="00DE0BB9">
      <w:pPr>
        <w:ind w:left="360"/>
        <w:rPr>
          <w:rFonts w:eastAsiaTheme="minorEastAsia" w:cs="Times New Roman"/>
        </w:rPr>
      </w:pPr>
    </w:p>
    <w:p w:rsidR="00DE0BB9" w:rsidRPr="001D121B" w:rsidRDefault="00DE0BB9" w:rsidP="00DE0BB9">
      <w:pPr>
        <w:ind w:left="360"/>
        <w:rPr>
          <w:rFonts w:eastAsiaTheme="minorEastAsia" w:cs="Times New Roman"/>
        </w:rPr>
      </w:pPr>
      <w:r w:rsidRPr="001D121B">
        <w:rPr>
          <w:rFonts w:eastAsiaTheme="minorEastAsia" w:cs="Times New Roman"/>
        </w:rPr>
        <w:t>Neither of the companies seem to hold enough current assets to meet their current debts</w:t>
      </w:r>
      <w:r w:rsidR="00DC562E" w:rsidRPr="001D121B">
        <w:rPr>
          <w:rFonts w:eastAsiaTheme="minorEastAsia" w:cs="Times New Roman"/>
        </w:rPr>
        <w:t xml:space="preserve"> at any time</w:t>
      </w:r>
      <w:r w:rsidRPr="001D121B">
        <w:rPr>
          <w:rFonts w:eastAsiaTheme="minorEastAsia" w:cs="Times New Roman"/>
        </w:rPr>
        <w:t xml:space="preserve">. They may face a liquidity shortage during difficult times. Their overall economic stability and reputation </w:t>
      </w:r>
      <w:r w:rsidR="00FA5C61" w:rsidRPr="001D121B">
        <w:rPr>
          <w:rFonts w:eastAsiaTheme="minorEastAsia" w:cs="Times New Roman"/>
        </w:rPr>
        <w:t>perhaps</w:t>
      </w:r>
      <w:r w:rsidRPr="001D121B">
        <w:rPr>
          <w:rFonts w:eastAsiaTheme="minorEastAsia" w:cs="Times New Roman"/>
        </w:rPr>
        <w:t xml:space="preserve"> cause creditors to overlook the situation.</w:t>
      </w:r>
    </w:p>
    <w:p w:rsidR="008C4683" w:rsidRPr="001D121B" w:rsidRDefault="008C4683" w:rsidP="008C4683">
      <w:pPr>
        <w:rPr>
          <w:rFonts w:cs="Times New Roman"/>
        </w:rPr>
      </w:pPr>
    </w:p>
    <w:p w:rsidR="00DC562E" w:rsidRPr="001D121B" w:rsidRDefault="00DC562E">
      <w:pPr>
        <w:spacing w:line="240" w:lineRule="auto"/>
        <w:jc w:val="left"/>
        <w:rPr>
          <w:rFonts w:eastAsiaTheme="majorEastAsia" w:cs="Times New Roman"/>
          <w:b/>
          <w:bCs/>
          <w:color w:val="2F5496" w:themeColor="accent1" w:themeShade="BF"/>
          <w:sz w:val="28"/>
          <w:szCs w:val="33"/>
        </w:rPr>
      </w:pPr>
      <w:r w:rsidRPr="001D121B">
        <w:rPr>
          <w:rFonts w:cs="Times New Roman"/>
          <w:b/>
          <w:bCs/>
        </w:rPr>
        <w:br w:type="page"/>
      </w:r>
    </w:p>
    <w:p w:rsidR="008C4683" w:rsidRPr="001D121B" w:rsidRDefault="0046007D" w:rsidP="0046007D">
      <w:pPr>
        <w:pStyle w:val="Heading1"/>
      </w:pPr>
      <w:bookmarkStart w:id="6" w:name="_Toc227410901"/>
      <w:r>
        <w:lastRenderedPageBreak/>
        <w:t xml:space="preserve">1.6 </w:t>
      </w:r>
      <w:r w:rsidR="008C4683" w:rsidRPr="001D121B">
        <w:t>Investment Ratios</w:t>
      </w:r>
      <w:bookmarkEnd w:id="6"/>
    </w:p>
    <w:p w:rsidR="008C4683" w:rsidRPr="001D121B" w:rsidRDefault="008C4683" w:rsidP="008C4683">
      <w:pPr>
        <w:rPr>
          <w:rFonts w:cs="Times New Roman"/>
        </w:rPr>
      </w:pPr>
    </w:p>
    <w:p w:rsidR="008C4683" w:rsidRPr="001D121B" w:rsidRDefault="008C4683" w:rsidP="008C4683">
      <w:pPr>
        <w:pStyle w:val="ListParagraph"/>
        <w:numPr>
          <w:ilvl w:val="0"/>
          <w:numId w:val="14"/>
        </w:numPr>
        <w:rPr>
          <w:rFonts w:cs="Times New Roman"/>
          <w:b/>
          <w:bCs/>
        </w:rPr>
      </w:pPr>
      <w:r w:rsidRPr="001D121B">
        <w:rPr>
          <w:rFonts w:cs="Times New Roman"/>
          <w:b/>
          <w:bCs/>
        </w:rPr>
        <w:t>Earnings per share (EPS):</w:t>
      </w:r>
      <w:r w:rsidR="00292F65" w:rsidRPr="001D121B">
        <w:rPr>
          <w:rFonts w:cs="Times New Roman"/>
          <w:b/>
          <w:bCs/>
        </w:rPr>
        <w:t xml:space="preserve"> </w:t>
      </w:r>
      <w:r w:rsidR="00292F65" w:rsidRPr="001D121B">
        <w:rPr>
          <w:rFonts w:cs="Times New Roman"/>
        </w:rPr>
        <w:t>EPS is perhaps the most common metric for shareholders to choose a stock</w:t>
      </w:r>
      <w:r w:rsidR="008B5898" w:rsidRPr="001D121B">
        <w:rPr>
          <w:rFonts w:cs="Times New Roman"/>
        </w:rPr>
        <w:t xml:space="preserve">. AstraZeneca had a massive </w:t>
      </w:r>
      <w:r w:rsidR="00291F55" w:rsidRPr="001D121B">
        <w:rPr>
          <w:rFonts w:cs="Times New Roman"/>
        </w:rPr>
        <w:t>45</w:t>
      </w:r>
      <w:r w:rsidR="008B5898" w:rsidRPr="001D121B">
        <w:rPr>
          <w:rFonts w:cs="Times New Roman"/>
        </w:rPr>
        <w:t>% within a year. Unilever’s</w:t>
      </w:r>
      <w:r w:rsidR="00291F55" w:rsidRPr="001D121B">
        <w:rPr>
          <w:rFonts w:cs="Times New Roman"/>
        </w:rPr>
        <w:t xml:space="preserve"> had about 6% growth, which is quite normal.</w:t>
      </w:r>
      <w:r w:rsidR="008B5898" w:rsidRPr="001D121B">
        <w:rPr>
          <w:rFonts w:cs="Times New Roman"/>
        </w:rPr>
        <w:t xml:space="preserve"> A steady growth is usually considered rather safer than a sudden leap</w:t>
      </w:r>
      <w:r w:rsidR="00863EDC" w:rsidRPr="001D121B">
        <w:rPr>
          <w:rFonts w:cs="Times New Roman"/>
        </w:rPr>
        <w:t>.</w:t>
      </w:r>
    </w:p>
    <w:p w:rsidR="00224766" w:rsidRPr="001D121B" w:rsidRDefault="00224766" w:rsidP="00224766">
      <w:pPr>
        <w:pStyle w:val="ListParagraph"/>
        <w:ind w:left="1080"/>
        <w:rPr>
          <w:rFonts w:cs="Times New Roman"/>
          <w:b/>
          <w:bCs/>
        </w:rPr>
      </w:pPr>
      <w:r w:rsidRPr="001D121B">
        <w:rPr>
          <w:rFonts w:cs="Times New Roman"/>
          <w:b/>
          <w:bCs/>
        </w:rPr>
        <w:t>EPS for the year 2024:</w:t>
      </w:r>
    </w:p>
    <w:p w:rsidR="00224766" w:rsidRPr="001D121B" w:rsidRDefault="00224766" w:rsidP="00224766">
      <w:pPr>
        <w:pStyle w:val="ListParagraph"/>
        <w:ind w:left="1080"/>
        <w:rPr>
          <w:rFonts w:cs="Times New Roman"/>
        </w:rPr>
      </w:pPr>
      <w:r w:rsidRPr="001D121B">
        <w:rPr>
          <w:rFonts w:cs="Times New Roman"/>
        </w:rPr>
        <w:t>Unilever = 2.</w:t>
      </w:r>
      <w:r w:rsidR="00291F55" w:rsidRPr="001D121B">
        <w:rPr>
          <w:rFonts w:cs="Times New Roman"/>
        </w:rPr>
        <w:t>45</w:t>
      </w:r>
    </w:p>
    <w:p w:rsidR="00224766" w:rsidRPr="001D121B" w:rsidRDefault="00224766" w:rsidP="00224766">
      <w:pPr>
        <w:pStyle w:val="ListParagraph"/>
        <w:ind w:left="1080"/>
        <w:rPr>
          <w:rFonts w:cs="Times New Roman"/>
        </w:rPr>
      </w:pPr>
      <w:r w:rsidRPr="001D121B">
        <w:rPr>
          <w:rFonts w:cs="Times New Roman"/>
        </w:rPr>
        <w:t xml:space="preserve">AstraZeneca = </w:t>
      </w:r>
      <w:r w:rsidR="001A6BD6" w:rsidRPr="001D121B">
        <w:rPr>
          <w:rFonts w:cs="Times New Roman"/>
        </w:rPr>
        <w:t>4.54</w:t>
      </w:r>
    </w:p>
    <w:p w:rsidR="00224766" w:rsidRPr="001D121B" w:rsidRDefault="00224766" w:rsidP="00224766">
      <w:pPr>
        <w:pStyle w:val="ListParagraph"/>
        <w:ind w:left="1080"/>
        <w:rPr>
          <w:rFonts w:cs="Times New Roman"/>
          <w:b/>
          <w:bCs/>
        </w:rPr>
      </w:pPr>
      <w:r w:rsidRPr="001D121B">
        <w:rPr>
          <w:rFonts w:cs="Times New Roman"/>
          <w:b/>
          <w:bCs/>
        </w:rPr>
        <w:t>EPS for the year 2025:</w:t>
      </w:r>
    </w:p>
    <w:p w:rsidR="00224766" w:rsidRPr="001D121B" w:rsidRDefault="00224766" w:rsidP="00224766">
      <w:pPr>
        <w:pStyle w:val="ListParagraph"/>
        <w:ind w:left="1080"/>
        <w:rPr>
          <w:rFonts w:cs="Times New Roman"/>
        </w:rPr>
      </w:pPr>
      <w:r w:rsidRPr="001D121B">
        <w:rPr>
          <w:rFonts w:cs="Times New Roman"/>
        </w:rPr>
        <w:t xml:space="preserve">Unilever = </w:t>
      </w:r>
      <w:r w:rsidR="00291F55" w:rsidRPr="001D121B">
        <w:rPr>
          <w:rFonts w:cs="Times New Roman"/>
        </w:rPr>
        <w:t>2.60</w:t>
      </w:r>
    </w:p>
    <w:p w:rsidR="00224766" w:rsidRPr="001D121B" w:rsidRDefault="00224766" w:rsidP="00224766">
      <w:pPr>
        <w:pStyle w:val="ListParagraph"/>
        <w:ind w:left="1080"/>
        <w:rPr>
          <w:rFonts w:cs="Times New Roman"/>
        </w:rPr>
      </w:pPr>
      <w:r w:rsidRPr="001D121B">
        <w:rPr>
          <w:rFonts w:cs="Times New Roman"/>
        </w:rPr>
        <w:t xml:space="preserve">AstraZeneca = </w:t>
      </w:r>
      <w:r w:rsidR="001A6BD6" w:rsidRPr="001D121B">
        <w:rPr>
          <w:rFonts w:cs="Times New Roman"/>
        </w:rPr>
        <w:t>6.6</w:t>
      </w:r>
    </w:p>
    <w:p w:rsidR="00854039" w:rsidRPr="001D121B" w:rsidRDefault="00854039" w:rsidP="00224766">
      <w:pPr>
        <w:pStyle w:val="ListParagraph"/>
        <w:ind w:left="1080"/>
        <w:rPr>
          <w:rFonts w:cs="Times New Roman"/>
        </w:rPr>
      </w:pPr>
    </w:p>
    <w:p w:rsidR="008C4683" w:rsidRPr="001D121B" w:rsidRDefault="008C4683" w:rsidP="008C4683">
      <w:pPr>
        <w:pStyle w:val="ListParagraph"/>
        <w:numPr>
          <w:ilvl w:val="0"/>
          <w:numId w:val="14"/>
        </w:numPr>
        <w:rPr>
          <w:rFonts w:cs="Times New Roman"/>
          <w:b/>
          <w:bCs/>
        </w:rPr>
      </w:pPr>
      <w:r w:rsidRPr="001D121B">
        <w:rPr>
          <w:rFonts w:cs="Times New Roman"/>
          <w:b/>
          <w:bCs/>
        </w:rPr>
        <w:t>Dividend cover</w:t>
      </w:r>
      <w:r w:rsidR="00AE288F" w:rsidRPr="001D121B">
        <w:rPr>
          <w:rFonts w:cs="Times New Roman"/>
          <w:b/>
          <w:bCs/>
        </w:rPr>
        <w:t>:</w:t>
      </w:r>
    </w:p>
    <w:p w:rsidR="008C4683" w:rsidRPr="001D121B" w:rsidRDefault="008C4683" w:rsidP="008C4683">
      <w:pPr>
        <w:pStyle w:val="ListParagraph"/>
        <w:ind w:left="1080"/>
        <w:rPr>
          <w:rFonts w:cs="Times New Roman"/>
        </w:rPr>
      </w:pPr>
    </w:p>
    <w:p w:rsidR="003C2A01" w:rsidRPr="001D121B" w:rsidRDefault="003C2A01">
      <w:pPr>
        <w:spacing w:line="240" w:lineRule="auto"/>
        <w:jc w:val="left"/>
        <w:rPr>
          <w:rFonts w:eastAsiaTheme="majorEastAsia" w:cs="Times New Roman"/>
          <w:b/>
          <w:bCs/>
          <w:color w:val="2F5496" w:themeColor="accent1" w:themeShade="BF"/>
          <w:sz w:val="28"/>
          <w:szCs w:val="33"/>
        </w:rPr>
      </w:pPr>
      <w:r w:rsidRPr="001D121B">
        <w:rPr>
          <w:rFonts w:cs="Times New Roman"/>
          <w:b/>
          <w:bCs/>
        </w:rPr>
        <w:br w:type="page"/>
      </w:r>
    </w:p>
    <w:p w:rsidR="008C4683" w:rsidRPr="001D121B" w:rsidRDefault="008C4683" w:rsidP="008C4683">
      <w:pPr>
        <w:pStyle w:val="Heading2"/>
        <w:numPr>
          <w:ilvl w:val="1"/>
          <w:numId w:val="8"/>
        </w:numPr>
        <w:rPr>
          <w:rFonts w:cs="Times New Roman"/>
          <w:b/>
          <w:bCs/>
        </w:rPr>
      </w:pPr>
      <w:bookmarkStart w:id="7" w:name="_Toc227410902"/>
      <w:r w:rsidRPr="001D121B">
        <w:rPr>
          <w:rFonts w:cs="Times New Roman"/>
          <w:b/>
          <w:bCs/>
        </w:rPr>
        <w:lastRenderedPageBreak/>
        <w:t>Gearing Ratios</w:t>
      </w:r>
      <w:bookmarkEnd w:id="7"/>
    </w:p>
    <w:p w:rsidR="008C4683" w:rsidRPr="001D121B" w:rsidRDefault="008C4683" w:rsidP="008C4683">
      <w:pPr>
        <w:pStyle w:val="ListParagraph"/>
        <w:numPr>
          <w:ilvl w:val="0"/>
          <w:numId w:val="15"/>
        </w:numPr>
        <w:rPr>
          <w:rFonts w:cs="Times New Roman"/>
        </w:rPr>
      </w:pPr>
      <w:r w:rsidRPr="001D121B">
        <w:rPr>
          <w:rFonts w:cs="Times New Roman"/>
        </w:rPr>
        <w:t>Ratio 1</w:t>
      </w:r>
    </w:p>
    <w:p w:rsidR="008C4683" w:rsidRPr="001D121B" w:rsidRDefault="008C4683" w:rsidP="008C4683">
      <w:pPr>
        <w:pStyle w:val="ListParagraph"/>
        <w:numPr>
          <w:ilvl w:val="0"/>
          <w:numId w:val="15"/>
        </w:numPr>
        <w:rPr>
          <w:rFonts w:cs="Times New Roman"/>
        </w:rPr>
      </w:pPr>
      <w:r w:rsidRPr="001D121B">
        <w:rPr>
          <w:rFonts w:cs="Times New Roman"/>
        </w:rPr>
        <w:t>Ratio 2</w:t>
      </w:r>
    </w:p>
    <w:p w:rsidR="008C4683" w:rsidRPr="001D121B" w:rsidRDefault="008C4683" w:rsidP="008C4683">
      <w:pPr>
        <w:pStyle w:val="ListParagraph"/>
        <w:numPr>
          <w:ilvl w:val="0"/>
          <w:numId w:val="15"/>
        </w:numPr>
        <w:rPr>
          <w:rFonts w:cs="Times New Roman"/>
        </w:rPr>
      </w:pPr>
      <w:r w:rsidRPr="001D121B">
        <w:rPr>
          <w:rFonts w:cs="Times New Roman"/>
        </w:rPr>
        <w:t>Interest cover</w:t>
      </w:r>
    </w:p>
    <w:p w:rsidR="004C08F8" w:rsidRPr="001D121B" w:rsidRDefault="004C08F8" w:rsidP="0078028D">
      <w:pPr>
        <w:ind w:left="360"/>
        <w:rPr>
          <w:rFonts w:cs="Times New Roman"/>
        </w:rPr>
      </w:pPr>
    </w:p>
    <w:p w:rsidR="002F0DF8" w:rsidRPr="001D121B" w:rsidRDefault="002F0DF8" w:rsidP="0078028D">
      <w:pPr>
        <w:tabs>
          <w:tab w:val="left" w:pos="1756"/>
        </w:tabs>
        <w:ind w:left="360"/>
        <w:rPr>
          <w:rFonts w:cs="Times New Roman"/>
        </w:rPr>
      </w:pPr>
    </w:p>
    <w:p w:rsidR="000E1CEA" w:rsidRPr="001D121B" w:rsidRDefault="000E1CEA" w:rsidP="000E1CEA">
      <w:pPr>
        <w:jc w:val="left"/>
        <w:rPr>
          <w:rFonts w:eastAsiaTheme="minorEastAsia" w:cs="Times New Roman"/>
        </w:rPr>
      </w:pPr>
    </w:p>
    <w:p w:rsidR="009E302C" w:rsidRPr="001D121B" w:rsidRDefault="009E302C" w:rsidP="009E302C">
      <w:pPr>
        <w:pStyle w:val="ListParagraph"/>
        <w:ind w:left="1080"/>
        <w:jc w:val="left"/>
        <w:rPr>
          <w:rFonts w:eastAsiaTheme="minorEastAsia" w:cs="Times New Roman"/>
        </w:rPr>
      </w:pPr>
    </w:p>
    <w:p w:rsidR="000D573E" w:rsidRPr="001D121B" w:rsidRDefault="000D573E" w:rsidP="000D573E">
      <w:pPr>
        <w:pStyle w:val="ListParagraph"/>
        <w:ind w:left="1080"/>
        <w:jc w:val="left"/>
        <w:rPr>
          <w:rFonts w:eastAsiaTheme="minorEastAsia" w:cs="Times New Roman"/>
        </w:rPr>
      </w:pPr>
    </w:p>
    <w:p w:rsidR="00E67F90" w:rsidRPr="001D121B" w:rsidRDefault="00E67F90" w:rsidP="00AB0E22">
      <w:pPr>
        <w:ind w:left="360"/>
        <w:rPr>
          <w:rFonts w:cs="Times New Roman"/>
        </w:rPr>
      </w:pPr>
    </w:p>
    <w:p w:rsidR="009D6A29" w:rsidRPr="001D121B" w:rsidRDefault="009D6A29">
      <w:pPr>
        <w:spacing w:line="240" w:lineRule="auto"/>
        <w:jc w:val="left"/>
        <w:rPr>
          <w:rFonts w:eastAsiaTheme="majorEastAsia" w:cs="Times New Roman"/>
          <w:b/>
          <w:color w:val="2F5496" w:themeColor="accent1" w:themeShade="BF"/>
          <w:sz w:val="32"/>
          <w:szCs w:val="40"/>
        </w:rPr>
      </w:pPr>
      <w:r w:rsidRPr="001D121B">
        <w:rPr>
          <w:rFonts w:cs="Times New Roman"/>
        </w:rPr>
        <w:br w:type="page"/>
      </w:r>
    </w:p>
    <w:p w:rsidR="009D6A29" w:rsidRPr="001D121B" w:rsidRDefault="009D6A29" w:rsidP="009D6A29">
      <w:pPr>
        <w:pStyle w:val="Heading1"/>
        <w:rPr>
          <w:rFonts w:cs="Times New Roman"/>
        </w:rPr>
      </w:pPr>
      <w:r w:rsidRPr="001D121B">
        <w:rPr>
          <w:rFonts w:cs="Times New Roman"/>
        </w:rPr>
        <w:lastRenderedPageBreak/>
        <w:br w:type="page"/>
      </w:r>
    </w:p>
    <w:p w:rsidR="009D6A29" w:rsidRPr="001D121B" w:rsidRDefault="009D6A29" w:rsidP="009D6A29">
      <w:pPr>
        <w:pStyle w:val="Heading1"/>
        <w:rPr>
          <w:rFonts w:cs="Times New Roman"/>
        </w:rPr>
      </w:pPr>
    </w:p>
    <w:p w:rsidR="009D6A29" w:rsidRPr="001D121B" w:rsidRDefault="009D6A29" w:rsidP="009D6A29">
      <w:pPr>
        <w:pStyle w:val="Heading1"/>
        <w:rPr>
          <w:rFonts w:cs="Times New Roman"/>
        </w:rPr>
      </w:pPr>
    </w:p>
    <w:p w:rsidR="009D6A29" w:rsidRPr="001D121B" w:rsidRDefault="009D6A29" w:rsidP="009D6A29">
      <w:pPr>
        <w:pStyle w:val="Heading1"/>
        <w:rPr>
          <w:rFonts w:cs="Times New Roman"/>
        </w:rPr>
      </w:pPr>
    </w:p>
    <w:p w:rsidR="009D6A29" w:rsidRPr="001D121B" w:rsidRDefault="009D6A29" w:rsidP="009D6A29">
      <w:pPr>
        <w:pStyle w:val="Heading1"/>
        <w:rPr>
          <w:rFonts w:cs="Times New Roman"/>
        </w:rPr>
      </w:pPr>
    </w:p>
    <w:p w:rsidR="009D6A29" w:rsidRPr="001D121B" w:rsidRDefault="009D6A29" w:rsidP="009D6A29">
      <w:pPr>
        <w:pStyle w:val="Heading1"/>
        <w:jc w:val="center"/>
        <w:rPr>
          <w:rFonts w:cs="Times New Roman"/>
          <w:sz w:val="40"/>
          <w:szCs w:val="48"/>
        </w:rPr>
      </w:pPr>
    </w:p>
    <w:p w:rsidR="009D6A29" w:rsidRPr="001D121B" w:rsidRDefault="009D6A29" w:rsidP="009D6A29">
      <w:pPr>
        <w:pStyle w:val="Heading1"/>
        <w:jc w:val="center"/>
        <w:rPr>
          <w:rFonts w:cs="Times New Roman"/>
          <w:sz w:val="40"/>
          <w:szCs w:val="48"/>
        </w:rPr>
      </w:pPr>
    </w:p>
    <w:p w:rsidR="009D6A29" w:rsidRPr="001D121B" w:rsidRDefault="009D6A29" w:rsidP="009D6A29">
      <w:pPr>
        <w:pStyle w:val="Heading1"/>
        <w:jc w:val="center"/>
        <w:rPr>
          <w:rFonts w:cs="Times New Roman"/>
          <w:sz w:val="40"/>
          <w:szCs w:val="48"/>
        </w:rPr>
      </w:pPr>
    </w:p>
    <w:p w:rsidR="009D6A29" w:rsidRPr="001D121B" w:rsidRDefault="009D6A29" w:rsidP="009D6A29">
      <w:pPr>
        <w:pStyle w:val="Heading1"/>
        <w:jc w:val="center"/>
        <w:rPr>
          <w:rFonts w:cs="Times New Roman"/>
          <w:sz w:val="40"/>
          <w:szCs w:val="48"/>
        </w:rPr>
      </w:pPr>
      <w:bookmarkStart w:id="8" w:name="_Toc227410903"/>
      <w:r w:rsidRPr="001D121B">
        <w:rPr>
          <w:rFonts w:cs="Times New Roman"/>
          <w:sz w:val="40"/>
          <w:szCs w:val="48"/>
        </w:rPr>
        <w:t>PART II</w:t>
      </w:r>
      <w:bookmarkEnd w:id="8"/>
      <w:r w:rsidRPr="001D121B">
        <w:rPr>
          <w:rFonts w:cs="Times New Roman"/>
          <w:sz w:val="40"/>
          <w:szCs w:val="48"/>
        </w:rPr>
        <w:br/>
      </w:r>
      <w:r w:rsidRPr="001D121B">
        <w:rPr>
          <w:rFonts w:cs="Times New Roman"/>
          <w:sz w:val="40"/>
          <w:szCs w:val="48"/>
        </w:rPr>
        <w:br/>
      </w:r>
      <w:r w:rsidRPr="001D121B">
        <w:rPr>
          <w:rFonts w:cs="Times New Roman"/>
          <w:sz w:val="40"/>
          <w:szCs w:val="48"/>
        </w:rPr>
        <w:br/>
      </w:r>
      <w:r w:rsidRPr="001D121B">
        <w:rPr>
          <w:rFonts w:cs="Times New Roman"/>
          <w:sz w:val="40"/>
          <w:szCs w:val="48"/>
        </w:rPr>
        <w:br/>
      </w:r>
      <w:r w:rsidRPr="001D121B">
        <w:rPr>
          <w:rFonts w:cs="Times New Roman"/>
          <w:sz w:val="40"/>
          <w:szCs w:val="48"/>
        </w:rPr>
        <w:br/>
      </w:r>
      <w:r w:rsidRPr="001D121B">
        <w:rPr>
          <w:rFonts w:cs="Times New Roman"/>
          <w:sz w:val="40"/>
          <w:szCs w:val="48"/>
        </w:rPr>
        <w:br/>
      </w:r>
      <w:r w:rsidRPr="001D121B">
        <w:rPr>
          <w:rFonts w:cs="Times New Roman"/>
          <w:sz w:val="40"/>
          <w:szCs w:val="48"/>
        </w:rPr>
        <w:br/>
      </w:r>
      <w:r w:rsidRPr="001D121B">
        <w:rPr>
          <w:rFonts w:cs="Times New Roman"/>
          <w:sz w:val="40"/>
          <w:szCs w:val="48"/>
        </w:rPr>
        <w:br/>
      </w:r>
      <w:r w:rsidRPr="001D121B">
        <w:rPr>
          <w:rFonts w:cs="Times New Roman"/>
          <w:sz w:val="40"/>
          <w:szCs w:val="48"/>
        </w:rPr>
        <w:br/>
      </w:r>
    </w:p>
    <w:p w:rsidR="009D6A29" w:rsidRPr="001D121B" w:rsidRDefault="009D6A29">
      <w:pPr>
        <w:spacing w:line="240" w:lineRule="auto"/>
        <w:jc w:val="left"/>
        <w:rPr>
          <w:rFonts w:eastAsiaTheme="majorEastAsia" w:cs="Times New Roman"/>
          <w:b/>
          <w:color w:val="2F5496" w:themeColor="accent1" w:themeShade="BF"/>
          <w:sz w:val="32"/>
          <w:szCs w:val="40"/>
        </w:rPr>
      </w:pPr>
    </w:p>
    <w:p w:rsidR="003C2A01" w:rsidRPr="001D121B" w:rsidRDefault="003C2A01">
      <w:pPr>
        <w:spacing w:line="240" w:lineRule="auto"/>
        <w:jc w:val="left"/>
        <w:rPr>
          <w:rFonts w:eastAsiaTheme="majorEastAsia" w:cs="Times New Roman"/>
          <w:b/>
          <w:bCs/>
          <w:color w:val="2F5496" w:themeColor="accent1" w:themeShade="BF"/>
          <w:sz w:val="32"/>
          <w:szCs w:val="40"/>
        </w:rPr>
      </w:pPr>
      <w:r w:rsidRPr="001D121B">
        <w:rPr>
          <w:rFonts w:cs="Times New Roman"/>
          <w:bCs/>
        </w:rPr>
        <w:br w:type="page"/>
      </w:r>
    </w:p>
    <w:p w:rsidR="00860BA0" w:rsidRPr="001D121B" w:rsidRDefault="00860BA0" w:rsidP="003C2A01">
      <w:pPr>
        <w:pStyle w:val="Heading1"/>
        <w:jc w:val="center"/>
        <w:rPr>
          <w:rFonts w:cs="Times New Roman"/>
        </w:rPr>
      </w:pPr>
    </w:p>
    <w:p w:rsidR="00860BA0" w:rsidRPr="001D121B" w:rsidRDefault="00860BA0" w:rsidP="003C2A01">
      <w:pPr>
        <w:pStyle w:val="Heading1"/>
        <w:jc w:val="center"/>
        <w:rPr>
          <w:rFonts w:cs="Times New Roman"/>
        </w:rPr>
      </w:pPr>
    </w:p>
    <w:p w:rsidR="00860BA0" w:rsidRPr="001D121B" w:rsidRDefault="00860BA0" w:rsidP="003C2A01">
      <w:pPr>
        <w:pStyle w:val="Heading1"/>
        <w:jc w:val="center"/>
        <w:rPr>
          <w:rFonts w:cs="Times New Roman"/>
        </w:rPr>
      </w:pPr>
    </w:p>
    <w:p w:rsidR="00860BA0" w:rsidRPr="001D121B" w:rsidRDefault="00860BA0" w:rsidP="003C2A01">
      <w:pPr>
        <w:pStyle w:val="Heading1"/>
        <w:jc w:val="center"/>
        <w:rPr>
          <w:rFonts w:cs="Times New Roman"/>
        </w:rPr>
      </w:pPr>
    </w:p>
    <w:p w:rsidR="003C2A01" w:rsidRPr="001D121B" w:rsidRDefault="003C2A01" w:rsidP="003C2A01">
      <w:pPr>
        <w:pStyle w:val="Heading1"/>
        <w:jc w:val="center"/>
        <w:rPr>
          <w:rFonts w:cs="Times New Roman"/>
        </w:rPr>
      </w:pPr>
      <w:bookmarkStart w:id="9" w:name="_Toc227410904"/>
      <w:r w:rsidRPr="001D121B">
        <w:rPr>
          <w:rFonts w:cs="Times New Roman"/>
        </w:rPr>
        <w:t>Executive Summary</w:t>
      </w:r>
      <w:bookmarkEnd w:id="9"/>
    </w:p>
    <w:p w:rsidR="00CE0293" w:rsidRPr="001D121B" w:rsidRDefault="00CE0293" w:rsidP="00CE0293">
      <w:pPr>
        <w:rPr>
          <w:rFonts w:cs="Times New Roman"/>
        </w:rPr>
      </w:pPr>
    </w:p>
    <w:p w:rsidR="00CE0293" w:rsidRPr="001D121B" w:rsidRDefault="00CE0293" w:rsidP="00CE0293">
      <w:pPr>
        <w:rPr>
          <w:rFonts w:cs="Times New Roman"/>
        </w:rPr>
      </w:pPr>
      <w:r w:rsidRPr="001D121B">
        <w:rPr>
          <w:rFonts w:cs="Times New Roman"/>
        </w:rPr>
        <w:t>Beard Plc. considers expanding the business with three alternative projects in mind, each of which with different expenditure and different expected returns over the next four consecutive years.</w:t>
      </w:r>
      <w:r w:rsidR="00410766" w:rsidRPr="001D121B">
        <w:rPr>
          <w:rFonts w:cs="Times New Roman"/>
        </w:rPr>
        <w:t xml:space="preserve"> This report begins with an analysis of the net present values (NPVs) and internal rates of return (IRRs)</w:t>
      </w:r>
      <w:r w:rsidRPr="001D121B">
        <w:rPr>
          <w:rFonts w:cs="Times New Roman"/>
        </w:rPr>
        <w:t xml:space="preserve"> </w:t>
      </w:r>
      <w:r w:rsidR="00410766" w:rsidRPr="001D121B">
        <w:rPr>
          <w:rFonts w:cs="Times New Roman"/>
        </w:rPr>
        <w:t>of each of the projects.</w:t>
      </w:r>
      <w:r w:rsidR="005D2665" w:rsidRPr="001D121B">
        <w:rPr>
          <w:rFonts w:cs="Times New Roman"/>
        </w:rPr>
        <w:t xml:space="preserve"> With the discount rate of 5%, project (C), having the highest NPV, should be selected, as NPV is </w:t>
      </w:r>
      <w:r w:rsidR="006635E6" w:rsidRPr="001D121B">
        <w:rPr>
          <w:rFonts w:cs="Times New Roman"/>
        </w:rPr>
        <w:t>arguably the best method for decision-making.</w:t>
      </w:r>
      <w:r w:rsidR="00E11F77" w:rsidRPr="001D121B">
        <w:rPr>
          <w:rFonts w:cs="Times New Roman"/>
        </w:rPr>
        <w:t xml:space="preserve"> Alternatively, project (B) and (C), having the same IRR, are equally acceptable. Either way, project (A) does not seem profitable in the long</w:t>
      </w:r>
      <w:r w:rsidR="00C865C0" w:rsidRPr="001D121B">
        <w:rPr>
          <w:rFonts w:cs="Times New Roman"/>
        </w:rPr>
        <w:t>-term</w:t>
      </w:r>
      <w:r w:rsidR="00E11F77" w:rsidRPr="001D121B">
        <w:rPr>
          <w:rFonts w:cs="Times New Roman"/>
        </w:rPr>
        <w:t>.</w:t>
      </w:r>
      <w:r w:rsidR="00C865C0" w:rsidRPr="001D121B">
        <w:rPr>
          <w:rFonts w:cs="Times New Roman"/>
        </w:rPr>
        <w:t xml:space="preserve"> The management can also apply other methods, like the payback period or ARR, if the non-discounting models are more preferable. Besides, there are varied non-financial factors to keep in mind regarding the investment decision, such as environmental impact, political and legal environment of the region, ethical boundaries, financial and technological feasibility and resources, work safety, economic stability, etc.</w:t>
      </w:r>
      <w:r w:rsidR="00497C36" w:rsidRPr="001D121B">
        <w:rPr>
          <w:rFonts w:cs="Times New Roman"/>
        </w:rPr>
        <w:t xml:space="preserve"> Lastly, the profitability index (PI) has been used to create an optimal investment policy for a fund of £150,000, since the projects are divisible. According to the policy, project (c), being the most profitable, should be fully invested in. The remaining fund of £50,000 should be invested in the second most profitable project</w:t>
      </w:r>
      <w:r w:rsidR="00D66A45" w:rsidRPr="001D121B">
        <w:rPr>
          <w:rFonts w:cs="Times New Roman"/>
        </w:rPr>
        <w:t>,</w:t>
      </w:r>
      <w:r w:rsidR="00497C36" w:rsidRPr="001D121B">
        <w:rPr>
          <w:rFonts w:cs="Times New Roman"/>
        </w:rPr>
        <w:t xml:space="preserve"> </w:t>
      </w:r>
      <w:r w:rsidR="00860BA0" w:rsidRPr="001D121B">
        <w:rPr>
          <w:rFonts w:cs="Times New Roman"/>
        </w:rPr>
        <w:t>p</w:t>
      </w:r>
      <w:r w:rsidR="00497C36" w:rsidRPr="001D121B">
        <w:rPr>
          <w:rFonts w:cs="Times New Roman"/>
        </w:rPr>
        <w:t>roject (B).</w:t>
      </w:r>
    </w:p>
    <w:p w:rsidR="003C2A01" w:rsidRPr="001D121B" w:rsidRDefault="003C2A01" w:rsidP="003C2A01">
      <w:pPr>
        <w:rPr>
          <w:rFonts w:eastAsiaTheme="majorEastAsia" w:cs="Times New Roman"/>
          <w:color w:val="2F5496" w:themeColor="accent1" w:themeShade="BF"/>
          <w:sz w:val="32"/>
          <w:szCs w:val="40"/>
        </w:rPr>
      </w:pPr>
      <w:r w:rsidRPr="001D121B">
        <w:rPr>
          <w:rFonts w:cs="Times New Roman"/>
        </w:rPr>
        <w:br w:type="page"/>
      </w:r>
    </w:p>
    <w:p w:rsidR="007D70C6" w:rsidRPr="001D121B" w:rsidRDefault="007D70C6" w:rsidP="009D6A29">
      <w:pPr>
        <w:pStyle w:val="Heading1"/>
        <w:rPr>
          <w:rFonts w:cs="Times New Roman"/>
        </w:rPr>
      </w:pPr>
      <w:bookmarkStart w:id="10" w:name="_Toc227410905"/>
      <w:r w:rsidRPr="001D121B">
        <w:rPr>
          <w:rFonts w:cs="Times New Roman"/>
          <w:bCs/>
        </w:rPr>
        <w:lastRenderedPageBreak/>
        <w:t>2.1 Introduction</w:t>
      </w:r>
      <w:bookmarkEnd w:id="10"/>
      <w:r w:rsidRPr="001D121B">
        <w:rPr>
          <w:rFonts w:cs="Times New Roman"/>
          <w:bCs/>
        </w:rPr>
        <w:t xml:space="preserve"> </w:t>
      </w:r>
    </w:p>
    <w:p w:rsidR="007D70C6" w:rsidRPr="001D121B" w:rsidRDefault="007D70C6" w:rsidP="007D70C6">
      <w:pPr>
        <w:rPr>
          <w:rFonts w:cs="Times New Roman"/>
        </w:rPr>
      </w:pPr>
    </w:p>
    <w:p w:rsidR="007D70C6" w:rsidRPr="001D121B" w:rsidRDefault="007D70C6" w:rsidP="007D70C6">
      <w:pPr>
        <w:rPr>
          <w:rFonts w:cs="Times New Roman"/>
        </w:rPr>
      </w:pPr>
      <w:r w:rsidRPr="001D121B">
        <w:rPr>
          <w:rFonts w:cs="Times New Roman"/>
        </w:rPr>
        <w:t>Beard Plc. produces handbags and is considering to expand the business. The four-year plan consists of:</w:t>
      </w:r>
    </w:p>
    <w:p w:rsidR="007D70C6" w:rsidRPr="001D121B" w:rsidRDefault="007D70C6" w:rsidP="007D70C6">
      <w:pPr>
        <w:pStyle w:val="ListParagraph"/>
        <w:numPr>
          <w:ilvl w:val="0"/>
          <w:numId w:val="2"/>
        </w:numPr>
        <w:rPr>
          <w:rFonts w:cs="Times New Roman"/>
        </w:rPr>
      </w:pPr>
      <w:r w:rsidRPr="001D121B">
        <w:rPr>
          <w:rFonts w:cs="Times New Roman"/>
        </w:rPr>
        <w:t>Expanding the retail outlet to include all products.</w:t>
      </w:r>
    </w:p>
    <w:p w:rsidR="007D70C6" w:rsidRPr="001D121B" w:rsidRDefault="007D70C6" w:rsidP="007D70C6">
      <w:pPr>
        <w:pStyle w:val="ListParagraph"/>
        <w:numPr>
          <w:ilvl w:val="0"/>
          <w:numId w:val="2"/>
        </w:numPr>
        <w:rPr>
          <w:rFonts w:cs="Times New Roman"/>
        </w:rPr>
      </w:pPr>
      <w:r w:rsidRPr="001D121B">
        <w:rPr>
          <w:rFonts w:cs="Times New Roman"/>
        </w:rPr>
        <w:t>Develop into internet sales, and</w:t>
      </w:r>
    </w:p>
    <w:p w:rsidR="00B50F48" w:rsidRPr="001D121B" w:rsidRDefault="007D70C6" w:rsidP="00B50F48">
      <w:pPr>
        <w:pStyle w:val="ListParagraph"/>
        <w:numPr>
          <w:ilvl w:val="0"/>
          <w:numId w:val="2"/>
        </w:numPr>
        <w:rPr>
          <w:rFonts w:cs="Times New Roman"/>
        </w:rPr>
      </w:pPr>
      <w:r w:rsidRPr="001D121B">
        <w:rPr>
          <w:rFonts w:cs="Times New Roman"/>
        </w:rPr>
        <w:t>Produce purses and wallets</w:t>
      </w:r>
    </w:p>
    <w:p w:rsidR="00A93FEC" w:rsidRPr="001D121B" w:rsidRDefault="00A93FEC" w:rsidP="00A93FEC">
      <w:pPr>
        <w:pStyle w:val="ListParagraph"/>
        <w:ind w:left="1080"/>
        <w:rPr>
          <w:rFonts w:cs="Times New Roman"/>
        </w:rPr>
      </w:pPr>
    </w:p>
    <w:p w:rsidR="00F40EDC" w:rsidRPr="001D121B" w:rsidRDefault="00F40EDC" w:rsidP="007D70C6">
      <w:pPr>
        <w:rPr>
          <w:rFonts w:cs="Times New Roman"/>
        </w:rPr>
      </w:pPr>
      <w:r w:rsidRPr="001D121B">
        <w:rPr>
          <w:rFonts w:cs="Times New Roman"/>
        </w:rPr>
        <w:t>Beard Plc. has four investment opportunities, and the company has to choose one based on profitability and other factors. So, a table including the expenditures and expected year-end cashflows of each of the projects for the four consecutive years has been created below:</w:t>
      </w:r>
    </w:p>
    <w:tbl>
      <w:tblPr>
        <w:tblStyle w:val="TableGrid"/>
        <w:tblpPr w:leftFromText="180" w:rightFromText="180" w:vertAnchor="text" w:horzAnchor="margin" w:tblpY="233"/>
        <w:tblW w:w="9351" w:type="dxa"/>
        <w:tblLook w:val="04A0" w:firstRow="1" w:lastRow="0" w:firstColumn="1" w:lastColumn="0" w:noHBand="0" w:noVBand="1"/>
      </w:tblPr>
      <w:tblGrid>
        <w:gridCol w:w="562"/>
        <w:gridCol w:w="1389"/>
        <w:gridCol w:w="1872"/>
        <w:gridCol w:w="1842"/>
        <w:gridCol w:w="1843"/>
        <w:gridCol w:w="1843"/>
      </w:tblGrid>
      <w:tr w:rsidR="00F40EDC" w:rsidRPr="001D121B" w:rsidTr="00F40EDC">
        <w:tc>
          <w:tcPr>
            <w:tcW w:w="562" w:type="dxa"/>
            <w:shd w:val="clear" w:color="auto" w:fill="305C9D"/>
          </w:tcPr>
          <w:p w:rsidR="00F40EDC" w:rsidRPr="001D121B" w:rsidRDefault="00F40EDC" w:rsidP="00F40EDC">
            <w:pPr>
              <w:rPr>
                <w:rFonts w:cs="Times New Roman"/>
              </w:rPr>
            </w:pPr>
          </w:p>
        </w:tc>
        <w:tc>
          <w:tcPr>
            <w:tcW w:w="1389" w:type="dxa"/>
            <w:shd w:val="clear" w:color="auto" w:fill="305C9D"/>
          </w:tcPr>
          <w:p w:rsidR="00F40EDC" w:rsidRPr="001D121B" w:rsidRDefault="00F40EDC" w:rsidP="00F40EDC">
            <w:pPr>
              <w:rPr>
                <w:rFonts w:cs="Times New Roman"/>
                <w:color w:val="FFFFFF" w:themeColor="background1"/>
              </w:rPr>
            </w:pPr>
            <w:r w:rsidRPr="001D121B">
              <w:rPr>
                <w:rFonts w:cs="Times New Roman"/>
                <w:color w:val="FFFFFF" w:themeColor="background1"/>
              </w:rPr>
              <w:t>Expenditure</w:t>
            </w:r>
          </w:p>
        </w:tc>
        <w:tc>
          <w:tcPr>
            <w:tcW w:w="1872" w:type="dxa"/>
            <w:shd w:val="clear" w:color="auto" w:fill="305C9D"/>
          </w:tcPr>
          <w:p w:rsidR="00F40EDC" w:rsidRPr="001D121B" w:rsidRDefault="00F40EDC" w:rsidP="00F40EDC">
            <w:pPr>
              <w:rPr>
                <w:rFonts w:cs="Times New Roman"/>
                <w:color w:val="FFFFFF" w:themeColor="background1"/>
              </w:rPr>
            </w:pPr>
            <w:r w:rsidRPr="001D121B">
              <w:rPr>
                <w:rFonts w:cs="Times New Roman"/>
                <w:color w:val="FFFFFF" w:themeColor="background1"/>
              </w:rPr>
              <w:t>Year 1 Cashflow</w:t>
            </w:r>
          </w:p>
        </w:tc>
        <w:tc>
          <w:tcPr>
            <w:tcW w:w="1842" w:type="dxa"/>
            <w:shd w:val="clear" w:color="auto" w:fill="305C9D"/>
          </w:tcPr>
          <w:p w:rsidR="00F40EDC" w:rsidRPr="001D121B" w:rsidRDefault="00F40EDC" w:rsidP="00F40EDC">
            <w:pPr>
              <w:rPr>
                <w:rFonts w:cs="Times New Roman"/>
                <w:color w:val="FFFFFF" w:themeColor="background1"/>
              </w:rPr>
            </w:pPr>
            <w:r w:rsidRPr="001D121B">
              <w:rPr>
                <w:rFonts w:cs="Times New Roman"/>
                <w:color w:val="FFFFFF" w:themeColor="background1"/>
              </w:rPr>
              <w:t>Year 2 Cashflow</w:t>
            </w:r>
          </w:p>
        </w:tc>
        <w:tc>
          <w:tcPr>
            <w:tcW w:w="1843" w:type="dxa"/>
            <w:shd w:val="clear" w:color="auto" w:fill="305C9D"/>
          </w:tcPr>
          <w:p w:rsidR="00F40EDC" w:rsidRPr="001D121B" w:rsidRDefault="00F40EDC" w:rsidP="00F40EDC">
            <w:pPr>
              <w:rPr>
                <w:rFonts w:cs="Times New Roman"/>
                <w:color w:val="FFFFFF" w:themeColor="background1"/>
              </w:rPr>
            </w:pPr>
            <w:r w:rsidRPr="001D121B">
              <w:rPr>
                <w:rFonts w:cs="Times New Roman"/>
                <w:color w:val="FFFFFF" w:themeColor="background1"/>
              </w:rPr>
              <w:t>Year 3 Cashflow</w:t>
            </w:r>
          </w:p>
        </w:tc>
        <w:tc>
          <w:tcPr>
            <w:tcW w:w="1843" w:type="dxa"/>
            <w:shd w:val="clear" w:color="auto" w:fill="305C9D"/>
          </w:tcPr>
          <w:p w:rsidR="00F40EDC" w:rsidRPr="001D121B" w:rsidRDefault="00F40EDC" w:rsidP="00F40EDC">
            <w:pPr>
              <w:rPr>
                <w:rFonts w:cs="Times New Roman"/>
                <w:color w:val="FFFFFF" w:themeColor="background1"/>
              </w:rPr>
            </w:pPr>
            <w:r w:rsidRPr="001D121B">
              <w:rPr>
                <w:rFonts w:cs="Times New Roman"/>
                <w:color w:val="FFFFFF" w:themeColor="background1"/>
              </w:rPr>
              <w:t>Year 4 Cashflow</w:t>
            </w:r>
          </w:p>
        </w:tc>
      </w:tr>
      <w:tr w:rsidR="00F40EDC" w:rsidRPr="001D121B" w:rsidTr="00F40EDC">
        <w:tc>
          <w:tcPr>
            <w:tcW w:w="562" w:type="dxa"/>
            <w:shd w:val="clear" w:color="auto" w:fill="305C9D"/>
          </w:tcPr>
          <w:p w:rsidR="00F40EDC" w:rsidRPr="001D121B" w:rsidRDefault="00F40EDC" w:rsidP="00F40EDC">
            <w:pPr>
              <w:rPr>
                <w:rFonts w:cs="Times New Roman"/>
                <w:color w:val="FFFFFF" w:themeColor="background1"/>
              </w:rPr>
            </w:pPr>
            <w:r w:rsidRPr="001D121B">
              <w:rPr>
                <w:rFonts w:cs="Times New Roman"/>
                <w:color w:val="FFFFFF" w:themeColor="background1"/>
              </w:rPr>
              <w:t>(A)</w:t>
            </w:r>
          </w:p>
        </w:tc>
        <w:tc>
          <w:tcPr>
            <w:tcW w:w="1389" w:type="dxa"/>
          </w:tcPr>
          <w:p w:rsidR="00F40EDC" w:rsidRPr="001D121B" w:rsidRDefault="00F40EDC" w:rsidP="00F40EDC">
            <w:pPr>
              <w:jc w:val="center"/>
              <w:rPr>
                <w:rFonts w:cs="Times New Roman"/>
              </w:rPr>
            </w:pPr>
            <w:r w:rsidRPr="001D121B">
              <w:rPr>
                <w:rFonts w:cs="Times New Roman"/>
              </w:rPr>
              <w:t>£600,000</w:t>
            </w:r>
          </w:p>
        </w:tc>
        <w:tc>
          <w:tcPr>
            <w:tcW w:w="1872" w:type="dxa"/>
          </w:tcPr>
          <w:p w:rsidR="00F40EDC" w:rsidRPr="001D121B" w:rsidRDefault="00F40EDC" w:rsidP="00F40EDC">
            <w:pPr>
              <w:jc w:val="center"/>
              <w:rPr>
                <w:rFonts w:cs="Times New Roman"/>
              </w:rPr>
            </w:pPr>
            <w:r w:rsidRPr="001D121B">
              <w:rPr>
                <w:rFonts w:cs="Times New Roman"/>
              </w:rPr>
              <w:t>£100,000</w:t>
            </w:r>
          </w:p>
        </w:tc>
        <w:tc>
          <w:tcPr>
            <w:tcW w:w="1842" w:type="dxa"/>
          </w:tcPr>
          <w:p w:rsidR="00F40EDC" w:rsidRPr="001D121B" w:rsidRDefault="00F40EDC" w:rsidP="00F40EDC">
            <w:pPr>
              <w:jc w:val="center"/>
              <w:rPr>
                <w:rFonts w:cs="Times New Roman"/>
              </w:rPr>
            </w:pPr>
            <w:r w:rsidRPr="001D121B">
              <w:rPr>
                <w:rFonts w:cs="Times New Roman"/>
              </w:rPr>
              <w:t>£180,000</w:t>
            </w:r>
          </w:p>
        </w:tc>
        <w:tc>
          <w:tcPr>
            <w:tcW w:w="1843" w:type="dxa"/>
          </w:tcPr>
          <w:p w:rsidR="00F40EDC" w:rsidRPr="001D121B" w:rsidRDefault="00F40EDC" w:rsidP="00F40EDC">
            <w:pPr>
              <w:jc w:val="center"/>
              <w:rPr>
                <w:rFonts w:cs="Times New Roman"/>
              </w:rPr>
            </w:pPr>
            <w:r w:rsidRPr="001D121B">
              <w:rPr>
                <w:rFonts w:cs="Times New Roman"/>
              </w:rPr>
              <w:t>£210,000</w:t>
            </w:r>
          </w:p>
        </w:tc>
        <w:tc>
          <w:tcPr>
            <w:tcW w:w="1843" w:type="dxa"/>
          </w:tcPr>
          <w:p w:rsidR="00F40EDC" w:rsidRPr="001D121B" w:rsidRDefault="00F40EDC" w:rsidP="00F40EDC">
            <w:pPr>
              <w:jc w:val="center"/>
              <w:rPr>
                <w:rFonts w:cs="Times New Roman"/>
              </w:rPr>
            </w:pPr>
            <w:r w:rsidRPr="001D121B">
              <w:rPr>
                <w:rFonts w:cs="Times New Roman"/>
              </w:rPr>
              <w:t>£200,000</w:t>
            </w:r>
          </w:p>
        </w:tc>
      </w:tr>
      <w:tr w:rsidR="00F40EDC" w:rsidRPr="001D121B" w:rsidTr="00F40EDC">
        <w:tc>
          <w:tcPr>
            <w:tcW w:w="562" w:type="dxa"/>
            <w:shd w:val="clear" w:color="auto" w:fill="305C9D"/>
          </w:tcPr>
          <w:p w:rsidR="00F40EDC" w:rsidRPr="001D121B" w:rsidRDefault="00F40EDC" w:rsidP="00F40EDC">
            <w:pPr>
              <w:rPr>
                <w:rFonts w:cs="Times New Roman"/>
                <w:color w:val="FFFFFF" w:themeColor="background1"/>
              </w:rPr>
            </w:pPr>
            <w:r w:rsidRPr="001D121B">
              <w:rPr>
                <w:rFonts w:cs="Times New Roman"/>
                <w:color w:val="FFFFFF" w:themeColor="background1"/>
              </w:rPr>
              <w:t>(B)</w:t>
            </w:r>
          </w:p>
        </w:tc>
        <w:tc>
          <w:tcPr>
            <w:tcW w:w="1389" w:type="dxa"/>
            <w:shd w:val="clear" w:color="auto" w:fill="BDD6EE" w:themeFill="accent5" w:themeFillTint="66"/>
          </w:tcPr>
          <w:p w:rsidR="00F40EDC" w:rsidRPr="001D121B" w:rsidRDefault="00F40EDC" w:rsidP="00F40EDC">
            <w:pPr>
              <w:jc w:val="center"/>
              <w:rPr>
                <w:rFonts w:cs="Times New Roman"/>
              </w:rPr>
            </w:pPr>
            <w:r w:rsidRPr="001D121B">
              <w:rPr>
                <w:rFonts w:cs="Times New Roman"/>
              </w:rPr>
              <w:t>£900,000</w:t>
            </w:r>
          </w:p>
        </w:tc>
        <w:tc>
          <w:tcPr>
            <w:tcW w:w="1872" w:type="dxa"/>
            <w:shd w:val="clear" w:color="auto" w:fill="BDD6EE" w:themeFill="accent5" w:themeFillTint="66"/>
          </w:tcPr>
          <w:p w:rsidR="00F40EDC" w:rsidRPr="001D121B" w:rsidRDefault="00F40EDC" w:rsidP="00F40EDC">
            <w:pPr>
              <w:jc w:val="center"/>
              <w:rPr>
                <w:rFonts w:cs="Times New Roman"/>
              </w:rPr>
            </w:pPr>
            <w:r w:rsidRPr="001D121B">
              <w:rPr>
                <w:rFonts w:cs="Times New Roman"/>
              </w:rPr>
              <w:t>£220,000</w:t>
            </w:r>
          </w:p>
        </w:tc>
        <w:tc>
          <w:tcPr>
            <w:tcW w:w="1842" w:type="dxa"/>
            <w:shd w:val="clear" w:color="auto" w:fill="BDD6EE" w:themeFill="accent5" w:themeFillTint="66"/>
          </w:tcPr>
          <w:p w:rsidR="00F40EDC" w:rsidRPr="001D121B" w:rsidRDefault="00F40EDC" w:rsidP="00F40EDC">
            <w:pPr>
              <w:jc w:val="center"/>
              <w:rPr>
                <w:rFonts w:cs="Times New Roman"/>
              </w:rPr>
            </w:pPr>
            <w:r w:rsidRPr="001D121B">
              <w:rPr>
                <w:rFonts w:cs="Times New Roman"/>
              </w:rPr>
              <w:t>£270,000</w:t>
            </w:r>
          </w:p>
        </w:tc>
        <w:tc>
          <w:tcPr>
            <w:tcW w:w="1843" w:type="dxa"/>
            <w:shd w:val="clear" w:color="auto" w:fill="BDD6EE" w:themeFill="accent5" w:themeFillTint="66"/>
          </w:tcPr>
          <w:p w:rsidR="00F40EDC" w:rsidRPr="001D121B" w:rsidRDefault="00F40EDC" w:rsidP="00F40EDC">
            <w:pPr>
              <w:jc w:val="center"/>
              <w:rPr>
                <w:rFonts w:cs="Times New Roman"/>
              </w:rPr>
            </w:pPr>
            <w:r w:rsidRPr="001D121B">
              <w:rPr>
                <w:rFonts w:cs="Times New Roman"/>
              </w:rPr>
              <w:t>£350,000</w:t>
            </w:r>
          </w:p>
        </w:tc>
        <w:tc>
          <w:tcPr>
            <w:tcW w:w="1843" w:type="dxa"/>
            <w:shd w:val="clear" w:color="auto" w:fill="BDD6EE" w:themeFill="accent5" w:themeFillTint="66"/>
          </w:tcPr>
          <w:p w:rsidR="00F40EDC" w:rsidRPr="001D121B" w:rsidRDefault="00F40EDC" w:rsidP="00F40EDC">
            <w:pPr>
              <w:jc w:val="center"/>
              <w:rPr>
                <w:rFonts w:cs="Times New Roman"/>
              </w:rPr>
            </w:pPr>
            <w:r w:rsidRPr="001D121B">
              <w:rPr>
                <w:rFonts w:cs="Times New Roman"/>
              </w:rPr>
              <w:t>£400,000</w:t>
            </w:r>
          </w:p>
        </w:tc>
      </w:tr>
      <w:tr w:rsidR="00F40EDC" w:rsidRPr="001D121B" w:rsidTr="00F40EDC">
        <w:tc>
          <w:tcPr>
            <w:tcW w:w="562" w:type="dxa"/>
            <w:shd w:val="clear" w:color="auto" w:fill="305C9D"/>
          </w:tcPr>
          <w:p w:rsidR="00F40EDC" w:rsidRPr="001D121B" w:rsidRDefault="00F40EDC" w:rsidP="00F40EDC">
            <w:pPr>
              <w:rPr>
                <w:rFonts w:cs="Times New Roman"/>
                <w:color w:val="FFFFFF" w:themeColor="background1"/>
              </w:rPr>
            </w:pPr>
            <w:r w:rsidRPr="001D121B">
              <w:rPr>
                <w:rFonts w:cs="Times New Roman"/>
                <w:color w:val="FFFFFF" w:themeColor="background1"/>
              </w:rPr>
              <w:t>(C)</w:t>
            </w:r>
          </w:p>
        </w:tc>
        <w:tc>
          <w:tcPr>
            <w:tcW w:w="1389" w:type="dxa"/>
          </w:tcPr>
          <w:p w:rsidR="00F40EDC" w:rsidRPr="001D121B" w:rsidRDefault="00F40EDC" w:rsidP="00F40EDC">
            <w:pPr>
              <w:jc w:val="center"/>
              <w:rPr>
                <w:rFonts w:cs="Times New Roman"/>
              </w:rPr>
            </w:pPr>
            <w:r w:rsidRPr="001D121B">
              <w:rPr>
                <w:rFonts w:cs="Times New Roman"/>
              </w:rPr>
              <w:t>£1,000,000</w:t>
            </w:r>
          </w:p>
        </w:tc>
        <w:tc>
          <w:tcPr>
            <w:tcW w:w="1872" w:type="dxa"/>
          </w:tcPr>
          <w:p w:rsidR="00F40EDC" w:rsidRPr="001D121B" w:rsidRDefault="00F40EDC" w:rsidP="00F40EDC">
            <w:pPr>
              <w:jc w:val="center"/>
              <w:rPr>
                <w:rFonts w:cs="Times New Roman"/>
              </w:rPr>
            </w:pPr>
            <w:r w:rsidRPr="001D121B">
              <w:rPr>
                <w:rFonts w:cs="Times New Roman"/>
              </w:rPr>
              <w:t>£250,000</w:t>
            </w:r>
          </w:p>
        </w:tc>
        <w:tc>
          <w:tcPr>
            <w:tcW w:w="1842" w:type="dxa"/>
          </w:tcPr>
          <w:p w:rsidR="00F40EDC" w:rsidRPr="001D121B" w:rsidRDefault="00F40EDC" w:rsidP="00F40EDC">
            <w:pPr>
              <w:jc w:val="center"/>
              <w:rPr>
                <w:rFonts w:cs="Times New Roman"/>
              </w:rPr>
            </w:pPr>
            <w:r w:rsidRPr="001D121B">
              <w:rPr>
                <w:rFonts w:cs="Times New Roman"/>
              </w:rPr>
              <w:t>£310,000</w:t>
            </w:r>
          </w:p>
        </w:tc>
        <w:tc>
          <w:tcPr>
            <w:tcW w:w="1843" w:type="dxa"/>
          </w:tcPr>
          <w:p w:rsidR="00F40EDC" w:rsidRPr="001D121B" w:rsidRDefault="00F40EDC" w:rsidP="00F40EDC">
            <w:pPr>
              <w:jc w:val="center"/>
              <w:rPr>
                <w:rFonts w:cs="Times New Roman"/>
              </w:rPr>
            </w:pPr>
            <w:r w:rsidRPr="001D121B">
              <w:rPr>
                <w:rFonts w:cs="Times New Roman"/>
              </w:rPr>
              <w:t>£400,000</w:t>
            </w:r>
          </w:p>
        </w:tc>
        <w:tc>
          <w:tcPr>
            <w:tcW w:w="1843" w:type="dxa"/>
          </w:tcPr>
          <w:p w:rsidR="00F40EDC" w:rsidRPr="001D121B" w:rsidRDefault="00F40EDC" w:rsidP="00F40EDC">
            <w:pPr>
              <w:jc w:val="center"/>
              <w:rPr>
                <w:rFonts w:cs="Times New Roman"/>
              </w:rPr>
            </w:pPr>
            <w:r w:rsidRPr="001D121B">
              <w:rPr>
                <w:rFonts w:cs="Times New Roman"/>
              </w:rPr>
              <w:t>£430,000</w:t>
            </w:r>
          </w:p>
        </w:tc>
      </w:tr>
    </w:tbl>
    <w:p w:rsidR="00F40EDC" w:rsidRPr="001D121B" w:rsidRDefault="00F40EDC" w:rsidP="007D70C6">
      <w:pPr>
        <w:rPr>
          <w:rFonts w:cs="Times New Roman"/>
        </w:rPr>
      </w:pPr>
    </w:p>
    <w:p w:rsidR="00583F24" w:rsidRPr="001D121B" w:rsidRDefault="00583F24" w:rsidP="007D70C6">
      <w:pPr>
        <w:rPr>
          <w:rFonts w:cs="Times New Roman"/>
        </w:rPr>
      </w:pPr>
    </w:p>
    <w:p w:rsidR="00583F24" w:rsidRPr="001D121B" w:rsidRDefault="00583F24" w:rsidP="00583F24">
      <w:pPr>
        <w:pStyle w:val="Heading1"/>
        <w:rPr>
          <w:rFonts w:cs="Times New Roman"/>
        </w:rPr>
      </w:pPr>
      <w:bookmarkStart w:id="11" w:name="_Toc227410906"/>
      <w:r w:rsidRPr="001D121B">
        <w:rPr>
          <w:rFonts w:cs="Times New Roman"/>
        </w:rPr>
        <w:t xml:space="preserve">2.2 Analysis </w:t>
      </w:r>
      <w:r w:rsidR="000E151D" w:rsidRPr="001D121B">
        <w:rPr>
          <w:rFonts w:cs="Times New Roman"/>
        </w:rPr>
        <w:t>of</w:t>
      </w:r>
      <w:r w:rsidRPr="001D121B">
        <w:rPr>
          <w:rFonts w:cs="Times New Roman"/>
        </w:rPr>
        <w:t xml:space="preserve"> Net Present Value and Internal Rate of Return</w:t>
      </w:r>
      <w:bookmarkEnd w:id="11"/>
    </w:p>
    <w:p w:rsidR="00583F24" w:rsidRPr="001D121B" w:rsidRDefault="00583F24" w:rsidP="00583F24">
      <w:pPr>
        <w:rPr>
          <w:rFonts w:cs="Times New Roman"/>
        </w:rPr>
      </w:pPr>
    </w:p>
    <w:p w:rsidR="008569EF" w:rsidRPr="001D121B" w:rsidRDefault="00F40EDC" w:rsidP="007D70C6">
      <w:pPr>
        <w:rPr>
          <w:rFonts w:cs="Times New Roman"/>
        </w:rPr>
      </w:pPr>
      <w:r w:rsidRPr="001D121B">
        <w:rPr>
          <w:rFonts w:cs="Times New Roman"/>
        </w:rPr>
        <w:t xml:space="preserve">Many methods can be used to determine which project is to be undertaken. One of them is the </w:t>
      </w:r>
      <w:r w:rsidRPr="001D121B">
        <w:rPr>
          <w:rFonts w:cs="Times New Roman"/>
        </w:rPr>
        <w:br/>
        <w:t xml:space="preserve">Net present value (NPV), which is a method used to calculate the present value of all expected future year-end cashflows of each of the projects for comparison. The project with the highest NPV is considered the most profitable in the value of the project and is selected. Money </w:t>
      </w:r>
      <w:r w:rsidRPr="001D121B">
        <w:rPr>
          <w:rFonts w:cs="Times New Roman"/>
        </w:rPr>
        <w:br/>
        <w:t>devalues or gains in value over time due to inflation and deflation. Therefore, £1 today does not hold the same value as £1 a year later, which makes it hard for a decision-maker to compare among projects in different time periods. A discount rate is used to discount the future value into the present. The discount rate used in this report is the 5% cost of capital.</w:t>
      </w:r>
      <w:r w:rsidR="005C2520" w:rsidRPr="001D121B">
        <w:rPr>
          <w:rFonts w:cs="Times New Roman"/>
        </w:rPr>
        <w:t xml:space="preserve"> To calculate NPV, all the expected future year-end cashflows are summed up and divided with the discount rate. The initial expense is then subtracted to derive the expected future profit in the present period.</w:t>
      </w:r>
    </w:p>
    <w:p w:rsidR="008569EF" w:rsidRPr="001D121B" w:rsidRDefault="008569EF" w:rsidP="007D70C6">
      <w:pPr>
        <w:rPr>
          <w:rFonts w:cs="Times New Roman"/>
        </w:rPr>
      </w:pPr>
    </w:p>
    <w:p w:rsidR="00F40EDC" w:rsidRPr="001D121B" w:rsidRDefault="008569EF" w:rsidP="007D70C6">
      <w:pPr>
        <w:rPr>
          <w:rFonts w:cs="Times New Roman"/>
        </w:rPr>
      </w:pPr>
      <w:r w:rsidRPr="001D121B">
        <w:rPr>
          <w:rFonts w:cs="Times New Roman"/>
        </w:rPr>
        <w:br w:type="column"/>
      </w:r>
      <w:r w:rsidR="00F40EDC" w:rsidRPr="001D121B">
        <w:rPr>
          <w:rFonts w:cs="Times New Roman"/>
        </w:rPr>
        <w:lastRenderedPageBreak/>
        <w:t>Using the table above, NPVs of each of the three projects have been calculated below:</w:t>
      </w:r>
    </w:p>
    <w:p w:rsidR="008F14FC" w:rsidRPr="001D121B" w:rsidRDefault="008F14FC" w:rsidP="007D70C6">
      <w:pPr>
        <w:rPr>
          <w:rFonts w:cs="Times New Roman"/>
        </w:rPr>
      </w:pPr>
    </w:p>
    <w:p w:rsidR="00B649CF" w:rsidRPr="001D121B" w:rsidRDefault="00EB29E8" w:rsidP="007D70C6">
      <w:pPr>
        <w:rPr>
          <w:rFonts w:cs="Times New Roman"/>
        </w:rPr>
      </w:pPr>
      <w:r w:rsidRPr="001D121B">
        <w:rPr>
          <w:rFonts w:cs="Times New Roman"/>
          <w:b/>
          <w:bCs/>
        </w:rPr>
        <w:t>NPV of p</w:t>
      </w:r>
      <w:r w:rsidR="00B649CF" w:rsidRPr="001D121B">
        <w:rPr>
          <w:rFonts w:cs="Times New Roman"/>
          <w:b/>
          <w:bCs/>
        </w:rPr>
        <w:t>roject (A):</w:t>
      </w:r>
      <w:r w:rsidR="00B649CF" w:rsidRPr="001D121B">
        <w:rPr>
          <w:rFonts w:cs="Times New Roman"/>
        </w:rPr>
        <w:t xml:space="preserve"> </w:t>
      </w:r>
      <m:oMath>
        <m:nary>
          <m:naryPr>
            <m:chr m:val="∑"/>
            <m:limLoc m:val="undOvr"/>
            <m:ctrlPr>
              <w:rPr>
                <w:rFonts w:ascii="Cambria Math" w:hAnsi="Cambria Math" w:cs="Times New Roman"/>
                <w:i/>
              </w:rPr>
            </m:ctrlPr>
          </m:naryPr>
          <m:sub>
            <m:r>
              <w:rPr>
                <w:rFonts w:ascii="Cambria Math" w:hAnsi="Cambria Math" w:cs="Times New Roman"/>
              </w:rPr>
              <m:t>t=0</m:t>
            </m:r>
          </m:sub>
          <m:sup>
            <m:r>
              <w:rPr>
                <w:rFonts w:ascii="Cambria Math" w:hAnsi="Cambria Math" w:cs="Times New Roman"/>
              </w:rPr>
              <m:t>T</m:t>
            </m:r>
          </m:sup>
          <m:e>
            <m:f>
              <m:fPr>
                <m:ctrlPr>
                  <w:rPr>
                    <w:rFonts w:ascii="Cambria Math" w:hAnsi="Cambria Math" w:cs="Times New Roman"/>
                    <w:i/>
                  </w:rPr>
                </m:ctrlPr>
              </m:fPr>
              <m:num>
                <m:r>
                  <w:rPr>
                    <w:rFonts w:ascii="Cambria Math" w:hAnsi="Cambria Math" w:cs="Times New Roman"/>
                  </w:rPr>
                  <m:t>100,000+180,000+210,000+200,000</m:t>
                </m:r>
              </m:num>
              <m:den>
                <m:r>
                  <w:rPr>
                    <w:rFonts w:ascii="Cambria Math" w:hAnsi="Cambria Math" w:cs="Times New Roman"/>
                  </w:rPr>
                  <m:t>(1+</m:t>
                </m:r>
                <m:sSup>
                  <m:sSupPr>
                    <m:ctrlPr>
                      <w:rPr>
                        <w:rFonts w:ascii="Cambria Math" w:hAnsi="Cambria Math" w:cs="Times New Roman"/>
                        <w:i/>
                      </w:rPr>
                    </m:ctrlPr>
                  </m:sSupPr>
                  <m:e>
                    <m:r>
                      <w:rPr>
                        <w:rFonts w:ascii="Cambria Math" w:hAnsi="Cambria Math" w:cs="Times New Roman"/>
                      </w:rPr>
                      <m:t>.05)</m:t>
                    </m:r>
                  </m:e>
                  <m:sup>
                    <m:r>
                      <w:rPr>
                        <w:rFonts w:ascii="Cambria Math" w:hAnsi="Cambria Math" w:cs="Times New Roman"/>
                      </w:rPr>
                      <m:t>4</m:t>
                    </m:r>
                  </m:sup>
                </m:sSup>
              </m:den>
            </m:f>
          </m:e>
        </m:nary>
        <m:r>
          <w:rPr>
            <w:rFonts w:ascii="Cambria Math" w:hAnsi="Cambria Math" w:cs="Times New Roman"/>
          </w:rPr>
          <m:t>-600,000=£4,237.90</m:t>
        </m:r>
      </m:oMath>
    </w:p>
    <w:p w:rsidR="00B649CF" w:rsidRPr="001D121B" w:rsidRDefault="00EB29E8" w:rsidP="007D70C6">
      <w:pPr>
        <w:rPr>
          <w:rFonts w:cs="Times New Roman"/>
        </w:rPr>
      </w:pPr>
      <w:r w:rsidRPr="001D121B">
        <w:rPr>
          <w:rFonts w:cs="Times New Roman"/>
          <w:b/>
          <w:bCs/>
        </w:rPr>
        <w:t>NPV of p</w:t>
      </w:r>
      <w:r w:rsidR="00B649CF" w:rsidRPr="001D121B">
        <w:rPr>
          <w:rFonts w:cs="Times New Roman"/>
          <w:b/>
          <w:bCs/>
        </w:rPr>
        <w:t>roject (B):</w:t>
      </w:r>
      <w:r w:rsidR="00B649CF" w:rsidRPr="001D121B">
        <w:rPr>
          <w:rFonts w:cs="Times New Roman"/>
        </w:rPr>
        <w:t xml:space="preserve"> </w:t>
      </w:r>
      <m:oMath>
        <m:nary>
          <m:naryPr>
            <m:chr m:val="∑"/>
            <m:limLoc m:val="undOvr"/>
            <m:ctrlPr>
              <w:rPr>
                <w:rFonts w:ascii="Cambria Math" w:hAnsi="Cambria Math" w:cs="Times New Roman"/>
                <w:i/>
              </w:rPr>
            </m:ctrlPr>
          </m:naryPr>
          <m:sub>
            <m:r>
              <w:rPr>
                <w:rFonts w:ascii="Cambria Math" w:hAnsi="Cambria Math" w:cs="Times New Roman"/>
              </w:rPr>
              <m:t>t=0</m:t>
            </m:r>
          </m:sub>
          <m:sup>
            <m:r>
              <w:rPr>
                <w:rFonts w:ascii="Cambria Math" w:hAnsi="Cambria Math" w:cs="Times New Roman"/>
              </w:rPr>
              <m:t>T</m:t>
            </m:r>
          </m:sup>
          <m:e>
            <m:f>
              <m:fPr>
                <m:ctrlPr>
                  <w:rPr>
                    <w:rFonts w:ascii="Cambria Math" w:hAnsi="Cambria Math" w:cs="Times New Roman"/>
                    <w:i/>
                  </w:rPr>
                </m:ctrlPr>
              </m:fPr>
              <m:num>
                <m:r>
                  <w:rPr>
                    <w:rFonts w:ascii="Cambria Math" w:hAnsi="Cambria Math" w:cs="Times New Roman"/>
                  </w:rPr>
                  <m:t>220,000+270,000+350,000+400,000</m:t>
                </m:r>
              </m:num>
              <m:den>
                <m:r>
                  <w:rPr>
                    <w:rFonts w:ascii="Cambria Math" w:hAnsi="Cambria Math" w:cs="Times New Roman"/>
                  </w:rPr>
                  <m:t>(1+</m:t>
                </m:r>
                <m:sSup>
                  <m:sSupPr>
                    <m:ctrlPr>
                      <w:rPr>
                        <w:rFonts w:ascii="Cambria Math" w:hAnsi="Cambria Math" w:cs="Times New Roman"/>
                        <w:i/>
                      </w:rPr>
                    </m:ctrlPr>
                  </m:sSupPr>
                  <m:e>
                    <m:r>
                      <w:rPr>
                        <w:rFonts w:ascii="Cambria Math" w:hAnsi="Cambria Math" w:cs="Times New Roman"/>
                      </w:rPr>
                      <m:t>.05)</m:t>
                    </m:r>
                  </m:e>
                  <m:sup>
                    <m:r>
                      <w:rPr>
                        <w:rFonts w:ascii="Cambria Math" w:hAnsi="Cambria Math" w:cs="Times New Roman"/>
                      </w:rPr>
                      <m:t>4</m:t>
                    </m:r>
                  </m:sup>
                </m:sSup>
              </m:den>
            </m:f>
          </m:e>
        </m:nary>
        <m:r>
          <w:rPr>
            <w:rFonts w:ascii="Cambria Math" w:hAnsi="Cambria Math" w:cs="Times New Roman"/>
          </w:rPr>
          <m:t>-900,000=£176,996.11</m:t>
        </m:r>
      </m:oMath>
    </w:p>
    <w:p w:rsidR="006D643C" w:rsidRPr="001D121B" w:rsidRDefault="00EB29E8" w:rsidP="007D70C6">
      <w:pPr>
        <w:rPr>
          <w:rFonts w:eastAsiaTheme="minorEastAsia" w:cs="Times New Roman"/>
        </w:rPr>
      </w:pPr>
      <w:r w:rsidRPr="001D121B">
        <w:rPr>
          <w:rFonts w:cs="Times New Roman"/>
          <w:b/>
          <w:bCs/>
        </w:rPr>
        <w:t>NPV of p</w:t>
      </w:r>
      <w:r w:rsidR="00862B7D" w:rsidRPr="001D121B">
        <w:rPr>
          <w:rFonts w:cs="Times New Roman"/>
          <w:b/>
          <w:bCs/>
        </w:rPr>
        <w:t>roject (C):</w:t>
      </w:r>
      <w:r w:rsidR="00862B7D" w:rsidRPr="001D121B">
        <w:rPr>
          <w:rFonts w:cs="Times New Roman"/>
        </w:rPr>
        <w:t xml:space="preserve"> </w:t>
      </w:r>
      <m:oMath>
        <m:nary>
          <m:naryPr>
            <m:chr m:val="∑"/>
            <m:limLoc m:val="undOvr"/>
            <m:ctrlPr>
              <w:rPr>
                <w:rFonts w:ascii="Cambria Math" w:hAnsi="Cambria Math" w:cs="Times New Roman"/>
                <w:i/>
              </w:rPr>
            </m:ctrlPr>
          </m:naryPr>
          <m:sub>
            <m:r>
              <w:rPr>
                <w:rFonts w:ascii="Cambria Math" w:hAnsi="Cambria Math" w:cs="Times New Roman"/>
              </w:rPr>
              <m:t>t=0</m:t>
            </m:r>
          </m:sub>
          <m:sup>
            <m:r>
              <w:rPr>
                <w:rFonts w:ascii="Cambria Math" w:hAnsi="Cambria Math" w:cs="Times New Roman"/>
              </w:rPr>
              <m:t>T</m:t>
            </m:r>
          </m:sup>
          <m:e>
            <m:f>
              <m:fPr>
                <m:ctrlPr>
                  <w:rPr>
                    <w:rFonts w:ascii="Cambria Math" w:hAnsi="Cambria Math" w:cs="Times New Roman"/>
                    <w:i/>
                  </w:rPr>
                </m:ctrlPr>
              </m:fPr>
              <m:num>
                <m:r>
                  <w:rPr>
                    <w:rFonts w:ascii="Cambria Math" w:hAnsi="Cambria Math" w:cs="Times New Roman"/>
                  </w:rPr>
                  <m:t>250,000+310,000+400,000+430,000</m:t>
                </m:r>
              </m:num>
              <m:den>
                <m:r>
                  <w:rPr>
                    <w:rFonts w:ascii="Cambria Math" w:hAnsi="Cambria Math" w:cs="Times New Roman"/>
                  </w:rPr>
                  <m:t>(1+</m:t>
                </m:r>
                <m:sSup>
                  <m:sSupPr>
                    <m:ctrlPr>
                      <w:rPr>
                        <w:rFonts w:ascii="Cambria Math" w:hAnsi="Cambria Math" w:cs="Times New Roman"/>
                        <w:i/>
                      </w:rPr>
                    </m:ctrlPr>
                  </m:sSupPr>
                  <m:e>
                    <m:r>
                      <w:rPr>
                        <w:rFonts w:ascii="Cambria Math" w:hAnsi="Cambria Math" w:cs="Times New Roman"/>
                      </w:rPr>
                      <m:t>.05)</m:t>
                    </m:r>
                  </m:e>
                  <m:sup>
                    <m:r>
                      <w:rPr>
                        <w:rFonts w:ascii="Cambria Math" w:hAnsi="Cambria Math" w:cs="Times New Roman"/>
                      </w:rPr>
                      <m:t>4</m:t>
                    </m:r>
                  </m:sup>
                </m:sSup>
              </m:den>
            </m:f>
          </m:e>
        </m:nary>
        <m:r>
          <w:rPr>
            <w:rFonts w:ascii="Cambria Math" w:hAnsi="Cambria Math" w:cs="Times New Roman"/>
          </w:rPr>
          <m:t>-1,000,000=£208,163.31</m:t>
        </m:r>
      </m:oMath>
    </w:p>
    <w:p w:rsidR="008F14FC" w:rsidRPr="001D121B" w:rsidRDefault="008F14FC" w:rsidP="007D70C6">
      <w:pPr>
        <w:rPr>
          <w:rFonts w:eastAsiaTheme="minorEastAsia" w:cs="Times New Roman"/>
        </w:rPr>
      </w:pPr>
    </w:p>
    <w:p w:rsidR="00164A34" w:rsidRPr="001D121B" w:rsidRDefault="008569EF" w:rsidP="007D70C6">
      <w:pPr>
        <w:rPr>
          <w:rFonts w:cs="Times New Roman"/>
        </w:rPr>
      </w:pPr>
      <w:r w:rsidRPr="001D121B">
        <w:rPr>
          <w:rFonts w:cs="Times New Roman"/>
        </w:rPr>
        <w:t>NPV of p</w:t>
      </w:r>
      <w:r w:rsidR="00164A34" w:rsidRPr="001D121B">
        <w:rPr>
          <w:rFonts w:cs="Times New Roman"/>
        </w:rPr>
        <w:t>roject (C)</w:t>
      </w:r>
      <w:r w:rsidRPr="001D121B">
        <w:rPr>
          <w:rFonts w:cs="Times New Roman"/>
        </w:rPr>
        <w:t xml:space="preserve"> is £208,163.31, which</w:t>
      </w:r>
      <w:r w:rsidR="00164A34" w:rsidRPr="001D121B">
        <w:rPr>
          <w:rFonts w:cs="Times New Roman"/>
        </w:rPr>
        <w:t xml:space="preserve"> </w:t>
      </w:r>
      <w:r w:rsidRPr="001D121B">
        <w:rPr>
          <w:rFonts w:cs="Times New Roman"/>
        </w:rPr>
        <w:t>is</w:t>
      </w:r>
      <w:r w:rsidR="00164A34" w:rsidRPr="001D121B">
        <w:rPr>
          <w:rFonts w:cs="Times New Roman"/>
        </w:rPr>
        <w:t xml:space="preserve"> the highest among the </w:t>
      </w:r>
      <w:r w:rsidRPr="001D121B">
        <w:rPr>
          <w:rFonts w:cs="Times New Roman"/>
        </w:rPr>
        <w:t xml:space="preserve">all </w:t>
      </w:r>
      <w:r w:rsidR="005A7080" w:rsidRPr="001D121B">
        <w:rPr>
          <w:rFonts w:cs="Times New Roman"/>
        </w:rPr>
        <w:t xml:space="preserve">three </w:t>
      </w:r>
      <w:r w:rsidR="00164A34" w:rsidRPr="001D121B">
        <w:rPr>
          <w:rFonts w:cs="Times New Roman"/>
        </w:rPr>
        <w:t>projects</w:t>
      </w:r>
      <w:r w:rsidRPr="001D121B">
        <w:rPr>
          <w:rFonts w:cs="Times New Roman"/>
        </w:rPr>
        <w:t>. Therefore, t</w:t>
      </w:r>
      <w:r w:rsidR="00164A34" w:rsidRPr="001D121B">
        <w:rPr>
          <w:rFonts w:cs="Times New Roman"/>
        </w:rPr>
        <w:t>his is the most profitable</w:t>
      </w:r>
      <w:r w:rsidRPr="001D121B">
        <w:rPr>
          <w:rFonts w:cs="Times New Roman"/>
        </w:rPr>
        <w:t xml:space="preserve"> project and should be selected.</w:t>
      </w:r>
    </w:p>
    <w:p w:rsidR="0018104A" w:rsidRPr="001D121B" w:rsidRDefault="0018104A" w:rsidP="007D70C6">
      <w:pPr>
        <w:rPr>
          <w:rFonts w:cs="Times New Roman"/>
        </w:rPr>
      </w:pPr>
    </w:p>
    <w:p w:rsidR="005A7080" w:rsidRPr="001D121B" w:rsidRDefault="0018104A" w:rsidP="007D70C6">
      <w:pPr>
        <w:rPr>
          <w:rFonts w:cs="Times New Roman"/>
        </w:rPr>
      </w:pPr>
      <w:r w:rsidRPr="001D121B">
        <w:rPr>
          <w:rFonts w:cs="Times New Roman"/>
        </w:rPr>
        <w:t>Internal rate of return (IRR), on the other hand, denotes the expected annual return percentage of an investment. IRR makes the NPV equal to zero, or it is the break-even interest rat</w:t>
      </w:r>
      <w:r w:rsidR="009543B6" w:rsidRPr="001D121B">
        <w:rPr>
          <w:rFonts w:cs="Times New Roman"/>
        </w:rPr>
        <w:t>e.</w:t>
      </w:r>
      <w:r w:rsidR="001C030A" w:rsidRPr="001D121B">
        <w:rPr>
          <w:rFonts w:cs="Times New Roman"/>
        </w:rPr>
        <w:t xml:space="preserve"> IRR </w:t>
      </w:r>
      <w:r w:rsidR="009543B6" w:rsidRPr="001D121B">
        <w:rPr>
          <w:rFonts w:cs="Times New Roman"/>
        </w:rPr>
        <w:t xml:space="preserve">also considers the time value of money. IRR can be calculated in more than one way. IRRs </w:t>
      </w:r>
      <w:r w:rsidR="001C030A" w:rsidRPr="001D121B">
        <w:rPr>
          <w:rFonts w:cs="Times New Roman"/>
        </w:rPr>
        <w:t xml:space="preserve">of each of the projects </w:t>
      </w:r>
      <w:r w:rsidR="009543B6" w:rsidRPr="001D121B">
        <w:rPr>
          <w:rFonts w:cs="Times New Roman"/>
        </w:rPr>
        <w:t>have been calculated below</w:t>
      </w:r>
      <w:r w:rsidR="001C030A" w:rsidRPr="001D121B">
        <w:rPr>
          <w:rFonts w:cs="Times New Roman"/>
        </w:rPr>
        <w:t>:</w:t>
      </w:r>
    </w:p>
    <w:p w:rsidR="008F14FC" w:rsidRPr="001D121B" w:rsidRDefault="008F14FC" w:rsidP="007D70C6">
      <w:pPr>
        <w:rPr>
          <w:rFonts w:cs="Times New Roman"/>
        </w:rPr>
      </w:pPr>
    </w:p>
    <w:p w:rsidR="003760C9" w:rsidRPr="001D121B" w:rsidRDefault="00CD2540" w:rsidP="001C030A">
      <w:pPr>
        <w:rPr>
          <w:rFonts w:cs="Times New Roman"/>
        </w:rPr>
      </w:pPr>
      <w:r w:rsidRPr="001D121B">
        <w:rPr>
          <w:rFonts w:cs="Times New Roman"/>
          <w:b/>
          <w:bCs/>
        </w:rPr>
        <w:t>IRR of p</w:t>
      </w:r>
      <w:r w:rsidR="001C030A" w:rsidRPr="001D121B">
        <w:rPr>
          <w:rFonts w:cs="Times New Roman"/>
          <w:b/>
          <w:bCs/>
        </w:rPr>
        <w:t>roject (A):</w:t>
      </w:r>
      <w:r w:rsidR="001C030A" w:rsidRPr="001D121B">
        <w:rPr>
          <w:rFonts w:cs="Times New Roman"/>
        </w:rPr>
        <w:t xml:space="preserve"> </w:t>
      </w:r>
      <w:r w:rsidR="005A7080" w:rsidRPr="001D121B">
        <w:rPr>
          <w:rFonts w:cs="Times New Roman"/>
        </w:rPr>
        <w:t xml:space="preserve">0 = </w:t>
      </w:r>
      <m:oMath>
        <m:nary>
          <m:naryPr>
            <m:chr m:val="∑"/>
            <m:limLoc m:val="undOvr"/>
            <m:ctrlPr>
              <w:rPr>
                <w:rFonts w:ascii="Cambria Math" w:hAnsi="Cambria Math" w:cs="Times New Roman"/>
                <w:i/>
              </w:rPr>
            </m:ctrlPr>
          </m:naryPr>
          <m:sub>
            <m:r>
              <w:rPr>
                <w:rFonts w:ascii="Cambria Math" w:hAnsi="Cambria Math" w:cs="Times New Roman"/>
              </w:rPr>
              <m:t>t=0</m:t>
            </m:r>
          </m:sub>
          <m:sup>
            <m:r>
              <w:rPr>
                <w:rFonts w:ascii="Cambria Math" w:hAnsi="Cambria Math" w:cs="Times New Roman"/>
              </w:rPr>
              <m:t>n</m:t>
            </m:r>
          </m:sup>
          <m:e>
            <m:f>
              <m:fPr>
                <m:ctrlPr>
                  <w:rPr>
                    <w:rFonts w:ascii="Cambria Math" w:hAnsi="Cambria Math" w:cs="Times New Roman"/>
                    <w:i/>
                  </w:rPr>
                </m:ctrlPr>
              </m:fPr>
              <m:num>
                <m:r>
                  <w:rPr>
                    <w:rFonts w:ascii="Cambria Math" w:hAnsi="Cambria Math" w:cs="Times New Roman"/>
                  </w:rPr>
                  <m:t>100,000+180,000+210,000+200,000</m:t>
                </m:r>
              </m:num>
              <m:den>
                <m:r>
                  <w:rPr>
                    <w:rFonts w:ascii="Cambria Math" w:hAnsi="Cambria Math" w:cs="Times New Roman"/>
                  </w:rPr>
                  <m:t>(1+</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4</m:t>
                    </m:r>
                  </m:sup>
                </m:sSup>
              </m:den>
            </m:f>
          </m:e>
        </m:nary>
        <m:r>
          <w:rPr>
            <w:rFonts w:ascii="Cambria Math" w:hAnsi="Cambria Math" w:cs="Times New Roman"/>
          </w:rPr>
          <m:t>or 5%</m:t>
        </m:r>
      </m:oMath>
    </w:p>
    <w:p w:rsidR="001C030A" w:rsidRPr="001D121B" w:rsidRDefault="00CD2540" w:rsidP="001C030A">
      <w:pPr>
        <w:rPr>
          <w:rFonts w:cs="Times New Roman"/>
        </w:rPr>
      </w:pPr>
      <w:r w:rsidRPr="001D121B">
        <w:rPr>
          <w:rFonts w:cs="Times New Roman"/>
          <w:b/>
          <w:bCs/>
        </w:rPr>
        <w:t>IRR of p</w:t>
      </w:r>
      <w:r w:rsidR="001C030A" w:rsidRPr="001D121B">
        <w:rPr>
          <w:rFonts w:cs="Times New Roman"/>
          <w:b/>
          <w:bCs/>
        </w:rPr>
        <w:t>roject (B):</w:t>
      </w:r>
      <w:r w:rsidR="001C030A" w:rsidRPr="001D121B">
        <w:rPr>
          <w:rFonts w:cs="Times New Roman"/>
        </w:rPr>
        <w:t xml:space="preserve"> </w:t>
      </w:r>
      <w:r w:rsidR="005A7080" w:rsidRPr="001D121B">
        <w:rPr>
          <w:rFonts w:cs="Times New Roman"/>
        </w:rPr>
        <w:t xml:space="preserve">0 = </w:t>
      </w:r>
      <m:oMath>
        <m:nary>
          <m:naryPr>
            <m:chr m:val="∑"/>
            <m:limLoc m:val="undOvr"/>
            <m:ctrlPr>
              <w:rPr>
                <w:rFonts w:ascii="Cambria Math" w:hAnsi="Cambria Math" w:cs="Times New Roman"/>
                <w:i/>
              </w:rPr>
            </m:ctrlPr>
          </m:naryPr>
          <m:sub>
            <m:r>
              <w:rPr>
                <w:rFonts w:ascii="Cambria Math" w:hAnsi="Cambria Math" w:cs="Times New Roman"/>
              </w:rPr>
              <m:t>t=0</m:t>
            </m:r>
          </m:sub>
          <m:sup>
            <m:r>
              <w:rPr>
                <w:rFonts w:ascii="Cambria Math" w:hAnsi="Cambria Math" w:cs="Times New Roman"/>
              </w:rPr>
              <m:t>n</m:t>
            </m:r>
          </m:sup>
          <m:e>
            <m:f>
              <m:fPr>
                <m:ctrlPr>
                  <w:rPr>
                    <w:rFonts w:ascii="Cambria Math" w:hAnsi="Cambria Math" w:cs="Times New Roman"/>
                    <w:i/>
                  </w:rPr>
                </m:ctrlPr>
              </m:fPr>
              <m:num>
                <m:r>
                  <w:rPr>
                    <w:rFonts w:ascii="Cambria Math" w:hAnsi="Cambria Math" w:cs="Times New Roman"/>
                  </w:rPr>
                  <m:t>220,000+270,000+350,000+400,000</m:t>
                </m:r>
              </m:num>
              <m:den>
                <m:r>
                  <w:rPr>
                    <w:rFonts w:ascii="Cambria Math" w:hAnsi="Cambria Math" w:cs="Times New Roman"/>
                  </w:rPr>
                  <m:t>(1+</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4</m:t>
                    </m:r>
                  </m:sup>
                </m:sSup>
              </m:den>
            </m:f>
          </m:e>
        </m:nary>
        <m:r>
          <w:rPr>
            <w:rFonts w:ascii="Cambria Math" w:hAnsi="Cambria Math" w:cs="Times New Roman"/>
          </w:rPr>
          <m:t>or 13%</m:t>
        </m:r>
      </m:oMath>
    </w:p>
    <w:p w:rsidR="00CD2540" w:rsidRPr="001D121B" w:rsidRDefault="00CD2540" w:rsidP="001C030A">
      <w:pPr>
        <w:rPr>
          <w:rFonts w:eastAsiaTheme="minorEastAsia" w:cs="Times New Roman"/>
        </w:rPr>
      </w:pPr>
      <w:r w:rsidRPr="001D121B">
        <w:rPr>
          <w:rFonts w:cs="Times New Roman"/>
          <w:b/>
          <w:bCs/>
        </w:rPr>
        <w:t>IRR of p</w:t>
      </w:r>
      <w:r w:rsidR="001C030A" w:rsidRPr="001D121B">
        <w:rPr>
          <w:rFonts w:cs="Times New Roman"/>
          <w:b/>
          <w:bCs/>
        </w:rPr>
        <w:t>roject (C):</w:t>
      </w:r>
      <w:r w:rsidR="001C030A" w:rsidRPr="001D121B">
        <w:rPr>
          <w:rFonts w:cs="Times New Roman"/>
        </w:rPr>
        <w:t xml:space="preserve"> </w:t>
      </w:r>
      <w:r w:rsidR="005A7080" w:rsidRPr="001D121B">
        <w:rPr>
          <w:rFonts w:cs="Times New Roman"/>
        </w:rPr>
        <w:t xml:space="preserve">0 = </w:t>
      </w:r>
      <m:oMath>
        <m:nary>
          <m:naryPr>
            <m:chr m:val="∑"/>
            <m:limLoc m:val="undOvr"/>
            <m:ctrlPr>
              <w:rPr>
                <w:rFonts w:ascii="Cambria Math" w:hAnsi="Cambria Math" w:cs="Times New Roman"/>
                <w:i/>
              </w:rPr>
            </m:ctrlPr>
          </m:naryPr>
          <m:sub>
            <m:r>
              <w:rPr>
                <w:rFonts w:ascii="Cambria Math" w:hAnsi="Cambria Math" w:cs="Times New Roman"/>
              </w:rPr>
              <m:t>t=0</m:t>
            </m:r>
          </m:sub>
          <m:sup>
            <m:r>
              <w:rPr>
                <w:rFonts w:ascii="Cambria Math" w:hAnsi="Cambria Math" w:cs="Times New Roman"/>
              </w:rPr>
              <m:t>n</m:t>
            </m:r>
          </m:sup>
          <m:e>
            <m:f>
              <m:fPr>
                <m:ctrlPr>
                  <w:rPr>
                    <w:rFonts w:ascii="Cambria Math" w:hAnsi="Cambria Math" w:cs="Times New Roman"/>
                    <w:i/>
                  </w:rPr>
                </m:ctrlPr>
              </m:fPr>
              <m:num>
                <m:r>
                  <w:rPr>
                    <w:rFonts w:ascii="Cambria Math" w:hAnsi="Cambria Math" w:cs="Times New Roman"/>
                  </w:rPr>
                  <m:t>250,000+310,000+400,000+430,000</m:t>
                </m:r>
              </m:num>
              <m:den>
                <m:r>
                  <w:rPr>
                    <w:rFonts w:ascii="Cambria Math" w:hAnsi="Cambria Math" w:cs="Times New Roman"/>
                  </w:rPr>
                  <m:t>(1+</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4</m:t>
                    </m:r>
                  </m:sup>
                </m:sSup>
              </m:den>
            </m:f>
          </m:e>
        </m:nary>
        <m:r>
          <w:rPr>
            <w:rFonts w:ascii="Cambria Math" w:hAnsi="Cambria Math" w:cs="Times New Roman"/>
          </w:rPr>
          <m:t>or 13%</m:t>
        </m:r>
      </m:oMath>
    </w:p>
    <w:p w:rsidR="008F14FC" w:rsidRPr="001D121B" w:rsidRDefault="008F14FC" w:rsidP="001C030A">
      <w:pPr>
        <w:rPr>
          <w:rFonts w:eastAsiaTheme="minorEastAsia" w:cs="Times New Roman"/>
        </w:rPr>
      </w:pPr>
    </w:p>
    <w:p w:rsidR="002702DA" w:rsidRPr="001D121B" w:rsidRDefault="002702DA" w:rsidP="001C030A">
      <w:pPr>
        <w:rPr>
          <w:rFonts w:cs="Times New Roman"/>
        </w:rPr>
      </w:pPr>
      <w:r w:rsidRPr="001D121B">
        <w:rPr>
          <w:rFonts w:cs="Times New Roman"/>
        </w:rPr>
        <w:t>Project (A) has the lowest IRR and NPV</w:t>
      </w:r>
      <w:r w:rsidR="001348F6" w:rsidRPr="001D121B">
        <w:rPr>
          <w:rFonts w:cs="Times New Roman"/>
        </w:rPr>
        <w:t xml:space="preserve"> both</w:t>
      </w:r>
      <w:r w:rsidRPr="001D121B">
        <w:rPr>
          <w:rFonts w:cs="Times New Roman"/>
        </w:rPr>
        <w:t>.</w:t>
      </w:r>
      <w:r w:rsidR="001348F6" w:rsidRPr="001D121B">
        <w:rPr>
          <w:rFonts w:cs="Times New Roman"/>
        </w:rPr>
        <w:t xml:space="preserve"> Besides, the IRR is the same as the cost of capital.</w:t>
      </w:r>
      <w:r w:rsidRPr="001D121B">
        <w:rPr>
          <w:rFonts w:cs="Times New Roman"/>
        </w:rPr>
        <w:t xml:space="preserve"> </w:t>
      </w:r>
      <w:r w:rsidR="001348F6" w:rsidRPr="001D121B">
        <w:rPr>
          <w:rFonts w:cs="Times New Roman"/>
        </w:rPr>
        <w:t>So, this project should not be chosen.</w:t>
      </w:r>
      <w:r w:rsidRPr="001D121B">
        <w:rPr>
          <w:rFonts w:cs="Times New Roman"/>
        </w:rPr>
        <w:t xml:space="preserve"> Project (B) and (C), however, have the same IRR</w:t>
      </w:r>
      <w:r w:rsidR="001348F6" w:rsidRPr="001D121B">
        <w:rPr>
          <w:rFonts w:cs="Times New Roman"/>
        </w:rPr>
        <w:t xml:space="preserve"> of 13%, which is 8% greater than the cost of capital, ensuring the perfect recovery of the cost</w:t>
      </w:r>
      <w:r w:rsidRPr="001D121B">
        <w:rPr>
          <w:rFonts w:cs="Times New Roman"/>
        </w:rPr>
        <w:t>.</w:t>
      </w:r>
      <w:r w:rsidR="001348F6" w:rsidRPr="001D121B">
        <w:rPr>
          <w:rFonts w:cs="Times New Roman"/>
        </w:rPr>
        <w:t xml:space="preserve"> In this case, </w:t>
      </w:r>
      <w:r w:rsidRPr="001D121B">
        <w:rPr>
          <w:rFonts w:cs="Times New Roman"/>
        </w:rPr>
        <w:t xml:space="preserve">the one with the highest NPV or </w:t>
      </w:r>
      <w:r w:rsidR="001348F6" w:rsidRPr="001D121B">
        <w:rPr>
          <w:rFonts w:cs="Times New Roman"/>
        </w:rPr>
        <w:t>p</w:t>
      </w:r>
      <w:r w:rsidRPr="001D121B">
        <w:rPr>
          <w:rFonts w:cs="Times New Roman"/>
        </w:rPr>
        <w:t>roject (C) should be chosen.</w:t>
      </w:r>
    </w:p>
    <w:p w:rsidR="00993794" w:rsidRPr="001D121B" w:rsidRDefault="00993794" w:rsidP="001C030A">
      <w:pPr>
        <w:rPr>
          <w:rFonts w:cs="Times New Roman"/>
        </w:rPr>
      </w:pPr>
    </w:p>
    <w:p w:rsidR="00F43D62" w:rsidRPr="001D121B" w:rsidRDefault="006349DC" w:rsidP="001C030A">
      <w:pPr>
        <w:rPr>
          <w:rFonts w:cs="Times New Roman"/>
        </w:rPr>
      </w:pPr>
      <w:r w:rsidRPr="001D121B">
        <w:rPr>
          <w:rFonts w:cs="Times New Roman"/>
        </w:rPr>
        <w:t>NPV is considered the best method for investment appraisal, because it is very realistically</w:t>
      </w:r>
      <w:r w:rsidR="0007734B" w:rsidRPr="001D121B">
        <w:rPr>
          <w:rFonts w:cs="Times New Roman"/>
        </w:rPr>
        <w:t xml:space="preserve"> applied to find which investment has the most yield in terms of wealth in today’s monetary value</w:t>
      </w:r>
      <w:r w:rsidRPr="001D121B">
        <w:rPr>
          <w:rFonts w:cs="Times New Roman"/>
        </w:rPr>
        <w:t>. The cost of capital</w:t>
      </w:r>
      <w:r w:rsidR="0007734B" w:rsidRPr="001D121B">
        <w:rPr>
          <w:rFonts w:cs="Times New Roman"/>
        </w:rPr>
        <w:t>, used to discount the future values,</w:t>
      </w:r>
      <w:r w:rsidRPr="001D121B">
        <w:rPr>
          <w:rFonts w:cs="Times New Roman"/>
        </w:rPr>
        <w:t xml:space="preserve"> is a realistic market-based rate</w:t>
      </w:r>
      <w:r w:rsidR="0007734B" w:rsidRPr="001D121B">
        <w:rPr>
          <w:rFonts w:cs="Times New Roman"/>
        </w:rPr>
        <w:t xml:space="preserve"> derived from the actual cost of the investment,</w:t>
      </w:r>
      <w:r w:rsidRPr="001D121B">
        <w:rPr>
          <w:rFonts w:cs="Times New Roman"/>
        </w:rPr>
        <w:t xml:space="preserve"> and it’s thought that the cashflows are re-invested at this rate. Besides, NPV follows the concept of time value of money, or that it discounts the future cashflows back to their present values, which helps in </w:t>
      </w:r>
      <w:r w:rsidR="00BC3414" w:rsidRPr="001D121B">
        <w:rPr>
          <w:rFonts w:cs="Times New Roman"/>
        </w:rPr>
        <w:t>realistic</w:t>
      </w:r>
      <w:r w:rsidRPr="001D121B">
        <w:rPr>
          <w:rFonts w:cs="Times New Roman"/>
        </w:rPr>
        <w:t xml:space="preserve"> comparison</w:t>
      </w:r>
      <w:r w:rsidR="00BD23D1" w:rsidRPr="001D121B">
        <w:rPr>
          <w:rFonts w:cs="Times New Roman"/>
        </w:rPr>
        <w:t xml:space="preserve"> among yields from projects</w:t>
      </w:r>
      <w:r w:rsidR="000E2AB1" w:rsidRPr="001D121B">
        <w:rPr>
          <w:rFonts w:cs="Times New Roman"/>
        </w:rPr>
        <w:t xml:space="preserve"> throughout different time periods</w:t>
      </w:r>
      <w:r w:rsidR="00F43D62" w:rsidRPr="001D121B">
        <w:rPr>
          <w:rFonts w:cs="Times New Roman"/>
        </w:rPr>
        <w:t>.</w:t>
      </w:r>
    </w:p>
    <w:p w:rsidR="00A35D47" w:rsidRPr="001D121B" w:rsidRDefault="00A35D47" w:rsidP="001C030A">
      <w:pPr>
        <w:rPr>
          <w:rFonts w:cs="Times New Roman"/>
        </w:rPr>
      </w:pPr>
    </w:p>
    <w:p w:rsidR="00A35D47" w:rsidRPr="001D121B" w:rsidRDefault="00A35D47" w:rsidP="001C030A">
      <w:pPr>
        <w:rPr>
          <w:rFonts w:cs="Times New Roman"/>
        </w:rPr>
      </w:pPr>
      <w:r w:rsidRPr="001D121B">
        <w:rPr>
          <w:rFonts w:cs="Times New Roman"/>
        </w:rPr>
        <w:lastRenderedPageBreak/>
        <w:t>IRR is less reliable because it considers that re-investment occurs at the rate of IRR, which is quite high, such as it’s as high as 13% for project (B) and (C).</w:t>
      </w:r>
      <w:r w:rsidR="002D30BF" w:rsidRPr="001D121B">
        <w:rPr>
          <w:rFonts w:cs="Times New Roman"/>
        </w:rPr>
        <w:t xml:space="preserve"> IRR is a percentage and does not give a clear figure like NPV. So, it’s not always applicable in some analyses and makes its use limited. IRR also doesn’t account for the change in cost of capital. So, it provides the same rate despite an increase or decrease in capital expenditure.</w:t>
      </w:r>
      <w:r w:rsidR="002D4A5D" w:rsidRPr="001D121B">
        <w:rPr>
          <w:rFonts w:cs="Times New Roman"/>
        </w:rPr>
        <w:t xml:space="preserve"> IRR can also give two different rates for the same project. In case of conventional cashflows, there’s a big outflow at the start or year 0 or the initial investment</w:t>
      </w:r>
      <w:r w:rsidR="00BE490A" w:rsidRPr="001D121B">
        <w:rPr>
          <w:rFonts w:cs="Times New Roman"/>
        </w:rPr>
        <w:t xml:space="preserve"> </w:t>
      </w:r>
      <w:r w:rsidR="002D4A5D" w:rsidRPr="001D121B">
        <w:rPr>
          <w:rFonts w:cs="Times New Roman"/>
        </w:rPr>
        <w:t>and provides inflows throughout the consecutive years. In case of non-conventional cashflows, there’s a major outflow at first</w:t>
      </w:r>
      <w:r w:rsidR="001B3CD6" w:rsidRPr="001D121B">
        <w:rPr>
          <w:rFonts w:cs="Times New Roman"/>
        </w:rPr>
        <w:t>, known as</w:t>
      </w:r>
      <w:r w:rsidR="002D4A5D" w:rsidRPr="001D121B">
        <w:rPr>
          <w:rFonts w:cs="Times New Roman"/>
        </w:rPr>
        <w:t xml:space="preserve"> the initial investment</w:t>
      </w:r>
      <w:r w:rsidR="001B3CD6" w:rsidRPr="001D121B">
        <w:rPr>
          <w:rFonts w:cs="Times New Roman"/>
        </w:rPr>
        <w:t>,</w:t>
      </w:r>
      <w:r w:rsidR="002D4A5D" w:rsidRPr="001D121B">
        <w:rPr>
          <w:rFonts w:cs="Times New Roman"/>
        </w:rPr>
        <w:t xml:space="preserve"> followed by inflows for perhaps a couple of consecutive years and outflows again, which generally happens if the project requires a major fee or </w:t>
      </w:r>
      <w:r w:rsidR="00CB2AB4" w:rsidRPr="001D121B">
        <w:rPr>
          <w:rFonts w:cs="Times New Roman"/>
        </w:rPr>
        <w:t xml:space="preserve">incurs a huge </w:t>
      </w:r>
      <w:r w:rsidR="002D4A5D" w:rsidRPr="001D121B">
        <w:rPr>
          <w:rFonts w:cs="Times New Roman"/>
        </w:rPr>
        <w:t>cost in the near future. IRR isn’t flexible enough to account for non-conventional cashflows</w:t>
      </w:r>
      <w:r w:rsidR="00EF3693" w:rsidRPr="001D121B">
        <w:rPr>
          <w:rFonts w:cs="Times New Roman"/>
        </w:rPr>
        <w:t xml:space="preserve"> and ends up giving two different percentages, which becomes confusing</w:t>
      </w:r>
      <w:r w:rsidR="00EB6EFB" w:rsidRPr="001D121B">
        <w:rPr>
          <w:rFonts w:cs="Times New Roman"/>
        </w:rPr>
        <w:t xml:space="preserve"> in terms of decision-making</w:t>
      </w:r>
      <w:r w:rsidR="00EF3693" w:rsidRPr="001D121B">
        <w:rPr>
          <w:rFonts w:cs="Times New Roman"/>
        </w:rPr>
        <w:t>.</w:t>
      </w:r>
      <w:r w:rsidR="002D4A5D" w:rsidRPr="001D121B">
        <w:rPr>
          <w:rFonts w:cs="Times New Roman"/>
        </w:rPr>
        <w:t xml:space="preserve"> Surely, NPV is again the better choice</w:t>
      </w:r>
      <w:r w:rsidR="009016AE" w:rsidRPr="001D121B">
        <w:rPr>
          <w:rFonts w:cs="Times New Roman"/>
        </w:rPr>
        <w:t xml:space="preserve"> of the two.</w:t>
      </w:r>
    </w:p>
    <w:p w:rsidR="00F43D62" w:rsidRPr="001D121B" w:rsidRDefault="00F43D62" w:rsidP="001C030A">
      <w:pPr>
        <w:rPr>
          <w:rFonts w:cs="Times New Roman"/>
        </w:rPr>
      </w:pPr>
    </w:p>
    <w:p w:rsidR="006349DC" w:rsidRPr="001D121B" w:rsidRDefault="00BC3414" w:rsidP="001C030A">
      <w:pPr>
        <w:rPr>
          <w:rFonts w:cs="Times New Roman"/>
        </w:rPr>
      </w:pPr>
      <w:r w:rsidRPr="001D121B">
        <w:rPr>
          <w:rFonts w:cs="Times New Roman"/>
        </w:rPr>
        <w:t xml:space="preserve">Despite NPV allegedly considered to be the best method, non-discounting methods, such as accounting rate of return (ARR), the payback period, </w:t>
      </w:r>
      <w:r w:rsidR="005348EE" w:rsidRPr="001D121B">
        <w:rPr>
          <w:rFonts w:cs="Times New Roman"/>
        </w:rPr>
        <w:t xml:space="preserve">profitability index (PI), </w:t>
      </w:r>
      <w:r w:rsidRPr="001D121B">
        <w:rPr>
          <w:rFonts w:cs="Times New Roman"/>
        </w:rPr>
        <w:t>etc. are getting popular among decision-makers, because the discounting rate is sometimes hard to find and can be subjective. In such cases, non-discounting is the feasible optio</w:t>
      </w:r>
      <w:r w:rsidR="002F7B01" w:rsidRPr="001D121B">
        <w:rPr>
          <w:rFonts w:cs="Times New Roman"/>
        </w:rPr>
        <w:t>n.</w:t>
      </w:r>
      <w:r w:rsidR="00820AC2" w:rsidRPr="001D121B">
        <w:rPr>
          <w:rFonts w:cs="Times New Roman"/>
        </w:rPr>
        <w:t xml:space="preserve"> In some volatile industries, cashflows in the far future are uncertain. </w:t>
      </w:r>
      <w:r w:rsidR="005348EE" w:rsidRPr="001D121B">
        <w:rPr>
          <w:rFonts w:cs="Times New Roman"/>
        </w:rPr>
        <w:t xml:space="preserve">Methods like NPV are not very helpful here. </w:t>
      </w:r>
      <w:r w:rsidR="00820AC2" w:rsidRPr="001D121B">
        <w:rPr>
          <w:rFonts w:cs="Times New Roman"/>
        </w:rPr>
        <w:t xml:space="preserve">Also, </w:t>
      </w:r>
      <w:r w:rsidR="000E2AB1" w:rsidRPr="001D121B">
        <w:rPr>
          <w:rFonts w:cs="Times New Roman"/>
        </w:rPr>
        <w:t xml:space="preserve">methods like the </w:t>
      </w:r>
      <w:r w:rsidR="00820AC2" w:rsidRPr="001D121B">
        <w:rPr>
          <w:rFonts w:cs="Times New Roman"/>
        </w:rPr>
        <w:t xml:space="preserve">payback period </w:t>
      </w:r>
      <w:r w:rsidR="000E2AB1" w:rsidRPr="001D121B">
        <w:rPr>
          <w:rFonts w:cs="Times New Roman"/>
        </w:rPr>
        <w:t>are</w:t>
      </w:r>
      <w:r w:rsidR="00820AC2" w:rsidRPr="001D121B">
        <w:rPr>
          <w:rFonts w:cs="Times New Roman"/>
        </w:rPr>
        <w:t xml:space="preserve"> easy to understand and interpret.</w:t>
      </w:r>
    </w:p>
    <w:p w:rsidR="00993794" w:rsidRPr="001D121B" w:rsidRDefault="00993794" w:rsidP="001C030A">
      <w:pPr>
        <w:rPr>
          <w:rFonts w:cs="Times New Roman"/>
        </w:rPr>
      </w:pPr>
    </w:p>
    <w:p w:rsidR="00837F2F" w:rsidRPr="001D121B" w:rsidRDefault="00837F2F" w:rsidP="00837F2F">
      <w:pPr>
        <w:pStyle w:val="Heading1"/>
        <w:rPr>
          <w:rFonts w:cs="Times New Roman"/>
        </w:rPr>
      </w:pPr>
      <w:bookmarkStart w:id="12" w:name="_Toc227410907"/>
      <w:r w:rsidRPr="001D121B">
        <w:rPr>
          <w:rFonts w:cs="Times New Roman"/>
        </w:rPr>
        <w:t>1.4 Other Factors of Consideration</w:t>
      </w:r>
      <w:bookmarkEnd w:id="12"/>
    </w:p>
    <w:p w:rsidR="00837F2F" w:rsidRPr="001D121B" w:rsidRDefault="00837F2F" w:rsidP="00837F2F">
      <w:pPr>
        <w:rPr>
          <w:rFonts w:cs="Times New Roman"/>
        </w:rPr>
      </w:pPr>
    </w:p>
    <w:p w:rsidR="00CD621E" w:rsidRPr="001D121B" w:rsidRDefault="00CD621E" w:rsidP="001C030A">
      <w:pPr>
        <w:rPr>
          <w:rFonts w:cs="Times New Roman"/>
        </w:rPr>
      </w:pPr>
      <w:r w:rsidRPr="001D121B">
        <w:rPr>
          <w:rFonts w:cs="Times New Roman"/>
        </w:rPr>
        <w:t>T</w:t>
      </w:r>
      <w:r w:rsidR="00993794" w:rsidRPr="001D121B">
        <w:rPr>
          <w:rFonts w:cs="Times New Roman"/>
        </w:rPr>
        <w:t xml:space="preserve">here are multiple other </w:t>
      </w:r>
      <w:r w:rsidRPr="001D121B">
        <w:rPr>
          <w:rFonts w:cs="Times New Roman"/>
        </w:rPr>
        <w:t xml:space="preserve">financial and non-financial </w:t>
      </w:r>
      <w:r w:rsidR="00993794" w:rsidRPr="001D121B">
        <w:rPr>
          <w:rFonts w:cs="Times New Roman"/>
        </w:rPr>
        <w:t>factors that should be considered before choosing an investment.</w:t>
      </w:r>
      <w:r w:rsidRPr="001D121B">
        <w:rPr>
          <w:rFonts w:cs="Times New Roman"/>
        </w:rPr>
        <w:t xml:space="preserve"> Financial methods other than NPV and IRR </w:t>
      </w:r>
      <w:r w:rsidR="00F230AC" w:rsidRPr="001D121B">
        <w:rPr>
          <w:rFonts w:cs="Times New Roman"/>
        </w:rPr>
        <w:t>used to select a project are</w:t>
      </w:r>
      <w:r w:rsidRPr="001D121B">
        <w:rPr>
          <w:rFonts w:cs="Times New Roman"/>
        </w:rPr>
        <w:t>:</w:t>
      </w:r>
    </w:p>
    <w:p w:rsidR="00F230AC" w:rsidRPr="001D121B" w:rsidRDefault="00F230AC" w:rsidP="001C030A">
      <w:pPr>
        <w:rPr>
          <w:rFonts w:cs="Times New Roman"/>
        </w:rPr>
      </w:pPr>
    </w:p>
    <w:p w:rsidR="00025F53" w:rsidRPr="001D121B" w:rsidRDefault="00CD621E" w:rsidP="00025F53">
      <w:pPr>
        <w:pStyle w:val="ListParagraph"/>
        <w:numPr>
          <w:ilvl w:val="0"/>
          <w:numId w:val="4"/>
        </w:numPr>
        <w:rPr>
          <w:rFonts w:cs="Times New Roman"/>
        </w:rPr>
      </w:pPr>
      <w:r w:rsidRPr="001D121B">
        <w:rPr>
          <w:rFonts w:cs="Times New Roman"/>
          <w:b/>
          <w:bCs/>
        </w:rPr>
        <w:t>Payback period:</w:t>
      </w:r>
      <w:r w:rsidRPr="001D121B">
        <w:rPr>
          <w:rFonts w:cs="Times New Roman"/>
        </w:rPr>
        <w:t xml:space="preserve"> this method shows the amount of time it takes for the investment to recover the initial expenses. The project with the potential of the earliest recovery is chosen. There’s a</w:t>
      </w:r>
      <w:r w:rsidR="002B77B1" w:rsidRPr="001D121B">
        <w:rPr>
          <w:rFonts w:cs="Times New Roman"/>
        </w:rPr>
        <w:t xml:space="preserve"> method of</w:t>
      </w:r>
      <w:r w:rsidRPr="001D121B">
        <w:rPr>
          <w:rFonts w:cs="Times New Roman"/>
        </w:rPr>
        <w:t xml:space="preserve"> discounted payback period, where it accounts for the time value of money</w:t>
      </w:r>
      <w:r w:rsidR="002B77B1" w:rsidRPr="001D121B">
        <w:rPr>
          <w:rFonts w:cs="Times New Roman"/>
        </w:rPr>
        <w:t xml:space="preserve"> too</w:t>
      </w:r>
      <w:r w:rsidR="000D2C17" w:rsidRPr="001D121B">
        <w:rPr>
          <w:rFonts w:cs="Times New Roman"/>
        </w:rPr>
        <w:t>, which makes the method more realistic and applicable.</w:t>
      </w:r>
      <w:r w:rsidR="003B15E7" w:rsidRPr="001D121B">
        <w:rPr>
          <w:rFonts w:cs="Times New Roman"/>
        </w:rPr>
        <w:t xml:space="preserve"> The calculation requires the initial investment to be divided by the annual cashflow. This method is highly used for its simplicity.</w:t>
      </w:r>
    </w:p>
    <w:p w:rsidR="00CD621E" w:rsidRPr="001D121B" w:rsidRDefault="00CD621E" w:rsidP="00CD621E">
      <w:pPr>
        <w:pStyle w:val="ListParagraph"/>
        <w:numPr>
          <w:ilvl w:val="0"/>
          <w:numId w:val="4"/>
        </w:numPr>
        <w:rPr>
          <w:rFonts w:cs="Times New Roman"/>
        </w:rPr>
      </w:pPr>
      <w:r w:rsidRPr="001D121B">
        <w:rPr>
          <w:rFonts w:cs="Times New Roman"/>
          <w:b/>
          <w:bCs/>
        </w:rPr>
        <w:lastRenderedPageBreak/>
        <w:t>Accounting rate of return (ARR):</w:t>
      </w:r>
      <w:r w:rsidRPr="001D121B">
        <w:rPr>
          <w:rFonts w:cs="Times New Roman"/>
        </w:rPr>
        <w:t xml:space="preserve"> ARR </w:t>
      </w:r>
      <w:r w:rsidR="004D2582" w:rsidRPr="001D121B">
        <w:rPr>
          <w:rFonts w:cs="Times New Roman"/>
        </w:rPr>
        <w:t>takes</w:t>
      </w:r>
      <w:r w:rsidRPr="001D121B">
        <w:rPr>
          <w:rFonts w:cs="Times New Roman"/>
        </w:rPr>
        <w:t xml:space="preserve"> non-cash items like depreciation</w:t>
      </w:r>
      <w:r w:rsidR="00D05C0D" w:rsidRPr="001D121B">
        <w:rPr>
          <w:rFonts w:cs="Times New Roman"/>
        </w:rPr>
        <w:t>, amortisation, and accruals</w:t>
      </w:r>
      <w:r w:rsidR="004D2582" w:rsidRPr="001D121B">
        <w:rPr>
          <w:rFonts w:cs="Times New Roman"/>
        </w:rPr>
        <w:t xml:space="preserve"> into account</w:t>
      </w:r>
      <w:r w:rsidRPr="001D121B">
        <w:rPr>
          <w:rFonts w:cs="Times New Roman"/>
        </w:rPr>
        <w:t xml:space="preserve">. </w:t>
      </w:r>
      <w:r w:rsidR="00D05C0D" w:rsidRPr="001D121B">
        <w:rPr>
          <w:rFonts w:cs="Times New Roman"/>
        </w:rPr>
        <w:t>ARR is</w:t>
      </w:r>
      <w:r w:rsidRPr="001D121B">
        <w:rPr>
          <w:rFonts w:cs="Times New Roman"/>
        </w:rPr>
        <w:t xml:space="preserve"> the average profit expected over the lifetime of a project</w:t>
      </w:r>
      <w:r w:rsidR="004D2582" w:rsidRPr="001D121B">
        <w:rPr>
          <w:rFonts w:cs="Times New Roman"/>
        </w:rPr>
        <w:t xml:space="preserve"> relative to the capital invested</w:t>
      </w:r>
      <w:r w:rsidRPr="001D121B">
        <w:rPr>
          <w:rFonts w:cs="Times New Roman"/>
        </w:rPr>
        <w:t>.</w:t>
      </w:r>
      <w:r w:rsidR="004D2582" w:rsidRPr="001D121B">
        <w:rPr>
          <w:rFonts w:cs="Times New Roman"/>
        </w:rPr>
        <w:t xml:space="preserve"> In this method, the average annual accounting profit is divided by the initial investment or the average investment.</w:t>
      </w:r>
      <w:r w:rsidRPr="001D121B">
        <w:rPr>
          <w:rFonts w:cs="Times New Roman"/>
        </w:rPr>
        <w:t xml:space="preserve"> The </w:t>
      </w:r>
      <w:r w:rsidR="004D2582" w:rsidRPr="001D121B">
        <w:rPr>
          <w:rFonts w:cs="Times New Roman"/>
        </w:rPr>
        <w:t>project</w:t>
      </w:r>
      <w:r w:rsidRPr="001D121B">
        <w:rPr>
          <w:rFonts w:cs="Times New Roman"/>
        </w:rPr>
        <w:t xml:space="preserve"> with the highest </w:t>
      </w:r>
      <w:r w:rsidR="00D05C0D" w:rsidRPr="001D121B">
        <w:rPr>
          <w:rFonts w:cs="Times New Roman"/>
        </w:rPr>
        <w:t xml:space="preserve">average </w:t>
      </w:r>
      <w:r w:rsidRPr="001D121B">
        <w:rPr>
          <w:rFonts w:cs="Times New Roman"/>
        </w:rPr>
        <w:t>profit is selected.</w:t>
      </w:r>
      <w:r w:rsidR="00A475B1" w:rsidRPr="001D121B">
        <w:rPr>
          <w:rFonts w:cs="Times New Roman"/>
        </w:rPr>
        <w:t xml:space="preserve"> NPV or IRR can be used for a short period of time, but since ARR uses the whole lifetime, it’s often unrealistic and far-fetched, making it inapplicable for a lot of companies. The more we calculate into the future, the more assumptive it turns, which is highly risky.</w:t>
      </w:r>
      <w:r w:rsidR="00A045EC" w:rsidRPr="001D121B">
        <w:rPr>
          <w:rFonts w:cs="Times New Roman"/>
        </w:rPr>
        <w:t xml:space="preserve"> Besides, this method doesn’t account for the time value of money. Still, managers might use ARR to align with the profit &amp; loss statement or for its simplicity.</w:t>
      </w:r>
    </w:p>
    <w:p w:rsidR="00CD621E" w:rsidRPr="001D121B" w:rsidRDefault="00FD3195" w:rsidP="00CD621E">
      <w:pPr>
        <w:pStyle w:val="ListParagraph"/>
        <w:numPr>
          <w:ilvl w:val="0"/>
          <w:numId w:val="4"/>
        </w:numPr>
        <w:rPr>
          <w:rFonts w:cs="Times New Roman"/>
        </w:rPr>
      </w:pPr>
      <w:r w:rsidRPr="001D121B">
        <w:rPr>
          <w:rFonts w:cs="Times New Roman"/>
          <w:b/>
          <w:bCs/>
        </w:rPr>
        <w:t>Profitability index (PI):</w:t>
      </w:r>
      <w:r w:rsidRPr="001D121B">
        <w:rPr>
          <w:rFonts w:cs="Times New Roman"/>
        </w:rPr>
        <w:t xml:space="preserve"> PI is the ratio of payoff of investment</w:t>
      </w:r>
      <w:r w:rsidR="009640B8" w:rsidRPr="001D121B">
        <w:rPr>
          <w:rFonts w:cs="Times New Roman"/>
        </w:rPr>
        <w:t xml:space="preserve"> or simply, how much money a project generates for every pound invested in it.</w:t>
      </w:r>
      <w:r w:rsidRPr="001D121B">
        <w:rPr>
          <w:rFonts w:cs="Times New Roman"/>
        </w:rPr>
        <w:t xml:space="preserve"> If it’s greater than 1, the project is profitable, and the most profitable </w:t>
      </w:r>
      <w:r w:rsidR="009E42FA" w:rsidRPr="001D121B">
        <w:rPr>
          <w:rFonts w:cs="Times New Roman"/>
        </w:rPr>
        <w:t>project</w:t>
      </w:r>
      <w:r w:rsidRPr="001D121B">
        <w:rPr>
          <w:rFonts w:cs="Times New Roman"/>
        </w:rPr>
        <w:t xml:space="preserve"> is selected.</w:t>
      </w:r>
    </w:p>
    <w:p w:rsidR="00CD621E" w:rsidRPr="001D121B" w:rsidRDefault="00CD621E" w:rsidP="001C030A">
      <w:pPr>
        <w:rPr>
          <w:rFonts w:cs="Times New Roman"/>
        </w:rPr>
      </w:pPr>
    </w:p>
    <w:p w:rsidR="00993794" w:rsidRPr="001D121B" w:rsidRDefault="00CD621E" w:rsidP="001C030A">
      <w:pPr>
        <w:rPr>
          <w:rFonts w:cs="Times New Roman"/>
        </w:rPr>
      </w:pPr>
      <w:r w:rsidRPr="001D121B">
        <w:rPr>
          <w:rFonts w:cs="Times New Roman"/>
        </w:rPr>
        <w:t xml:space="preserve">Non-financial factors </w:t>
      </w:r>
      <w:r w:rsidR="006D2339" w:rsidRPr="001D121B">
        <w:rPr>
          <w:rFonts w:cs="Times New Roman"/>
        </w:rPr>
        <w:t>should</w:t>
      </w:r>
      <w:r w:rsidRPr="001D121B">
        <w:rPr>
          <w:rFonts w:cs="Times New Roman"/>
        </w:rPr>
        <w:t xml:space="preserve"> include</w:t>
      </w:r>
      <w:r w:rsidR="006D2339" w:rsidRPr="001D121B">
        <w:rPr>
          <w:rFonts w:cs="Times New Roman"/>
        </w:rPr>
        <w:t>, but not limited to, the following ones:</w:t>
      </w:r>
    </w:p>
    <w:p w:rsidR="00993794" w:rsidRPr="001D121B" w:rsidRDefault="00F932EC" w:rsidP="00993794">
      <w:pPr>
        <w:pStyle w:val="ListParagraph"/>
        <w:numPr>
          <w:ilvl w:val="0"/>
          <w:numId w:val="3"/>
        </w:numPr>
        <w:rPr>
          <w:rFonts w:cs="Times New Roman"/>
        </w:rPr>
      </w:pPr>
      <w:r w:rsidRPr="001D121B">
        <w:rPr>
          <w:rFonts w:cs="Times New Roman"/>
        </w:rPr>
        <w:t>Even with a comparatively higher NPV, if the return is sensitive to fluctuations, it’s a high-risk project, and better be avoided.</w:t>
      </w:r>
      <w:r w:rsidR="00905EF5" w:rsidRPr="001D121B">
        <w:rPr>
          <w:rFonts w:cs="Times New Roman"/>
        </w:rPr>
        <w:t xml:space="preserve"> For example, some industries are very volatile and a little setback may push the project to face a huge loss.</w:t>
      </w:r>
      <w:r w:rsidR="006027CD" w:rsidRPr="001D121B">
        <w:rPr>
          <w:rFonts w:cs="Times New Roman"/>
        </w:rPr>
        <w:t xml:space="preserve"> Sometimes, the higher the risk, the higher the profit / loss. Most businesses prefer a healthy amount of risk.</w:t>
      </w:r>
    </w:p>
    <w:p w:rsidR="00B77173" w:rsidRPr="001D121B" w:rsidRDefault="001731D3" w:rsidP="00993794">
      <w:pPr>
        <w:pStyle w:val="ListParagraph"/>
        <w:numPr>
          <w:ilvl w:val="0"/>
          <w:numId w:val="3"/>
        </w:numPr>
        <w:rPr>
          <w:rFonts w:cs="Times New Roman"/>
        </w:rPr>
      </w:pPr>
      <w:r w:rsidRPr="001D121B">
        <w:rPr>
          <w:rFonts w:cs="Times New Roman"/>
        </w:rPr>
        <w:t>There might be qualitative factors in disfavour of some of the projects</w:t>
      </w:r>
      <w:r w:rsidR="00B77173" w:rsidRPr="001D121B">
        <w:rPr>
          <w:rFonts w:cs="Times New Roman"/>
        </w:rPr>
        <w:t>, such as</w:t>
      </w:r>
      <w:r w:rsidR="00905EF5" w:rsidRPr="001D121B">
        <w:rPr>
          <w:rFonts w:cs="Times New Roman"/>
        </w:rPr>
        <w:t xml:space="preserve"> </w:t>
      </w:r>
      <w:r w:rsidR="00B77173" w:rsidRPr="001D121B">
        <w:rPr>
          <w:rFonts w:cs="Times New Roman"/>
        </w:rPr>
        <w:t xml:space="preserve">a </w:t>
      </w:r>
      <w:r w:rsidR="00905EF5" w:rsidRPr="001D121B">
        <w:rPr>
          <w:rFonts w:cs="Times New Roman"/>
        </w:rPr>
        <w:t>project that</w:t>
      </w:r>
      <w:r w:rsidR="00B77173" w:rsidRPr="001D121B">
        <w:rPr>
          <w:rFonts w:cs="Times New Roman"/>
        </w:rPr>
        <w:t xml:space="preserve"> requires deep-sea drilling or deforestation</w:t>
      </w:r>
      <w:r w:rsidR="00905EF5" w:rsidRPr="001D121B">
        <w:rPr>
          <w:rFonts w:cs="Times New Roman"/>
        </w:rPr>
        <w:t xml:space="preserve"> has a</w:t>
      </w:r>
      <w:r w:rsidRPr="001D121B">
        <w:rPr>
          <w:rFonts w:cs="Times New Roman"/>
        </w:rPr>
        <w:t xml:space="preserve"> high environmental impact</w:t>
      </w:r>
      <w:r w:rsidR="00B77173" w:rsidRPr="001D121B">
        <w:rPr>
          <w:rFonts w:cs="Times New Roman"/>
        </w:rPr>
        <w:t>, gambling expansion or data monetisation usually</w:t>
      </w:r>
      <w:r w:rsidR="00905EF5" w:rsidRPr="001D121B">
        <w:rPr>
          <w:rFonts w:cs="Times New Roman"/>
        </w:rPr>
        <w:t xml:space="preserve"> </w:t>
      </w:r>
      <w:r w:rsidR="00B77173" w:rsidRPr="001D121B">
        <w:rPr>
          <w:rFonts w:cs="Times New Roman"/>
        </w:rPr>
        <w:t xml:space="preserve">has </w:t>
      </w:r>
      <w:r w:rsidRPr="001D121B">
        <w:rPr>
          <w:rFonts w:cs="Times New Roman"/>
        </w:rPr>
        <w:t>risk</w:t>
      </w:r>
      <w:r w:rsidR="00905EF5" w:rsidRPr="001D121B">
        <w:rPr>
          <w:rFonts w:cs="Times New Roman"/>
        </w:rPr>
        <w:t>s</w:t>
      </w:r>
      <w:r w:rsidRPr="001D121B">
        <w:rPr>
          <w:rFonts w:cs="Times New Roman"/>
        </w:rPr>
        <w:t xml:space="preserve"> </w:t>
      </w:r>
      <w:r w:rsidR="00B77173" w:rsidRPr="001D121B">
        <w:rPr>
          <w:rFonts w:cs="Times New Roman"/>
        </w:rPr>
        <w:t>of</w:t>
      </w:r>
      <w:r w:rsidRPr="001D121B">
        <w:rPr>
          <w:rFonts w:cs="Times New Roman"/>
        </w:rPr>
        <w:t xml:space="preserve"> negative public perception,</w:t>
      </w:r>
      <w:r w:rsidR="00905EF5" w:rsidRPr="001D121B">
        <w:rPr>
          <w:rFonts w:cs="Times New Roman"/>
        </w:rPr>
        <w:t xml:space="preserve"> </w:t>
      </w:r>
      <w:r w:rsidR="00B77173" w:rsidRPr="001D121B">
        <w:rPr>
          <w:rFonts w:cs="Times New Roman"/>
        </w:rPr>
        <w:t xml:space="preserve">or a </w:t>
      </w:r>
      <w:r w:rsidR="00905EF5" w:rsidRPr="001D121B">
        <w:rPr>
          <w:rFonts w:cs="Times New Roman"/>
        </w:rPr>
        <w:t>project deal</w:t>
      </w:r>
      <w:r w:rsidR="00B77173" w:rsidRPr="001D121B">
        <w:rPr>
          <w:rFonts w:cs="Times New Roman"/>
        </w:rPr>
        <w:t xml:space="preserve">ing with open-pit mining or high-altitude construction may create a </w:t>
      </w:r>
      <w:r w:rsidRPr="001D121B">
        <w:rPr>
          <w:rFonts w:cs="Times New Roman"/>
        </w:rPr>
        <w:t>risky work environment, etc.</w:t>
      </w:r>
      <w:r w:rsidR="00B77173" w:rsidRPr="001D121B">
        <w:rPr>
          <w:rFonts w:cs="Times New Roman"/>
        </w:rPr>
        <w:t xml:space="preserve"> If the company cannot proceed with enough safety measures, despite profitability, such projects </w:t>
      </w:r>
      <w:r w:rsidR="007B7ECA" w:rsidRPr="001D121B">
        <w:rPr>
          <w:rFonts w:cs="Times New Roman"/>
        </w:rPr>
        <w:t>should</w:t>
      </w:r>
      <w:r w:rsidR="00B77173" w:rsidRPr="001D121B">
        <w:rPr>
          <w:rFonts w:cs="Times New Roman"/>
        </w:rPr>
        <w:t xml:space="preserve"> not be chosen over a safe and ethical, but </w:t>
      </w:r>
      <w:r w:rsidR="007B7ECA" w:rsidRPr="001D121B">
        <w:rPr>
          <w:rFonts w:cs="Times New Roman"/>
        </w:rPr>
        <w:t xml:space="preserve">a </w:t>
      </w:r>
      <w:r w:rsidR="00B77173" w:rsidRPr="001D121B">
        <w:rPr>
          <w:rFonts w:cs="Times New Roman"/>
        </w:rPr>
        <w:t>less profitable one.</w:t>
      </w:r>
    </w:p>
    <w:p w:rsidR="001731D3" w:rsidRPr="001D121B" w:rsidRDefault="007F3449" w:rsidP="00993794">
      <w:pPr>
        <w:pStyle w:val="ListParagraph"/>
        <w:numPr>
          <w:ilvl w:val="0"/>
          <w:numId w:val="3"/>
        </w:numPr>
        <w:rPr>
          <w:rFonts w:cs="Times New Roman"/>
        </w:rPr>
      </w:pPr>
      <w:r w:rsidRPr="001D121B">
        <w:rPr>
          <w:rFonts w:cs="Times New Roman"/>
        </w:rPr>
        <w:t>The l</w:t>
      </w:r>
      <w:r w:rsidR="004D365A" w:rsidRPr="001D121B">
        <w:rPr>
          <w:rFonts w:cs="Times New Roman"/>
        </w:rPr>
        <w:t xml:space="preserve">egal and political </w:t>
      </w:r>
      <w:r w:rsidRPr="001D121B">
        <w:rPr>
          <w:rFonts w:cs="Times New Roman"/>
        </w:rPr>
        <w:t>environment</w:t>
      </w:r>
      <w:r w:rsidR="004D365A" w:rsidRPr="001D121B">
        <w:rPr>
          <w:rFonts w:cs="Times New Roman"/>
        </w:rPr>
        <w:t xml:space="preserve"> </w:t>
      </w:r>
      <w:r w:rsidR="004C78CF" w:rsidRPr="001D121B">
        <w:rPr>
          <w:rFonts w:cs="Times New Roman"/>
        </w:rPr>
        <w:t xml:space="preserve">can cause some projects to be not </w:t>
      </w:r>
      <w:r w:rsidR="004D365A" w:rsidRPr="001D121B">
        <w:rPr>
          <w:rFonts w:cs="Times New Roman"/>
        </w:rPr>
        <w:t>accepted despite the theoretic</w:t>
      </w:r>
      <w:r w:rsidR="004C78CF" w:rsidRPr="001D121B">
        <w:rPr>
          <w:rFonts w:cs="Times New Roman"/>
        </w:rPr>
        <w:t xml:space="preserve"> high</w:t>
      </w:r>
      <w:r w:rsidR="004D365A" w:rsidRPr="001D121B">
        <w:rPr>
          <w:rFonts w:cs="Times New Roman"/>
        </w:rPr>
        <w:t xml:space="preserve"> </w:t>
      </w:r>
      <w:r w:rsidR="004C78CF" w:rsidRPr="001D121B">
        <w:rPr>
          <w:rFonts w:cs="Times New Roman"/>
        </w:rPr>
        <w:t>profitability</w:t>
      </w:r>
      <w:r w:rsidR="004D365A" w:rsidRPr="001D121B">
        <w:rPr>
          <w:rFonts w:cs="Times New Roman"/>
        </w:rPr>
        <w:t>. Such as, discounting rates turn volatile in a politically and economically unstable country. The discount rates can vary unpredictable, which makes the equations impractical. Definitely, the non-discounting methods can be used here still.</w:t>
      </w:r>
      <w:r w:rsidR="004C78CF" w:rsidRPr="001D121B">
        <w:rPr>
          <w:rFonts w:cs="Times New Roman"/>
        </w:rPr>
        <w:t xml:space="preserve"> But most would rather invest in a politically stable country where the future</w:t>
      </w:r>
      <w:r w:rsidR="0058038B" w:rsidRPr="001D121B">
        <w:rPr>
          <w:rFonts w:cs="Times New Roman"/>
        </w:rPr>
        <w:t xml:space="preserve"> of the investment</w:t>
      </w:r>
      <w:r w:rsidR="004C78CF" w:rsidRPr="001D121B">
        <w:rPr>
          <w:rFonts w:cs="Times New Roman"/>
        </w:rPr>
        <w:t xml:space="preserve"> </w:t>
      </w:r>
      <w:r w:rsidR="0058038B" w:rsidRPr="001D121B">
        <w:rPr>
          <w:rFonts w:cs="Times New Roman"/>
        </w:rPr>
        <w:t>can be</w:t>
      </w:r>
      <w:r w:rsidR="004C78CF" w:rsidRPr="001D121B">
        <w:rPr>
          <w:rFonts w:cs="Times New Roman"/>
        </w:rPr>
        <w:t xml:space="preserve"> more</w:t>
      </w:r>
      <w:r w:rsidR="0058038B" w:rsidRPr="001D121B">
        <w:rPr>
          <w:rFonts w:cs="Times New Roman"/>
        </w:rPr>
        <w:t xml:space="preserve"> reliably</w:t>
      </w:r>
      <w:r w:rsidR="004C78CF" w:rsidRPr="001D121B">
        <w:rPr>
          <w:rFonts w:cs="Times New Roman"/>
        </w:rPr>
        <w:t xml:space="preserve"> predict</w:t>
      </w:r>
      <w:r w:rsidR="0058038B" w:rsidRPr="001D121B">
        <w:rPr>
          <w:rFonts w:cs="Times New Roman"/>
        </w:rPr>
        <w:t>ed</w:t>
      </w:r>
      <w:r w:rsidR="004C78CF" w:rsidRPr="001D121B">
        <w:rPr>
          <w:rFonts w:cs="Times New Roman"/>
        </w:rPr>
        <w:t>.</w:t>
      </w:r>
    </w:p>
    <w:p w:rsidR="0091356A" w:rsidRPr="001D121B" w:rsidRDefault="0091356A" w:rsidP="00993794">
      <w:pPr>
        <w:pStyle w:val="ListParagraph"/>
        <w:numPr>
          <w:ilvl w:val="0"/>
          <w:numId w:val="3"/>
        </w:numPr>
        <w:rPr>
          <w:rFonts w:cs="Times New Roman"/>
        </w:rPr>
      </w:pPr>
      <w:r w:rsidRPr="001D121B">
        <w:rPr>
          <w:rFonts w:cs="Times New Roman"/>
        </w:rPr>
        <w:lastRenderedPageBreak/>
        <w:t xml:space="preserve">The investment has to align with the company’s long-term goal. It can be a pilot project or </w:t>
      </w:r>
      <w:r w:rsidR="00563080" w:rsidRPr="001D121B">
        <w:rPr>
          <w:rFonts w:cs="Times New Roman"/>
        </w:rPr>
        <w:t>a long-term one</w:t>
      </w:r>
      <w:r w:rsidRPr="001D121B">
        <w:rPr>
          <w:rFonts w:cs="Times New Roman"/>
        </w:rPr>
        <w:t xml:space="preserve">, but the project must be a strategic fit. The company should be able to provide the resources and a feasible condition to </w:t>
      </w:r>
      <w:r w:rsidR="000924C2" w:rsidRPr="001D121B">
        <w:rPr>
          <w:rFonts w:cs="Times New Roman"/>
        </w:rPr>
        <w:t>carry</w:t>
      </w:r>
      <w:r w:rsidRPr="001D121B">
        <w:rPr>
          <w:rFonts w:cs="Times New Roman"/>
        </w:rPr>
        <w:t xml:space="preserve"> out the project.</w:t>
      </w:r>
      <w:r w:rsidR="004744C0" w:rsidRPr="001D121B">
        <w:rPr>
          <w:rFonts w:cs="Times New Roman"/>
        </w:rPr>
        <w:t xml:space="preserve"> If it lacks technical feasibility, practicality, resources,</w:t>
      </w:r>
      <w:r w:rsidR="00973A0B" w:rsidRPr="001D121B">
        <w:rPr>
          <w:rFonts w:cs="Times New Roman"/>
        </w:rPr>
        <w:t xml:space="preserve"> this creates a higher risk and </w:t>
      </w:r>
      <w:r w:rsidR="004744C0" w:rsidRPr="001D121B">
        <w:rPr>
          <w:rFonts w:cs="Times New Roman"/>
        </w:rPr>
        <w:t xml:space="preserve">always a </w:t>
      </w:r>
      <w:r w:rsidR="00973A0B" w:rsidRPr="001D121B">
        <w:rPr>
          <w:rFonts w:cs="Times New Roman"/>
        </w:rPr>
        <w:t xml:space="preserve">higher </w:t>
      </w:r>
      <w:r w:rsidR="004744C0" w:rsidRPr="001D121B">
        <w:rPr>
          <w:rFonts w:cs="Times New Roman"/>
        </w:rPr>
        <w:t>potential condition of failure</w:t>
      </w:r>
      <w:r w:rsidR="00973A0B" w:rsidRPr="001D121B">
        <w:rPr>
          <w:rFonts w:cs="Times New Roman"/>
        </w:rPr>
        <w:t>. A company may often choose a more practical, predictable, and feasible project with moderate expected revenue over a high-risk, high-profit project.</w:t>
      </w:r>
    </w:p>
    <w:p w:rsidR="00A97241" w:rsidRPr="001D121B" w:rsidRDefault="00A97241" w:rsidP="00A97241">
      <w:pPr>
        <w:rPr>
          <w:rFonts w:cs="Times New Roman"/>
        </w:rPr>
      </w:pPr>
    </w:p>
    <w:p w:rsidR="00837F2F" w:rsidRPr="001D121B" w:rsidRDefault="00837F2F" w:rsidP="00837F2F">
      <w:pPr>
        <w:pStyle w:val="Heading1"/>
        <w:rPr>
          <w:rFonts w:cs="Times New Roman"/>
        </w:rPr>
      </w:pPr>
      <w:bookmarkStart w:id="13" w:name="_Toc227410908"/>
      <w:r w:rsidRPr="001D121B">
        <w:rPr>
          <w:rFonts w:cs="Times New Roman"/>
        </w:rPr>
        <w:t>1.5 Optimal Investment Policy for Beard Plc.</w:t>
      </w:r>
      <w:bookmarkEnd w:id="13"/>
    </w:p>
    <w:p w:rsidR="00837F2F" w:rsidRPr="001D121B" w:rsidRDefault="00837F2F" w:rsidP="00837F2F">
      <w:pPr>
        <w:rPr>
          <w:rFonts w:cs="Times New Roman"/>
        </w:rPr>
      </w:pPr>
    </w:p>
    <w:p w:rsidR="00224925" w:rsidRPr="001D121B" w:rsidRDefault="00A97241" w:rsidP="007D70C6">
      <w:pPr>
        <w:rPr>
          <w:rFonts w:cs="Times New Roman"/>
        </w:rPr>
      </w:pPr>
      <w:r w:rsidRPr="001D121B">
        <w:rPr>
          <w:rFonts w:cs="Times New Roman"/>
        </w:rPr>
        <w:t>If funds are limited to £1,500,000, the company should undertake divisible projects or fractions of project</w:t>
      </w:r>
      <w:r w:rsidR="00E42EDC" w:rsidRPr="001D121B">
        <w:rPr>
          <w:rFonts w:cs="Times New Roman"/>
        </w:rPr>
        <w:t>. T</w:t>
      </w:r>
      <w:r w:rsidRPr="001D121B">
        <w:rPr>
          <w:rFonts w:cs="Times New Roman"/>
        </w:rPr>
        <w:t>he optimal investment policy</w:t>
      </w:r>
      <w:r w:rsidR="003B3962" w:rsidRPr="001D121B">
        <w:rPr>
          <w:rFonts w:cs="Times New Roman"/>
        </w:rPr>
        <w:t xml:space="preserve"> is a strategic framework to reach a business’s goals efficiently for a given level of risk or to minimise risks for a targeted amount of profit. </w:t>
      </w:r>
      <w:r w:rsidR="00224925" w:rsidRPr="001D121B">
        <w:rPr>
          <w:rFonts w:cs="Times New Roman"/>
        </w:rPr>
        <w:t>Simply defined, this policy is the structure of investment that provides with the maximum total NPV. So, multiple assets or investments are mixe</w:t>
      </w:r>
      <w:r w:rsidR="00267521" w:rsidRPr="001D121B">
        <w:rPr>
          <w:rFonts w:cs="Times New Roman"/>
        </w:rPr>
        <w:t>d</w:t>
      </w:r>
      <w:r w:rsidR="00224925" w:rsidRPr="001D121B">
        <w:rPr>
          <w:rFonts w:cs="Times New Roman"/>
        </w:rPr>
        <w:t xml:space="preserve">. </w:t>
      </w:r>
      <w:r w:rsidR="003B3962" w:rsidRPr="001D121B">
        <w:rPr>
          <w:rFonts w:cs="Times New Roman"/>
        </w:rPr>
        <w:t>There are a lot of different ways to create and apply the optimal investment policy, but given the limited funds</w:t>
      </w:r>
      <w:r w:rsidR="00267521" w:rsidRPr="001D121B">
        <w:rPr>
          <w:rFonts w:cs="Times New Roman"/>
        </w:rPr>
        <w:t xml:space="preserve"> and the divisibility of the projects</w:t>
      </w:r>
      <w:r w:rsidR="003B3962" w:rsidRPr="001D121B">
        <w:rPr>
          <w:rFonts w:cs="Times New Roman"/>
        </w:rPr>
        <w:t>, in this case, th</w:t>
      </w:r>
      <w:r w:rsidR="00224925" w:rsidRPr="001D121B">
        <w:rPr>
          <w:rFonts w:cs="Times New Roman"/>
        </w:rPr>
        <w:t>e policy can be</w:t>
      </w:r>
      <w:r w:rsidR="00267521" w:rsidRPr="001D121B">
        <w:rPr>
          <w:rFonts w:cs="Times New Roman"/>
        </w:rPr>
        <w:t xml:space="preserve"> ideally</w:t>
      </w:r>
      <w:r w:rsidR="00224925" w:rsidRPr="001D121B">
        <w:rPr>
          <w:rFonts w:cs="Times New Roman"/>
        </w:rPr>
        <w:t xml:space="preserve"> framed using </w:t>
      </w:r>
      <w:r w:rsidRPr="001D121B">
        <w:rPr>
          <w:rFonts w:cs="Times New Roman"/>
        </w:rPr>
        <w:t>the profitability index or PI.</w:t>
      </w:r>
    </w:p>
    <w:p w:rsidR="00224925" w:rsidRPr="001D121B" w:rsidRDefault="00224925" w:rsidP="007D70C6">
      <w:pPr>
        <w:rPr>
          <w:rFonts w:cs="Times New Roman"/>
        </w:rPr>
      </w:pPr>
    </w:p>
    <w:p w:rsidR="000B219B" w:rsidRPr="001D121B" w:rsidRDefault="001B332C" w:rsidP="007D70C6">
      <w:pPr>
        <w:rPr>
          <w:rFonts w:cs="Times New Roman"/>
        </w:rPr>
      </w:pPr>
      <w:r w:rsidRPr="001D121B">
        <w:rPr>
          <w:rFonts w:cs="Times New Roman"/>
        </w:rPr>
        <w:t>The profitability</w:t>
      </w:r>
      <w:r w:rsidR="00A97241" w:rsidRPr="001D121B">
        <w:rPr>
          <w:rFonts w:cs="Times New Roman"/>
        </w:rPr>
        <w:t xml:space="preserve"> index</w:t>
      </w:r>
      <w:r w:rsidRPr="001D121B">
        <w:rPr>
          <w:rFonts w:cs="Times New Roman"/>
        </w:rPr>
        <w:t xml:space="preserve"> (PI) (also called the value investment ratio)</w:t>
      </w:r>
      <w:r w:rsidR="00A97241" w:rsidRPr="001D121B">
        <w:rPr>
          <w:rFonts w:cs="Times New Roman"/>
        </w:rPr>
        <w:t xml:space="preserve"> shows which project generates the most money per </w:t>
      </w:r>
      <w:r w:rsidR="005E6B1F" w:rsidRPr="001D121B">
        <w:rPr>
          <w:rFonts w:cs="Times New Roman"/>
        </w:rPr>
        <w:t>pound</w:t>
      </w:r>
      <w:r w:rsidR="00A97241" w:rsidRPr="001D121B">
        <w:rPr>
          <w:rFonts w:cs="Times New Roman"/>
        </w:rPr>
        <w:t>. This ensures the highest total NPV is earned within a fixed budget.</w:t>
      </w:r>
      <w:r w:rsidR="005E6B1F" w:rsidRPr="001D121B">
        <w:rPr>
          <w:rFonts w:cs="Times New Roman"/>
        </w:rPr>
        <w:t xml:space="preserve"> If the budget is larger than the expenditure required to undertake the most profitable project, the rest of the fund is invested in the second most profitable one</w:t>
      </w:r>
      <w:r w:rsidR="00775C20" w:rsidRPr="001D121B">
        <w:rPr>
          <w:rFonts w:cs="Times New Roman"/>
        </w:rPr>
        <w:t xml:space="preserve"> and a third or in fractions</w:t>
      </w:r>
      <w:r w:rsidRPr="001D121B">
        <w:rPr>
          <w:rFonts w:cs="Times New Roman"/>
        </w:rPr>
        <w:t>. There are two formulas for this</w:t>
      </w:r>
      <w:r w:rsidR="0066512F" w:rsidRPr="001D121B">
        <w:rPr>
          <w:rFonts w:cs="Times New Roman"/>
        </w:rPr>
        <w:t>. Both provides the same value, but is chosen based on the information at hand. The formulas are:</w:t>
      </w:r>
    </w:p>
    <w:p w:rsidR="001B332C" w:rsidRPr="001D121B" w:rsidRDefault="001B332C" w:rsidP="001B332C">
      <w:pPr>
        <w:pStyle w:val="ListParagraph"/>
        <w:numPr>
          <w:ilvl w:val="0"/>
          <w:numId w:val="6"/>
        </w:numPr>
        <w:rPr>
          <w:rFonts w:cs="Times New Roman"/>
        </w:rPr>
      </w:pPr>
      <w:r w:rsidRPr="001D121B">
        <w:rPr>
          <w:rFonts w:cs="Times New Roman"/>
        </w:rPr>
        <w:t>The standard formula requires the division of the present values of all future cashflows by the initial investments.</w:t>
      </w:r>
    </w:p>
    <w:p w:rsidR="001B332C" w:rsidRPr="001D121B" w:rsidRDefault="001B332C" w:rsidP="001B332C">
      <w:pPr>
        <w:pStyle w:val="ListParagraph"/>
        <w:numPr>
          <w:ilvl w:val="0"/>
          <w:numId w:val="6"/>
        </w:numPr>
        <w:rPr>
          <w:rFonts w:cs="Times New Roman"/>
        </w:rPr>
      </w:pPr>
      <w:r w:rsidRPr="001D121B">
        <w:rPr>
          <w:rFonts w:cs="Times New Roman"/>
        </w:rPr>
        <w:t>The NPV-based formula requires the NPVs to be divided by the initial investments and added to 1.</w:t>
      </w:r>
    </w:p>
    <w:p w:rsidR="00B658A2" w:rsidRPr="001D121B" w:rsidRDefault="00B658A2" w:rsidP="00B658A2">
      <w:pPr>
        <w:rPr>
          <w:rFonts w:cs="Times New Roman"/>
        </w:rPr>
      </w:pPr>
    </w:p>
    <w:p w:rsidR="00B658A2" w:rsidRPr="001D121B" w:rsidRDefault="00B658A2" w:rsidP="00B658A2">
      <w:pPr>
        <w:rPr>
          <w:rFonts w:cs="Times New Roman"/>
        </w:rPr>
      </w:pPr>
      <w:r w:rsidRPr="001D121B">
        <w:rPr>
          <w:rFonts w:cs="Times New Roman"/>
        </w:rPr>
        <w:t>The decision rules</w:t>
      </w:r>
      <w:r w:rsidR="00EE7AEA" w:rsidRPr="001D121B">
        <w:rPr>
          <w:rFonts w:cs="Times New Roman"/>
        </w:rPr>
        <w:t xml:space="preserve"> of PI are:</w:t>
      </w:r>
    </w:p>
    <w:p w:rsidR="00B658A2" w:rsidRPr="001D121B" w:rsidRDefault="00B658A2" w:rsidP="00B658A2">
      <w:pPr>
        <w:pStyle w:val="ListParagraph"/>
        <w:numPr>
          <w:ilvl w:val="0"/>
          <w:numId w:val="7"/>
        </w:numPr>
        <w:rPr>
          <w:rFonts w:cs="Times New Roman"/>
        </w:rPr>
      </w:pPr>
      <w:r w:rsidRPr="001D121B">
        <w:rPr>
          <w:rFonts w:cs="Times New Roman"/>
        </w:rPr>
        <w:t>PI &gt; 1: accept the project as it generates more revenue than the investment</w:t>
      </w:r>
    </w:p>
    <w:p w:rsidR="00B658A2" w:rsidRPr="001D121B" w:rsidRDefault="00B658A2" w:rsidP="00B658A2">
      <w:pPr>
        <w:pStyle w:val="ListParagraph"/>
        <w:numPr>
          <w:ilvl w:val="0"/>
          <w:numId w:val="7"/>
        </w:numPr>
        <w:rPr>
          <w:rFonts w:cs="Times New Roman"/>
        </w:rPr>
      </w:pPr>
      <w:r w:rsidRPr="001D121B">
        <w:rPr>
          <w:rFonts w:cs="Times New Roman"/>
        </w:rPr>
        <w:t>PI = 1: break-even point</w:t>
      </w:r>
    </w:p>
    <w:p w:rsidR="00B658A2" w:rsidRPr="001D121B" w:rsidRDefault="00B658A2" w:rsidP="00B658A2">
      <w:pPr>
        <w:pStyle w:val="ListParagraph"/>
        <w:numPr>
          <w:ilvl w:val="0"/>
          <w:numId w:val="7"/>
        </w:numPr>
        <w:rPr>
          <w:rFonts w:cs="Times New Roman"/>
        </w:rPr>
      </w:pPr>
      <w:r w:rsidRPr="001D121B">
        <w:rPr>
          <w:rFonts w:cs="Times New Roman"/>
        </w:rPr>
        <w:t>PI &lt; 1: reject the project as it yields less than the initial investment</w:t>
      </w:r>
    </w:p>
    <w:p w:rsidR="001B332C" w:rsidRPr="001D121B" w:rsidRDefault="001B332C" w:rsidP="007D70C6">
      <w:pPr>
        <w:rPr>
          <w:rFonts w:cs="Times New Roman"/>
        </w:rPr>
      </w:pPr>
    </w:p>
    <w:p w:rsidR="00A97241" w:rsidRPr="001D121B" w:rsidRDefault="00A97241" w:rsidP="007D70C6">
      <w:pPr>
        <w:rPr>
          <w:rFonts w:cs="Times New Roman"/>
        </w:rPr>
      </w:pPr>
      <w:r w:rsidRPr="001D121B">
        <w:rPr>
          <w:rFonts w:cs="Times New Roman"/>
        </w:rPr>
        <w:t>The calculation of individual PI</w:t>
      </w:r>
      <w:r w:rsidR="000B219B" w:rsidRPr="001D121B">
        <w:rPr>
          <w:rFonts w:cs="Times New Roman"/>
        </w:rPr>
        <w:t xml:space="preserve"> </w:t>
      </w:r>
      <w:r w:rsidR="00575CA3" w:rsidRPr="001D121B">
        <w:rPr>
          <w:rFonts w:cs="Times New Roman"/>
        </w:rPr>
        <w:t xml:space="preserve">for each project </w:t>
      </w:r>
      <w:r w:rsidRPr="001D121B">
        <w:rPr>
          <w:rFonts w:cs="Times New Roman"/>
        </w:rPr>
        <w:t xml:space="preserve">has been </w:t>
      </w:r>
      <w:r w:rsidR="00575CA3" w:rsidRPr="001D121B">
        <w:rPr>
          <w:rFonts w:cs="Times New Roman"/>
        </w:rPr>
        <w:t>calculated</w:t>
      </w:r>
      <w:r w:rsidRPr="001D121B">
        <w:rPr>
          <w:rFonts w:cs="Times New Roman"/>
        </w:rPr>
        <w:t xml:space="preserve"> below:</w:t>
      </w:r>
    </w:p>
    <w:p w:rsidR="00A97241" w:rsidRPr="001D121B" w:rsidRDefault="000B219B" w:rsidP="007D70C6">
      <w:pPr>
        <w:rPr>
          <w:rFonts w:cs="Times New Roman"/>
        </w:rPr>
      </w:pPr>
      <w:r w:rsidRPr="001D121B">
        <w:rPr>
          <w:rFonts w:cs="Times New Roman"/>
          <w:b/>
          <w:bCs/>
        </w:rPr>
        <w:t>Project (A):</w:t>
      </w:r>
      <w:r w:rsidRPr="001D121B">
        <w:rPr>
          <w:rFonts w:cs="Times New Roman"/>
        </w:rPr>
        <w:t xml:space="preserve"> </w:t>
      </w:r>
      <m:oMath>
        <m:r>
          <w:rPr>
            <w:rFonts w:ascii="Cambria Math" w:hAnsi="Cambria Math" w:cs="Times New Roman"/>
          </w:rPr>
          <m:t>1+</m:t>
        </m:r>
        <m:f>
          <m:fPr>
            <m:ctrlPr>
              <w:rPr>
                <w:rFonts w:ascii="Cambria Math" w:hAnsi="Cambria Math" w:cs="Times New Roman"/>
                <w:i/>
              </w:rPr>
            </m:ctrlPr>
          </m:fPr>
          <m:num>
            <m:r>
              <w:rPr>
                <w:rFonts w:ascii="Cambria Math" w:hAnsi="Cambria Math" w:cs="Times New Roman"/>
              </w:rPr>
              <m:t>4,237.90</m:t>
            </m:r>
          </m:num>
          <m:den>
            <m:r>
              <w:rPr>
                <w:rFonts w:ascii="Cambria Math" w:hAnsi="Cambria Math" w:cs="Times New Roman"/>
              </w:rPr>
              <m:t>600,000</m:t>
            </m:r>
          </m:den>
        </m:f>
        <m:r>
          <w:rPr>
            <w:rFonts w:ascii="Cambria Math" w:hAnsi="Cambria Math" w:cs="Times New Roman"/>
          </w:rPr>
          <m:t>=1.0071</m:t>
        </m:r>
      </m:oMath>
    </w:p>
    <w:p w:rsidR="000B219B" w:rsidRPr="001D121B" w:rsidRDefault="000B219B" w:rsidP="007D70C6">
      <w:pPr>
        <w:rPr>
          <w:rFonts w:cs="Times New Roman"/>
        </w:rPr>
      </w:pPr>
      <w:r w:rsidRPr="001D121B">
        <w:rPr>
          <w:rFonts w:cs="Times New Roman"/>
          <w:b/>
          <w:bCs/>
        </w:rPr>
        <w:t>Project (B):</w:t>
      </w:r>
      <w:r w:rsidRPr="001D121B">
        <w:rPr>
          <w:rFonts w:cs="Times New Roman"/>
        </w:rPr>
        <w:t xml:space="preserve"> </w:t>
      </w:r>
      <m:oMath>
        <m:r>
          <w:rPr>
            <w:rFonts w:ascii="Cambria Math" w:hAnsi="Cambria Math" w:cs="Times New Roman"/>
          </w:rPr>
          <m:t>1+</m:t>
        </m:r>
        <m:f>
          <m:fPr>
            <m:ctrlPr>
              <w:rPr>
                <w:rFonts w:ascii="Cambria Math" w:hAnsi="Cambria Math" w:cs="Times New Roman"/>
                <w:i/>
              </w:rPr>
            </m:ctrlPr>
          </m:fPr>
          <m:num>
            <m:r>
              <w:rPr>
                <w:rFonts w:ascii="Cambria Math" w:hAnsi="Cambria Math" w:cs="Times New Roman"/>
              </w:rPr>
              <m:t>176,996.11</m:t>
            </m:r>
          </m:num>
          <m:den>
            <m:r>
              <w:rPr>
                <w:rFonts w:ascii="Cambria Math" w:hAnsi="Cambria Math" w:cs="Times New Roman"/>
              </w:rPr>
              <m:t>900,000</m:t>
            </m:r>
          </m:den>
        </m:f>
        <m:r>
          <w:rPr>
            <w:rFonts w:ascii="Cambria Math" w:hAnsi="Cambria Math" w:cs="Times New Roman"/>
          </w:rPr>
          <m:t>=1.1967</m:t>
        </m:r>
      </m:oMath>
    </w:p>
    <w:p w:rsidR="000B219B" w:rsidRPr="001D121B" w:rsidRDefault="000B219B" w:rsidP="007D70C6">
      <w:pPr>
        <w:rPr>
          <w:rFonts w:eastAsiaTheme="minorEastAsia" w:cs="Times New Roman"/>
        </w:rPr>
      </w:pPr>
      <w:r w:rsidRPr="001D121B">
        <w:rPr>
          <w:rFonts w:cs="Times New Roman"/>
          <w:b/>
          <w:bCs/>
        </w:rPr>
        <w:t xml:space="preserve">Project (C): </w:t>
      </w:r>
      <m:oMath>
        <m:r>
          <w:rPr>
            <w:rFonts w:ascii="Cambria Math" w:hAnsi="Cambria Math" w:cs="Times New Roman"/>
          </w:rPr>
          <m:t>1+</m:t>
        </m:r>
        <m:f>
          <m:fPr>
            <m:ctrlPr>
              <w:rPr>
                <w:rFonts w:ascii="Cambria Math" w:hAnsi="Cambria Math" w:cs="Times New Roman"/>
                <w:i/>
              </w:rPr>
            </m:ctrlPr>
          </m:fPr>
          <m:num>
            <m:r>
              <w:rPr>
                <w:rFonts w:ascii="Cambria Math" w:hAnsi="Cambria Math" w:cs="Times New Roman"/>
              </w:rPr>
              <m:t>208,163.31</m:t>
            </m:r>
          </m:num>
          <m:den>
            <m:r>
              <w:rPr>
                <w:rFonts w:ascii="Cambria Math" w:hAnsi="Cambria Math" w:cs="Times New Roman"/>
              </w:rPr>
              <m:t>1,000,000</m:t>
            </m:r>
          </m:den>
        </m:f>
        <m:r>
          <w:rPr>
            <w:rFonts w:ascii="Cambria Math" w:hAnsi="Cambria Math" w:cs="Times New Roman"/>
          </w:rPr>
          <m:t>=3.0816</m:t>
        </m:r>
      </m:oMath>
    </w:p>
    <w:p w:rsidR="004D1012" w:rsidRPr="001D121B" w:rsidRDefault="004D1012" w:rsidP="007D70C6">
      <w:pPr>
        <w:rPr>
          <w:rFonts w:cs="Times New Roman"/>
        </w:rPr>
      </w:pPr>
    </w:p>
    <w:p w:rsidR="00AF0EB0" w:rsidRPr="001D121B" w:rsidRDefault="000B219B" w:rsidP="007D70C6">
      <w:pPr>
        <w:rPr>
          <w:rFonts w:cs="Times New Roman"/>
        </w:rPr>
      </w:pPr>
      <w:r w:rsidRPr="001D121B">
        <w:rPr>
          <w:rFonts w:cs="Times New Roman"/>
        </w:rPr>
        <w:t xml:space="preserve">Project (C) generates the highest value, because for every £1 invested, </w:t>
      </w:r>
      <w:r w:rsidR="00301BC7" w:rsidRPr="001D121B">
        <w:rPr>
          <w:rFonts w:cs="Times New Roman"/>
        </w:rPr>
        <w:t>the yield is £3.08. This project should be given the u</w:t>
      </w:r>
      <w:r w:rsidR="00106FD3" w:rsidRPr="001D121B">
        <w:rPr>
          <w:rFonts w:cs="Times New Roman"/>
        </w:rPr>
        <w:t>t</w:t>
      </w:r>
      <w:r w:rsidR="00301BC7" w:rsidRPr="001D121B">
        <w:rPr>
          <w:rFonts w:cs="Times New Roman"/>
        </w:rPr>
        <w:t>most priority, followed by projects (B) and (A)</w:t>
      </w:r>
      <w:r w:rsidR="005A0EA0" w:rsidRPr="001D121B">
        <w:rPr>
          <w:rFonts w:cs="Times New Roman"/>
        </w:rPr>
        <w:t xml:space="preserve"> which yield £.19</w:t>
      </w:r>
      <w:r w:rsidR="00301BC7" w:rsidRPr="001D121B">
        <w:rPr>
          <w:rFonts w:cs="Times New Roman"/>
        </w:rPr>
        <w:t xml:space="preserve"> </w:t>
      </w:r>
      <w:r w:rsidR="005A0EA0" w:rsidRPr="001D121B">
        <w:rPr>
          <w:rFonts w:cs="Times New Roman"/>
        </w:rPr>
        <w:t>and £.007 respectively for each £1 invested</w:t>
      </w:r>
      <w:r w:rsidR="00301BC7" w:rsidRPr="001D121B">
        <w:rPr>
          <w:rFonts w:cs="Times New Roman"/>
        </w:rPr>
        <w:t>. Based on this decision, the investment policy requires £100,000 to be invested in project (C). The remaining £50,000 should be invested in the second most lucrative project, which is (B).</w:t>
      </w:r>
      <w:r w:rsidR="00E42EDC" w:rsidRPr="001D121B">
        <w:rPr>
          <w:rFonts w:cs="Times New Roman"/>
        </w:rPr>
        <w:t xml:space="preserve"> </w:t>
      </w:r>
      <w:r w:rsidR="00902665" w:rsidRPr="001D121B">
        <w:rPr>
          <w:rFonts w:cs="Times New Roman"/>
        </w:rPr>
        <w:t xml:space="preserve">With this fund, only </w:t>
      </w:r>
      <w:r w:rsidR="00F72135" w:rsidRPr="001D121B">
        <w:rPr>
          <w:rFonts w:cs="Times New Roman"/>
        </w:rPr>
        <w:t xml:space="preserve">(100/900,000x50,000) </w:t>
      </w:r>
      <w:r w:rsidR="00902665" w:rsidRPr="001D121B">
        <w:rPr>
          <w:rFonts w:cs="Times New Roman"/>
        </w:rPr>
        <w:t>5.55</w:t>
      </w:r>
      <w:r w:rsidR="00F72135" w:rsidRPr="001D121B">
        <w:rPr>
          <w:rFonts w:cs="Times New Roman"/>
        </w:rPr>
        <w:t xml:space="preserve">% </w:t>
      </w:r>
      <w:r w:rsidR="00902665" w:rsidRPr="001D121B">
        <w:rPr>
          <w:rFonts w:cs="Times New Roman"/>
        </w:rPr>
        <w:t>of the total expense can be bore</w:t>
      </w:r>
      <w:r w:rsidR="00AF0EB0" w:rsidRPr="001D121B">
        <w:rPr>
          <w:rFonts w:cs="Times New Roman"/>
        </w:rPr>
        <w:t xml:space="preserve"> of the second project.</w:t>
      </w:r>
    </w:p>
    <w:p w:rsidR="00AF0EB0" w:rsidRPr="001D121B" w:rsidRDefault="00AF0EB0" w:rsidP="007D70C6">
      <w:pPr>
        <w:rPr>
          <w:rFonts w:cs="Times New Roman"/>
        </w:rPr>
      </w:pPr>
    </w:p>
    <w:p w:rsidR="00B649CF" w:rsidRPr="001D121B" w:rsidRDefault="00E42EDC" w:rsidP="007D70C6">
      <w:pPr>
        <w:rPr>
          <w:rFonts w:cs="Times New Roman"/>
        </w:rPr>
      </w:pPr>
      <w:r w:rsidRPr="001D121B">
        <w:rPr>
          <w:rFonts w:cs="Times New Roman"/>
        </w:rPr>
        <w:t xml:space="preserve">The resulting total NPV from this investment policy </w:t>
      </w:r>
      <w:r w:rsidR="00AF0EB0" w:rsidRPr="001D121B">
        <w:rPr>
          <w:rFonts w:cs="Times New Roman"/>
        </w:rPr>
        <w:t xml:space="preserve">has been calculated </w:t>
      </w:r>
      <w:r w:rsidRPr="001D121B">
        <w:rPr>
          <w:rFonts w:cs="Times New Roman"/>
        </w:rPr>
        <w:t>below:</w:t>
      </w:r>
    </w:p>
    <w:p w:rsidR="00E42EDC" w:rsidRPr="001D121B" w:rsidRDefault="007033F8" w:rsidP="007D70C6">
      <w:pPr>
        <w:rPr>
          <w:rFonts w:eastAsiaTheme="minorEastAsia" w:cs="Times New Roman"/>
        </w:rPr>
      </w:pPr>
      <m:oMathPara>
        <m:oMath>
          <m:r>
            <w:rPr>
              <w:rFonts w:ascii="Cambria Math" w:hAnsi="Cambria Math" w:cs="Times New Roman"/>
            </w:rPr>
            <m:t>NPV=208,163.11×1+176,996×.055=217,897.89</m:t>
          </m:r>
        </m:oMath>
      </m:oMathPara>
    </w:p>
    <w:p w:rsidR="00AF0EB0" w:rsidRPr="001D121B" w:rsidRDefault="00AF0EB0" w:rsidP="007D70C6">
      <w:pPr>
        <w:rPr>
          <w:rFonts w:eastAsiaTheme="minorEastAsia" w:cs="Times New Roman"/>
        </w:rPr>
      </w:pPr>
      <w:r w:rsidRPr="001D121B">
        <w:rPr>
          <w:rFonts w:eastAsiaTheme="minorEastAsia" w:cs="Times New Roman"/>
        </w:rPr>
        <w:t xml:space="preserve"> </w:t>
      </w:r>
    </w:p>
    <w:p w:rsidR="001C0F71" w:rsidRPr="001D121B" w:rsidRDefault="001C0F71" w:rsidP="007D70C6">
      <w:pPr>
        <w:rPr>
          <w:rFonts w:eastAsiaTheme="minorEastAsia" w:cs="Times New Roman"/>
        </w:rPr>
      </w:pPr>
      <w:r w:rsidRPr="001D121B">
        <w:rPr>
          <w:rFonts w:eastAsiaTheme="minorEastAsia" w:cs="Times New Roman"/>
        </w:rPr>
        <w:t>Utilising the limited fund</w:t>
      </w:r>
      <w:r w:rsidR="00AF0EB0" w:rsidRPr="001D121B">
        <w:rPr>
          <w:rFonts w:eastAsiaTheme="minorEastAsia" w:cs="Times New Roman"/>
        </w:rPr>
        <w:t xml:space="preserve"> of £150,000,</w:t>
      </w:r>
      <w:r w:rsidRPr="001D121B">
        <w:rPr>
          <w:rFonts w:eastAsiaTheme="minorEastAsia" w:cs="Times New Roman"/>
        </w:rPr>
        <w:t xml:space="preserve"> investing </w:t>
      </w:r>
      <w:r w:rsidR="00AF0EB0" w:rsidRPr="001D121B">
        <w:rPr>
          <w:rFonts w:eastAsiaTheme="minorEastAsia" w:cs="Times New Roman"/>
        </w:rPr>
        <w:t>both</w:t>
      </w:r>
      <w:r w:rsidRPr="001D121B">
        <w:rPr>
          <w:rFonts w:eastAsiaTheme="minorEastAsia" w:cs="Times New Roman"/>
        </w:rPr>
        <w:t xml:space="preserve"> in project (C) and (B) fractionally gives us the NPV of £217,897.89</w:t>
      </w:r>
      <w:r w:rsidR="00AF0EB0" w:rsidRPr="001D121B">
        <w:rPr>
          <w:rFonts w:eastAsiaTheme="minorEastAsia" w:cs="Times New Roman"/>
        </w:rPr>
        <w:t>, which is the highest NPV possibly derived from a mix of investments, using the optimal investment policy.</w:t>
      </w:r>
    </w:p>
    <w:p w:rsidR="001C0F71" w:rsidRPr="001D121B" w:rsidRDefault="001C0F71" w:rsidP="007D70C6">
      <w:pPr>
        <w:rPr>
          <w:rFonts w:eastAsiaTheme="minorEastAsia" w:cs="Times New Roman"/>
        </w:rPr>
      </w:pPr>
    </w:p>
    <w:p w:rsidR="001C0F71" w:rsidRPr="001D121B" w:rsidRDefault="00460377" w:rsidP="00460377">
      <w:pPr>
        <w:pStyle w:val="Heading1"/>
        <w:rPr>
          <w:rFonts w:cs="Times New Roman"/>
        </w:rPr>
      </w:pPr>
      <w:bookmarkStart w:id="14" w:name="_Toc227410909"/>
      <w:r w:rsidRPr="001D121B">
        <w:rPr>
          <w:rFonts w:cs="Times New Roman"/>
        </w:rPr>
        <w:t xml:space="preserve">1.6 </w:t>
      </w:r>
      <w:r w:rsidR="001C0F71" w:rsidRPr="001D121B">
        <w:rPr>
          <w:rFonts w:cs="Times New Roman"/>
        </w:rPr>
        <w:t>Rec</w:t>
      </w:r>
      <w:r w:rsidR="00C76B6D" w:rsidRPr="001D121B">
        <w:rPr>
          <w:rFonts w:cs="Times New Roman"/>
        </w:rPr>
        <w:t>o</w:t>
      </w:r>
      <w:r w:rsidR="001C0F71" w:rsidRPr="001D121B">
        <w:rPr>
          <w:rFonts w:cs="Times New Roman"/>
        </w:rPr>
        <w:t>mmendation</w:t>
      </w:r>
      <w:bookmarkEnd w:id="14"/>
    </w:p>
    <w:p w:rsidR="00C76B6D" w:rsidRPr="001D121B" w:rsidRDefault="00C76B6D" w:rsidP="00C76B6D">
      <w:pPr>
        <w:rPr>
          <w:rFonts w:cs="Times New Roman"/>
        </w:rPr>
      </w:pPr>
    </w:p>
    <w:p w:rsidR="001C0F71" w:rsidRPr="001D121B" w:rsidRDefault="001C0F71" w:rsidP="001C0F71">
      <w:pPr>
        <w:rPr>
          <w:rFonts w:cs="Times New Roman"/>
        </w:rPr>
      </w:pPr>
      <w:r w:rsidRPr="001D121B">
        <w:rPr>
          <w:rFonts w:cs="Times New Roman"/>
        </w:rPr>
        <w:t xml:space="preserve">The Board of Beard PLC. </w:t>
      </w:r>
      <w:r w:rsidR="00D31AAB" w:rsidRPr="001D121B">
        <w:rPr>
          <w:rFonts w:cs="Times New Roman"/>
        </w:rPr>
        <w:t xml:space="preserve">has been recommended </w:t>
      </w:r>
      <w:r w:rsidRPr="001D121B">
        <w:rPr>
          <w:rFonts w:cs="Times New Roman"/>
        </w:rPr>
        <w:t>to invest in project (C), if the qualitative and other factors support, since it has the highest NPV and IRR.</w:t>
      </w:r>
      <w:r w:rsidR="00D31AAB" w:rsidRPr="001D121B">
        <w:rPr>
          <w:rFonts w:cs="Times New Roman"/>
        </w:rPr>
        <w:t xml:space="preserve"> </w:t>
      </w:r>
      <w:r w:rsidRPr="001D121B">
        <w:rPr>
          <w:rFonts w:cs="Times New Roman"/>
        </w:rPr>
        <w:t>If there’s a fund limit beyond £1,000,000, a fraction of the second most profitable project with the same IRR as project (C), project (B) should be invested in.</w:t>
      </w:r>
      <w:r w:rsidR="00D31AAB" w:rsidRPr="001D121B">
        <w:rPr>
          <w:rFonts w:cs="Times New Roman"/>
        </w:rPr>
        <w:t xml:space="preserve"> Project (A) is the least profitable one in every measure taken to test profitability. Therefore, </w:t>
      </w:r>
      <w:r w:rsidR="009A00CF" w:rsidRPr="001D121B">
        <w:rPr>
          <w:rFonts w:cs="Times New Roman"/>
        </w:rPr>
        <w:t>this</w:t>
      </w:r>
      <w:r w:rsidR="00D31AAB" w:rsidRPr="001D121B">
        <w:rPr>
          <w:rFonts w:cs="Times New Roman"/>
        </w:rPr>
        <w:t xml:space="preserve"> should be rejected</w:t>
      </w:r>
      <w:r w:rsidR="009A00CF" w:rsidRPr="001D121B">
        <w:rPr>
          <w:rFonts w:cs="Times New Roman"/>
        </w:rPr>
        <w:t xml:space="preserve"> unless the fund has a higher limit to invest in both the other two projects and still not be run out</w:t>
      </w:r>
      <w:r w:rsidR="0055132F" w:rsidRPr="001D121B">
        <w:rPr>
          <w:rFonts w:cs="Times New Roman"/>
        </w:rPr>
        <w:t xml:space="preserve"> of.</w:t>
      </w:r>
      <w:r w:rsidR="00B92865" w:rsidRPr="001D121B">
        <w:rPr>
          <w:rFonts w:cs="Times New Roman"/>
        </w:rPr>
        <w:t xml:space="preserve"> If the environment is highly volatile and the projects are very sensitive to changes, the Board should carefully evaluate if using a method based on a fixed discount rate is practical.</w:t>
      </w:r>
      <w:r w:rsidR="00C94210" w:rsidRPr="001D121B">
        <w:rPr>
          <w:rFonts w:cs="Times New Roman"/>
        </w:rPr>
        <w:t xml:space="preserve"> In case of such environment, other methods such as ARR or payback period should be considered more.</w:t>
      </w:r>
    </w:p>
    <w:p w:rsidR="003B605A" w:rsidRPr="001D121B" w:rsidRDefault="003B605A" w:rsidP="001C0F71">
      <w:pPr>
        <w:rPr>
          <w:rFonts w:cs="Times New Roman"/>
        </w:rPr>
      </w:pPr>
    </w:p>
    <w:p w:rsidR="003B605A" w:rsidRPr="001D121B" w:rsidRDefault="004D641D" w:rsidP="003B605A">
      <w:pPr>
        <w:pStyle w:val="Heading1"/>
        <w:rPr>
          <w:rFonts w:cs="Times New Roman"/>
        </w:rPr>
      </w:pPr>
      <w:r w:rsidRPr="001D121B">
        <w:rPr>
          <w:rFonts w:cs="Times New Roman"/>
        </w:rPr>
        <w:br w:type="column"/>
      </w:r>
      <w:bookmarkStart w:id="15" w:name="_Toc227410910"/>
      <w:r w:rsidR="003B605A" w:rsidRPr="001D121B">
        <w:rPr>
          <w:rFonts w:cs="Times New Roman"/>
        </w:rPr>
        <w:lastRenderedPageBreak/>
        <w:t>Appendix</w:t>
      </w:r>
      <w:bookmarkEnd w:id="15"/>
    </w:p>
    <w:p w:rsidR="003B605A" w:rsidRPr="001D121B" w:rsidRDefault="003B605A" w:rsidP="003B605A">
      <w:pPr>
        <w:rPr>
          <w:rFonts w:cs="Times New Roman"/>
        </w:rPr>
      </w:pPr>
    </w:p>
    <w:p w:rsidR="003B605A" w:rsidRPr="001D121B" w:rsidRDefault="003B605A" w:rsidP="003B605A">
      <w:pPr>
        <w:rPr>
          <w:rFonts w:cs="Times New Roman"/>
        </w:rPr>
      </w:pPr>
      <w:r w:rsidRPr="001D121B">
        <w:rPr>
          <w:rFonts w:cs="Times New Roman"/>
        </w:rPr>
        <w:t>Annual report</w:t>
      </w:r>
      <w:r w:rsidR="00CE7BE8" w:rsidRPr="001D121B">
        <w:rPr>
          <w:rFonts w:cs="Times New Roman"/>
        </w:rPr>
        <w:t>s</w:t>
      </w:r>
      <w:r w:rsidRPr="001D121B">
        <w:rPr>
          <w:rFonts w:cs="Times New Roman"/>
        </w:rPr>
        <w:t xml:space="preserve"> of </w:t>
      </w:r>
      <w:r w:rsidR="0041367E" w:rsidRPr="001D121B">
        <w:rPr>
          <w:rFonts w:cs="Times New Roman"/>
        </w:rPr>
        <w:t>Unilever</w:t>
      </w:r>
      <w:r w:rsidRPr="001D121B">
        <w:rPr>
          <w:rFonts w:cs="Times New Roman"/>
        </w:rPr>
        <w:t>:</w:t>
      </w:r>
    </w:p>
    <w:p w:rsidR="0041367E" w:rsidRPr="001D121B" w:rsidRDefault="003B605A" w:rsidP="003B605A">
      <w:pPr>
        <w:rPr>
          <w:rFonts w:cs="Times New Roman"/>
        </w:rPr>
      </w:pPr>
      <w:r w:rsidRPr="001D121B">
        <w:rPr>
          <w:rFonts w:cs="Times New Roman"/>
        </w:rPr>
        <w:t xml:space="preserve">Year 2024: </w:t>
      </w:r>
      <w:hyperlink r:id="rId8" w:history="1">
        <w:r w:rsidR="0041367E" w:rsidRPr="001D121B">
          <w:rPr>
            <w:rStyle w:val="Hyperlink"/>
            <w:rFonts w:cs="Times New Roman"/>
          </w:rPr>
          <w:t>https://www.unilever.com/files/unilever-annual-report-and-accounts-2024.pdf</w:t>
        </w:r>
      </w:hyperlink>
    </w:p>
    <w:p w:rsidR="0041367E" w:rsidRPr="001D121B" w:rsidRDefault="003B605A" w:rsidP="003B605A">
      <w:pPr>
        <w:rPr>
          <w:rFonts w:cs="Times New Roman"/>
        </w:rPr>
      </w:pPr>
      <w:r w:rsidRPr="001D121B">
        <w:rPr>
          <w:rFonts w:cs="Times New Roman"/>
        </w:rPr>
        <w:t xml:space="preserve">Year 2025: </w:t>
      </w:r>
      <w:hyperlink r:id="rId9" w:history="1">
        <w:r w:rsidR="0041367E" w:rsidRPr="001D121B">
          <w:rPr>
            <w:rStyle w:val="Hyperlink"/>
            <w:rFonts w:cs="Times New Roman"/>
          </w:rPr>
          <w:t>https://www.unilever.com/files/unilever-annual-report-and-accounts-2025.pdf</w:t>
        </w:r>
      </w:hyperlink>
    </w:p>
    <w:p w:rsidR="003B605A" w:rsidRPr="001D121B" w:rsidRDefault="00CE7BE8" w:rsidP="003B605A">
      <w:pPr>
        <w:rPr>
          <w:rFonts w:cs="Times New Roman"/>
        </w:rPr>
      </w:pPr>
      <w:r w:rsidRPr="001D121B">
        <w:rPr>
          <w:rFonts w:cs="Times New Roman"/>
        </w:rPr>
        <w:t>Annual reports of AstraZeneca:</w:t>
      </w:r>
    </w:p>
    <w:p w:rsidR="00CE7BE8" w:rsidRPr="001D121B" w:rsidRDefault="00CE7BE8" w:rsidP="001D187F">
      <w:pPr>
        <w:jc w:val="left"/>
        <w:rPr>
          <w:rFonts w:cs="Times New Roman"/>
        </w:rPr>
      </w:pPr>
      <w:r w:rsidRPr="001D121B">
        <w:rPr>
          <w:rFonts w:cs="Times New Roman"/>
        </w:rPr>
        <w:t>Year 2024:</w:t>
      </w:r>
      <w:r w:rsidR="001D187F" w:rsidRPr="001D121B">
        <w:rPr>
          <w:rFonts w:cs="Times New Roman"/>
        </w:rPr>
        <w:t xml:space="preserve"> </w:t>
      </w:r>
      <w:hyperlink r:id="rId10" w:history="1">
        <w:r w:rsidR="00757BE3" w:rsidRPr="001D121B">
          <w:rPr>
            <w:rStyle w:val="Hyperlink"/>
            <w:rFonts w:cs="Times New Roman"/>
          </w:rPr>
          <w:t>https://www.astrazeneca.com/investor-relations/annual-reports/annual-report-2024</w:t>
        </w:r>
      </w:hyperlink>
    </w:p>
    <w:p w:rsidR="00AC16D0" w:rsidRPr="001D121B" w:rsidRDefault="00CE7BE8" w:rsidP="00AC16D0">
      <w:pPr>
        <w:jc w:val="left"/>
        <w:rPr>
          <w:rStyle w:val="Hyperlink"/>
          <w:rFonts w:eastAsiaTheme="minorEastAsia" w:cs="Times New Roman"/>
        </w:rPr>
      </w:pPr>
      <w:r w:rsidRPr="001D121B">
        <w:rPr>
          <w:rFonts w:cs="Times New Roman"/>
        </w:rPr>
        <w:t>Year 2025:</w:t>
      </w:r>
      <w:r w:rsidR="001D187F" w:rsidRPr="001D121B">
        <w:rPr>
          <w:rFonts w:cs="Times New Roman"/>
        </w:rPr>
        <w:t xml:space="preserve"> </w:t>
      </w:r>
      <w:hyperlink r:id="rId11" w:history="1">
        <w:r w:rsidR="00757BE3" w:rsidRPr="001D121B">
          <w:rPr>
            <w:rStyle w:val="Hyperlink"/>
            <w:rFonts w:eastAsiaTheme="minorEastAsia" w:cs="Times New Roman"/>
          </w:rPr>
          <w:t>https://www.astrazeneca.com/investor-relations/annual-reports/annual-report-2025</w:t>
        </w:r>
      </w:hyperlink>
    </w:p>
    <w:p w:rsidR="00AC16D0" w:rsidRPr="001D121B" w:rsidRDefault="00AC16D0" w:rsidP="00AC16D0">
      <w:pPr>
        <w:jc w:val="left"/>
        <w:rPr>
          <w:rStyle w:val="Hyperlink"/>
          <w:rFonts w:eastAsiaTheme="minorEastAsia" w:cs="Times New Roman"/>
        </w:rPr>
      </w:pPr>
    </w:p>
    <w:sdt>
      <w:sdtPr>
        <w:rPr>
          <w:rFonts w:cs="Times New Roman"/>
          <w:color w:val="0563C1" w:themeColor="hyperlink"/>
          <w:u w:val="single"/>
        </w:rPr>
        <w:id w:val="504945098"/>
        <w:docPartObj>
          <w:docPartGallery w:val="Bibliographies"/>
          <w:docPartUnique/>
        </w:docPartObj>
      </w:sdtPr>
      <w:sdtEndPr>
        <w:rPr>
          <w:color w:val="auto"/>
          <w:u w:val="none"/>
        </w:rPr>
      </w:sdtEndPr>
      <w:sdtContent>
        <w:p w:rsidR="00AC16D0" w:rsidRPr="001D121B" w:rsidRDefault="00AC16D0" w:rsidP="00AC16D0">
          <w:pPr>
            <w:rPr>
              <w:rFonts w:cs="Times New Roman"/>
            </w:rPr>
          </w:pPr>
          <w:r w:rsidRPr="001D121B">
            <w:rPr>
              <w:rFonts w:cs="Times New Roman"/>
            </w:rPr>
            <w:t>Other sources:</w:t>
          </w:r>
        </w:p>
        <w:p w:rsidR="00AC16D0" w:rsidRPr="001D121B" w:rsidRDefault="00AC16D0" w:rsidP="00AC16D0">
          <w:pPr>
            <w:rPr>
              <w:rFonts w:cs="Times New Roman"/>
            </w:rPr>
          </w:pPr>
        </w:p>
        <w:sdt>
          <w:sdtPr>
            <w:rPr>
              <w:rFonts w:cs="Times New Roman"/>
            </w:rPr>
            <w:id w:val="111145805"/>
            <w:bibliography/>
          </w:sdtPr>
          <w:sdtContent>
            <w:p w:rsidR="00AC16D0" w:rsidRPr="001D121B" w:rsidRDefault="00AC16D0" w:rsidP="00AC16D0">
              <w:pPr>
                <w:pStyle w:val="Bibliography"/>
                <w:rPr>
                  <w:rFonts w:cs="Times New Roman"/>
                  <w:noProof/>
                  <w:kern w:val="0"/>
                  <w:szCs w:val="24"/>
                  <w14:ligatures w14:val="none"/>
                </w:rPr>
              </w:pPr>
              <w:r w:rsidRPr="001D121B">
                <w:rPr>
                  <w:rFonts w:cs="Times New Roman"/>
                </w:rPr>
                <w:fldChar w:fldCharType="begin"/>
              </w:r>
              <w:r w:rsidRPr="001D121B">
                <w:rPr>
                  <w:rFonts w:cs="Times New Roman"/>
                </w:rPr>
                <w:instrText xml:space="preserve"> BIBLIOGRAPHY </w:instrText>
              </w:r>
              <w:r w:rsidRPr="001D121B">
                <w:rPr>
                  <w:rFonts w:cs="Times New Roman"/>
                </w:rPr>
                <w:fldChar w:fldCharType="separate"/>
              </w:r>
              <w:r w:rsidRPr="001D121B">
                <w:rPr>
                  <w:rFonts w:cs="Times New Roman"/>
                  <w:noProof/>
                </w:rPr>
                <w:t xml:space="preserve">AstraZeneca, 2026. </w:t>
              </w:r>
              <w:r w:rsidRPr="001D121B">
                <w:rPr>
                  <w:rFonts w:cs="Times New Roman"/>
                  <w:i/>
                  <w:iCs/>
                  <w:noProof/>
                </w:rPr>
                <w:t xml:space="preserve">Full Year and Q4 2025 results. </w:t>
              </w:r>
              <w:r w:rsidRPr="001D121B">
                <w:rPr>
                  <w:rFonts w:cs="Times New Roman"/>
                  <w:noProof/>
                </w:rPr>
                <w:t xml:space="preserve">[Online] </w:t>
              </w:r>
              <w:r w:rsidRPr="001D121B">
                <w:rPr>
                  <w:rFonts w:cs="Times New Roman"/>
                  <w:noProof/>
                </w:rPr>
                <w:br/>
                <w:t xml:space="preserve">Available at: </w:t>
              </w:r>
              <w:r w:rsidRPr="001D121B">
                <w:rPr>
                  <w:rFonts w:cs="Times New Roman"/>
                  <w:noProof/>
                  <w:u w:val="single"/>
                </w:rPr>
                <w:t>https://www.astrazeneca.com/media-centre/press-releases/2026/full-year-q4-2025-results.html</w:t>
              </w:r>
              <w:r w:rsidRPr="001D121B">
                <w:rPr>
                  <w:rFonts w:cs="Times New Roman"/>
                  <w:noProof/>
                </w:rPr>
                <w:br/>
                <w:t>[Accessed 18 April 2026].</w:t>
              </w:r>
            </w:p>
            <w:p w:rsidR="00AC16D0" w:rsidRPr="001D121B" w:rsidRDefault="00AC16D0" w:rsidP="00AC16D0">
              <w:pPr>
                <w:pStyle w:val="Bibliography"/>
                <w:rPr>
                  <w:rFonts w:cs="Times New Roman"/>
                  <w:noProof/>
                </w:rPr>
              </w:pPr>
              <w:r w:rsidRPr="001D121B">
                <w:rPr>
                  <w:rFonts w:cs="Times New Roman"/>
                  <w:noProof/>
                </w:rPr>
                <w:t xml:space="preserve">Unilever, 2026. </w:t>
              </w:r>
              <w:r w:rsidRPr="001D121B">
                <w:rPr>
                  <w:rFonts w:cs="Times New Roman"/>
                  <w:i/>
                  <w:iCs/>
                  <w:noProof/>
                </w:rPr>
                <w:t xml:space="preserve">Sharper focus and disciplined execution driving competitive performance. </w:t>
              </w:r>
              <w:r w:rsidRPr="001D121B">
                <w:rPr>
                  <w:rFonts w:cs="Times New Roman"/>
                  <w:noProof/>
                </w:rPr>
                <w:t xml:space="preserve">[Online] </w:t>
              </w:r>
              <w:r w:rsidRPr="001D121B">
                <w:rPr>
                  <w:rFonts w:cs="Times New Roman"/>
                  <w:noProof/>
                </w:rPr>
                <w:br/>
                <w:t xml:space="preserve">Available at: </w:t>
              </w:r>
              <w:r w:rsidRPr="001D121B">
                <w:rPr>
                  <w:rFonts w:cs="Times New Roman"/>
                  <w:noProof/>
                  <w:u w:val="single"/>
                </w:rPr>
                <w:t>https://www.unilever.com/news/press-and-media/press-releases/2026/sharper-focus-and-disciplined-execution-driving-competitive-performance/</w:t>
              </w:r>
              <w:r w:rsidRPr="001D121B">
                <w:rPr>
                  <w:rFonts w:cs="Times New Roman"/>
                  <w:noProof/>
                </w:rPr>
                <w:br/>
                <w:t>[Accessed 18 April 2026].</w:t>
              </w:r>
            </w:p>
            <w:p w:rsidR="00274718" w:rsidRPr="001D121B" w:rsidRDefault="00AC16D0" w:rsidP="00AC16D0">
              <w:pPr>
                <w:rPr>
                  <w:rFonts w:cs="Times New Roman"/>
                </w:rPr>
              </w:pPr>
              <w:r w:rsidRPr="001D121B">
                <w:rPr>
                  <w:rFonts w:cs="Times New Roman"/>
                  <w:b/>
                  <w:bCs/>
                  <w:noProof/>
                </w:rPr>
                <w:fldChar w:fldCharType="end"/>
              </w:r>
            </w:p>
          </w:sdtContent>
        </w:sdt>
      </w:sdtContent>
    </w:sdt>
    <w:p w:rsidR="00274718" w:rsidRPr="001D121B" w:rsidRDefault="00274718" w:rsidP="001D187F">
      <w:pPr>
        <w:jc w:val="left"/>
        <w:rPr>
          <w:rFonts w:eastAsiaTheme="minorEastAsia" w:cs="Times New Roman"/>
        </w:rPr>
      </w:pPr>
      <w:r w:rsidRPr="001D121B">
        <w:rPr>
          <w:rFonts w:eastAsiaTheme="minorEastAsia" w:cs="Times New Roman"/>
        </w:rPr>
        <w:t>Formulas applied:</w:t>
      </w:r>
    </w:p>
    <w:p w:rsidR="00E86351" w:rsidRPr="001D121B" w:rsidRDefault="00274718" w:rsidP="00E86351">
      <w:pPr>
        <w:pStyle w:val="ListParagraph"/>
        <w:numPr>
          <w:ilvl w:val="0"/>
          <w:numId w:val="10"/>
        </w:numPr>
        <w:jc w:val="left"/>
        <w:rPr>
          <w:rFonts w:eastAsiaTheme="minorEastAsia" w:cs="Times New Roman"/>
        </w:rPr>
      </w:pPr>
      <w:r w:rsidRPr="001D121B">
        <w:rPr>
          <w:rFonts w:eastAsiaTheme="minorEastAsia" w:cs="Times New Roman"/>
        </w:rPr>
        <w:t xml:space="preserve">Gross profit ratio = </w:t>
      </w:r>
      <m:oMath>
        <m:f>
          <m:fPr>
            <m:ctrlPr>
              <w:rPr>
                <w:rFonts w:ascii="Cambria Math" w:eastAsiaTheme="minorEastAsia" w:hAnsi="Cambria Math" w:cs="Times New Roman"/>
                <w:i/>
              </w:rPr>
            </m:ctrlPr>
          </m:fPr>
          <m:num>
            <m:r>
              <w:rPr>
                <w:rFonts w:ascii="Cambria Math" w:eastAsiaTheme="minorEastAsia" w:hAnsi="Cambria Math" w:cs="Times New Roman"/>
              </w:rPr>
              <m:t>Gross profit</m:t>
            </m:r>
          </m:num>
          <m:den>
            <m:r>
              <w:rPr>
                <w:rFonts w:ascii="Cambria Math" w:eastAsiaTheme="minorEastAsia" w:hAnsi="Cambria Math" w:cs="Times New Roman"/>
              </w:rPr>
              <m:t>Net sales</m:t>
            </m:r>
          </m:den>
        </m:f>
        <m:r>
          <w:rPr>
            <w:rFonts w:ascii="Cambria Math" w:eastAsiaTheme="minorEastAsia" w:hAnsi="Cambria Math" w:cs="Times New Roman"/>
          </w:rPr>
          <m:t>×100</m:t>
        </m:r>
      </m:oMath>
    </w:p>
    <w:p w:rsidR="00274718" w:rsidRPr="001D121B" w:rsidRDefault="00AE7328" w:rsidP="00AE7328">
      <w:pPr>
        <w:pStyle w:val="ListParagraph"/>
        <w:ind w:left="1080"/>
        <w:jc w:val="left"/>
        <w:rPr>
          <w:rFonts w:eastAsiaTheme="minorEastAsia" w:cs="Times New Roman"/>
        </w:rPr>
      </w:pPr>
      <w:r w:rsidRPr="001D121B">
        <w:rPr>
          <w:rFonts w:eastAsiaTheme="minorEastAsia" w:cs="Times New Roman"/>
        </w:rPr>
        <w:t>AstraZeneca</w:t>
      </w:r>
      <w:r w:rsidR="00961D88" w:rsidRPr="001D121B">
        <w:rPr>
          <w:rFonts w:eastAsiaTheme="minorEastAsia" w:cs="Times New Roman"/>
        </w:rPr>
        <w:t xml:space="preserve">, </w:t>
      </w:r>
      <w:r w:rsidRPr="001D121B">
        <w:rPr>
          <w:rFonts w:eastAsiaTheme="minorEastAsia" w:cs="Times New Roman"/>
        </w:rPr>
        <w:t>2024 =</w:t>
      </w:r>
      <w:r w:rsidR="00D437D4" w:rsidRPr="001D121B">
        <w:rPr>
          <w:rFonts w:eastAsiaTheme="minorEastAsia" w:cs="Times New Roman"/>
        </w:rPr>
        <w:t xml:space="preserve"> 43,866</w:t>
      </w:r>
      <w:r w:rsidR="00E86351" w:rsidRPr="001D121B">
        <w:rPr>
          <w:rFonts w:eastAsiaTheme="minorEastAsia" w:cs="Times New Roman"/>
        </w:rPr>
        <w:t>/</w:t>
      </w:r>
      <w:r w:rsidR="00D437D4" w:rsidRPr="001D121B">
        <w:rPr>
          <w:rFonts w:eastAsiaTheme="minorEastAsia" w:cs="Times New Roman"/>
        </w:rPr>
        <w:t>50,938</w:t>
      </w:r>
      <w:r w:rsidR="00961D88" w:rsidRPr="001D121B">
        <w:rPr>
          <w:rFonts w:eastAsiaTheme="minorEastAsia" w:cs="Times New Roman"/>
        </w:rPr>
        <w:t xml:space="preserve"> =</w:t>
      </w:r>
      <w:r w:rsidR="00D437D4" w:rsidRPr="001D121B">
        <w:rPr>
          <w:rFonts w:eastAsiaTheme="minorEastAsia" w:cs="Times New Roman"/>
        </w:rPr>
        <w:t>86.11%</w:t>
      </w:r>
      <w:r w:rsidR="00961D88" w:rsidRPr="001D121B">
        <w:rPr>
          <w:rFonts w:eastAsiaTheme="minorEastAsia" w:cs="Times New Roman"/>
        </w:rPr>
        <w:t xml:space="preserve"> </w:t>
      </w:r>
    </w:p>
    <w:p w:rsidR="00961D88" w:rsidRPr="001D121B" w:rsidRDefault="00E86351" w:rsidP="00AE7328">
      <w:pPr>
        <w:pStyle w:val="ListParagraph"/>
        <w:ind w:left="1080"/>
        <w:jc w:val="left"/>
        <w:rPr>
          <w:rFonts w:eastAsiaTheme="minorEastAsia" w:cs="Times New Roman"/>
        </w:rPr>
      </w:pPr>
      <w:r w:rsidRPr="001D121B">
        <w:rPr>
          <w:rFonts w:eastAsiaTheme="minorEastAsia" w:cs="Times New Roman"/>
        </w:rPr>
        <w:t>Unilever</w:t>
      </w:r>
      <w:r w:rsidR="00961D88" w:rsidRPr="001D121B">
        <w:rPr>
          <w:rFonts w:eastAsiaTheme="minorEastAsia" w:cs="Times New Roman"/>
        </w:rPr>
        <w:t xml:space="preserve">, 2024 = </w:t>
      </w:r>
      <w:r w:rsidRPr="001D121B">
        <w:rPr>
          <w:rFonts w:eastAsiaTheme="minorEastAsia" w:cs="Times New Roman"/>
        </w:rPr>
        <w:t>(52,479-27,976)/</w:t>
      </w:r>
      <w:r w:rsidR="00D437D4" w:rsidRPr="001D121B">
        <w:rPr>
          <w:rFonts w:eastAsiaTheme="minorEastAsia" w:cs="Times New Roman"/>
        </w:rPr>
        <w:t>52,479</w:t>
      </w:r>
      <w:r w:rsidRPr="001D121B">
        <w:rPr>
          <w:rFonts w:eastAsiaTheme="minorEastAsia" w:cs="Times New Roman"/>
        </w:rPr>
        <w:t xml:space="preserve"> = </w:t>
      </w:r>
      <w:r w:rsidR="00D437D4" w:rsidRPr="001D121B">
        <w:rPr>
          <w:rFonts w:eastAsiaTheme="minorEastAsia" w:cs="Times New Roman"/>
        </w:rPr>
        <w:t>46.7%</w:t>
      </w:r>
    </w:p>
    <w:p w:rsidR="00AE7328" w:rsidRPr="001D121B" w:rsidRDefault="00AE7328" w:rsidP="00AE7328">
      <w:pPr>
        <w:pStyle w:val="ListParagraph"/>
        <w:ind w:left="1080"/>
        <w:jc w:val="left"/>
        <w:rPr>
          <w:rFonts w:eastAsiaTheme="minorEastAsia" w:cs="Times New Roman"/>
        </w:rPr>
      </w:pPr>
      <w:r w:rsidRPr="001D121B">
        <w:rPr>
          <w:rFonts w:eastAsiaTheme="minorEastAsia" w:cs="Times New Roman"/>
        </w:rPr>
        <w:t>AstraZeneca</w:t>
      </w:r>
      <w:r w:rsidR="00961D88" w:rsidRPr="001D121B">
        <w:rPr>
          <w:rFonts w:eastAsiaTheme="minorEastAsia" w:cs="Times New Roman"/>
        </w:rPr>
        <w:t>,</w:t>
      </w:r>
      <w:r w:rsidRPr="001D121B">
        <w:rPr>
          <w:rFonts w:eastAsiaTheme="minorEastAsia" w:cs="Times New Roman"/>
        </w:rPr>
        <w:t xml:space="preserve"> 2025 = </w:t>
      </w:r>
      <w:r w:rsidR="00D437D4" w:rsidRPr="001D121B">
        <w:rPr>
          <w:rFonts w:eastAsiaTheme="minorEastAsia" w:cs="Times New Roman"/>
        </w:rPr>
        <w:t>48,106/55,573</w:t>
      </w:r>
      <w:r w:rsidR="00961D88" w:rsidRPr="001D121B">
        <w:rPr>
          <w:rFonts w:eastAsiaTheme="minorEastAsia" w:cs="Times New Roman"/>
        </w:rPr>
        <w:t xml:space="preserve"> =</w:t>
      </w:r>
      <w:r w:rsidR="00D437D4" w:rsidRPr="001D121B">
        <w:rPr>
          <w:rFonts w:eastAsiaTheme="minorEastAsia" w:cs="Times New Roman"/>
        </w:rPr>
        <w:t xml:space="preserve"> 86.56%</w:t>
      </w:r>
    </w:p>
    <w:p w:rsidR="00D437D4" w:rsidRPr="001D121B" w:rsidRDefault="00D437D4" w:rsidP="00AE7328">
      <w:pPr>
        <w:pStyle w:val="ListParagraph"/>
        <w:ind w:left="1080"/>
        <w:jc w:val="left"/>
        <w:rPr>
          <w:rFonts w:eastAsiaTheme="minorEastAsia" w:cs="Times New Roman"/>
        </w:rPr>
      </w:pPr>
      <w:r w:rsidRPr="001D121B">
        <w:rPr>
          <w:rFonts w:eastAsiaTheme="minorEastAsia" w:cs="Times New Roman"/>
        </w:rPr>
        <w:t>Unilever, 2025 = (50,503-26,794)/50,503 = 46.94%</w:t>
      </w:r>
    </w:p>
    <w:p w:rsidR="00A026ED" w:rsidRPr="001D121B" w:rsidRDefault="00A026ED" w:rsidP="00A026ED">
      <w:pPr>
        <w:pStyle w:val="ListParagraph"/>
        <w:numPr>
          <w:ilvl w:val="0"/>
          <w:numId w:val="10"/>
        </w:numPr>
        <w:jc w:val="left"/>
        <w:rPr>
          <w:rFonts w:eastAsiaTheme="minorEastAsia" w:cs="Times New Roman"/>
        </w:rPr>
      </w:pPr>
      <w:r w:rsidRPr="001D121B">
        <w:rPr>
          <w:rFonts w:eastAsiaTheme="minorEastAsia" w:cs="Times New Roman"/>
        </w:rPr>
        <w:t xml:space="preserve">Net profit ratio = </w:t>
      </w:r>
      <m:oMath>
        <m:f>
          <m:fPr>
            <m:ctrlPr>
              <w:rPr>
                <w:rFonts w:ascii="Cambria Math" w:eastAsiaTheme="minorEastAsia" w:hAnsi="Cambria Math" w:cs="Times New Roman"/>
                <w:i/>
              </w:rPr>
            </m:ctrlPr>
          </m:fPr>
          <m:num>
            <m:r>
              <w:rPr>
                <w:rFonts w:ascii="Cambria Math" w:eastAsiaTheme="minorEastAsia" w:hAnsi="Cambria Math" w:cs="Times New Roman"/>
              </w:rPr>
              <m:t>Net profit</m:t>
            </m:r>
          </m:num>
          <m:den>
            <m:r>
              <w:rPr>
                <w:rFonts w:ascii="Cambria Math" w:eastAsiaTheme="minorEastAsia" w:hAnsi="Cambria Math" w:cs="Times New Roman"/>
              </w:rPr>
              <m:t>Turnover</m:t>
            </m:r>
          </m:den>
        </m:f>
        <m:r>
          <w:rPr>
            <w:rFonts w:ascii="Cambria Math" w:eastAsiaTheme="minorEastAsia" w:hAnsi="Cambria Math" w:cs="Times New Roman"/>
          </w:rPr>
          <m:t>×100</m:t>
        </m:r>
      </m:oMath>
    </w:p>
    <w:p w:rsidR="00A026ED" w:rsidRPr="001D121B" w:rsidRDefault="00A026ED" w:rsidP="00A026ED">
      <w:pPr>
        <w:pStyle w:val="ListParagraph"/>
        <w:ind w:left="1080"/>
        <w:jc w:val="left"/>
        <w:rPr>
          <w:rFonts w:eastAsiaTheme="minorEastAsia" w:cs="Times New Roman"/>
        </w:rPr>
      </w:pPr>
      <w:r w:rsidRPr="001D121B">
        <w:rPr>
          <w:rFonts w:eastAsiaTheme="minorEastAsia" w:cs="Times New Roman"/>
        </w:rPr>
        <w:t xml:space="preserve">AstraZeneca, 2024 = </w:t>
      </w:r>
      <w:r w:rsidR="001126F6" w:rsidRPr="001D121B">
        <w:rPr>
          <w:rFonts w:eastAsiaTheme="minorEastAsia" w:cs="Times New Roman"/>
        </w:rPr>
        <w:t>7,041/54,073 = 13</w:t>
      </w:r>
      <w:r w:rsidR="00270115" w:rsidRPr="001D121B">
        <w:rPr>
          <w:rFonts w:eastAsiaTheme="minorEastAsia" w:cs="Times New Roman"/>
        </w:rPr>
        <w:t>%</w:t>
      </w:r>
    </w:p>
    <w:p w:rsidR="00A026ED" w:rsidRPr="001D121B" w:rsidRDefault="00A026ED" w:rsidP="00A026ED">
      <w:pPr>
        <w:pStyle w:val="ListParagraph"/>
        <w:ind w:left="1080"/>
        <w:jc w:val="left"/>
        <w:rPr>
          <w:rFonts w:eastAsiaTheme="minorEastAsia" w:cs="Times New Roman"/>
        </w:rPr>
      </w:pPr>
      <w:r w:rsidRPr="001D121B">
        <w:rPr>
          <w:rFonts w:eastAsiaTheme="minorEastAsia" w:cs="Times New Roman"/>
        </w:rPr>
        <w:t xml:space="preserve">Unilever, 2024 = </w:t>
      </w:r>
      <w:r w:rsidR="00644315" w:rsidRPr="001D121B">
        <w:rPr>
          <w:rFonts w:eastAsiaTheme="minorEastAsia" w:cs="Times New Roman"/>
        </w:rPr>
        <w:t>6,369/52,479 = 12.13%</w:t>
      </w:r>
    </w:p>
    <w:p w:rsidR="00A026ED" w:rsidRPr="001D121B" w:rsidRDefault="00A026ED" w:rsidP="00A026ED">
      <w:pPr>
        <w:pStyle w:val="ListParagraph"/>
        <w:ind w:left="1080"/>
        <w:jc w:val="left"/>
        <w:rPr>
          <w:rFonts w:eastAsiaTheme="minorEastAsia" w:cs="Times New Roman"/>
        </w:rPr>
      </w:pPr>
      <w:r w:rsidRPr="001D121B">
        <w:rPr>
          <w:rFonts w:eastAsiaTheme="minorEastAsia" w:cs="Times New Roman"/>
        </w:rPr>
        <w:t xml:space="preserve">AstraZeneca, 2025 = </w:t>
      </w:r>
      <w:r w:rsidR="00270115" w:rsidRPr="001D121B">
        <w:rPr>
          <w:rFonts w:eastAsiaTheme="minorEastAsia" w:cs="Times New Roman"/>
        </w:rPr>
        <w:t>10,233/58,7</w:t>
      </w:r>
      <w:r w:rsidR="00987954" w:rsidRPr="001D121B">
        <w:rPr>
          <w:rFonts w:eastAsiaTheme="minorEastAsia" w:cs="Times New Roman"/>
        </w:rPr>
        <w:t>2</w:t>
      </w:r>
      <w:r w:rsidR="00270115" w:rsidRPr="001D121B">
        <w:rPr>
          <w:rFonts w:eastAsiaTheme="minorEastAsia" w:cs="Times New Roman"/>
        </w:rPr>
        <w:t>9 = 17.4</w:t>
      </w:r>
      <w:r w:rsidR="00644315" w:rsidRPr="001D121B">
        <w:rPr>
          <w:rFonts w:eastAsiaTheme="minorEastAsia" w:cs="Times New Roman"/>
        </w:rPr>
        <w:t>2</w:t>
      </w:r>
      <w:r w:rsidR="00270115" w:rsidRPr="001D121B">
        <w:rPr>
          <w:rFonts w:eastAsiaTheme="minorEastAsia" w:cs="Times New Roman"/>
        </w:rPr>
        <w:t>%</w:t>
      </w:r>
    </w:p>
    <w:p w:rsidR="00A026ED" w:rsidRPr="001D121B" w:rsidRDefault="00A026ED" w:rsidP="00A026ED">
      <w:pPr>
        <w:pStyle w:val="ListParagraph"/>
        <w:ind w:left="1080"/>
        <w:jc w:val="left"/>
        <w:rPr>
          <w:rFonts w:eastAsiaTheme="minorEastAsia" w:cs="Times New Roman"/>
        </w:rPr>
      </w:pPr>
      <w:r w:rsidRPr="001D121B">
        <w:rPr>
          <w:rFonts w:eastAsiaTheme="minorEastAsia" w:cs="Times New Roman"/>
        </w:rPr>
        <w:lastRenderedPageBreak/>
        <w:t>Unilever, 202</w:t>
      </w:r>
      <w:r w:rsidR="00D90F93" w:rsidRPr="001D121B">
        <w:rPr>
          <w:rFonts w:eastAsiaTheme="minorEastAsia" w:cs="Times New Roman"/>
        </w:rPr>
        <w:t>5</w:t>
      </w:r>
      <w:r w:rsidRPr="001D121B">
        <w:rPr>
          <w:rFonts w:eastAsiaTheme="minorEastAsia" w:cs="Times New Roman"/>
        </w:rPr>
        <w:t xml:space="preserve"> = </w:t>
      </w:r>
      <w:r w:rsidR="00644315" w:rsidRPr="001D121B">
        <w:rPr>
          <w:rFonts w:eastAsiaTheme="minorEastAsia" w:cs="Times New Roman"/>
        </w:rPr>
        <w:t>10,011/50,503 = 19.82%</w:t>
      </w:r>
    </w:p>
    <w:p w:rsidR="00457F6C" w:rsidRPr="001D121B" w:rsidRDefault="00457F6C" w:rsidP="00457F6C">
      <w:pPr>
        <w:pStyle w:val="ListParagraph"/>
        <w:numPr>
          <w:ilvl w:val="0"/>
          <w:numId w:val="10"/>
        </w:numPr>
        <w:jc w:val="left"/>
        <w:rPr>
          <w:rFonts w:eastAsiaTheme="minorEastAsia" w:cs="Times New Roman"/>
        </w:rPr>
      </w:pPr>
      <w:r w:rsidRPr="001D121B">
        <w:rPr>
          <w:rFonts w:eastAsiaTheme="minorEastAsia" w:cs="Times New Roman"/>
        </w:rPr>
        <w:t xml:space="preserve">ROCE = </w:t>
      </w:r>
      <m:oMath>
        <m:f>
          <m:fPr>
            <m:ctrlPr>
              <w:rPr>
                <w:rFonts w:ascii="Cambria Math" w:eastAsiaTheme="minorEastAsia" w:hAnsi="Cambria Math" w:cs="Times New Roman"/>
                <w:i/>
              </w:rPr>
            </m:ctrlPr>
          </m:fPr>
          <m:num>
            <m:r>
              <w:rPr>
                <w:rFonts w:ascii="Cambria Math" w:eastAsiaTheme="minorEastAsia" w:hAnsi="Cambria Math" w:cs="Times New Roman"/>
              </w:rPr>
              <m:t>Operating profit</m:t>
            </m:r>
          </m:num>
          <m:den>
            <m:r>
              <w:rPr>
                <w:rFonts w:ascii="Cambria Math" w:eastAsiaTheme="minorEastAsia" w:hAnsi="Cambria Math" w:cs="Times New Roman"/>
              </w:rPr>
              <m:t>Capital employed</m:t>
            </m:r>
          </m:den>
        </m:f>
        <m:r>
          <w:rPr>
            <w:rFonts w:ascii="Cambria Math" w:eastAsiaTheme="minorEastAsia" w:hAnsi="Cambria Math" w:cs="Times New Roman"/>
          </w:rPr>
          <m:t>×100</m:t>
        </m:r>
      </m:oMath>
    </w:p>
    <w:p w:rsidR="00457F6C" w:rsidRPr="001D121B" w:rsidRDefault="00457F6C" w:rsidP="00457F6C">
      <w:pPr>
        <w:pStyle w:val="ListParagraph"/>
        <w:ind w:left="1080"/>
        <w:jc w:val="left"/>
        <w:rPr>
          <w:rFonts w:eastAsiaTheme="minorEastAsia" w:cs="Times New Roman"/>
        </w:rPr>
      </w:pPr>
      <w:r w:rsidRPr="001D121B">
        <w:rPr>
          <w:rFonts w:eastAsiaTheme="minorEastAsia" w:cs="Times New Roman"/>
        </w:rPr>
        <w:t>AstraZeneca, 2024 = 10,003/51,003= 19.61%</w:t>
      </w:r>
    </w:p>
    <w:p w:rsidR="00457F6C" w:rsidRPr="001D121B" w:rsidRDefault="00457F6C" w:rsidP="00457F6C">
      <w:pPr>
        <w:pStyle w:val="ListParagraph"/>
        <w:ind w:left="1080"/>
        <w:jc w:val="left"/>
        <w:rPr>
          <w:rFonts w:eastAsiaTheme="minorEastAsia" w:cs="Times New Roman"/>
        </w:rPr>
      </w:pPr>
      <w:r w:rsidRPr="001D121B">
        <w:rPr>
          <w:rFonts w:eastAsiaTheme="minorEastAsia" w:cs="Times New Roman"/>
        </w:rPr>
        <w:t>Unilever, 2024 =</w:t>
      </w:r>
      <w:r w:rsidR="00B708B8" w:rsidRPr="001D121B">
        <w:rPr>
          <w:rFonts w:eastAsiaTheme="minorEastAsia" w:cs="Times New Roman"/>
        </w:rPr>
        <w:t xml:space="preserve"> </w:t>
      </w:r>
      <w:r w:rsidR="00330371" w:rsidRPr="001D121B">
        <w:rPr>
          <w:rFonts w:eastAsiaTheme="minorEastAsia" w:cs="Times New Roman"/>
        </w:rPr>
        <w:t>11,200</w:t>
      </w:r>
      <w:r w:rsidR="006C3AF1" w:rsidRPr="001D121B">
        <w:rPr>
          <w:rFonts w:eastAsiaTheme="minorEastAsia" w:cs="Times New Roman"/>
        </w:rPr>
        <w:t>/</w:t>
      </w:r>
      <w:r w:rsidR="00330371" w:rsidRPr="001D121B">
        <w:rPr>
          <w:rFonts w:eastAsiaTheme="minorEastAsia" w:cs="Times New Roman"/>
        </w:rPr>
        <w:t>58,991</w:t>
      </w:r>
      <w:r w:rsidR="006C3AF1" w:rsidRPr="001D121B">
        <w:rPr>
          <w:rFonts w:eastAsiaTheme="minorEastAsia" w:cs="Times New Roman"/>
        </w:rPr>
        <w:t xml:space="preserve"> = </w:t>
      </w:r>
      <w:r w:rsidR="00330371" w:rsidRPr="001D121B">
        <w:rPr>
          <w:rFonts w:eastAsiaTheme="minorEastAsia" w:cs="Times New Roman"/>
        </w:rPr>
        <w:t>18.98%</w:t>
      </w:r>
    </w:p>
    <w:p w:rsidR="00457F6C" w:rsidRPr="001D121B" w:rsidRDefault="00457F6C" w:rsidP="00457F6C">
      <w:pPr>
        <w:pStyle w:val="ListParagraph"/>
        <w:ind w:left="1080"/>
        <w:jc w:val="left"/>
        <w:rPr>
          <w:rFonts w:eastAsiaTheme="minorEastAsia" w:cs="Times New Roman"/>
        </w:rPr>
      </w:pPr>
      <w:r w:rsidRPr="001D121B">
        <w:rPr>
          <w:rFonts w:eastAsiaTheme="minorEastAsia" w:cs="Times New Roman"/>
        </w:rPr>
        <w:t>AstraZeneca, 2025 = 13,743/51,851 = 26.5%</w:t>
      </w:r>
    </w:p>
    <w:p w:rsidR="00457F6C" w:rsidRPr="001D121B" w:rsidRDefault="00457F6C" w:rsidP="00457F6C">
      <w:pPr>
        <w:pStyle w:val="ListParagraph"/>
        <w:ind w:left="1080"/>
        <w:jc w:val="left"/>
        <w:rPr>
          <w:rFonts w:eastAsiaTheme="minorEastAsia" w:cs="Times New Roman"/>
        </w:rPr>
      </w:pPr>
      <w:r w:rsidRPr="001D121B">
        <w:rPr>
          <w:rFonts w:eastAsiaTheme="minorEastAsia" w:cs="Times New Roman"/>
        </w:rPr>
        <w:t>Unilever, 202</w:t>
      </w:r>
      <w:r w:rsidR="007C05A8" w:rsidRPr="001D121B">
        <w:rPr>
          <w:rFonts w:eastAsiaTheme="minorEastAsia" w:cs="Times New Roman"/>
        </w:rPr>
        <w:t>5</w:t>
      </w:r>
      <w:r w:rsidRPr="001D121B">
        <w:rPr>
          <w:rFonts w:eastAsiaTheme="minorEastAsia" w:cs="Times New Roman"/>
        </w:rPr>
        <w:t xml:space="preserve"> = </w:t>
      </w:r>
      <w:r w:rsidR="00330371" w:rsidRPr="001D121B">
        <w:rPr>
          <w:rFonts w:eastAsiaTheme="minorEastAsia" w:cs="Times New Roman"/>
        </w:rPr>
        <w:t>9,037</w:t>
      </w:r>
      <w:r w:rsidR="00B708B8" w:rsidRPr="001D121B">
        <w:rPr>
          <w:rFonts w:eastAsiaTheme="minorEastAsia" w:cs="Times New Roman"/>
        </w:rPr>
        <w:t>/</w:t>
      </w:r>
      <w:r w:rsidR="00330371" w:rsidRPr="001D121B">
        <w:rPr>
          <w:rFonts w:eastAsiaTheme="minorEastAsia" w:cs="Times New Roman"/>
        </w:rPr>
        <w:t>45,963</w:t>
      </w:r>
      <w:r w:rsidR="006C3AF1" w:rsidRPr="001D121B">
        <w:rPr>
          <w:rFonts w:eastAsiaTheme="minorEastAsia" w:cs="Times New Roman"/>
        </w:rPr>
        <w:t xml:space="preserve"> </w:t>
      </w:r>
      <w:r w:rsidRPr="001D121B">
        <w:rPr>
          <w:rFonts w:eastAsiaTheme="minorEastAsia" w:cs="Times New Roman"/>
        </w:rPr>
        <w:t xml:space="preserve">= </w:t>
      </w:r>
      <w:r w:rsidR="00330371" w:rsidRPr="001D121B">
        <w:rPr>
          <w:rFonts w:eastAsiaTheme="minorEastAsia" w:cs="Times New Roman"/>
        </w:rPr>
        <w:t>19.66</w:t>
      </w:r>
      <w:r w:rsidR="006C3AF1" w:rsidRPr="001D121B">
        <w:rPr>
          <w:rFonts w:eastAsiaTheme="minorEastAsia" w:cs="Times New Roman"/>
        </w:rPr>
        <w:t>%</w:t>
      </w:r>
    </w:p>
    <w:p w:rsidR="00762EC9" w:rsidRPr="001D121B" w:rsidRDefault="00762EC9" w:rsidP="00762EC9">
      <w:pPr>
        <w:pStyle w:val="ListParagraph"/>
        <w:numPr>
          <w:ilvl w:val="0"/>
          <w:numId w:val="10"/>
        </w:numPr>
        <w:jc w:val="left"/>
        <w:rPr>
          <w:rFonts w:eastAsiaTheme="minorEastAsia" w:cs="Times New Roman"/>
        </w:rPr>
      </w:pPr>
      <w:r w:rsidRPr="001D121B">
        <w:rPr>
          <w:rFonts w:eastAsiaTheme="minorEastAsia" w:cs="Times New Roman"/>
        </w:rPr>
        <w:t xml:space="preserve">Asset turnover ratio = </w:t>
      </w:r>
      <m:oMath>
        <m:f>
          <m:fPr>
            <m:ctrlPr>
              <w:rPr>
                <w:rFonts w:ascii="Cambria Math" w:eastAsiaTheme="minorEastAsia" w:hAnsi="Cambria Math" w:cs="Times New Roman"/>
                <w:i/>
              </w:rPr>
            </m:ctrlPr>
          </m:fPr>
          <m:num>
            <m:r>
              <w:rPr>
                <w:rFonts w:ascii="Cambria Math" w:eastAsiaTheme="minorEastAsia" w:hAnsi="Cambria Math" w:cs="Times New Roman"/>
              </w:rPr>
              <m:t>Turnover</m:t>
            </m:r>
          </m:num>
          <m:den>
            <m:r>
              <w:rPr>
                <w:rFonts w:ascii="Cambria Math" w:eastAsiaTheme="minorEastAsia" w:hAnsi="Cambria Math" w:cs="Times New Roman"/>
              </w:rPr>
              <m:t>Total assets</m:t>
            </m:r>
          </m:den>
        </m:f>
      </m:oMath>
    </w:p>
    <w:p w:rsidR="00762EC9" w:rsidRPr="001D121B" w:rsidRDefault="00762EC9" w:rsidP="00762EC9">
      <w:pPr>
        <w:pStyle w:val="ListParagraph"/>
        <w:ind w:left="1080"/>
        <w:jc w:val="left"/>
        <w:rPr>
          <w:rFonts w:eastAsiaTheme="minorEastAsia" w:cs="Times New Roman"/>
        </w:rPr>
      </w:pPr>
      <w:r w:rsidRPr="001D121B">
        <w:rPr>
          <w:rFonts w:eastAsiaTheme="minorEastAsia" w:cs="Times New Roman"/>
        </w:rPr>
        <w:t>AstraZeneca, 2024 = 54,073</w:t>
      </w:r>
      <w:r w:rsidR="00A804D8" w:rsidRPr="001D121B">
        <w:rPr>
          <w:rFonts w:eastAsiaTheme="minorEastAsia" w:cs="Times New Roman"/>
        </w:rPr>
        <w:t>/104,035</w:t>
      </w:r>
      <w:r w:rsidRPr="001D121B">
        <w:rPr>
          <w:rFonts w:eastAsiaTheme="minorEastAsia" w:cs="Times New Roman"/>
        </w:rPr>
        <w:t xml:space="preserve"> =</w:t>
      </w:r>
      <w:r w:rsidR="0037756E" w:rsidRPr="001D121B">
        <w:rPr>
          <w:rFonts w:eastAsiaTheme="minorEastAsia" w:cs="Times New Roman"/>
        </w:rPr>
        <w:t xml:space="preserve"> .51</w:t>
      </w:r>
    </w:p>
    <w:p w:rsidR="00762EC9" w:rsidRPr="001D121B" w:rsidRDefault="00762EC9" w:rsidP="00762EC9">
      <w:pPr>
        <w:pStyle w:val="ListParagraph"/>
        <w:ind w:left="1080"/>
        <w:jc w:val="left"/>
        <w:rPr>
          <w:rFonts w:eastAsiaTheme="minorEastAsia" w:cs="Times New Roman"/>
        </w:rPr>
      </w:pPr>
      <w:r w:rsidRPr="001D121B">
        <w:rPr>
          <w:rFonts w:eastAsiaTheme="minorEastAsia" w:cs="Times New Roman"/>
        </w:rPr>
        <w:t>Unilever, 2024 = 52,479</w:t>
      </w:r>
      <w:r w:rsidR="00A804D8" w:rsidRPr="001D121B">
        <w:rPr>
          <w:rFonts w:eastAsiaTheme="minorEastAsia" w:cs="Times New Roman"/>
        </w:rPr>
        <w:t>/79,750</w:t>
      </w:r>
      <w:r w:rsidRPr="001D121B">
        <w:rPr>
          <w:rFonts w:eastAsiaTheme="minorEastAsia" w:cs="Times New Roman"/>
        </w:rPr>
        <w:t xml:space="preserve"> = </w:t>
      </w:r>
      <w:r w:rsidR="0037756E" w:rsidRPr="001D121B">
        <w:rPr>
          <w:rFonts w:eastAsiaTheme="minorEastAsia" w:cs="Times New Roman"/>
        </w:rPr>
        <w:t>.65</w:t>
      </w:r>
    </w:p>
    <w:p w:rsidR="00762EC9" w:rsidRPr="001D121B" w:rsidRDefault="00762EC9" w:rsidP="00762EC9">
      <w:pPr>
        <w:pStyle w:val="ListParagraph"/>
        <w:ind w:left="1080"/>
        <w:jc w:val="left"/>
        <w:rPr>
          <w:rFonts w:eastAsiaTheme="minorEastAsia" w:cs="Times New Roman"/>
        </w:rPr>
      </w:pPr>
      <w:r w:rsidRPr="001D121B">
        <w:rPr>
          <w:rFonts w:eastAsiaTheme="minorEastAsia" w:cs="Times New Roman"/>
        </w:rPr>
        <w:t>AstraZeneca, 2025 = 58,7</w:t>
      </w:r>
      <w:r w:rsidR="00987954" w:rsidRPr="001D121B">
        <w:rPr>
          <w:rFonts w:eastAsiaTheme="minorEastAsia" w:cs="Times New Roman"/>
        </w:rPr>
        <w:t>2</w:t>
      </w:r>
      <w:r w:rsidRPr="001D121B">
        <w:rPr>
          <w:rFonts w:eastAsiaTheme="minorEastAsia" w:cs="Times New Roman"/>
        </w:rPr>
        <w:t>9</w:t>
      </w:r>
      <w:r w:rsidR="00A804D8" w:rsidRPr="001D121B">
        <w:rPr>
          <w:rFonts w:eastAsiaTheme="minorEastAsia" w:cs="Times New Roman"/>
        </w:rPr>
        <w:t xml:space="preserve">/114,074 </w:t>
      </w:r>
      <w:r w:rsidRPr="001D121B">
        <w:rPr>
          <w:rFonts w:eastAsiaTheme="minorEastAsia" w:cs="Times New Roman"/>
        </w:rPr>
        <w:t xml:space="preserve">= </w:t>
      </w:r>
      <w:r w:rsidR="0037756E" w:rsidRPr="001D121B">
        <w:rPr>
          <w:rFonts w:eastAsiaTheme="minorEastAsia" w:cs="Times New Roman"/>
        </w:rPr>
        <w:t>.51</w:t>
      </w:r>
    </w:p>
    <w:p w:rsidR="00762EC9" w:rsidRPr="001D121B" w:rsidRDefault="00762EC9" w:rsidP="00762EC9">
      <w:pPr>
        <w:pStyle w:val="ListParagraph"/>
        <w:ind w:left="1080"/>
        <w:jc w:val="left"/>
        <w:rPr>
          <w:rFonts w:eastAsiaTheme="minorEastAsia" w:cs="Times New Roman"/>
        </w:rPr>
      </w:pPr>
      <w:r w:rsidRPr="001D121B">
        <w:rPr>
          <w:rFonts w:eastAsiaTheme="minorEastAsia" w:cs="Times New Roman"/>
        </w:rPr>
        <w:t>Unilever, 2025 = 50,503</w:t>
      </w:r>
      <w:r w:rsidR="00A804D8" w:rsidRPr="001D121B">
        <w:rPr>
          <w:rFonts w:eastAsiaTheme="minorEastAsia" w:cs="Times New Roman"/>
        </w:rPr>
        <w:t>/70,741</w:t>
      </w:r>
      <w:r w:rsidRPr="001D121B">
        <w:rPr>
          <w:rFonts w:eastAsiaTheme="minorEastAsia" w:cs="Times New Roman"/>
        </w:rPr>
        <w:t xml:space="preserve"> = </w:t>
      </w:r>
      <w:r w:rsidR="0037756E" w:rsidRPr="001D121B">
        <w:rPr>
          <w:rFonts w:eastAsiaTheme="minorEastAsia" w:cs="Times New Roman"/>
        </w:rPr>
        <w:t>.71</w:t>
      </w:r>
    </w:p>
    <w:p w:rsidR="00987954" w:rsidRPr="001D121B" w:rsidRDefault="00C154A5" w:rsidP="00987954">
      <w:pPr>
        <w:pStyle w:val="ListParagraph"/>
        <w:numPr>
          <w:ilvl w:val="0"/>
          <w:numId w:val="10"/>
        </w:numPr>
        <w:jc w:val="left"/>
        <w:rPr>
          <w:rFonts w:eastAsiaTheme="minorEastAsia" w:cs="Times New Roman"/>
        </w:rPr>
      </w:pPr>
      <w:r w:rsidRPr="001D121B">
        <w:rPr>
          <w:rFonts w:eastAsiaTheme="minorEastAsia" w:cs="Times New Roman"/>
        </w:rPr>
        <w:t xml:space="preserve">Debtors’ days = </w:t>
      </w:r>
      <m:oMath>
        <m:f>
          <m:fPr>
            <m:ctrlPr>
              <w:rPr>
                <w:rFonts w:ascii="Cambria Math" w:eastAsiaTheme="minorEastAsia" w:hAnsi="Cambria Math" w:cs="Times New Roman"/>
                <w:i/>
              </w:rPr>
            </m:ctrlPr>
          </m:fPr>
          <m:num>
            <m:r>
              <w:rPr>
                <w:rFonts w:ascii="Cambria Math" w:eastAsiaTheme="minorEastAsia" w:hAnsi="Cambria Math" w:cs="Times New Roman"/>
              </w:rPr>
              <m:t>Average trade receivables</m:t>
            </m:r>
          </m:num>
          <m:den>
            <m:r>
              <w:rPr>
                <w:rFonts w:ascii="Cambria Math" w:eastAsiaTheme="minorEastAsia" w:hAnsi="Cambria Math" w:cs="Times New Roman"/>
              </w:rPr>
              <m:t>Annual credit sales</m:t>
            </m:r>
          </m:den>
        </m:f>
        <m:r>
          <w:rPr>
            <w:rFonts w:ascii="Cambria Math" w:eastAsiaTheme="minorEastAsia" w:hAnsi="Cambria Math" w:cs="Times New Roman"/>
          </w:rPr>
          <m:t>×365</m:t>
        </m:r>
      </m:oMath>
    </w:p>
    <w:p w:rsidR="00987954" w:rsidRPr="001D121B" w:rsidRDefault="00987954" w:rsidP="00131CB7">
      <w:pPr>
        <w:pStyle w:val="ListParagraph"/>
        <w:ind w:left="1080"/>
        <w:jc w:val="left"/>
        <w:rPr>
          <w:rFonts w:eastAsiaTheme="minorEastAsia" w:cs="Times New Roman"/>
        </w:rPr>
      </w:pPr>
      <w:r w:rsidRPr="001D121B">
        <w:rPr>
          <w:rFonts w:eastAsiaTheme="minorEastAsia" w:cs="Times New Roman"/>
        </w:rPr>
        <w:t>Average receivables of AstraZeneca of 2024 and 2025 = (10,289+8,335)/2 = 9,312</w:t>
      </w:r>
    </w:p>
    <w:p w:rsidR="00987954" w:rsidRPr="001D121B" w:rsidRDefault="00987954" w:rsidP="00987954">
      <w:pPr>
        <w:pStyle w:val="ListParagraph"/>
        <w:ind w:left="1080"/>
        <w:jc w:val="left"/>
        <w:rPr>
          <w:rFonts w:eastAsiaTheme="minorEastAsia" w:cs="Times New Roman"/>
        </w:rPr>
      </w:pPr>
      <w:r w:rsidRPr="001D121B">
        <w:rPr>
          <w:rFonts w:eastAsiaTheme="minorEastAsia" w:cs="Times New Roman"/>
        </w:rPr>
        <w:t xml:space="preserve">Debtors’ days = </w:t>
      </w:r>
      <w:r w:rsidR="00F82032" w:rsidRPr="001D121B">
        <w:rPr>
          <w:rFonts w:eastAsiaTheme="minorEastAsia" w:cs="Times New Roman"/>
        </w:rPr>
        <w:t>(9</w:t>
      </w:r>
      <w:r w:rsidRPr="001D121B">
        <w:rPr>
          <w:rFonts w:eastAsiaTheme="minorEastAsia" w:cs="Times New Roman"/>
        </w:rPr>
        <w:t>,</w:t>
      </w:r>
      <w:r w:rsidR="00131CB7" w:rsidRPr="001D121B">
        <w:rPr>
          <w:rFonts w:eastAsiaTheme="minorEastAsia" w:cs="Times New Roman"/>
        </w:rPr>
        <w:t>312/15,177</w:t>
      </w:r>
      <w:r w:rsidR="00F82032" w:rsidRPr="001D121B">
        <w:rPr>
          <w:rFonts w:eastAsiaTheme="minorEastAsia" w:cs="Times New Roman"/>
        </w:rPr>
        <w:t>) x365</w:t>
      </w:r>
      <w:r w:rsidR="00131CB7" w:rsidRPr="001D121B">
        <w:rPr>
          <w:rFonts w:eastAsiaTheme="minorEastAsia" w:cs="Times New Roman"/>
        </w:rPr>
        <w:t xml:space="preserve"> = 232 days</w:t>
      </w:r>
      <w:r w:rsidRPr="001D121B">
        <w:rPr>
          <w:rFonts w:eastAsiaTheme="minorEastAsia" w:cs="Times New Roman"/>
        </w:rPr>
        <w:br/>
      </w:r>
      <w:r w:rsidR="00131CB7" w:rsidRPr="001D121B">
        <w:rPr>
          <w:rFonts w:eastAsiaTheme="minorEastAsia" w:cs="Times New Roman"/>
        </w:rPr>
        <w:t xml:space="preserve">Average receivables of Unilever of 2024 and 2025 = (4,852+4,227)/2 = </w:t>
      </w:r>
      <w:r w:rsidR="00F82032" w:rsidRPr="001D121B">
        <w:rPr>
          <w:rFonts w:eastAsiaTheme="minorEastAsia" w:cs="Times New Roman"/>
        </w:rPr>
        <w:t>4,539.5</w:t>
      </w:r>
    </w:p>
    <w:p w:rsidR="00987954" w:rsidRPr="001D121B" w:rsidRDefault="00987954" w:rsidP="00987954">
      <w:pPr>
        <w:pStyle w:val="ListParagraph"/>
        <w:ind w:left="1080"/>
        <w:jc w:val="left"/>
        <w:rPr>
          <w:rFonts w:eastAsiaTheme="minorEastAsia" w:cs="Times New Roman"/>
        </w:rPr>
      </w:pPr>
      <w:r w:rsidRPr="001D121B">
        <w:rPr>
          <w:rFonts w:eastAsiaTheme="minorEastAsia" w:cs="Times New Roman"/>
        </w:rPr>
        <w:t xml:space="preserve">Debtors’ days = </w:t>
      </w:r>
      <w:r w:rsidR="00F82032" w:rsidRPr="001D121B">
        <w:rPr>
          <w:rFonts w:eastAsiaTheme="minorEastAsia" w:cs="Times New Roman"/>
        </w:rPr>
        <w:t>(4,539.5</w:t>
      </w:r>
      <w:r w:rsidR="00131CB7" w:rsidRPr="001D121B">
        <w:rPr>
          <w:rFonts w:eastAsiaTheme="minorEastAsia" w:cs="Times New Roman"/>
        </w:rPr>
        <w:t>/</w:t>
      </w:r>
      <w:r w:rsidRPr="001D121B">
        <w:rPr>
          <w:rFonts w:eastAsiaTheme="minorEastAsia" w:cs="Times New Roman"/>
        </w:rPr>
        <w:t>7,346</w:t>
      </w:r>
      <w:r w:rsidR="00F82032" w:rsidRPr="001D121B">
        <w:rPr>
          <w:rFonts w:eastAsiaTheme="minorEastAsia" w:cs="Times New Roman"/>
        </w:rPr>
        <w:t>) x365</w:t>
      </w:r>
      <w:r w:rsidR="00131CB7" w:rsidRPr="001D121B">
        <w:rPr>
          <w:rFonts w:eastAsiaTheme="minorEastAsia" w:cs="Times New Roman"/>
        </w:rPr>
        <w:t xml:space="preserve"> = </w:t>
      </w:r>
      <w:r w:rsidR="00F82032" w:rsidRPr="001D121B">
        <w:rPr>
          <w:rFonts w:eastAsiaTheme="minorEastAsia" w:cs="Times New Roman"/>
        </w:rPr>
        <w:t>225</w:t>
      </w:r>
      <w:r w:rsidR="00131CB7" w:rsidRPr="001D121B">
        <w:rPr>
          <w:rFonts w:eastAsiaTheme="minorEastAsia" w:cs="Times New Roman"/>
        </w:rPr>
        <w:t xml:space="preserve"> days</w:t>
      </w:r>
    </w:p>
    <w:p w:rsidR="000E127C" w:rsidRPr="001D121B" w:rsidRDefault="000E127C" w:rsidP="00F82032">
      <w:pPr>
        <w:pStyle w:val="ListParagraph"/>
        <w:numPr>
          <w:ilvl w:val="0"/>
          <w:numId w:val="10"/>
        </w:numPr>
        <w:jc w:val="left"/>
        <w:rPr>
          <w:rFonts w:eastAsiaTheme="minorEastAsia" w:cs="Times New Roman"/>
        </w:rPr>
      </w:pPr>
      <w:r w:rsidRPr="001D121B">
        <w:rPr>
          <w:rFonts w:eastAsiaTheme="minorEastAsia" w:cs="Times New Roman"/>
        </w:rPr>
        <w:t xml:space="preserve">Creditors’ days = </w:t>
      </w:r>
      <m:oMath>
        <m:f>
          <m:fPr>
            <m:ctrlPr>
              <w:rPr>
                <w:rFonts w:ascii="Cambria Math" w:eastAsiaTheme="minorEastAsia" w:hAnsi="Cambria Math" w:cs="Times New Roman"/>
                <w:i/>
              </w:rPr>
            </m:ctrlPr>
          </m:fPr>
          <m:num>
            <m:r>
              <w:rPr>
                <w:rFonts w:ascii="Cambria Math" w:eastAsiaTheme="minorEastAsia" w:hAnsi="Cambria Math" w:cs="Times New Roman"/>
              </w:rPr>
              <m:t>Average trade payables</m:t>
            </m:r>
          </m:num>
          <m:den>
            <m:r>
              <w:rPr>
                <w:rFonts w:ascii="Cambria Math" w:eastAsiaTheme="minorEastAsia" w:hAnsi="Cambria Math" w:cs="Times New Roman"/>
              </w:rPr>
              <m:t>COGS</m:t>
            </m:r>
          </m:den>
        </m:f>
      </m:oMath>
      <w:r w:rsidR="00EC10F1" w:rsidRPr="001D121B">
        <w:rPr>
          <w:rFonts w:eastAsiaTheme="minorEastAsia" w:cs="Times New Roman"/>
        </w:rPr>
        <w:t>×365</w:t>
      </w:r>
    </w:p>
    <w:p w:rsidR="00F82032" w:rsidRPr="001D121B" w:rsidRDefault="00F82032" w:rsidP="000E127C">
      <w:pPr>
        <w:pStyle w:val="ListParagraph"/>
        <w:ind w:left="1080"/>
        <w:jc w:val="left"/>
        <w:rPr>
          <w:rFonts w:eastAsiaTheme="minorEastAsia" w:cs="Times New Roman"/>
        </w:rPr>
      </w:pPr>
      <w:r w:rsidRPr="001D121B">
        <w:rPr>
          <w:rFonts w:eastAsiaTheme="minorEastAsia" w:cs="Times New Roman"/>
        </w:rPr>
        <w:t>Average payables of AstraZeneca of 2024 and 2025 = (25,280+22,465)/2 = 23,872.5</w:t>
      </w:r>
    </w:p>
    <w:p w:rsidR="00F82032" w:rsidRPr="001D121B" w:rsidRDefault="00F82032" w:rsidP="00F82032">
      <w:pPr>
        <w:pStyle w:val="ListParagraph"/>
        <w:ind w:left="1080"/>
        <w:jc w:val="left"/>
        <w:rPr>
          <w:rFonts w:eastAsiaTheme="minorEastAsia" w:cs="Times New Roman"/>
        </w:rPr>
      </w:pPr>
      <w:r w:rsidRPr="001D121B">
        <w:rPr>
          <w:rFonts w:eastAsiaTheme="minorEastAsia" w:cs="Times New Roman"/>
        </w:rPr>
        <w:t>Creditors’ days = (23,872.5/</w:t>
      </w:r>
      <w:r w:rsidR="000E760A" w:rsidRPr="001D121B">
        <w:rPr>
          <w:rFonts w:eastAsiaTheme="minorEastAsia" w:cs="Times New Roman"/>
        </w:rPr>
        <w:t>10,633</w:t>
      </w:r>
      <w:r w:rsidRPr="001D121B">
        <w:rPr>
          <w:rFonts w:eastAsiaTheme="minorEastAsia" w:cs="Times New Roman"/>
        </w:rPr>
        <w:t xml:space="preserve">) x365 = </w:t>
      </w:r>
      <w:r w:rsidR="002D7AF5" w:rsidRPr="001D121B">
        <w:rPr>
          <w:rFonts w:eastAsiaTheme="minorEastAsia" w:cs="Times New Roman"/>
        </w:rPr>
        <w:t>409</w:t>
      </w:r>
      <w:r w:rsidR="005E2B3A" w:rsidRPr="001D121B">
        <w:rPr>
          <w:rFonts w:eastAsiaTheme="minorEastAsia" w:cs="Times New Roman"/>
        </w:rPr>
        <w:t xml:space="preserve"> days</w:t>
      </w:r>
      <w:r w:rsidRPr="001D121B">
        <w:rPr>
          <w:rFonts w:eastAsiaTheme="minorEastAsia" w:cs="Times New Roman"/>
        </w:rPr>
        <w:br/>
        <w:t>Average payables of Unilever of 2024 and 2025 = (</w:t>
      </w:r>
      <w:r w:rsidR="000C1990" w:rsidRPr="001D121B">
        <w:rPr>
          <w:rFonts w:eastAsiaTheme="minorEastAsia" w:cs="Times New Roman"/>
        </w:rPr>
        <w:t>16,939+16,690</w:t>
      </w:r>
      <w:r w:rsidRPr="001D121B">
        <w:rPr>
          <w:rFonts w:eastAsiaTheme="minorEastAsia" w:cs="Times New Roman"/>
        </w:rPr>
        <w:t xml:space="preserve">)/2 = </w:t>
      </w:r>
      <w:r w:rsidR="000C1990" w:rsidRPr="001D121B">
        <w:rPr>
          <w:rFonts w:eastAsiaTheme="minorEastAsia" w:cs="Times New Roman"/>
        </w:rPr>
        <w:t>16,814.5</w:t>
      </w:r>
    </w:p>
    <w:p w:rsidR="00F82032" w:rsidRPr="001D121B" w:rsidRDefault="00F82032" w:rsidP="002D7AF5">
      <w:pPr>
        <w:pStyle w:val="ListParagraph"/>
        <w:ind w:left="1080"/>
        <w:jc w:val="left"/>
        <w:rPr>
          <w:rFonts w:eastAsiaTheme="minorEastAsia" w:cs="Times New Roman"/>
        </w:rPr>
      </w:pPr>
      <w:r w:rsidRPr="001D121B">
        <w:rPr>
          <w:rFonts w:eastAsiaTheme="minorEastAsia" w:cs="Times New Roman"/>
        </w:rPr>
        <w:t xml:space="preserve">Creditors’ days = </w:t>
      </w:r>
      <w:r w:rsidR="000C1990" w:rsidRPr="001D121B">
        <w:rPr>
          <w:rFonts w:eastAsiaTheme="minorEastAsia" w:cs="Times New Roman"/>
        </w:rPr>
        <w:t>(16,814.5</w:t>
      </w:r>
      <w:r w:rsidRPr="001D121B">
        <w:rPr>
          <w:rFonts w:eastAsiaTheme="minorEastAsia" w:cs="Times New Roman"/>
        </w:rPr>
        <w:t>/</w:t>
      </w:r>
      <w:r w:rsidR="000C1990" w:rsidRPr="001D121B">
        <w:rPr>
          <w:rFonts w:eastAsiaTheme="minorEastAsia" w:cs="Times New Roman"/>
        </w:rPr>
        <w:t>26,815</w:t>
      </w:r>
      <w:r w:rsidRPr="001D121B">
        <w:rPr>
          <w:rFonts w:eastAsiaTheme="minorEastAsia" w:cs="Times New Roman"/>
        </w:rPr>
        <w:t>)</w:t>
      </w:r>
      <w:r w:rsidR="000C1990" w:rsidRPr="001D121B">
        <w:rPr>
          <w:rFonts w:eastAsiaTheme="minorEastAsia" w:cs="Times New Roman"/>
        </w:rPr>
        <w:t xml:space="preserve"> x365</w:t>
      </w:r>
      <w:r w:rsidRPr="001D121B">
        <w:rPr>
          <w:rFonts w:eastAsiaTheme="minorEastAsia" w:cs="Times New Roman"/>
        </w:rPr>
        <w:t xml:space="preserve"> = </w:t>
      </w:r>
      <w:r w:rsidR="000C1990" w:rsidRPr="001D121B">
        <w:rPr>
          <w:rFonts w:eastAsiaTheme="minorEastAsia" w:cs="Times New Roman"/>
        </w:rPr>
        <w:t>228</w:t>
      </w:r>
      <w:r w:rsidRPr="001D121B">
        <w:rPr>
          <w:rFonts w:eastAsiaTheme="minorEastAsia" w:cs="Times New Roman"/>
        </w:rPr>
        <w:t xml:space="preserve"> days</w:t>
      </w:r>
    </w:p>
    <w:p w:rsidR="00EC10F1" w:rsidRPr="001D121B" w:rsidRDefault="00EC10F1" w:rsidP="00EC10F1">
      <w:pPr>
        <w:pStyle w:val="ListParagraph"/>
        <w:numPr>
          <w:ilvl w:val="0"/>
          <w:numId w:val="10"/>
        </w:numPr>
        <w:jc w:val="left"/>
        <w:rPr>
          <w:rFonts w:eastAsiaTheme="minorEastAsia" w:cs="Times New Roman"/>
        </w:rPr>
      </w:pPr>
      <w:r w:rsidRPr="001D121B">
        <w:rPr>
          <w:rFonts w:eastAsiaTheme="minorEastAsia" w:cs="Times New Roman"/>
        </w:rPr>
        <w:t xml:space="preserve">Stock days = </w:t>
      </w:r>
      <m:oMath>
        <m:f>
          <m:fPr>
            <m:ctrlPr>
              <w:rPr>
                <w:rFonts w:ascii="Cambria Math" w:eastAsiaTheme="minorEastAsia" w:hAnsi="Cambria Math" w:cs="Times New Roman"/>
                <w:i/>
              </w:rPr>
            </m:ctrlPr>
          </m:fPr>
          <m:num>
            <m:r>
              <w:rPr>
                <w:rFonts w:ascii="Cambria Math" w:eastAsiaTheme="minorEastAsia" w:hAnsi="Cambria Math" w:cs="Times New Roman"/>
              </w:rPr>
              <m:t>Average inventory</m:t>
            </m:r>
          </m:num>
          <m:den>
            <m:r>
              <w:rPr>
                <w:rFonts w:ascii="Cambria Math" w:eastAsiaTheme="minorEastAsia" w:hAnsi="Cambria Math" w:cs="Times New Roman"/>
              </w:rPr>
              <m:t xml:space="preserve"> COGS</m:t>
            </m:r>
          </m:den>
        </m:f>
        <m:r>
          <w:rPr>
            <w:rFonts w:ascii="Cambria Math" w:eastAsiaTheme="minorEastAsia" w:hAnsi="Cambria Math" w:cs="Times New Roman"/>
          </w:rPr>
          <m:t>×365</m:t>
        </m:r>
      </m:oMath>
    </w:p>
    <w:p w:rsidR="00EC10F1" w:rsidRPr="001D121B" w:rsidRDefault="00A04B52" w:rsidP="00EC10F1">
      <w:pPr>
        <w:pStyle w:val="ListParagraph"/>
        <w:ind w:left="1080"/>
        <w:jc w:val="left"/>
        <w:rPr>
          <w:rFonts w:eastAsiaTheme="minorEastAsia" w:cs="Times New Roman"/>
        </w:rPr>
      </w:pPr>
      <w:r w:rsidRPr="001D121B">
        <w:rPr>
          <w:rFonts w:eastAsiaTheme="minorEastAsia" w:cs="Times New Roman"/>
        </w:rPr>
        <w:t>Average inventory of AstraZeneca of 2024 and 2025 = (</w:t>
      </w:r>
      <w:r w:rsidR="009F0272" w:rsidRPr="001D121B">
        <w:rPr>
          <w:rFonts w:eastAsiaTheme="minorEastAsia" w:cs="Times New Roman"/>
        </w:rPr>
        <w:t>6,325+5,780)/2 = 6,052.5</w:t>
      </w:r>
    </w:p>
    <w:p w:rsidR="009F0272" w:rsidRPr="001D121B" w:rsidRDefault="009F0272" w:rsidP="00EC10F1">
      <w:pPr>
        <w:pStyle w:val="ListParagraph"/>
        <w:ind w:left="1080"/>
        <w:jc w:val="left"/>
        <w:rPr>
          <w:rFonts w:eastAsiaTheme="minorEastAsia" w:cs="Times New Roman"/>
        </w:rPr>
      </w:pPr>
      <w:r w:rsidRPr="001D121B">
        <w:rPr>
          <w:rFonts w:eastAsiaTheme="minorEastAsia" w:cs="Times New Roman"/>
        </w:rPr>
        <w:t>Stock days = (6,052/</w:t>
      </w:r>
      <w:r w:rsidR="00C12978" w:rsidRPr="001D121B">
        <w:rPr>
          <w:rFonts w:eastAsiaTheme="minorEastAsia" w:cs="Times New Roman"/>
        </w:rPr>
        <w:t>10,633</w:t>
      </w:r>
      <w:r w:rsidRPr="001D121B">
        <w:rPr>
          <w:rFonts w:eastAsiaTheme="minorEastAsia" w:cs="Times New Roman"/>
        </w:rPr>
        <w:t xml:space="preserve">) x365 = </w:t>
      </w:r>
      <w:r w:rsidR="00C12978" w:rsidRPr="001D121B">
        <w:rPr>
          <w:rFonts w:eastAsiaTheme="minorEastAsia" w:cs="Times New Roman"/>
        </w:rPr>
        <w:t>217 days</w:t>
      </w:r>
    </w:p>
    <w:p w:rsidR="00987954" w:rsidRPr="001D121B" w:rsidRDefault="00A04B52" w:rsidP="00987954">
      <w:pPr>
        <w:pStyle w:val="ListParagraph"/>
        <w:ind w:left="1080"/>
        <w:jc w:val="left"/>
        <w:rPr>
          <w:rFonts w:eastAsiaTheme="minorEastAsia" w:cs="Times New Roman"/>
        </w:rPr>
      </w:pPr>
      <w:r w:rsidRPr="001D121B">
        <w:rPr>
          <w:rFonts w:eastAsiaTheme="minorEastAsia" w:cs="Times New Roman"/>
        </w:rPr>
        <w:t>Average inventory of Unilever of 2024 and 2025 = (4,043+5,177)/2 = 4,610</w:t>
      </w:r>
    </w:p>
    <w:p w:rsidR="00A04B52" w:rsidRPr="001D121B" w:rsidRDefault="00A04B52" w:rsidP="00987954">
      <w:pPr>
        <w:pStyle w:val="ListParagraph"/>
        <w:ind w:left="1080"/>
        <w:jc w:val="left"/>
        <w:rPr>
          <w:rFonts w:eastAsiaTheme="minorEastAsia" w:cs="Times New Roman"/>
        </w:rPr>
      </w:pPr>
      <w:r w:rsidRPr="001D121B">
        <w:rPr>
          <w:rFonts w:eastAsiaTheme="minorEastAsia" w:cs="Times New Roman"/>
        </w:rPr>
        <w:t>Stock days = (4,610/2</w:t>
      </w:r>
      <w:r w:rsidR="00C12978" w:rsidRPr="001D121B">
        <w:rPr>
          <w:rFonts w:eastAsiaTheme="minorEastAsia" w:cs="Times New Roman"/>
        </w:rPr>
        <w:t>6,815</w:t>
      </w:r>
      <w:r w:rsidRPr="001D121B">
        <w:rPr>
          <w:rFonts w:eastAsiaTheme="minorEastAsia" w:cs="Times New Roman"/>
        </w:rPr>
        <w:t xml:space="preserve">) x365 = </w:t>
      </w:r>
      <w:r w:rsidR="00C12978" w:rsidRPr="001D121B">
        <w:rPr>
          <w:rFonts w:eastAsiaTheme="minorEastAsia" w:cs="Times New Roman"/>
        </w:rPr>
        <w:t>62</w:t>
      </w:r>
      <w:r w:rsidR="004C69A7" w:rsidRPr="001D121B">
        <w:rPr>
          <w:rFonts w:eastAsiaTheme="minorEastAsia" w:cs="Times New Roman"/>
        </w:rPr>
        <w:t xml:space="preserve"> days</w:t>
      </w:r>
    </w:p>
    <w:p w:rsidR="00AA7BCB" w:rsidRPr="001D121B" w:rsidRDefault="00AA7BCB" w:rsidP="00AA7BCB">
      <w:pPr>
        <w:pStyle w:val="ListParagraph"/>
        <w:numPr>
          <w:ilvl w:val="0"/>
          <w:numId w:val="10"/>
        </w:numPr>
        <w:jc w:val="left"/>
        <w:rPr>
          <w:rFonts w:eastAsiaTheme="minorEastAsia" w:cs="Times New Roman"/>
        </w:rPr>
      </w:pPr>
      <w:r w:rsidRPr="001D121B">
        <w:rPr>
          <w:rFonts w:eastAsiaTheme="minorEastAsia" w:cs="Times New Roman"/>
        </w:rPr>
        <w:t xml:space="preserve">Stock turnover ratio = </w:t>
      </w:r>
      <m:oMath>
        <m:f>
          <m:fPr>
            <m:ctrlPr>
              <w:rPr>
                <w:rFonts w:ascii="Cambria Math" w:eastAsiaTheme="minorEastAsia" w:hAnsi="Cambria Math" w:cs="Times New Roman"/>
                <w:i/>
              </w:rPr>
            </m:ctrlPr>
          </m:fPr>
          <m:num>
            <m:r>
              <w:rPr>
                <w:rFonts w:ascii="Cambria Math" w:eastAsiaTheme="minorEastAsia" w:hAnsi="Cambria Math" w:cs="Times New Roman"/>
              </w:rPr>
              <m:t>COGS</m:t>
            </m:r>
          </m:num>
          <m:den>
            <m:r>
              <w:rPr>
                <w:rFonts w:ascii="Cambria Math" w:eastAsiaTheme="minorEastAsia" w:hAnsi="Cambria Math" w:cs="Times New Roman"/>
              </w:rPr>
              <m:t>Average inventory</m:t>
            </m:r>
          </m:den>
        </m:f>
      </m:oMath>
    </w:p>
    <w:p w:rsidR="00AA7BCB" w:rsidRPr="001D121B" w:rsidRDefault="00AA7BCB" w:rsidP="00AA7BCB">
      <w:pPr>
        <w:pStyle w:val="ListParagraph"/>
        <w:ind w:left="1080"/>
        <w:jc w:val="left"/>
        <w:rPr>
          <w:rFonts w:eastAsiaTheme="minorEastAsia" w:cs="Times New Roman"/>
        </w:rPr>
      </w:pPr>
      <w:r w:rsidRPr="001D121B">
        <w:rPr>
          <w:rFonts w:eastAsiaTheme="minorEastAsia" w:cs="Times New Roman"/>
        </w:rPr>
        <w:t xml:space="preserve">Stock turnover ratio of AstraZeneca = </w:t>
      </w:r>
      <w:r w:rsidR="0085762C" w:rsidRPr="001D121B">
        <w:rPr>
          <w:rFonts w:eastAsiaTheme="minorEastAsia" w:cs="Times New Roman"/>
        </w:rPr>
        <w:t>10,633</w:t>
      </w:r>
      <w:r w:rsidR="004E55A9" w:rsidRPr="001D121B">
        <w:rPr>
          <w:rFonts w:eastAsiaTheme="minorEastAsia" w:cs="Times New Roman"/>
        </w:rPr>
        <w:t>/</w:t>
      </w:r>
      <w:r w:rsidR="0085762C" w:rsidRPr="001D121B">
        <w:rPr>
          <w:rFonts w:eastAsiaTheme="minorEastAsia" w:cs="Times New Roman"/>
        </w:rPr>
        <w:t>6,052.5</w:t>
      </w:r>
      <w:r w:rsidR="004E55A9" w:rsidRPr="001D121B">
        <w:rPr>
          <w:rFonts w:eastAsiaTheme="minorEastAsia" w:cs="Times New Roman"/>
        </w:rPr>
        <w:t xml:space="preserve"> = </w:t>
      </w:r>
      <w:r w:rsidR="0085762C" w:rsidRPr="001D121B">
        <w:rPr>
          <w:rFonts w:eastAsiaTheme="minorEastAsia" w:cs="Times New Roman"/>
        </w:rPr>
        <w:t>1.7</w:t>
      </w:r>
      <w:r w:rsidR="00EC72C3" w:rsidRPr="001D121B">
        <w:rPr>
          <w:rFonts w:eastAsiaTheme="minorEastAsia" w:cs="Times New Roman"/>
        </w:rPr>
        <w:t xml:space="preserve"> times</w:t>
      </w:r>
    </w:p>
    <w:p w:rsidR="00AA7BCB" w:rsidRPr="001D121B" w:rsidRDefault="00AA7BCB" w:rsidP="00AA7BCB">
      <w:pPr>
        <w:pStyle w:val="ListParagraph"/>
        <w:ind w:left="1080"/>
        <w:jc w:val="left"/>
        <w:rPr>
          <w:rFonts w:eastAsiaTheme="minorEastAsia" w:cs="Times New Roman"/>
        </w:rPr>
      </w:pPr>
      <w:r w:rsidRPr="001D121B">
        <w:rPr>
          <w:rFonts w:eastAsiaTheme="minorEastAsia" w:cs="Times New Roman"/>
        </w:rPr>
        <w:t xml:space="preserve">Stock turnover ratio of Unilever = </w:t>
      </w:r>
      <w:r w:rsidR="004E55A9" w:rsidRPr="001D121B">
        <w:rPr>
          <w:rFonts w:eastAsiaTheme="minorEastAsia" w:cs="Times New Roman"/>
        </w:rPr>
        <w:t>2</w:t>
      </w:r>
      <w:r w:rsidR="00EC72C3" w:rsidRPr="001D121B">
        <w:rPr>
          <w:rFonts w:eastAsiaTheme="minorEastAsia" w:cs="Times New Roman"/>
        </w:rPr>
        <w:t>6,815</w:t>
      </w:r>
      <w:r w:rsidR="004E55A9" w:rsidRPr="001D121B">
        <w:rPr>
          <w:rFonts w:eastAsiaTheme="minorEastAsia" w:cs="Times New Roman"/>
        </w:rPr>
        <w:t xml:space="preserve">/4,610 = </w:t>
      </w:r>
      <w:r w:rsidR="00EC72C3" w:rsidRPr="001D121B">
        <w:rPr>
          <w:rFonts w:eastAsiaTheme="minorEastAsia" w:cs="Times New Roman"/>
        </w:rPr>
        <w:t>5.8 times</w:t>
      </w:r>
    </w:p>
    <w:p w:rsidR="00595B16" w:rsidRPr="001D121B" w:rsidRDefault="00595B16" w:rsidP="00595B16">
      <w:pPr>
        <w:pStyle w:val="ListParagraph"/>
        <w:numPr>
          <w:ilvl w:val="0"/>
          <w:numId w:val="10"/>
        </w:numPr>
        <w:jc w:val="left"/>
        <w:rPr>
          <w:rFonts w:eastAsiaTheme="minorEastAsia" w:cs="Times New Roman"/>
          <w:b/>
          <w:bCs/>
        </w:rPr>
      </w:pPr>
      <w:r w:rsidRPr="001D121B">
        <w:rPr>
          <w:rFonts w:eastAsiaTheme="minorEastAsia" w:cs="Times New Roman"/>
        </w:rPr>
        <w:t xml:space="preserve">Current ratio = </w:t>
      </w:r>
      <m:oMath>
        <m:f>
          <m:fPr>
            <m:ctrlPr>
              <w:rPr>
                <w:rFonts w:ascii="Cambria Math" w:eastAsiaTheme="minorEastAsia" w:hAnsi="Cambria Math" w:cs="Times New Roman"/>
                <w:i/>
              </w:rPr>
            </m:ctrlPr>
          </m:fPr>
          <m:num>
            <m:r>
              <w:rPr>
                <w:rFonts w:ascii="Cambria Math" w:eastAsiaTheme="minorEastAsia" w:hAnsi="Cambria Math" w:cs="Times New Roman"/>
              </w:rPr>
              <m:t>Current assets</m:t>
            </m:r>
          </m:num>
          <m:den>
            <m:r>
              <w:rPr>
                <w:rFonts w:ascii="Cambria Math" w:eastAsiaTheme="minorEastAsia" w:hAnsi="Cambria Math" w:cs="Times New Roman"/>
              </w:rPr>
              <m:t>Current liabilities</m:t>
            </m:r>
          </m:den>
        </m:f>
      </m:oMath>
    </w:p>
    <w:p w:rsidR="00595B16" w:rsidRPr="001D121B" w:rsidRDefault="00595B16" w:rsidP="00595B16">
      <w:pPr>
        <w:pStyle w:val="ListParagraph"/>
        <w:ind w:left="1080"/>
        <w:jc w:val="left"/>
        <w:rPr>
          <w:rFonts w:eastAsiaTheme="minorEastAsia" w:cs="Times New Roman"/>
        </w:rPr>
      </w:pPr>
      <w:r w:rsidRPr="001D121B">
        <w:rPr>
          <w:rFonts w:eastAsiaTheme="minorEastAsia" w:cs="Times New Roman"/>
        </w:rPr>
        <w:lastRenderedPageBreak/>
        <w:t xml:space="preserve">AstraZeneca, 2024 = </w:t>
      </w:r>
      <w:r w:rsidR="002532C9" w:rsidRPr="001D121B">
        <w:rPr>
          <w:rFonts w:eastAsiaTheme="minorEastAsia" w:cs="Times New Roman"/>
        </w:rPr>
        <w:t>25,827</w:t>
      </w:r>
      <w:r w:rsidR="00F42904" w:rsidRPr="001D121B">
        <w:rPr>
          <w:rFonts w:eastAsiaTheme="minorEastAsia" w:cs="Times New Roman"/>
        </w:rPr>
        <w:t xml:space="preserve">/27,866 = </w:t>
      </w:r>
      <w:r w:rsidR="002532C9" w:rsidRPr="001D121B">
        <w:rPr>
          <w:rFonts w:eastAsiaTheme="minorEastAsia" w:cs="Times New Roman"/>
        </w:rPr>
        <w:t>92.68%</w:t>
      </w:r>
    </w:p>
    <w:p w:rsidR="00F42904" w:rsidRPr="001D121B" w:rsidRDefault="00F42904" w:rsidP="00595B16">
      <w:pPr>
        <w:pStyle w:val="ListParagraph"/>
        <w:ind w:left="1080"/>
        <w:jc w:val="left"/>
        <w:rPr>
          <w:rFonts w:eastAsiaTheme="minorEastAsia" w:cs="Times New Roman"/>
        </w:rPr>
      </w:pPr>
      <w:r w:rsidRPr="001D121B">
        <w:rPr>
          <w:rFonts w:eastAsiaTheme="minorEastAsia" w:cs="Times New Roman"/>
        </w:rPr>
        <w:t>Unilever, 2024 = 19,194/25,234 = 76.06%</w:t>
      </w:r>
    </w:p>
    <w:p w:rsidR="00F42904" w:rsidRPr="001D121B" w:rsidRDefault="00F42904" w:rsidP="00595B16">
      <w:pPr>
        <w:pStyle w:val="ListParagraph"/>
        <w:ind w:left="1080"/>
        <w:jc w:val="left"/>
        <w:rPr>
          <w:rFonts w:eastAsiaTheme="minorEastAsia" w:cs="Times New Roman"/>
        </w:rPr>
      </w:pPr>
      <w:r w:rsidRPr="001D121B">
        <w:rPr>
          <w:rFonts w:eastAsiaTheme="minorEastAsia" w:cs="Times New Roman"/>
        </w:rPr>
        <w:t>AstraZeneca, 2025 = 28,723/30,617 = 93.81%</w:t>
      </w:r>
    </w:p>
    <w:p w:rsidR="00F42904" w:rsidRPr="001D121B" w:rsidRDefault="00F42904" w:rsidP="00595B16">
      <w:pPr>
        <w:pStyle w:val="ListParagraph"/>
        <w:ind w:left="1080"/>
        <w:jc w:val="left"/>
        <w:rPr>
          <w:rFonts w:eastAsiaTheme="minorEastAsia" w:cs="Times New Roman"/>
        </w:rPr>
      </w:pPr>
      <w:r w:rsidRPr="001D121B">
        <w:rPr>
          <w:rFonts w:eastAsiaTheme="minorEastAsia" w:cs="Times New Roman"/>
        </w:rPr>
        <w:t>Unilever, 2025 = 17,066/21,662 = 78.78%</w:t>
      </w:r>
    </w:p>
    <w:p w:rsidR="004E55A9" w:rsidRPr="001D121B" w:rsidRDefault="00DC3054" w:rsidP="00EC3A13">
      <w:pPr>
        <w:pStyle w:val="ListParagraph"/>
        <w:numPr>
          <w:ilvl w:val="0"/>
          <w:numId w:val="10"/>
        </w:numPr>
        <w:jc w:val="left"/>
        <w:rPr>
          <w:rFonts w:eastAsiaTheme="minorEastAsia" w:cs="Times New Roman"/>
        </w:rPr>
      </w:pPr>
      <w:r w:rsidRPr="001D121B">
        <w:rPr>
          <w:rFonts w:eastAsiaTheme="minorEastAsia" w:cs="Times New Roman"/>
        </w:rPr>
        <w:t xml:space="preserve">Quick ratio = </w:t>
      </w:r>
      <m:oMath>
        <m:f>
          <m:fPr>
            <m:ctrlPr>
              <w:rPr>
                <w:rFonts w:ascii="Cambria Math" w:eastAsiaTheme="minorEastAsia" w:hAnsi="Cambria Math" w:cs="Times New Roman"/>
                <w:i/>
              </w:rPr>
            </m:ctrlPr>
          </m:fPr>
          <m:num>
            <m:r>
              <w:rPr>
                <w:rFonts w:ascii="Cambria Math" w:eastAsiaTheme="minorEastAsia" w:hAnsi="Cambria Math" w:cs="Times New Roman"/>
              </w:rPr>
              <m:t>Current assets-Inventory</m:t>
            </m:r>
          </m:num>
          <m:den>
            <m:r>
              <w:rPr>
                <w:rFonts w:ascii="Cambria Math" w:eastAsiaTheme="minorEastAsia" w:hAnsi="Cambria Math" w:cs="Times New Roman"/>
              </w:rPr>
              <m:t>Current liabilitie</m:t>
            </m:r>
          </m:den>
        </m:f>
      </m:oMath>
    </w:p>
    <w:p w:rsidR="00EC3A13" w:rsidRPr="001D121B" w:rsidRDefault="00EC3A13" w:rsidP="00EC3A13">
      <w:pPr>
        <w:pStyle w:val="ListParagraph"/>
        <w:ind w:left="1080"/>
        <w:jc w:val="left"/>
        <w:rPr>
          <w:rFonts w:eastAsiaTheme="minorEastAsia" w:cs="Times New Roman"/>
        </w:rPr>
      </w:pPr>
      <w:r w:rsidRPr="001D121B">
        <w:rPr>
          <w:rFonts w:eastAsiaTheme="minorEastAsia" w:cs="Times New Roman"/>
        </w:rPr>
        <w:t xml:space="preserve">AstraZeneca, 2024 = </w:t>
      </w:r>
      <w:r w:rsidR="00313CE5" w:rsidRPr="001D121B">
        <w:rPr>
          <w:rFonts w:eastAsiaTheme="minorEastAsia" w:cs="Times New Roman"/>
        </w:rPr>
        <w:t>(</w:t>
      </w:r>
      <w:r w:rsidRPr="001D121B">
        <w:rPr>
          <w:rFonts w:eastAsiaTheme="minorEastAsia" w:cs="Times New Roman"/>
        </w:rPr>
        <w:t>25,827</w:t>
      </w:r>
      <w:r w:rsidR="007826D6" w:rsidRPr="001D121B">
        <w:rPr>
          <w:rFonts w:eastAsiaTheme="minorEastAsia" w:cs="Times New Roman"/>
        </w:rPr>
        <w:t>-</w:t>
      </w:r>
      <w:r w:rsidR="00313CE5" w:rsidRPr="001D121B">
        <w:rPr>
          <w:rFonts w:eastAsiaTheme="minorEastAsia" w:cs="Times New Roman"/>
        </w:rPr>
        <w:t>5,780)</w:t>
      </w:r>
      <w:r w:rsidRPr="001D121B">
        <w:rPr>
          <w:rFonts w:eastAsiaTheme="minorEastAsia" w:cs="Times New Roman"/>
        </w:rPr>
        <w:t xml:space="preserve">/27,866 = </w:t>
      </w:r>
      <w:r w:rsidR="0018227F" w:rsidRPr="001D121B">
        <w:rPr>
          <w:rFonts w:eastAsiaTheme="minorEastAsia" w:cs="Times New Roman"/>
        </w:rPr>
        <w:t>71.94%</w:t>
      </w:r>
    </w:p>
    <w:p w:rsidR="00EC3A13" w:rsidRPr="001D121B" w:rsidRDefault="00EC3A13" w:rsidP="00EC3A13">
      <w:pPr>
        <w:pStyle w:val="ListParagraph"/>
        <w:ind w:left="1080"/>
        <w:jc w:val="left"/>
        <w:rPr>
          <w:rFonts w:eastAsiaTheme="minorEastAsia" w:cs="Times New Roman"/>
        </w:rPr>
      </w:pPr>
      <w:r w:rsidRPr="001D121B">
        <w:rPr>
          <w:rFonts w:eastAsiaTheme="minorEastAsia" w:cs="Times New Roman"/>
        </w:rPr>
        <w:t xml:space="preserve">Unilever, 2024 = </w:t>
      </w:r>
      <w:r w:rsidR="00313CE5" w:rsidRPr="001D121B">
        <w:rPr>
          <w:rFonts w:eastAsiaTheme="minorEastAsia" w:cs="Times New Roman"/>
        </w:rPr>
        <w:t>(</w:t>
      </w:r>
      <w:r w:rsidRPr="001D121B">
        <w:rPr>
          <w:rFonts w:eastAsiaTheme="minorEastAsia" w:cs="Times New Roman"/>
        </w:rPr>
        <w:t>19,194</w:t>
      </w:r>
      <w:r w:rsidR="007826D6" w:rsidRPr="001D121B">
        <w:rPr>
          <w:rFonts w:eastAsiaTheme="minorEastAsia" w:cs="Times New Roman"/>
        </w:rPr>
        <w:t>-</w:t>
      </w:r>
      <w:r w:rsidR="00313CE5" w:rsidRPr="001D121B">
        <w:rPr>
          <w:rFonts w:eastAsiaTheme="minorEastAsia" w:cs="Times New Roman"/>
        </w:rPr>
        <w:t>5,177)</w:t>
      </w:r>
      <w:r w:rsidRPr="001D121B">
        <w:rPr>
          <w:rFonts w:eastAsiaTheme="minorEastAsia" w:cs="Times New Roman"/>
        </w:rPr>
        <w:t xml:space="preserve">/25,234 = </w:t>
      </w:r>
      <w:r w:rsidR="0018227F" w:rsidRPr="001D121B">
        <w:rPr>
          <w:rFonts w:eastAsiaTheme="minorEastAsia" w:cs="Times New Roman"/>
        </w:rPr>
        <w:t>55.58%</w:t>
      </w:r>
    </w:p>
    <w:p w:rsidR="00EC3A13" w:rsidRPr="001D121B" w:rsidRDefault="00EC3A13" w:rsidP="00EC3A13">
      <w:pPr>
        <w:pStyle w:val="ListParagraph"/>
        <w:ind w:left="1080"/>
        <w:jc w:val="left"/>
        <w:rPr>
          <w:rFonts w:eastAsiaTheme="minorEastAsia" w:cs="Times New Roman"/>
        </w:rPr>
      </w:pPr>
      <w:r w:rsidRPr="001D121B">
        <w:rPr>
          <w:rFonts w:eastAsiaTheme="minorEastAsia" w:cs="Times New Roman"/>
        </w:rPr>
        <w:t xml:space="preserve">AstraZeneca, 2025 = </w:t>
      </w:r>
      <w:r w:rsidR="00313CE5" w:rsidRPr="001D121B">
        <w:rPr>
          <w:rFonts w:eastAsiaTheme="minorEastAsia" w:cs="Times New Roman"/>
        </w:rPr>
        <w:t>(</w:t>
      </w:r>
      <w:r w:rsidRPr="001D121B">
        <w:rPr>
          <w:rFonts w:eastAsiaTheme="minorEastAsia" w:cs="Times New Roman"/>
        </w:rPr>
        <w:t>28,723</w:t>
      </w:r>
      <w:r w:rsidR="007826D6" w:rsidRPr="001D121B">
        <w:rPr>
          <w:rFonts w:eastAsiaTheme="minorEastAsia" w:cs="Times New Roman"/>
        </w:rPr>
        <w:t>-</w:t>
      </w:r>
      <w:r w:rsidR="00313CE5" w:rsidRPr="001D121B">
        <w:rPr>
          <w:rFonts w:eastAsiaTheme="minorEastAsia" w:cs="Times New Roman"/>
        </w:rPr>
        <w:t>6,325)</w:t>
      </w:r>
      <w:r w:rsidRPr="001D121B">
        <w:rPr>
          <w:rFonts w:eastAsiaTheme="minorEastAsia" w:cs="Times New Roman"/>
        </w:rPr>
        <w:t xml:space="preserve">/30,617 = </w:t>
      </w:r>
      <w:r w:rsidR="0018227F" w:rsidRPr="001D121B">
        <w:rPr>
          <w:rFonts w:eastAsiaTheme="minorEastAsia" w:cs="Times New Roman"/>
        </w:rPr>
        <w:t>73.15%</w:t>
      </w:r>
    </w:p>
    <w:p w:rsidR="00EC3A13" w:rsidRPr="001D121B" w:rsidRDefault="00EC3A13" w:rsidP="00EC3A13">
      <w:pPr>
        <w:pStyle w:val="ListParagraph"/>
        <w:ind w:left="1080"/>
        <w:jc w:val="left"/>
        <w:rPr>
          <w:rFonts w:eastAsiaTheme="minorEastAsia" w:cs="Times New Roman"/>
        </w:rPr>
      </w:pPr>
      <w:r w:rsidRPr="001D121B">
        <w:rPr>
          <w:rFonts w:eastAsiaTheme="minorEastAsia" w:cs="Times New Roman"/>
        </w:rPr>
        <w:t xml:space="preserve">Unilever, 2025 = </w:t>
      </w:r>
      <w:r w:rsidR="00313CE5" w:rsidRPr="001D121B">
        <w:rPr>
          <w:rFonts w:eastAsiaTheme="minorEastAsia" w:cs="Times New Roman"/>
        </w:rPr>
        <w:t>(</w:t>
      </w:r>
      <w:r w:rsidRPr="001D121B">
        <w:rPr>
          <w:rFonts w:eastAsiaTheme="minorEastAsia" w:cs="Times New Roman"/>
        </w:rPr>
        <w:t>17,066</w:t>
      </w:r>
      <w:r w:rsidR="007826D6" w:rsidRPr="001D121B">
        <w:rPr>
          <w:rFonts w:eastAsiaTheme="minorEastAsia" w:cs="Times New Roman"/>
        </w:rPr>
        <w:t>-</w:t>
      </w:r>
      <w:r w:rsidR="00313CE5" w:rsidRPr="001D121B">
        <w:rPr>
          <w:rFonts w:eastAsiaTheme="minorEastAsia" w:cs="Times New Roman"/>
        </w:rPr>
        <w:t>4,043)</w:t>
      </w:r>
      <w:r w:rsidRPr="001D121B">
        <w:rPr>
          <w:rFonts w:eastAsiaTheme="minorEastAsia" w:cs="Times New Roman"/>
        </w:rPr>
        <w:t xml:space="preserve">/21,662 = </w:t>
      </w:r>
      <w:r w:rsidR="0018227F" w:rsidRPr="001D121B">
        <w:rPr>
          <w:rFonts w:eastAsiaTheme="minorEastAsia" w:cs="Times New Roman"/>
        </w:rPr>
        <w:t>60.12%</w:t>
      </w:r>
      <w:r w:rsidR="00413889" w:rsidRPr="001D121B">
        <w:rPr>
          <w:rStyle w:val="FootnoteReference"/>
          <w:rFonts w:eastAsiaTheme="minorEastAsia" w:cs="Times New Roman"/>
        </w:rPr>
        <w:footnoteReference w:id="1"/>
      </w:r>
    </w:p>
    <w:p w:rsidR="00585C84" w:rsidRPr="001D121B" w:rsidRDefault="00585C84" w:rsidP="00585C84">
      <w:pPr>
        <w:pStyle w:val="ListParagraph"/>
        <w:numPr>
          <w:ilvl w:val="0"/>
          <w:numId w:val="10"/>
        </w:numPr>
        <w:jc w:val="left"/>
        <w:rPr>
          <w:rFonts w:eastAsiaTheme="minorEastAsia" w:cs="Times New Roman"/>
        </w:rPr>
      </w:pPr>
      <w:r w:rsidRPr="001D121B">
        <w:rPr>
          <w:rFonts w:eastAsiaTheme="minorEastAsia" w:cs="Times New Roman"/>
        </w:rPr>
        <w:t xml:space="preserve">EPS = </w:t>
      </w:r>
      <m:oMath>
        <m:f>
          <m:fPr>
            <m:ctrlPr>
              <w:rPr>
                <w:rFonts w:ascii="Cambria Math" w:eastAsiaTheme="minorEastAsia" w:hAnsi="Cambria Math" w:cs="Times New Roman"/>
                <w:i/>
              </w:rPr>
            </m:ctrlPr>
          </m:fPr>
          <m:num>
            <m:r>
              <w:rPr>
                <w:rFonts w:ascii="Cambria Math" w:eastAsiaTheme="minorEastAsia" w:hAnsi="Cambria Math" w:cs="Times New Roman"/>
              </w:rPr>
              <m:t>Net income</m:t>
            </m:r>
          </m:num>
          <m:den>
            <m:r>
              <w:rPr>
                <w:rFonts w:ascii="Cambria Math" w:eastAsiaTheme="minorEastAsia" w:hAnsi="Cambria Math" w:cs="Times New Roman"/>
              </w:rPr>
              <m:t xml:space="preserve">Weighted average common shares outstanding </m:t>
            </m:r>
          </m:den>
        </m:f>
      </m:oMath>
    </w:p>
    <w:p w:rsidR="00585C84" w:rsidRPr="001D121B" w:rsidRDefault="00585C84" w:rsidP="00585C84">
      <w:pPr>
        <w:pStyle w:val="ListParagraph"/>
        <w:ind w:left="1080"/>
        <w:jc w:val="left"/>
        <w:rPr>
          <w:rFonts w:eastAsiaTheme="minorEastAsia" w:cs="Times New Roman"/>
        </w:rPr>
      </w:pPr>
      <w:r w:rsidRPr="001D121B">
        <w:rPr>
          <w:rFonts w:eastAsiaTheme="minorEastAsia" w:cs="Times New Roman"/>
        </w:rPr>
        <w:t>Neither of the companies has preferred shares.</w:t>
      </w:r>
    </w:p>
    <w:p w:rsidR="00585C84" w:rsidRPr="001D121B" w:rsidRDefault="00E470AD" w:rsidP="00585C84">
      <w:pPr>
        <w:pStyle w:val="ListParagraph"/>
        <w:ind w:left="1080"/>
        <w:jc w:val="left"/>
        <w:rPr>
          <w:rFonts w:eastAsiaTheme="minorEastAsia" w:cs="Times New Roman"/>
        </w:rPr>
      </w:pPr>
      <w:r w:rsidRPr="001D121B">
        <w:rPr>
          <w:rFonts w:eastAsiaTheme="minorEastAsia" w:cs="Times New Roman"/>
        </w:rPr>
        <w:t>Astra</w:t>
      </w:r>
      <w:r w:rsidR="005A76DF" w:rsidRPr="001D121B">
        <w:rPr>
          <w:rFonts w:eastAsiaTheme="minorEastAsia" w:cs="Times New Roman"/>
        </w:rPr>
        <w:t>Z</w:t>
      </w:r>
      <w:r w:rsidRPr="001D121B">
        <w:rPr>
          <w:rFonts w:eastAsiaTheme="minorEastAsia" w:cs="Times New Roman"/>
        </w:rPr>
        <w:t xml:space="preserve">eneca, 2024 = </w:t>
      </w:r>
    </w:p>
    <w:p w:rsidR="00E470AD" w:rsidRPr="001D121B" w:rsidRDefault="00E470AD" w:rsidP="00585C84">
      <w:pPr>
        <w:pStyle w:val="ListParagraph"/>
        <w:ind w:left="1080"/>
        <w:jc w:val="left"/>
        <w:rPr>
          <w:rFonts w:eastAsiaTheme="minorEastAsia" w:cs="Times New Roman"/>
        </w:rPr>
      </w:pPr>
      <w:r w:rsidRPr="001D121B">
        <w:rPr>
          <w:rFonts w:eastAsiaTheme="minorEastAsia" w:cs="Times New Roman"/>
        </w:rPr>
        <w:t xml:space="preserve">Unilever, 2024 = </w:t>
      </w:r>
      <w:r w:rsidR="00224766" w:rsidRPr="001D121B">
        <w:rPr>
          <w:rFonts w:eastAsiaTheme="minorEastAsia" w:cs="Times New Roman"/>
        </w:rPr>
        <w:t xml:space="preserve">6,369/19,112,255 = </w:t>
      </w:r>
      <w:r w:rsidR="00552057" w:rsidRPr="001D121B">
        <w:rPr>
          <w:rFonts w:eastAsiaTheme="minorEastAsia" w:cs="Times New Roman"/>
        </w:rPr>
        <w:t>2.45</w:t>
      </w:r>
    </w:p>
    <w:p w:rsidR="00E470AD" w:rsidRPr="001D121B" w:rsidRDefault="00E470AD" w:rsidP="00585C84">
      <w:pPr>
        <w:pStyle w:val="ListParagraph"/>
        <w:ind w:left="1080"/>
        <w:jc w:val="left"/>
        <w:rPr>
          <w:rFonts w:eastAsiaTheme="minorEastAsia" w:cs="Times New Roman"/>
        </w:rPr>
      </w:pPr>
      <w:r w:rsidRPr="001D121B">
        <w:rPr>
          <w:rFonts w:eastAsiaTheme="minorEastAsia" w:cs="Times New Roman"/>
        </w:rPr>
        <w:t>AstraZeneca, 2025 =</w:t>
      </w:r>
      <w:r w:rsidR="00224766" w:rsidRPr="001D121B">
        <w:rPr>
          <w:rFonts w:eastAsiaTheme="minorEastAsia" w:cs="Times New Roman"/>
        </w:rPr>
        <w:t xml:space="preserve"> </w:t>
      </w:r>
    </w:p>
    <w:p w:rsidR="00E470AD" w:rsidRPr="001D121B" w:rsidRDefault="00E470AD" w:rsidP="00585C84">
      <w:pPr>
        <w:pStyle w:val="ListParagraph"/>
        <w:ind w:left="1080"/>
        <w:jc w:val="left"/>
        <w:rPr>
          <w:rFonts w:eastAsiaTheme="minorEastAsia" w:cs="Times New Roman"/>
        </w:rPr>
      </w:pPr>
      <w:r w:rsidRPr="001D121B">
        <w:rPr>
          <w:rFonts w:eastAsiaTheme="minorEastAsia" w:cs="Times New Roman"/>
        </w:rPr>
        <w:t xml:space="preserve">Unilever, 2025 = </w:t>
      </w:r>
      <w:r w:rsidR="00224766" w:rsidRPr="001D121B">
        <w:rPr>
          <w:rFonts w:eastAsiaTheme="minorEastAsia" w:cs="Times New Roman"/>
        </w:rPr>
        <w:t xml:space="preserve">10,011/15,628,385 = </w:t>
      </w:r>
      <w:r w:rsidR="00552057" w:rsidRPr="001D121B">
        <w:rPr>
          <w:rFonts w:eastAsiaTheme="minorEastAsia" w:cs="Times New Roman"/>
        </w:rPr>
        <w:t>2.60</w:t>
      </w:r>
    </w:p>
    <w:p w:rsidR="002B795B" w:rsidRPr="001D121B" w:rsidRDefault="002B795B" w:rsidP="002B795B">
      <w:pPr>
        <w:pStyle w:val="ListParagraph"/>
        <w:numPr>
          <w:ilvl w:val="0"/>
          <w:numId w:val="10"/>
        </w:numPr>
        <w:jc w:val="left"/>
        <w:rPr>
          <w:rFonts w:eastAsiaTheme="minorEastAsia" w:cs="Times New Roman"/>
        </w:rPr>
      </w:pPr>
      <w:r w:rsidRPr="001D121B">
        <w:rPr>
          <w:rFonts w:eastAsiaTheme="minorEastAsia" w:cs="Times New Roman"/>
        </w:rPr>
        <w:t xml:space="preserve">Dividend cover = </w:t>
      </w:r>
      <m:oMath>
        <m:f>
          <m:fPr>
            <m:ctrlPr>
              <w:rPr>
                <w:rFonts w:ascii="Cambria Math" w:eastAsiaTheme="minorEastAsia" w:hAnsi="Cambria Math" w:cs="Times New Roman"/>
                <w:i/>
              </w:rPr>
            </m:ctrlPr>
          </m:fPr>
          <m:num>
            <m:r>
              <w:rPr>
                <w:rFonts w:ascii="Cambria Math" w:eastAsiaTheme="minorEastAsia" w:hAnsi="Cambria Math" w:cs="Times New Roman"/>
              </w:rPr>
              <m:t>EPS</m:t>
            </m:r>
          </m:num>
          <m:den>
            <m:r>
              <w:rPr>
                <w:rFonts w:ascii="Cambria Math" w:eastAsiaTheme="minorEastAsia" w:hAnsi="Cambria Math" w:cs="Times New Roman"/>
              </w:rPr>
              <m:t>DPS</m:t>
            </m:r>
          </m:den>
        </m:f>
      </m:oMath>
    </w:p>
    <w:p w:rsidR="009B57FD" w:rsidRPr="001D121B" w:rsidRDefault="009B57FD" w:rsidP="009B57FD">
      <w:pPr>
        <w:pStyle w:val="ListParagraph"/>
        <w:ind w:left="1080"/>
        <w:jc w:val="left"/>
        <w:rPr>
          <w:rFonts w:eastAsiaTheme="minorEastAsia" w:cs="Times New Roman"/>
        </w:rPr>
      </w:pPr>
      <w:r w:rsidRPr="001D121B">
        <w:rPr>
          <w:rFonts w:eastAsiaTheme="minorEastAsia" w:cs="Times New Roman"/>
        </w:rPr>
        <w:t>AstraZeneca, 2024 = 4.54</w:t>
      </w:r>
    </w:p>
    <w:p w:rsidR="009B57FD" w:rsidRPr="001D121B" w:rsidRDefault="009B57FD" w:rsidP="009B57FD">
      <w:pPr>
        <w:pStyle w:val="ListParagraph"/>
        <w:ind w:left="1080"/>
        <w:jc w:val="left"/>
        <w:rPr>
          <w:rFonts w:eastAsiaTheme="minorEastAsia" w:cs="Times New Roman"/>
        </w:rPr>
      </w:pPr>
      <w:r w:rsidRPr="001D121B">
        <w:rPr>
          <w:rFonts w:eastAsiaTheme="minorEastAsia" w:cs="Times New Roman"/>
        </w:rPr>
        <w:t>Unilever, 2024 = 2.45/</w:t>
      </w:r>
    </w:p>
    <w:p w:rsidR="009B57FD" w:rsidRPr="001D121B" w:rsidRDefault="009B57FD" w:rsidP="009B57FD">
      <w:pPr>
        <w:pStyle w:val="ListParagraph"/>
        <w:ind w:left="1080"/>
        <w:jc w:val="left"/>
        <w:rPr>
          <w:rFonts w:eastAsiaTheme="minorEastAsia" w:cs="Times New Roman"/>
        </w:rPr>
      </w:pPr>
      <w:r w:rsidRPr="001D121B">
        <w:rPr>
          <w:rFonts w:eastAsiaTheme="minorEastAsia" w:cs="Times New Roman"/>
        </w:rPr>
        <w:t>AstraZeneca, 2025 = 6.6</w:t>
      </w:r>
    </w:p>
    <w:p w:rsidR="009B57FD" w:rsidRPr="001D121B" w:rsidRDefault="009B57FD" w:rsidP="009B57FD">
      <w:pPr>
        <w:pStyle w:val="ListParagraph"/>
        <w:ind w:left="1080"/>
        <w:jc w:val="left"/>
        <w:rPr>
          <w:rFonts w:eastAsiaTheme="minorEastAsia" w:cs="Times New Roman"/>
        </w:rPr>
      </w:pPr>
      <w:r w:rsidRPr="001D121B">
        <w:rPr>
          <w:rFonts w:eastAsiaTheme="minorEastAsia" w:cs="Times New Roman"/>
        </w:rPr>
        <w:t>Unilever, 2025 = 2.6/</w:t>
      </w:r>
    </w:p>
    <w:p w:rsidR="002B795B" w:rsidRPr="001D121B" w:rsidRDefault="002B795B" w:rsidP="002B795B">
      <w:pPr>
        <w:pStyle w:val="ListParagraph"/>
        <w:ind w:left="1080"/>
        <w:jc w:val="left"/>
        <w:rPr>
          <w:rFonts w:eastAsiaTheme="minorEastAsia" w:cs="Times New Roman"/>
        </w:rPr>
      </w:pPr>
    </w:p>
    <w:p w:rsidR="00EC3A13" w:rsidRPr="001D121B" w:rsidRDefault="00EC3A13" w:rsidP="00EC3A13">
      <w:pPr>
        <w:ind w:left="360"/>
        <w:jc w:val="left"/>
        <w:rPr>
          <w:rFonts w:eastAsiaTheme="minorEastAsia" w:cs="Times New Roman"/>
        </w:rPr>
      </w:pPr>
    </w:p>
    <w:p w:rsidR="00AA7BCB" w:rsidRPr="001D121B" w:rsidRDefault="00AA7BCB" w:rsidP="00AA7BCB">
      <w:pPr>
        <w:pStyle w:val="ListParagraph"/>
        <w:ind w:left="1080"/>
        <w:jc w:val="left"/>
        <w:rPr>
          <w:rFonts w:eastAsiaTheme="minorEastAsia" w:cs="Times New Roman"/>
        </w:rPr>
      </w:pPr>
    </w:p>
    <w:p w:rsidR="00C154A5" w:rsidRPr="001D121B" w:rsidRDefault="00C154A5" w:rsidP="00C154A5">
      <w:pPr>
        <w:pStyle w:val="ListParagraph"/>
        <w:ind w:left="1080"/>
        <w:jc w:val="left"/>
        <w:rPr>
          <w:rFonts w:eastAsiaTheme="minorEastAsia" w:cs="Times New Roman"/>
        </w:rPr>
      </w:pPr>
    </w:p>
    <w:p w:rsidR="00762EC9" w:rsidRPr="001D121B" w:rsidRDefault="00762EC9" w:rsidP="00762EC9">
      <w:pPr>
        <w:pStyle w:val="ListParagraph"/>
        <w:ind w:left="1080"/>
        <w:jc w:val="left"/>
        <w:rPr>
          <w:rFonts w:eastAsiaTheme="minorEastAsia" w:cs="Times New Roman"/>
        </w:rPr>
      </w:pPr>
    </w:p>
    <w:p w:rsidR="00457F6C" w:rsidRPr="001D121B" w:rsidRDefault="00457F6C" w:rsidP="00457F6C">
      <w:pPr>
        <w:pStyle w:val="ListParagraph"/>
        <w:ind w:left="1080"/>
        <w:jc w:val="left"/>
        <w:rPr>
          <w:rFonts w:eastAsiaTheme="minorEastAsia" w:cs="Times New Roman"/>
        </w:rPr>
      </w:pPr>
    </w:p>
    <w:p w:rsidR="00961D88" w:rsidRPr="001D121B" w:rsidRDefault="00961D88" w:rsidP="00961D88">
      <w:pPr>
        <w:jc w:val="left"/>
        <w:rPr>
          <w:rFonts w:eastAsiaTheme="minorEastAsia" w:cs="Times New Roman"/>
        </w:rPr>
      </w:pPr>
    </w:p>
    <w:p w:rsidR="00757BE3" w:rsidRPr="001D121B" w:rsidRDefault="00757BE3" w:rsidP="001D187F">
      <w:pPr>
        <w:jc w:val="left"/>
        <w:rPr>
          <w:rFonts w:cs="Times New Roman"/>
        </w:rPr>
      </w:pPr>
    </w:p>
    <w:p w:rsidR="00301BC7" w:rsidRPr="001D121B" w:rsidRDefault="00301BC7" w:rsidP="007D70C6">
      <w:pPr>
        <w:rPr>
          <w:rFonts w:cs="Times New Roman"/>
        </w:rPr>
      </w:pPr>
    </w:p>
    <w:p w:rsidR="00AD7D55" w:rsidRPr="001D121B" w:rsidRDefault="00AD7D55">
      <w:pPr>
        <w:rPr>
          <w:rFonts w:cs="Times New Roman"/>
        </w:rPr>
      </w:pPr>
    </w:p>
    <w:sectPr w:rsidR="00AD7D55" w:rsidRPr="001D12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E44A6" w:rsidRDefault="00BE44A6" w:rsidP="00413889">
      <w:pPr>
        <w:spacing w:line="240" w:lineRule="auto"/>
      </w:pPr>
      <w:r>
        <w:separator/>
      </w:r>
    </w:p>
  </w:endnote>
  <w:endnote w:type="continuationSeparator" w:id="0">
    <w:p w:rsidR="00BE44A6" w:rsidRDefault="00BE44A6" w:rsidP="004138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E44A6" w:rsidRDefault="00BE44A6" w:rsidP="00413889">
      <w:pPr>
        <w:spacing w:line="240" w:lineRule="auto"/>
      </w:pPr>
      <w:r>
        <w:separator/>
      </w:r>
    </w:p>
  </w:footnote>
  <w:footnote w:type="continuationSeparator" w:id="0">
    <w:p w:rsidR="00BE44A6" w:rsidRDefault="00BE44A6" w:rsidP="00413889">
      <w:pPr>
        <w:spacing w:line="240" w:lineRule="auto"/>
      </w:pPr>
      <w:r>
        <w:continuationSeparator/>
      </w:r>
    </w:p>
  </w:footnote>
  <w:footnote w:id="1">
    <w:p w:rsidR="00413889" w:rsidRPr="00413889" w:rsidRDefault="00413889">
      <w:pPr>
        <w:pStyle w:val="FootnoteText"/>
        <w:rPr>
          <w:lang w:val="en-US"/>
        </w:rPr>
      </w:pPr>
      <w:r>
        <w:rPr>
          <w:rStyle w:val="FootnoteReference"/>
        </w:rPr>
        <w:footnoteRef/>
      </w:r>
      <w:r>
        <w:t xml:space="preserve"> </w:t>
      </w:r>
      <w:r>
        <w:rPr>
          <w:lang w:val="en-US"/>
        </w:rPr>
        <w:t>All the monetary figures are in million dollars.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66087"/>
    <w:multiLevelType w:val="hybridMultilevel"/>
    <w:tmpl w:val="456E0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53D38"/>
    <w:multiLevelType w:val="hybridMultilevel"/>
    <w:tmpl w:val="1234B940"/>
    <w:lvl w:ilvl="0" w:tplc="D53860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2E1FE5"/>
    <w:multiLevelType w:val="hybridMultilevel"/>
    <w:tmpl w:val="98FEAD82"/>
    <w:lvl w:ilvl="0" w:tplc="37EE16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C604D"/>
    <w:multiLevelType w:val="multilevel"/>
    <w:tmpl w:val="529EFAE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D55FCA"/>
    <w:multiLevelType w:val="hybridMultilevel"/>
    <w:tmpl w:val="A9F0F65A"/>
    <w:lvl w:ilvl="0" w:tplc="B3F2CCAE">
      <w:start w:val="1"/>
      <w:numFmt w:val="bullet"/>
      <w:lvlText w:val=""/>
      <w:lvlJc w:val="left"/>
      <w:pPr>
        <w:ind w:left="720" w:hanging="360"/>
      </w:pPr>
      <w:rPr>
        <w:rFonts w:ascii="Symbol" w:eastAsiaTheme="minorHAnsi" w:hAnsi="Symbol" w:cs="Vrind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35BC6"/>
    <w:multiLevelType w:val="multilevel"/>
    <w:tmpl w:val="2BBE852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FBA3291"/>
    <w:multiLevelType w:val="hybridMultilevel"/>
    <w:tmpl w:val="6956A83E"/>
    <w:lvl w:ilvl="0" w:tplc="DC0A1E00">
      <w:start w:val="1"/>
      <w:numFmt w:val="low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31060B"/>
    <w:multiLevelType w:val="multilevel"/>
    <w:tmpl w:val="FCA619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2BB6DD5"/>
    <w:multiLevelType w:val="hybridMultilevel"/>
    <w:tmpl w:val="CB0AE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606D"/>
    <w:multiLevelType w:val="hybridMultilevel"/>
    <w:tmpl w:val="57AA9F48"/>
    <w:lvl w:ilvl="0" w:tplc="7DB650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5C53B9"/>
    <w:multiLevelType w:val="hybridMultilevel"/>
    <w:tmpl w:val="036C9E6E"/>
    <w:lvl w:ilvl="0" w:tplc="9F90CE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204C65"/>
    <w:multiLevelType w:val="hybridMultilevel"/>
    <w:tmpl w:val="1C3217D8"/>
    <w:lvl w:ilvl="0" w:tplc="4D1A69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993E5B"/>
    <w:multiLevelType w:val="hybridMultilevel"/>
    <w:tmpl w:val="BAF60B9A"/>
    <w:lvl w:ilvl="0" w:tplc="4542834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540D0A"/>
    <w:multiLevelType w:val="hybridMultilevel"/>
    <w:tmpl w:val="7D1E7BBA"/>
    <w:lvl w:ilvl="0" w:tplc="FA400A1E">
      <w:start w:val="1"/>
      <w:numFmt w:val="low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752AD3"/>
    <w:multiLevelType w:val="hybridMultilevel"/>
    <w:tmpl w:val="1F846124"/>
    <w:lvl w:ilvl="0" w:tplc="3A787C62">
      <w:start w:val="1"/>
      <w:numFmt w:val="lowerRoman"/>
      <w:lvlText w:val="%1)"/>
      <w:lvlJc w:val="left"/>
      <w:pPr>
        <w:ind w:left="1080" w:hanging="72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4B56A8"/>
    <w:multiLevelType w:val="hybridMultilevel"/>
    <w:tmpl w:val="4FF6F218"/>
    <w:lvl w:ilvl="0" w:tplc="6166FD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E531BF"/>
    <w:multiLevelType w:val="hybridMultilevel"/>
    <w:tmpl w:val="FCBEAFA8"/>
    <w:lvl w:ilvl="0" w:tplc="6BD68D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6057441">
    <w:abstractNumId w:val="0"/>
  </w:num>
  <w:num w:numId="2" w16cid:durableId="1641614788">
    <w:abstractNumId w:val="10"/>
  </w:num>
  <w:num w:numId="3" w16cid:durableId="1481190967">
    <w:abstractNumId w:val="9"/>
  </w:num>
  <w:num w:numId="4" w16cid:durableId="1617716160">
    <w:abstractNumId w:val="13"/>
  </w:num>
  <w:num w:numId="5" w16cid:durableId="752362472">
    <w:abstractNumId w:val="15"/>
  </w:num>
  <w:num w:numId="6" w16cid:durableId="299655545">
    <w:abstractNumId w:val="12"/>
  </w:num>
  <w:num w:numId="7" w16cid:durableId="1415542927">
    <w:abstractNumId w:val="4"/>
  </w:num>
  <w:num w:numId="8" w16cid:durableId="170727133">
    <w:abstractNumId w:val="3"/>
  </w:num>
  <w:num w:numId="9" w16cid:durableId="83499228">
    <w:abstractNumId w:val="6"/>
  </w:num>
  <w:num w:numId="10" w16cid:durableId="909074124">
    <w:abstractNumId w:val="14"/>
  </w:num>
  <w:num w:numId="11" w16cid:durableId="1464498156">
    <w:abstractNumId w:val="8"/>
  </w:num>
  <w:num w:numId="12" w16cid:durableId="1745568405">
    <w:abstractNumId w:val="2"/>
  </w:num>
  <w:num w:numId="13" w16cid:durableId="854808582">
    <w:abstractNumId w:val="16"/>
  </w:num>
  <w:num w:numId="14" w16cid:durableId="1191339851">
    <w:abstractNumId w:val="1"/>
  </w:num>
  <w:num w:numId="15" w16cid:durableId="345325152">
    <w:abstractNumId w:val="11"/>
  </w:num>
  <w:num w:numId="16" w16cid:durableId="2144929183">
    <w:abstractNumId w:val="7"/>
  </w:num>
  <w:num w:numId="17" w16cid:durableId="579408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C6"/>
    <w:rsid w:val="00025F53"/>
    <w:rsid w:val="0006665F"/>
    <w:rsid w:val="000741A6"/>
    <w:rsid w:val="000765F6"/>
    <w:rsid w:val="0007734B"/>
    <w:rsid w:val="000924C2"/>
    <w:rsid w:val="00092A36"/>
    <w:rsid w:val="000A59D8"/>
    <w:rsid w:val="000A6E98"/>
    <w:rsid w:val="000B219B"/>
    <w:rsid w:val="000C1990"/>
    <w:rsid w:val="000C2F4B"/>
    <w:rsid w:val="000D1D71"/>
    <w:rsid w:val="000D2C17"/>
    <w:rsid w:val="000D573E"/>
    <w:rsid w:val="000E127C"/>
    <w:rsid w:val="000E151D"/>
    <w:rsid w:val="000E1CEA"/>
    <w:rsid w:val="000E2AB1"/>
    <w:rsid w:val="000E5C31"/>
    <w:rsid w:val="000E760A"/>
    <w:rsid w:val="00106CC8"/>
    <w:rsid w:val="00106FD3"/>
    <w:rsid w:val="001126F6"/>
    <w:rsid w:val="00131CB7"/>
    <w:rsid w:val="001348F6"/>
    <w:rsid w:val="00142C91"/>
    <w:rsid w:val="00164A34"/>
    <w:rsid w:val="001731D3"/>
    <w:rsid w:val="0018104A"/>
    <w:rsid w:val="0018227F"/>
    <w:rsid w:val="0019677B"/>
    <w:rsid w:val="001A6BD6"/>
    <w:rsid w:val="001A76ED"/>
    <w:rsid w:val="001B332C"/>
    <w:rsid w:val="001B3CD6"/>
    <w:rsid w:val="001C030A"/>
    <w:rsid w:val="001C0F71"/>
    <w:rsid w:val="001C70D6"/>
    <w:rsid w:val="001D121B"/>
    <w:rsid w:val="001D187F"/>
    <w:rsid w:val="00216A60"/>
    <w:rsid w:val="00224766"/>
    <w:rsid w:val="00224925"/>
    <w:rsid w:val="00232A80"/>
    <w:rsid w:val="00232CC1"/>
    <w:rsid w:val="00234B8B"/>
    <w:rsid w:val="00236F87"/>
    <w:rsid w:val="002456E9"/>
    <w:rsid w:val="002532C9"/>
    <w:rsid w:val="00253621"/>
    <w:rsid w:val="00267521"/>
    <w:rsid w:val="00270115"/>
    <w:rsid w:val="002702DA"/>
    <w:rsid w:val="00274718"/>
    <w:rsid w:val="0028486A"/>
    <w:rsid w:val="00290816"/>
    <w:rsid w:val="00291F55"/>
    <w:rsid w:val="00292F65"/>
    <w:rsid w:val="002A247E"/>
    <w:rsid w:val="002B73C0"/>
    <w:rsid w:val="002B77B1"/>
    <w:rsid w:val="002B795B"/>
    <w:rsid w:val="002D30BF"/>
    <w:rsid w:val="002D4A5D"/>
    <w:rsid w:val="002D7AF5"/>
    <w:rsid w:val="002F0DF8"/>
    <w:rsid w:val="002F7B01"/>
    <w:rsid w:val="00301BC7"/>
    <w:rsid w:val="00313CE5"/>
    <w:rsid w:val="00327649"/>
    <w:rsid w:val="00330371"/>
    <w:rsid w:val="00361BAC"/>
    <w:rsid w:val="003760C9"/>
    <w:rsid w:val="0037756E"/>
    <w:rsid w:val="00395054"/>
    <w:rsid w:val="003A0A29"/>
    <w:rsid w:val="003B15E7"/>
    <w:rsid w:val="003B3962"/>
    <w:rsid w:val="003B605A"/>
    <w:rsid w:val="003C2A01"/>
    <w:rsid w:val="00410766"/>
    <w:rsid w:val="0041367E"/>
    <w:rsid w:val="00413889"/>
    <w:rsid w:val="00413897"/>
    <w:rsid w:val="004507CC"/>
    <w:rsid w:val="00457F6C"/>
    <w:rsid w:val="0046007D"/>
    <w:rsid w:val="00460377"/>
    <w:rsid w:val="0046090A"/>
    <w:rsid w:val="0046283D"/>
    <w:rsid w:val="004744C0"/>
    <w:rsid w:val="0047792B"/>
    <w:rsid w:val="004818E7"/>
    <w:rsid w:val="00497C36"/>
    <w:rsid w:val="004B652C"/>
    <w:rsid w:val="004C08F8"/>
    <w:rsid w:val="004C69A7"/>
    <w:rsid w:val="004C78CF"/>
    <w:rsid w:val="004D0BDD"/>
    <w:rsid w:val="004D1012"/>
    <w:rsid w:val="004D2582"/>
    <w:rsid w:val="004D365A"/>
    <w:rsid w:val="004D3732"/>
    <w:rsid w:val="004D641D"/>
    <w:rsid w:val="004E55A9"/>
    <w:rsid w:val="004F475E"/>
    <w:rsid w:val="004F5C76"/>
    <w:rsid w:val="004F6FF8"/>
    <w:rsid w:val="00510CC5"/>
    <w:rsid w:val="005127DC"/>
    <w:rsid w:val="00513965"/>
    <w:rsid w:val="00524BE2"/>
    <w:rsid w:val="005348EE"/>
    <w:rsid w:val="00534AC9"/>
    <w:rsid w:val="0055132F"/>
    <w:rsid w:val="00552057"/>
    <w:rsid w:val="00557E93"/>
    <w:rsid w:val="005623E4"/>
    <w:rsid w:val="00563080"/>
    <w:rsid w:val="00575CA3"/>
    <w:rsid w:val="0058038B"/>
    <w:rsid w:val="00583F24"/>
    <w:rsid w:val="00585C84"/>
    <w:rsid w:val="00595B16"/>
    <w:rsid w:val="005A0EA0"/>
    <w:rsid w:val="005A7080"/>
    <w:rsid w:val="005A76DF"/>
    <w:rsid w:val="005B296C"/>
    <w:rsid w:val="005C2520"/>
    <w:rsid w:val="005C5BA2"/>
    <w:rsid w:val="005C6BCE"/>
    <w:rsid w:val="005D2665"/>
    <w:rsid w:val="005D683D"/>
    <w:rsid w:val="005E2B3A"/>
    <w:rsid w:val="005E6B1F"/>
    <w:rsid w:val="006027CD"/>
    <w:rsid w:val="00615A2B"/>
    <w:rsid w:val="006349DC"/>
    <w:rsid w:val="00635646"/>
    <w:rsid w:val="00644315"/>
    <w:rsid w:val="006579DC"/>
    <w:rsid w:val="006635E6"/>
    <w:rsid w:val="0066512F"/>
    <w:rsid w:val="006671F3"/>
    <w:rsid w:val="006702BB"/>
    <w:rsid w:val="006C3AF1"/>
    <w:rsid w:val="006D2339"/>
    <w:rsid w:val="006D643C"/>
    <w:rsid w:val="006F246E"/>
    <w:rsid w:val="007007AE"/>
    <w:rsid w:val="007033F8"/>
    <w:rsid w:val="00757BE3"/>
    <w:rsid w:val="00760523"/>
    <w:rsid w:val="00762EC9"/>
    <w:rsid w:val="00775C20"/>
    <w:rsid w:val="0078028D"/>
    <w:rsid w:val="007826D6"/>
    <w:rsid w:val="007B7ECA"/>
    <w:rsid w:val="007C05A8"/>
    <w:rsid w:val="007D70C6"/>
    <w:rsid w:val="007E7EE2"/>
    <w:rsid w:val="007F3449"/>
    <w:rsid w:val="00820AC2"/>
    <w:rsid w:val="008318AE"/>
    <w:rsid w:val="00834CC5"/>
    <w:rsid w:val="00837F2F"/>
    <w:rsid w:val="00840E30"/>
    <w:rsid w:val="00854039"/>
    <w:rsid w:val="008569EF"/>
    <w:rsid w:val="0085762C"/>
    <w:rsid w:val="00860BA0"/>
    <w:rsid w:val="00862B7D"/>
    <w:rsid w:val="00863EDC"/>
    <w:rsid w:val="008724AC"/>
    <w:rsid w:val="00894667"/>
    <w:rsid w:val="00895D6E"/>
    <w:rsid w:val="008968C6"/>
    <w:rsid w:val="008A21F9"/>
    <w:rsid w:val="008A44BA"/>
    <w:rsid w:val="008B5898"/>
    <w:rsid w:val="008C4683"/>
    <w:rsid w:val="008F14FC"/>
    <w:rsid w:val="008F37E0"/>
    <w:rsid w:val="008F4455"/>
    <w:rsid w:val="009016AE"/>
    <w:rsid w:val="00902665"/>
    <w:rsid w:val="00905EF5"/>
    <w:rsid w:val="0091356A"/>
    <w:rsid w:val="00944DDF"/>
    <w:rsid w:val="009543B6"/>
    <w:rsid w:val="009573BC"/>
    <w:rsid w:val="00961D88"/>
    <w:rsid w:val="009640B8"/>
    <w:rsid w:val="00973A0B"/>
    <w:rsid w:val="00974F43"/>
    <w:rsid w:val="00987954"/>
    <w:rsid w:val="00993794"/>
    <w:rsid w:val="009A00CF"/>
    <w:rsid w:val="009A50F9"/>
    <w:rsid w:val="009B57FD"/>
    <w:rsid w:val="009C6862"/>
    <w:rsid w:val="009D6A29"/>
    <w:rsid w:val="009E302C"/>
    <w:rsid w:val="009E42FA"/>
    <w:rsid w:val="009F0272"/>
    <w:rsid w:val="00A026ED"/>
    <w:rsid w:val="00A045EC"/>
    <w:rsid w:val="00A04B52"/>
    <w:rsid w:val="00A13914"/>
    <w:rsid w:val="00A239EC"/>
    <w:rsid w:val="00A35D47"/>
    <w:rsid w:val="00A475B1"/>
    <w:rsid w:val="00A67798"/>
    <w:rsid w:val="00A7069F"/>
    <w:rsid w:val="00A804D8"/>
    <w:rsid w:val="00A8288E"/>
    <w:rsid w:val="00A83963"/>
    <w:rsid w:val="00A93FEC"/>
    <w:rsid w:val="00A97241"/>
    <w:rsid w:val="00AA7BCB"/>
    <w:rsid w:val="00AB0E22"/>
    <w:rsid w:val="00AC16D0"/>
    <w:rsid w:val="00AD2D3C"/>
    <w:rsid w:val="00AD3842"/>
    <w:rsid w:val="00AD7D55"/>
    <w:rsid w:val="00AE288F"/>
    <w:rsid w:val="00AE7328"/>
    <w:rsid w:val="00AF0EB0"/>
    <w:rsid w:val="00AF2046"/>
    <w:rsid w:val="00B37DBE"/>
    <w:rsid w:val="00B443EE"/>
    <w:rsid w:val="00B50F48"/>
    <w:rsid w:val="00B549A6"/>
    <w:rsid w:val="00B572FE"/>
    <w:rsid w:val="00B6008E"/>
    <w:rsid w:val="00B649CF"/>
    <w:rsid w:val="00B658A2"/>
    <w:rsid w:val="00B708B8"/>
    <w:rsid w:val="00B760E4"/>
    <w:rsid w:val="00B77173"/>
    <w:rsid w:val="00B91114"/>
    <w:rsid w:val="00B92865"/>
    <w:rsid w:val="00BB7F39"/>
    <w:rsid w:val="00BC3414"/>
    <w:rsid w:val="00BC668C"/>
    <w:rsid w:val="00BD23D1"/>
    <w:rsid w:val="00BE44A6"/>
    <w:rsid w:val="00BE490A"/>
    <w:rsid w:val="00BF51AF"/>
    <w:rsid w:val="00C118FF"/>
    <w:rsid w:val="00C12978"/>
    <w:rsid w:val="00C154A5"/>
    <w:rsid w:val="00C25168"/>
    <w:rsid w:val="00C368C6"/>
    <w:rsid w:val="00C46E97"/>
    <w:rsid w:val="00C65080"/>
    <w:rsid w:val="00C65ECC"/>
    <w:rsid w:val="00C76B6D"/>
    <w:rsid w:val="00C80C21"/>
    <w:rsid w:val="00C82A60"/>
    <w:rsid w:val="00C865C0"/>
    <w:rsid w:val="00C92A8F"/>
    <w:rsid w:val="00C94210"/>
    <w:rsid w:val="00CB2AB4"/>
    <w:rsid w:val="00CB5D2D"/>
    <w:rsid w:val="00CC30D5"/>
    <w:rsid w:val="00CD1956"/>
    <w:rsid w:val="00CD2540"/>
    <w:rsid w:val="00CD621E"/>
    <w:rsid w:val="00CE0293"/>
    <w:rsid w:val="00CE7BE8"/>
    <w:rsid w:val="00D0388A"/>
    <w:rsid w:val="00D05C0D"/>
    <w:rsid w:val="00D31AAB"/>
    <w:rsid w:val="00D36178"/>
    <w:rsid w:val="00D40FF3"/>
    <w:rsid w:val="00D437D4"/>
    <w:rsid w:val="00D66A45"/>
    <w:rsid w:val="00D753E4"/>
    <w:rsid w:val="00D841A8"/>
    <w:rsid w:val="00D871F3"/>
    <w:rsid w:val="00D90F93"/>
    <w:rsid w:val="00DB4DD4"/>
    <w:rsid w:val="00DC3054"/>
    <w:rsid w:val="00DC562E"/>
    <w:rsid w:val="00DE0BB9"/>
    <w:rsid w:val="00E02A9A"/>
    <w:rsid w:val="00E11F77"/>
    <w:rsid w:val="00E130D3"/>
    <w:rsid w:val="00E30CCB"/>
    <w:rsid w:val="00E37BEA"/>
    <w:rsid w:val="00E42EDC"/>
    <w:rsid w:val="00E470AD"/>
    <w:rsid w:val="00E63536"/>
    <w:rsid w:val="00E67F90"/>
    <w:rsid w:val="00E71C35"/>
    <w:rsid w:val="00E75E66"/>
    <w:rsid w:val="00E86351"/>
    <w:rsid w:val="00EA7C60"/>
    <w:rsid w:val="00EB29E8"/>
    <w:rsid w:val="00EB6EFB"/>
    <w:rsid w:val="00EC10F1"/>
    <w:rsid w:val="00EC3A13"/>
    <w:rsid w:val="00EC72C3"/>
    <w:rsid w:val="00EE7AEA"/>
    <w:rsid w:val="00EF3693"/>
    <w:rsid w:val="00F13284"/>
    <w:rsid w:val="00F230AC"/>
    <w:rsid w:val="00F40EDC"/>
    <w:rsid w:val="00F42904"/>
    <w:rsid w:val="00F43D62"/>
    <w:rsid w:val="00F54447"/>
    <w:rsid w:val="00F72135"/>
    <w:rsid w:val="00F730EA"/>
    <w:rsid w:val="00F800BA"/>
    <w:rsid w:val="00F82032"/>
    <w:rsid w:val="00F83B23"/>
    <w:rsid w:val="00F90858"/>
    <w:rsid w:val="00F932EC"/>
    <w:rsid w:val="00FA5C61"/>
    <w:rsid w:val="00FC0337"/>
    <w:rsid w:val="00FC7E6B"/>
    <w:rsid w:val="00FD3195"/>
    <w:rsid w:val="00FE479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4:docId w14:val="7230D786"/>
  <w15:chartTrackingRefBased/>
  <w15:docId w15:val="{22494937-F1C3-3F45-B317-5E4AFBBA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0C6"/>
    <w:pPr>
      <w:spacing w:line="360" w:lineRule="auto"/>
      <w:jc w:val="both"/>
    </w:pPr>
    <w:rPr>
      <w:rFonts w:ascii="Times New Roman" w:hAnsi="Times New Roman" w:cs="Vrinda"/>
    </w:rPr>
  </w:style>
  <w:style w:type="paragraph" w:styleId="Heading1">
    <w:name w:val="heading 1"/>
    <w:basedOn w:val="Normal"/>
    <w:next w:val="Normal"/>
    <w:link w:val="Heading1Char"/>
    <w:uiPriority w:val="9"/>
    <w:qFormat/>
    <w:rsid w:val="007D70C6"/>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7D70C6"/>
    <w:pPr>
      <w:keepNext/>
      <w:keepLines/>
      <w:spacing w:before="40"/>
      <w:outlineLvl w:val="1"/>
    </w:pPr>
    <w:rPr>
      <w:rFonts w:eastAsiaTheme="majorEastAsia" w:cstheme="majorBidi"/>
      <w:color w:val="2F5496" w:themeColor="accent1" w:themeShade="BF"/>
      <w:sz w:val="28"/>
      <w:szCs w:val="33"/>
    </w:rPr>
  </w:style>
  <w:style w:type="paragraph" w:styleId="Heading3">
    <w:name w:val="heading 3"/>
    <w:basedOn w:val="Normal"/>
    <w:next w:val="Normal"/>
    <w:link w:val="Heading3Char"/>
    <w:uiPriority w:val="9"/>
    <w:unhideWhenUsed/>
    <w:qFormat/>
    <w:rsid w:val="00EA7C6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0C6"/>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7D70C6"/>
    <w:rPr>
      <w:rFonts w:ascii="Times New Roman" w:eastAsiaTheme="majorEastAsia" w:hAnsi="Times New Roman" w:cstheme="majorBidi"/>
      <w:color w:val="2F5496" w:themeColor="accent1" w:themeShade="BF"/>
      <w:sz w:val="28"/>
      <w:szCs w:val="33"/>
    </w:rPr>
  </w:style>
  <w:style w:type="paragraph" w:styleId="ListParagraph">
    <w:name w:val="List Paragraph"/>
    <w:basedOn w:val="Normal"/>
    <w:uiPriority w:val="34"/>
    <w:qFormat/>
    <w:rsid w:val="007D70C6"/>
    <w:pPr>
      <w:ind w:left="720"/>
      <w:contextualSpacing/>
    </w:pPr>
  </w:style>
  <w:style w:type="table" w:styleId="TableGrid">
    <w:name w:val="Table Grid"/>
    <w:basedOn w:val="TableNormal"/>
    <w:uiPriority w:val="39"/>
    <w:rsid w:val="007D7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B219B"/>
    <w:rPr>
      <w:color w:val="666666"/>
    </w:rPr>
  </w:style>
  <w:style w:type="character" w:styleId="Hyperlink">
    <w:name w:val="Hyperlink"/>
    <w:basedOn w:val="DefaultParagraphFont"/>
    <w:uiPriority w:val="99"/>
    <w:unhideWhenUsed/>
    <w:rsid w:val="003B605A"/>
    <w:rPr>
      <w:color w:val="0563C1" w:themeColor="hyperlink"/>
      <w:u w:val="single"/>
    </w:rPr>
  </w:style>
  <w:style w:type="character" w:styleId="UnresolvedMention">
    <w:name w:val="Unresolved Mention"/>
    <w:basedOn w:val="DefaultParagraphFont"/>
    <w:uiPriority w:val="99"/>
    <w:semiHidden/>
    <w:unhideWhenUsed/>
    <w:rsid w:val="003B605A"/>
    <w:rPr>
      <w:color w:val="605E5C"/>
      <w:shd w:val="clear" w:color="auto" w:fill="E1DFDD"/>
    </w:rPr>
  </w:style>
  <w:style w:type="character" w:styleId="FollowedHyperlink">
    <w:name w:val="FollowedHyperlink"/>
    <w:basedOn w:val="DefaultParagraphFont"/>
    <w:uiPriority w:val="99"/>
    <w:semiHidden/>
    <w:unhideWhenUsed/>
    <w:rsid w:val="003B605A"/>
    <w:rPr>
      <w:color w:val="954F72" w:themeColor="followedHyperlink"/>
      <w:u w:val="single"/>
    </w:rPr>
  </w:style>
  <w:style w:type="paragraph" w:styleId="FootnoteText">
    <w:name w:val="footnote text"/>
    <w:basedOn w:val="Normal"/>
    <w:link w:val="FootnoteTextChar"/>
    <w:uiPriority w:val="99"/>
    <w:semiHidden/>
    <w:unhideWhenUsed/>
    <w:rsid w:val="00413889"/>
    <w:pPr>
      <w:spacing w:line="240" w:lineRule="auto"/>
    </w:pPr>
    <w:rPr>
      <w:sz w:val="20"/>
      <w:szCs w:val="25"/>
    </w:rPr>
  </w:style>
  <w:style w:type="character" w:customStyle="1" w:styleId="FootnoteTextChar">
    <w:name w:val="Footnote Text Char"/>
    <w:basedOn w:val="DefaultParagraphFont"/>
    <w:link w:val="FootnoteText"/>
    <w:uiPriority w:val="99"/>
    <w:semiHidden/>
    <w:rsid w:val="00413889"/>
    <w:rPr>
      <w:rFonts w:ascii="Times New Roman" w:hAnsi="Times New Roman" w:cs="Vrinda"/>
      <w:sz w:val="20"/>
      <w:szCs w:val="25"/>
    </w:rPr>
  </w:style>
  <w:style w:type="character" w:styleId="FootnoteReference">
    <w:name w:val="footnote reference"/>
    <w:basedOn w:val="DefaultParagraphFont"/>
    <w:uiPriority w:val="99"/>
    <w:semiHidden/>
    <w:unhideWhenUsed/>
    <w:rsid w:val="00413889"/>
    <w:rPr>
      <w:vertAlign w:val="superscript"/>
    </w:rPr>
  </w:style>
  <w:style w:type="paragraph" w:styleId="Bibliography">
    <w:name w:val="Bibliography"/>
    <w:basedOn w:val="Normal"/>
    <w:next w:val="Normal"/>
    <w:uiPriority w:val="37"/>
    <w:unhideWhenUsed/>
    <w:rsid w:val="00AC16D0"/>
  </w:style>
  <w:style w:type="paragraph" w:styleId="TOCHeading">
    <w:name w:val="TOC Heading"/>
    <w:basedOn w:val="Heading1"/>
    <w:next w:val="Normal"/>
    <w:uiPriority w:val="39"/>
    <w:unhideWhenUsed/>
    <w:qFormat/>
    <w:rsid w:val="001D121B"/>
    <w:pPr>
      <w:spacing w:before="480" w:line="276" w:lineRule="auto"/>
      <w:jc w:val="left"/>
      <w:outlineLvl w:val="9"/>
    </w:pPr>
    <w:rPr>
      <w:rFonts w:asciiTheme="majorHAnsi" w:hAnsiTheme="majorHAnsi"/>
      <w:bCs/>
      <w:kern w:val="0"/>
      <w:sz w:val="28"/>
      <w:szCs w:val="28"/>
      <w:lang w:val="en-US" w:bidi="ar-SA"/>
      <w14:ligatures w14:val="none"/>
    </w:rPr>
  </w:style>
  <w:style w:type="paragraph" w:styleId="TOC1">
    <w:name w:val="toc 1"/>
    <w:basedOn w:val="Normal"/>
    <w:next w:val="Normal"/>
    <w:autoRedefine/>
    <w:uiPriority w:val="39"/>
    <w:unhideWhenUsed/>
    <w:rsid w:val="001D121B"/>
    <w:pPr>
      <w:spacing w:before="120" w:after="120"/>
      <w:jc w:val="left"/>
    </w:pPr>
    <w:rPr>
      <w:rFonts w:asciiTheme="minorHAnsi" w:hAnsiTheme="minorHAnsi"/>
      <w:b/>
      <w:bCs/>
      <w:caps/>
      <w:sz w:val="20"/>
      <w:szCs w:val="20"/>
    </w:rPr>
  </w:style>
  <w:style w:type="paragraph" w:styleId="TOC2">
    <w:name w:val="toc 2"/>
    <w:basedOn w:val="Normal"/>
    <w:next w:val="Normal"/>
    <w:autoRedefine/>
    <w:uiPriority w:val="39"/>
    <w:unhideWhenUsed/>
    <w:rsid w:val="001D121B"/>
    <w:pPr>
      <w:ind w:left="240"/>
      <w:jc w:val="left"/>
    </w:pPr>
    <w:rPr>
      <w:rFonts w:asciiTheme="minorHAnsi" w:hAnsiTheme="minorHAnsi"/>
      <w:smallCaps/>
      <w:sz w:val="20"/>
      <w:szCs w:val="20"/>
    </w:rPr>
  </w:style>
  <w:style w:type="paragraph" w:styleId="TOC3">
    <w:name w:val="toc 3"/>
    <w:basedOn w:val="Normal"/>
    <w:next w:val="Normal"/>
    <w:autoRedefine/>
    <w:uiPriority w:val="39"/>
    <w:semiHidden/>
    <w:unhideWhenUsed/>
    <w:rsid w:val="001D121B"/>
    <w:pPr>
      <w:ind w:left="48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1D121B"/>
    <w:pPr>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1D121B"/>
    <w:pPr>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1D121B"/>
    <w:pPr>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1D121B"/>
    <w:pPr>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1D121B"/>
    <w:pPr>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1D121B"/>
    <w:pPr>
      <w:ind w:left="1920"/>
      <w:jc w:val="left"/>
    </w:pPr>
    <w:rPr>
      <w:rFonts w:asciiTheme="minorHAnsi" w:hAnsiTheme="minorHAnsi"/>
      <w:sz w:val="18"/>
      <w:szCs w:val="18"/>
    </w:rPr>
  </w:style>
  <w:style w:type="character" w:customStyle="1" w:styleId="Heading3Char">
    <w:name w:val="Heading 3 Char"/>
    <w:basedOn w:val="DefaultParagraphFont"/>
    <w:link w:val="Heading3"/>
    <w:uiPriority w:val="9"/>
    <w:rsid w:val="00EA7C6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978958">
      <w:bodyDiv w:val="1"/>
      <w:marLeft w:val="0"/>
      <w:marRight w:val="0"/>
      <w:marTop w:val="0"/>
      <w:marBottom w:val="0"/>
      <w:divBdr>
        <w:top w:val="none" w:sz="0" w:space="0" w:color="auto"/>
        <w:left w:val="none" w:sz="0" w:space="0" w:color="auto"/>
        <w:bottom w:val="none" w:sz="0" w:space="0" w:color="auto"/>
        <w:right w:val="none" w:sz="0" w:space="0" w:color="auto"/>
      </w:divBdr>
    </w:div>
    <w:div w:id="1667125666">
      <w:bodyDiv w:val="1"/>
      <w:marLeft w:val="0"/>
      <w:marRight w:val="0"/>
      <w:marTop w:val="0"/>
      <w:marBottom w:val="0"/>
      <w:divBdr>
        <w:top w:val="none" w:sz="0" w:space="0" w:color="auto"/>
        <w:left w:val="none" w:sz="0" w:space="0" w:color="auto"/>
        <w:bottom w:val="none" w:sz="0" w:space="0" w:color="auto"/>
        <w:right w:val="none" w:sz="0" w:space="0" w:color="auto"/>
      </w:divBdr>
    </w:div>
    <w:div w:id="173369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files/unilever-annual-report-and-accounts-2024.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razeneca.com/investor-relations/annual-reports/annual-report-2025" TargetMode="External"/><Relationship Id="rId5" Type="http://schemas.openxmlformats.org/officeDocument/2006/relationships/webSettings" Target="webSettings.xml"/><Relationship Id="rId10" Type="http://schemas.openxmlformats.org/officeDocument/2006/relationships/hyperlink" Target="https://www.astrazeneca.com/investor-relations/annual-reports/annual-report-2024" TargetMode="External"/><Relationship Id="rId4" Type="http://schemas.openxmlformats.org/officeDocument/2006/relationships/settings" Target="settings.xml"/><Relationship Id="rId9" Type="http://schemas.openxmlformats.org/officeDocument/2006/relationships/hyperlink" Target="https://www.unilever.com/files/unilever-annual-report-and-accounts-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Ast26</b:Tag>
    <b:SourceType>InternetSite</b:SourceType>
    <b:Guid>{0FF7509A-EAB1-DF43-AFEE-E8732FC3E7E9}</b:Guid>
    <b:Author>
      <b:Author>
        <b:Corporate>AstraZeneca</b:Corporate>
      </b:Author>
    </b:Author>
    <b:Title>Full Year and Q4 2025 results</b:Title>
    <b:URL>https://www.astrazeneca.com/media-centre/press-releases/2026/full-year-q4-2025-results.html</b:URL>
    <b:Year>2026</b:Year>
    <b:YearAccessed>2026</b:YearAccessed>
    <b:MonthAccessed>April</b:MonthAccessed>
    <b:DayAccessed>18</b:DayAccessed>
    <b:RefOrder>1</b:RefOrder>
  </b:Source>
  <b:Source>
    <b:Tag>Uni26</b:Tag>
    <b:SourceType>InternetSite</b:SourceType>
    <b:Guid>{165ADAAA-F93F-FB44-A3F4-51E3B28CFACA}</b:Guid>
    <b:Author>
      <b:Author>
        <b:Corporate>Unilever</b:Corporate>
      </b:Author>
    </b:Author>
    <b:Title>Sharper focus and disciplined execution driving competitive performance</b:Title>
    <b:URL>https://www.unilever.com/news/press-and-media/press-releases/2026/sharper-focus-and-disciplined-execution-driving-competitive-performance/</b:URL>
    <b:Year>2026</b:Year>
    <b:YearAccessed>2026</b:YearAccessed>
    <b:MonthAccessed>April </b:MonthAccessed>
    <b:DayAccessed>18</b:DayAccessed>
    <b:RefOrder>2</b:RefOrder>
  </b:Source>
</b:Sources>
</file>

<file path=customXml/itemProps1.xml><?xml version="1.0" encoding="utf-8"?>
<ds:datastoreItem xmlns:ds="http://schemas.openxmlformats.org/officeDocument/2006/customXml" ds:itemID="{5B6EC24D-476E-294D-9E3E-6A1783192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23</Pages>
  <Words>4808</Words>
  <Characters>25436</Characters>
  <Application>Microsoft Office Word</Application>
  <DocSecurity>0</DocSecurity>
  <Lines>635</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Allian Talukder</dc:creator>
  <cp:keywords/>
  <dc:description/>
  <cp:lastModifiedBy>Allian Talukder</cp:lastModifiedBy>
  <cp:revision>475</cp:revision>
  <dcterms:created xsi:type="dcterms:W3CDTF">2026-04-13T14:53:00Z</dcterms:created>
  <dcterms:modified xsi:type="dcterms:W3CDTF">2026-04-18T07:26:00Z</dcterms:modified>
</cp:coreProperties>
</file>