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2A63" w:rsidRDefault="00BD5258" w:rsidP="00742A63">
      <w:pPr>
        <w:rPr>
          <w:b/>
          <w:bCs/>
        </w:rPr>
      </w:pPr>
      <w:r>
        <w:rPr>
          <w:b/>
          <w:bCs/>
          <w:noProof/>
        </w:rPr>
        <w:drawing>
          <wp:inline distT="0" distB="0" distL="0" distR="0" wp14:anchorId="2507EE21" wp14:editId="3C41B583">
            <wp:extent cx="3729789" cy="1515745"/>
            <wp:effectExtent l="0" t="0" r="4445" b="8255"/>
            <wp:docPr id="27" name="Picture 27" descr="C:\Users\Nouman\AppData\Local\Microsoft\Windows\INetCache\Content.MSO\626D85E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Nouman\AppData\Local\Microsoft\Windows\INetCache\Content.MSO\626D85EE.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18119" cy="1592280"/>
                    </a:xfrm>
                    <a:prstGeom prst="rect">
                      <a:avLst/>
                    </a:prstGeom>
                    <a:noFill/>
                    <a:ln>
                      <a:noFill/>
                    </a:ln>
                  </pic:spPr>
                </pic:pic>
              </a:graphicData>
            </a:graphic>
          </wp:inline>
        </w:drawing>
      </w:r>
    </w:p>
    <w:p w:rsidR="00742A63" w:rsidRDefault="00742A63" w:rsidP="00742A63">
      <w:pPr>
        <w:rPr>
          <w:b/>
          <w:bCs/>
        </w:rPr>
      </w:pPr>
    </w:p>
    <w:p w:rsidR="00742A63" w:rsidRDefault="00742A63" w:rsidP="00742A63">
      <w:pPr>
        <w:rPr>
          <w:b/>
          <w:bCs/>
        </w:rPr>
      </w:pPr>
    </w:p>
    <w:p w:rsidR="00742A63" w:rsidRDefault="00742A63" w:rsidP="00742A63">
      <w:pPr>
        <w:rPr>
          <w:b/>
          <w:bCs/>
        </w:rPr>
      </w:pPr>
    </w:p>
    <w:p w:rsidR="009B26B4" w:rsidRDefault="009B26B4" w:rsidP="00742A63">
      <w:pPr>
        <w:rPr>
          <w:b/>
          <w:bCs/>
        </w:rPr>
      </w:pPr>
    </w:p>
    <w:p w:rsidR="006518FD" w:rsidRDefault="006518FD" w:rsidP="00742A63">
      <w:pPr>
        <w:rPr>
          <w:b/>
          <w:bCs/>
        </w:rPr>
      </w:pPr>
    </w:p>
    <w:p w:rsidR="000D51B7" w:rsidRDefault="000D51B7" w:rsidP="00742A63">
      <w:pPr>
        <w:rPr>
          <w:b/>
          <w:bCs/>
        </w:rPr>
      </w:pPr>
    </w:p>
    <w:p w:rsidR="009B26B4" w:rsidRDefault="009B26B4" w:rsidP="00742A63">
      <w:pPr>
        <w:rPr>
          <w:b/>
          <w:bCs/>
        </w:rPr>
      </w:pPr>
    </w:p>
    <w:p w:rsidR="006518FD" w:rsidRPr="009B26B4" w:rsidRDefault="006518FD" w:rsidP="00742A63">
      <w:pPr>
        <w:rPr>
          <w:b/>
          <w:bCs/>
          <w:sz w:val="28"/>
        </w:rPr>
      </w:pPr>
      <w:r>
        <w:rPr>
          <w:b/>
          <w:bCs/>
        </w:rPr>
        <w:t xml:space="preserve">         </w:t>
      </w:r>
      <w:r w:rsidR="000D51B7">
        <w:rPr>
          <w:b/>
          <w:bCs/>
        </w:rPr>
        <w:t xml:space="preserve">   </w:t>
      </w:r>
      <w:r w:rsidRPr="009B26B4">
        <w:rPr>
          <w:b/>
          <w:bCs/>
          <w:sz w:val="28"/>
        </w:rPr>
        <w:t xml:space="preserve">Student Name      Sobia Naveed </w:t>
      </w:r>
    </w:p>
    <w:p w:rsidR="006518FD" w:rsidRPr="009B26B4" w:rsidRDefault="006518FD" w:rsidP="00742A63">
      <w:pPr>
        <w:rPr>
          <w:b/>
          <w:bCs/>
          <w:sz w:val="28"/>
        </w:rPr>
      </w:pPr>
      <w:r w:rsidRPr="009B26B4">
        <w:rPr>
          <w:b/>
          <w:bCs/>
          <w:sz w:val="28"/>
        </w:rPr>
        <w:t xml:space="preserve">         Student Num          </w:t>
      </w:r>
      <w:r w:rsidR="009B26B4" w:rsidRPr="009B26B4">
        <w:rPr>
          <w:b/>
          <w:bCs/>
          <w:sz w:val="28"/>
        </w:rPr>
        <w:t>2316438</w:t>
      </w:r>
      <w:r w:rsidRPr="009B26B4">
        <w:rPr>
          <w:b/>
          <w:bCs/>
          <w:sz w:val="28"/>
        </w:rPr>
        <w:t xml:space="preserve">  </w:t>
      </w:r>
    </w:p>
    <w:p w:rsidR="006518FD" w:rsidRPr="009B26B4" w:rsidRDefault="006518FD" w:rsidP="00742A63">
      <w:pPr>
        <w:rPr>
          <w:b/>
          <w:bCs/>
          <w:sz w:val="28"/>
        </w:rPr>
      </w:pPr>
      <w:r w:rsidRPr="009B26B4">
        <w:rPr>
          <w:b/>
          <w:bCs/>
          <w:sz w:val="28"/>
        </w:rPr>
        <w:t xml:space="preserve">         Module Code        BMHP5019</w:t>
      </w:r>
    </w:p>
    <w:p w:rsidR="006518FD" w:rsidRPr="009B26B4" w:rsidRDefault="006518FD" w:rsidP="00742A63">
      <w:pPr>
        <w:rPr>
          <w:b/>
          <w:bCs/>
          <w:sz w:val="28"/>
        </w:rPr>
      </w:pPr>
      <w:r w:rsidRPr="009B26B4">
        <w:rPr>
          <w:b/>
          <w:bCs/>
          <w:sz w:val="28"/>
        </w:rPr>
        <w:t xml:space="preserve">         Module                  Introduction to Independent Research Skills</w:t>
      </w:r>
    </w:p>
    <w:p w:rsidR="00742A63" w:rsidRDefault="006518FD" w:rsidP="00742A63">
      <w:pPr>
        <w:rPr>
          <w:b/>
          <w:bCs/>
        </w:rPr>
      </w:pPr>
      <w:r w:rsidRPr="009B26B4">
        <w:rPr>
          <w:b/>
          <w:bCs/>
          <w:sz w:val="28"/>
        </w:rPr>
        <w:t xml:space="preserve">         Lecturer                </w:t>
      </w:r>
      <w:r w:rsidR="009B26B4" w:rsidRPr="009B26B4">
        <w:rPr>
          <w:b/>
          <w:bCs/>
          <w:sz w:val="28"/>
        </w:rPr>
        <w:t xml:space="preserve"> Mrs</w:t>
      </w:r>
      <w:r w:rsidRPr="009B26B4">
        <w:rPr>
          <w:b/>
          <w:bCs/>
          <w:sz w:val="28"/>
        </w:rPr>
        <w:t xml:space="preserve"> Philip Jone</w:t>
      </w:r>
      <w:r w:rsidR="009B26B4">
        <w:rPr>
          <w:b/>
          <w:bCs/>
        </w:rPr>
        <w:t>s</w:t>
      </w:r>
    </w:p>
    <w:p w:rsidR="00742A63" w:rsidRDefault="00742A63" w:rsidP="00742A63">
      <w:pPr>
        <w:rPr>
          <w:b/>
          <w:bCs/>
        </w:rPr>
      </w:pPr>
    </w:p>
    <w:p w:rsidR="00742A63" w:rsidRDefault="00742A63" w:rsidP="00742A63">
      <w:pPr>
        <w:rPr>
          <w:b/>
          <w:bCs/>
        </w:rPr>
      </w:pPr>
    </w:p>
    <w:p w:rsidR="00742A63" w:rsidRDefault="00742A63" w:rsidP="00742A63">
      <w:pPr>
        <w:rPr>
          <w:b/>
          <w:bCs/>
        </w:rPr>
      </w:pPr>
    </w:p>
    <w:p w:rsidR="00742A63" w:rsidRDefault="00742A63" w:rsidP="00742A63">
      <w:pPr>
        <w:rPr>
          <w:b/>
          <w:bCs/>
        </w:rPr>
      </w:pPr>
    </w:p>
    <w:p w:rsidR="00742A63" w:rsidRDefault="00742A63" w:rsidP="00742A63">
      <w:pPr>
        <w:rPr>
          <w:b/>
          <w:bCs/>
        </w:rPr>
      </w:pPr>
    </w:p>
    <w:p w:rsidR="00742A63" w:rsidRDefault="00742A63" w:rsidP="00742A63">
      <w:pPr>
        <w:rPr>
          <w:b/>
          <w:bCs/>
        </w:rPr>
      </w:pPr>
    </w:p>
    <w:p w:rsidR="00742A63" w:rsidRDefault="00742A63" w:rsidP="00742A63">
      <w:pPr>
        <w:rPr>
          <w:b/>
          <w:bCs/>
        </w:rPr>
      </w:pPr>
    </w:p>
    <w:p w:rsidR="00742A63" w:rsidRDefault="00742A63" w:rsidP="00742A63">
      <w:pPr>
        <w:rPr>
          <w:b/>
          <w:bCs/>
        </w:rPr>
      </w:pPr>
    </w:p>
    <w:p w:rsidR="009B26B4" w:rsidRDefault="009B26B4" w:rsidP="00742A63">
      <w:pPr>
        <w:rPr>
          <w:b/>
          <w:bCs/>
        </w:rPr>
      </w:pPr>
    </w:p>
    <w:p w:rsidR="009B26B4" w:rsidRDefault="009B26B4" w:rsidP="003547DA">
      <w:pPr>
        <w:rPr>
          <w:b/>
          <w:bCs/>
        </w:rPr>
      </w:pPr>
    </w:p>
    <w:p w:rsidR="003547DA" w:rsidRPr="000D51B7" w:rsidRDefault="003C2B67" w:rsidP="009B26B4">
      <w:pPr>
        <w:spacing w:line="360" w:lineRule="auto"/>
        <w:jc w:val="both"/>
        <w:rPr>
          <w:rFonts w:ascii="Arial" w:hAnsi="Arial" w:cs="Arial"/>
          <w:b/>
          <w:bCs/>
        </w:rPr>
      </w:pPr>
      <w:r>
        <w:rPr>
          <w:rFonts w:ascii="Arial" w:hAnsi="Arial" w:cs="Arial"/>
          <w:b/>
          <w:bCs/>
        </w:rPr>
        <w:lastRenderedPageBreak/>
        <w:t>Research Proposal</w:t>
      </w:r>
      <w:bookmarkStart w:id="0" w:name="_GoBack"/>
      <w:bookmarkEnd w:id="0"/>
    </w:p>
    <w:p w:rsidR="003547DA" w:rsidRPr="000D51B7" w:rsidRDefault="003547DA" w:rsidP="009B26B4">
      <w:pPr>
        <w:spacing w:line="360" w:lineRule="auto"/>
        <w:jc w:val="both"/>
        <w:rPr>
          <w:rFonts w:ascii="Arial" w:hAnsi="Arial" w:cs="Arial"/>
        </w:rPr>
      </w:pPr>
      <w:r w:rsidRPr="000D51B7">
        <w:rPr>
          <w:rFonts w:ascii="Arial" w:hAnsi="Arial" w:cs="Arial"/>
        </w:rPr>
        <w:t xml:space="preserve">This scoping review will examine the </w:t>
      </w:r>
      <w:r w:rsidRPr="000D51B7">
        <w:rPr>
          <w:rFonts w:ascii="Arial" w:hAnsi="Arial" w:cs="Arial"/>
          <w:b/>
          <w:bCs/>
        </w:rPr>
        <w:t>integration of NHS community mental health services and social care in the United Kingdom</w:t>
      </w:r>
      <w:r w:rsidRPr="000D51B7">
        <w:rPr>
          <w:rFonts w:ascii="Arial" w:hAnsi="Arial" w:cs="Arial"/>
        </w:rPr>
        <w:t xml:space="preserve">, with a focus on understanding how organisational structures, workforce capacity, and funding arrangements shape coordinated service delivery. The </w:t>
      </w:r>
      <w:r w:rsidRPr="000D51B7">
        <w:rPr>
          <w:rFonts w:ascii="Arial" w:hAnsi="Arial" w:cs="Arial"/>
          <w:b/>
          <w:bCs/>
        </w:rPr>
        <w:t>review question</w:t>
      </w:r>
      <w:r w:rsidRPr="000D51B7">
        <w:rPr>
          <w:rFonts w:ascii="Arial" w:hAnsi="Arial" w:cs="Arial"/>
        </w:rPr>
        <w:t xml:space="preserve"> is: </w:t>
      </w:r>
      <w:r w:rsidRPr="000D51B7">
        <w:rPr>
          <w:rFonts w:ascii="Arial" w:hAnsi="Arial" w:cs="Arial"/>
          <w:i/>
          <w:iCs/>
        </w:rPr>
        <w:t>What does existing evidence reveal about the challenges and facilitators of integration between NHS mental health services and social care in the UK?</w:t>
      </w:r>
      <w:r w:rsidRPr="000D51B7">
        <w:rPr>
          <w:rFonts w:ascii="Arial" w:hAnsi="Arial" w:cs="Arial"/>
        </w:rPr>
        <w:t xml:space="preserve"> The </w:t>
      </w:r>
      <w:r w:rsidRPr="000D51B7">
        <w:rPr>
          <w:rFonts w:ascii="Arial" w:hAnsi="Arial" w:cs="Arial"/>
          <w:b/>
          <w:bCs/>
        </w:rPr>
        <w:t>objectives</w:t>
      </w:r>
      <w:r w:rsidRPr="000D51B7">
        <w:rPr>
          <w:rFonts w:ascii="Arial" w:hAnsi="Arial" w:cs="Arial"/>
        </w:rPr>
        <w:t xml:space="preserve"> are: (1) to map current research on adult mental health integration; (2) to identify structural, organisational, and practice-level barriers; (3) to explore strategies that have been effective in improving integrated care; and (4) to highlight implications for professional practice and policy development.</w:t>
      </w:r>
    </w:p>
    <w:p w:rsidR="003547DA" w:rsidRPr="000D51B7" w:rsidRDefault="003547DA" w:rsidP="009B26B4">
      <w:pPr>
        <w:spacing w:line="360" w:lineRule="auto"/>
        <w:jc w:val="both"/>
        <w:rPr>
          <w:rFonts w:ascii="Arial" w:hAnsi="Arial" w:cs="Arial"/>
        </w:rPr>
      </w:pPr>
      <w:r w:rsidRPr="000D51B7">
        <w:rPr>
          <w:rFonts w:ascii="Arial" w:hAnsi="Arial" w:cs="Arial"/>
          <w:b/>
          <w:bCs/>
        </w:rPr>
        <w:t>Rationale</w:t>
      </w:r>
      <w:r w:rsidRPr="000D51B7">
        <w:rPr>
          <w:rFonts w:ascii="Arial" w:hAnsi="Arial" w:cs="Arial"/>
        </w:rPr>
        <w:br/>
        <w:t xml:space="preserve">Integrated care has been a central theme in UK policy for over two decades, yet implementation remains inconsistent. Health and social care systems operate under different funding models, governance arrangements, and accountability structures, which often leads to duplication, delays, and service fragmentation (Glasby, 2017). According to </w:t>
      </w:r>
      <w:r w:rsidRPr="000D51B7">
        <w:rPr>
          <w:rFonts w:ascii="Arial" w:hAnsi="Arial" w:cs="Arial"/>
          <w:b/>
          <w:bCs/>
        </w:rPr>
        <w:t>The King’s Fund (2022)</w:t>
      </w:r>
      <w:r w:rsidRPr="000D51B7">
        <w:rPr>
          <w:rFonts w:ascii="Arial" w:hAnsi="Arial" w:cs="Arial"/>
        </w:rPr>
        <w:t xml:space="preserve">, many service users experience gaps between clinical and social support, contributing to unsafe discharge planning and increased pressure on emergency services. The </w:t>
      </w:r>
      <w:r w:rsidRPr="000D51B7">
        <w:rPr>
          <w:rFonts w:ascii="Arial" w:hAnsi="Arial" w:cs="Arial"/>
          <w:b/>
          <w:bCs/>
        </w:rPr>
        <w:t>NHS Long Term Plan (NHS England, 2019)</w:t>
      </w:r>
      <w:r w:rsidRPr="000D51B7">
        <w:rPr>
          <w:rFonts w:ascii="Arial" w:hAnsi="Arial" w:cs="Arial"/>
        </w:rPr>
        <w:t xml:space="preserve"> identifies integrated community mental health teams as essential for improving early intervention, crisis prevention, and continuity of care.</w:t>
      </w:r>
    </w:p>
    <w:p w:rsidR="003547DA" w:rsidRPr="000D51B7" w:rsidRDefault="003547DA" w:rsidP="009B26B4">
      <w:pPr>
        <w:spacing w:line="360" w:lineRule="auto"/>
        <w:jc w:val="both"/>
        <w:rPr>
          <w:rFonts w:ascii="Arial" w:hAnsi="Arial" w:cs="Arial"/>
        </w:rPr>
      </w:pPr>
      <w:r w:rsidRPr="000D51B7">
        <w:rPr>
          <w:rFonts w:ascii="Arial" w:hAnsi="Arial" w:cs="Arial"/>
        </w:rPr>
        <w:t xml:space="preserve">Recent evidence shows that rising demand, workforce shortages, and increased complexity of mental health needs are placing significant strain on both NHS and social care providers. For example, </w:t>
      </w:r>
      <w:r w:rsidRPr="000D51B7">
        <w:rPr>
          <w:rFonts w:ascii="Arial" w:hAnsi="Arial" w:cs="Arial"/>
          <w:b/>
          <w:bCs/>
        </w:rPr>
        <w:t>BBC News (2024)</w:t>
      </w:r>
      <w:r w:rsidRPr="000D51B7">
        <w:rPr>
          <w:rFonts w:ascii="Arial" w:hAnsi="Arial" w:cs="Arial"/>
        </w:rPr>
        <w:t xml:space="preserve"> reports widening waiting lists and delays caused partly by poor interagency communication and unclear responsibilities between health and social care professionals. Academic research also highlights that effective integration improves service user outcomes by addressing social determinants such as housing, employment, safeguarding, and social support (Tucker et al., 2020). Therefore, a scoping review is necessary to consolidate evidence, identify service gaps, and inform future integrated models of community mental health care.</w:t>
      </w:r>
    </w:p>
    <w:p w:rsidR="009B26B4" w:rsidRPr="000D51B7" w:rsidRDefault="003547DA" w:rsidP="009B26B4">
      <w:pPr>
        <w:spacing w:line="360" w:lineRule="auto"/>
        <w:jc w:val="both"/>
        <w:rPr>
          <w:rFonts w:ascii="Arial" w:hAnsi="Arial" w:cs="Arial"/>
        </w:rPr>
      </w:pPr>
      <w:r w:rsidRPr="000D51B7">
        <w:rPr>
          <w:rFonts w:ascii="Arial" w:hAnsi="Arial" w:cs="Arial"/>
          <w:b/>
          <w:bCs/>
        </w:rPr>
        <w:t>Methods</w:t>
      </w:r>
      <w:r w:rsidRPr="000D51B7">
        <w:rPr>
          <w:rFonts w:ascii="Arial" w:hAnsi="Arial" w:cs="Arial"/>
        </w:rPr>
        <w:br/>
        <w:t xml:space="preserve">This scoping review will follow the methodological framework developed by </w:t>
      </w:r>
      <w:r w:rsidRPr="000D51B7">
        <w:rPr>
          <w:rFonts w:ascii="Arial" w:hAnsi="Arial" w:cs="Arial"/>
          <w:b/>
          <w:bCs/>
        </w:rPr>
        <w:t>Arksey and O’Malley (2005)</w:t>
      </w:r>
      <w:r w:rsidRPr="000D51B7">
        <w:rPr>
          <w:rFonts w:ascii="Arial" w:hAnsi="Arial" w:cs="Arial"/>
        </w:rPr>
        <w:t xml:space="preserve">, supplemented by refinements from </w:t>
      </w:r>
      <w:r w:rsidRPr="000D51B7">
        <w:rPr>
          <w:rFonts w:ascii="Arial" w:hAnsi="Arial" w:cs="Arial"/>
          <w:b/>
          <w:bCs/>
        </w:rPr>
        <w:t>Levac et al. (2010)</w:t>
      </w:r>
      <w:r w:rsidRPr="000D51B7">
        <w:rPr>
          <w:rFonts w:ascii="Arial" w:hAnsi="Arial" w:cs="Arial"/>
        </w:rPr>
        <w:t xml:space="preserve"> to strengthen analytical depth. Searches will be conducted across </w:t>
      </w:r>
      <w:r w:rsidRPr="000D51B7">
        <w:rPr>
          <w:rFonts w:ascii="Arial" w:hAnsi="Arial" w:cs="Arial"/>
          <w:b/>
          <w:bCs/>
        </w:rPr>
        <w:t>PubMed, CINAHL, PsycINFO, Google Scholar</w:t>
      </w:r>
      <w:r w:rsidRPr="000D51B7">
        <w:rPr>
          <w:rFonts w:ascii="Arial" w:hAnsi="Arial" w:cs="Arial"/>
        </w:rPr>
        <w:t xml:space="preserve">, and </w:t>
      </w:r>
      <w:r w:rsidRPr="000D51B7">
        <w:rPr>
          <w:rFonts w:ascii="Arial" w:hAnsi="Arial" w:cs="Arial"/>
          <w:b/>
          <w:bCs/>
        </w:rPr>
        <w:t xml:space="preserve">NHS </w:t>
      </w:r>
      <w:r w:rsidRPr="000D51B7">
        <w:rPr>
          <w:rFonts w:ascii="Arial" w:hAnsi="Arial" w:cs="Arial"/>
          <w:b/>
          <w:bCs/>
        </w:rPr>
        <w:lastRenderedPageBreak/>
        <w:t>Evidence</w:t>
      </w:r>
      <w:r w:rsidRPr="000D51B7">
        <w:rPr>
          <w:rFonts w:ascii="Arial" w:hAnsi="Arial" w:cs="Arial"/>
        </w:rPr>
        <w:t xml:space="preserve"> using terms including </w:t>
      </w:r>
      <w:r w:rsidRPr="000D51B7">
        <w:rPr>
          <w:rFonts w:ascii="Arial" w:hAnsi="Arial" w:cs="Arial"/>
          <w:i/>
          <w:iCs/>
        </w:rPr>
        <w:t>mental health</w:t>
      </w:r>
      <w:r w:rsidRPr="000D51B7">
        <w:rPr>
          <w:rFonts w:ascii="Arial" w:hAnsi="Arial" w:cs="Arial"/>
        </w:rPr>
        <w:t xml:space="preserve">, </w:t>
      </w:r>
      <w:r w:rsidRPr="000D51B7">
        <w:rPr>
          <w:rFonts w:ascii="Arial" w:hAnsi="Arial" w:cs="Arial"/>
          <w:i/>
          <w:iCs/>
        </w:rPr>
        <w:t>integration</w:t>
      </w:r>
      <w:r w:rsidRPr="000D51B7">
        <w:rPr>
          <w:rFonts w:ascii="Arial" w:hAnsi="Arial" w:cs="Arial"/>
        </w:rPr>
        <w:t xml:space="preserve">, </w:t>
      </w:r>
      <w:r w:rsidRPr="000D51B7">
        <w:rPr>
          <w:rFonts w:ascii="Arial" w:hAnsi="Arial" w:cs="Arial"/>
          <w:i/>
          <w:iCs/>
        </w:rPr>
        <w:t>social care</w:t>
      </w:r>
      <w:r w:rsidRPr="000D51B7">
        <w:rPr>
          <w:rFonts w:ascii="Arial" w:hAnsi="Arial" w:cs="Arial"/>
        </w:rPr>
        <w:t xml:space="preserve">, </w:t>
      </w:r>
      <w:r w:rsidRPr="000D51B7">
        <w:rPr>
          <w:rFonts w:ascii="Arial" w:hAnsi="Arial" w:cs="Arial"/>
          <w:i/>
          <w:iCs/>
        </w:rPr>
        <w:t>community services</w:t>
      </w:r>
      <w:r w:rsidRPr="000D51B7">
        <w:rPr>
          <w:rFonts w:ascii="Arial" w:hAnsi="Arial" w:cs="Arial"/>
        </w:rPr>
        <w:t xml:space="preserve">, </w:t>
      </w:r>
      <w:r w:rsidRPr="000D51B7">
        <w:rPr>
          <w:rFonts w:ascii="Arial" w:hAnsi="Arial" w:cs="Arial"/>
          <w:i/>
          <w:iCs/>
        </w:rPr>
        <w:t>interprofessional working</w:t>
      </w:r>
      <w:r w:rsidRPr="000D51B7">
        <w:rPr>
          <w:rFonts w:ascii="Arial" w:hAnsi="Arial" w:cs="Arial"/>
        </w:rPr>
        <w:t xml:space="preserve">, and </w:t>
      </w:r>
      <w:r w:rsidRPr="000D51B7">
        <w:rPr>
          <w:rFonts w:ascii="Arial" w:hAnsi="Arial" w:cs="Arial"/>
          <w:i/>
          <w:iCs/>
        </w:rPr>
        <w:t>United Kingdom</w:t>
      </w:r>
      <w:r w:rsidRPr="000D51B7">
        <w:rPr>
          <w:rFonts w:ascii="Arial" w:hAnsi="Arial" w:cs="Arial"/>
        </w:rPr>
        <w:t xml:space="preserve">. Studies published between 2015 and 2025 will be included to ensure relevance to current policy and practice. Data will be extracted using a structured charting table and analysed using </w:t>
      </w:r>
      <w:r w:rsidRPr="000D51B7">
        <w:rPr>
          <w:rFonts w:ascii="Arial" w:hAnsi="Arial" w:cs="Arial"/>
          <w:b/>
          <w:bCs/>
        </w:rPr>
        <w:t>thematic analysis</w:t>
      </w:r>
      <w:r w:rsidRPr="000D51B7">
        <w:rPr>
          <w:rFonts w:ascii="Arial" w:hAnsi="Arial" w:cs="Arial"/>
        </w:rPr>
        <w:t>, enabling the identification of recurring themes such as governance, communication, funding, workforce collaboration, and service user outcomes.</w:t>
      </w:r>
    </w:p>
    <w:p w:rsidR="009B26B4" w:rsidRPr="000D51B7" w:rsidRDefault="009B26B4" w:rsidP="009B26B4">
      <w:pPr>
        <w:spacing w:line="360" w:lineRule="auto"/>
        <w:rPr>
          <w:rFonts w:ascii="Arial" w:hAnsi="Arial" w:cs="Arial"/>
          <w:b/>
          <w:bCs/>
        </w:rPr>
      </w:pPr>
      <w:r w:rsidRPr="000D51B7">
        <w:rPr>
          <w:rFonts w:ascii="Arial" w:hAnsi="Arial" w:cs="Arial"/>
          <w:b/>
          <w:bCs/>
        </w:rPr>
        <w:t xml:space="preserve">Ethical </w:t>
      </w:r>
      <w:r w:rsidR="003547DA" w:rsidRPr="000D51B7">
        <w:rPr>
          <w:rFonts w:ascii="Arial" w:hAnsi="Arial" w:cs="Arial"/>
          <w:b/>
          <w:bCs/>
        </w:rPr>
        <w:t>Considerations</w:t>
      </w:r>
    </w:p>
    <w:p w:rsidR="003547DA" w:rsidRPr="000D51B7" w:rsidRDefault="003547DA" w:rsidP="000D51B7">
      <w:pPr>
        <w:spacing w:line="360" w:lineRule="auto"/>
        <w:jc w:val="both"/>
        <w:rPr>
          <w:rFonts w:ascii="Arial" w:hAnsi="Arial" w:cs="Arial"/>
        </w:rPr>
      </w:pPr>
      <w:r w:rsidRPr="000D51B7">
        <w:rPr>
          <w:rFonts w:ascii="Arial" w:hAnsi="Arial" w:cs="Arial"/>
        </w:rPr>
        <w:br/>
        <w:t>As this research uses secondary data, formal ethical approval is not required. However, ethical practice will be upheld through transparent reporting, critical engagement with evidence, avoidance of bias, and proper acknowledgment of all sources. Only ethically conducted and peer-rev</w:t>
      </w:r>
      <w:r w:rsidR="000D51B7">
        <w:rPr>
          <w:rFonts w:ascii="Arial" w:hAnsi="Arial" w:cs="Arial"/>
        </w:rPr>
        <w:t>iewed studies will be included.</w:t>
      </w:r>
    </w:p>
    <w:p w:rsidR="003547DA" w:rsidRPr="000D51B7" w:rsidRDefault="000D51B7" w:rsidP="003547DA">
      <w:pPr>
        <w:rPr>
          <w:rFonts w:ascii="Arial" w:hAnsi="Arial" w:cs="Arial"/>
          <w:b/>
          <w:bCs/>
        </w:rPr>
      </w:pPr>
      <w:r w:rsidRPr="000D51B7">
        <w:rPr>
          <w:rFonts w:ascii="Arial" w:hAnsi="Arial" w:cs="Arial"/>
          <w:b/>
          <w:bCs/>
        </w:rPr>
        <w:t xml:space="preserve">References </w:t>
      </w:r>
    </w:p>
    <w:p w:rsidR="000D51B7" w:rsidRPr="000D51B7" w:rsidRDefault="000D51B7" w:rsidP="000D51B7">
      <w:pPr>
        <w:jc w:val="both"/>
        <w:rPr>
          <w:rFonts w:ascii="Arial" w:hAnsi="Arial" w:cs="Arial"/>
        </w:rPr>
      </w:pPr>
      <w:r w:rsidRPr="000D51B7">
        <w:rPr>
          <w:rFonts w:ascii="Arial" w:hAnsi="Arial" w:cs="Arial"/>
        </w:rPr>
        <w:t xml:space="preserve">BBC News. “Home - BBC News.” </w:t>
      </w:r>
      <w:r w:rsidRPr="000D51B7">
        <w:rPr>
          <w:rFonts w:ascii="Arial" w:hAnsi="Arial" w:cs="Arial"/>
          <w:i/>
          <w:iCs/>
        </w:rPr>
        <w:t>BBC News</w:t>
      </w:r>
      <w:r w:rsidRPr="000D51B7">
        <w:rPr>
          <w:rFonts w:ascii="Arial" w:hAnsi="Arial" w:cs="Arial"/>
        </w:rPr>
        <w:t xml:space="preserve">, 2024, </w:t>
      </w:r>
      <w:hyperlink r:id="rId7" w:history="1">
        <w:r w:rsidRPr="000D51B7">
          <w:rPr>
            <w:rStyle w:val="Hyperlink"/>
            <w:rFonts w:ascii="Arial" w:hAnsi="Arial" w:cs="Arial"/>
          </w:rPr>
          <w:t>www.bbc.co.uk/news</w:t>
        </w:r>
      </w:hyperlink>
    </w:p>
    <w:p w:rsidR="000D51B7" w:rsidRPr="000D51B7" w:rsidRDefault="000D51B7" w:rsidP="000D51B7">
      <w:pPr>
        <w:jc w:val="both"/>
        <w:rPr>
          <w:rFonts w:ascii="Arial" w:hAnsi="Arial" w:cs="Arial"/>
        </w:rPr>
      </w:pPr>
      <w:r w:rsidRPr="000D51B7">
        <w:rPr>
          <w:rFonts w:ascii="Arial" w:hAnsi="Arial" w:cs="Arial"/>
        </w:rPr>
        <w:t xml:space="preserve">Chelliah, Pethuru Raj, et al. </w:t>
      </w:r>
      <w:r w:rsidRPr="000D51B7">
        <w:rPr>
          <w:rFonts w:ascii="Arial" w:hAnsi="Arial" w:cs="Arial"/>
          <w:i/>
          <w:iCs/>
        </w:rPr>
        <w:t>Generative Artificial Intelligence in Finance</w:t>
      </w:r>
      <w:r w:rsidRPr="000D51B7">
        <w:rPr>
          <w:rFonts w:ascii="Arial" w:hAnsi="Arial" w:cs="Arial"/>
        </w:rPr>
        <w:t>. John Wiley &amp; Sons, 22 Jan. 2025.</w:t>
      </w:r>
    </w:p>
    <w:p w:rsidR="000D51B7" w:rsidRPr="000D51B7" w:rsidRDefault="000D51B7" w:rsidP="000D51B7">
      <w:pPr>
        <w:jc w:val="both"/>
        <w:rPr>
          <w:rFonts w:ascii="Arial" w:hAnsi="Arial" w:cs="Arial"/>
        </w:rPr>
      </w:pPr>
      <w:r w:rsidRPr="000D51B7">
        <w:rPr>
          <w:rFonts w:ascii="Arial" w:hAnsi="Arial" w:cs="Arial"/>
        </w:rPr>
        <w:t xml:space="preserve">Dening, Tom, et al. </w:t>
      </w:r>
      <w:r w:rsidRPr="000D51B7">
        <w:rPr>
          <w:rFonts w:ascii="Arial" w:hAnsi="Arial" w:cs="Arial"/>
          <w:i/>
          <w:iCs/>
        </w:rPr>
        <w:t>Oxford Textbook of Old Age Psychiatry.</w:t>
      </w:r>
      <w:r w:rsidRPr="000D51B7">
        <w:rPr>
          <w:rFonts w:ascii="Arial" w:hAnsi="Arial" w:cs="Arial"/>
        </w:rPr>
        <w:t xml:space="preserve"> 3rd ed., Oxford, Oxford University Press, 2020.</w:t>
      </w:r>
    </w:p>
    <w:p w:rsidR="000D51B7" w:rsidRPr="000D51B7" w:rsidRDefault="000D51B7" w:rsidP="000D51B7">
      <w:pPr>
        <w:jc w:val="both"/>
        <w:rPr>
          <w:rFonts w:ascii="Arial" w:hAnsi="Arial" w:cs="Arial"/>
        </w:rPr>
      </w:pPr>
      <w:r w:rsidRPr="000D51B7">
        <w:rPr>
          <w:rFonts w:ascii="Arial" w:hAnsi="Arial" w:cs="Arial"/>
        </w:rPr>
        <w:t xml:space="preserve">Foster, Liam, et al. </w:t>
      </w:r>
      <w:r w:rsidRPr="000D51B7">
        <w:rPr>
          <w:rFonts w:ascii="Arial" w:hAnsi="Arial" w:cs="Arial"/>
          <w:i/>
          <w:iCs/>
        </w:rPr>
        <w:t>Teaching Research Methods in Sociology</w:t>
      </w:r>
      <w:r w:rsidRPr="000D51B7">
        <w:rPr>
          <w:rFonts w:ascii="Arial" w:hAnsi="Arial" w:cs="Arial"/>
        </w:rPr>
        <w:t>. Edward Elgar Publishing, 16 Dec. 2025.</w:t>
      </w:r>
    </w:p>
    <w:p w:rsidR="000D51B7" w:rsidRPr="000D51B7" w:rsidRDefault="000D51B7" w:rsidP="000D51B7">
      <w:pPr>
        <w:jc w:val="both"/>
        <w:rPr>
          <w:rFonts w:ascii="Arial" w:hAnsi="Arial" w:cs="Arial"/>
        </w:rPr>
      </w:pPr>
      <w:r w:rsidRPr="000D51B7">
        <w:rPr>
          <w:rFonts w:ascii="Arial" w:hAnsi="Arial" w:cs="Arial"/>
        </w:rPr>
        <w:t xml:space="preserve">Glasby, Jon. </w:t>
      </w:r>
      <w:r w:rsidRPr="000D51B7">
        <w:rPr>
          <w:rFonts w:ascii="Arial" w:hAnsi="Arial" w:cs="Arial"/>
          <w:i/>
          <w:iCs/>
        </w:rPr>
        <w:t>Understanding Health and Social Care</w:t>
      </w:r>
      <w:r w:rsidRPr="000D51B7">
        <w:rPr>
          <w:rFonts w:ascii="Arial" w:hAnsi="Arial" w:cs="Arial"/>
        </w:rPr>
        <w:t>. Bristol, Policy Press, 2017.</w:t>
      </w:r>
    </w:p>
    <w:p w:rsidR="000D51B7" w:rsidRPr="000D51B7" w:rsidRDefault="000D51B7" w:rsidP="000D51B7">
      <w:pPr>
        <w:jc w:val="both"/>
        <w:rPr>
          <w:rFonts w:ascii="Arial" w:hAnsi="Arial" w:cs="Arial"/>
        </w:rPr>
      </w:pPr>
      <w:r w:rsidRPr="000D51B7">
        <w:rPr>
          <w:rFonts w:ascii="Arial" w:hAnsi="Arial" w:cs="Arial"/>
        </w:rPr>
        <w:t xml:space="preserve">Mitchell, Aby, et al. </w:t>
      </w:r>
      <w:r w:rsidRPr="000D51B7">
        <w:rPr>
          <w:rFonts w:ascii="Arial" w:hAnsi="Arial" w:cs="Arial"/>
          <w:i/>
          <w:iCs/>
        </w:rPr>
        <w:t>Long-Term Conditions in Adults at a Glance</w:t>
      </w:r>
      <w:r w:rsidRPr="000D51B7">
        <w:rPr>
          <w:rFonts w:ascii="Arial" w:hAnsi="Arial" w:cs="Arial"/>
        </w:rPr>
        <w:t>. Wiley-Blackwell, 29 June 2023</w:t>
      </w:r>
    </w:p>
    <w:p w:rsidR="000D51B7" w:rsidRDefault="000D51B7" w:rsidP="000D51B7">
      <w:pPr>
        <w:jc w:val="both"/>
      </w:pPr>
      <w:r w:rsidRPr="000D51B7">
        <w:rPr>
          <w:rFonts w:ascii="Arial" w:hAnsi="Arial" w:cs="Arial"/>
        </w:rPr>
        <w:t xml:space="preserve">The King's Fund. “The King’s Fund.” </w:t>
      </w:r>
      <w:r w:rsidRPr="000D51B7">
        <w:rPr>
          <w:rFonts w:ascii="Arial" w:hAnsi="Arial" w:cs="Arial"/>
          <w:i/>
          <w:iCs/>
        </w:rPr>
        <w:t>The King’s Fund</w:t>
      </w:r>
      <w:r w:rsidRPr="000D51B7">
        <w:rPr>
          <w:rFonts w:ascii="Arial" w:hAnsi="Arial" w:cs="Arial"/>
        </w:rPr>
        <w:t xml:space="preserve">, The King’s Fund, 27 Apr. 2023, </w:t>
      </w:r>
      <w:hyperlink r:id="rId8" w:history="1">
        <w:r w:rsidRPr="000D51B7">
          <w:rPr>
            <w:rStyle w:val="Hyperlink"/>
            <w:rFonts w:ascii="Arial" w:hAnsi="Arial" w:cs="Arial"/>
          </w:rPr>
          <w:t>www.kingsfund.org.uk</w:t>
        </w:r>
      </w:hyperlink>
    </w:p>
    <w:p w:rsidR="000D51B7" w:rsidRPr="000D51B7" w:rsidRDefault="000D51B7" w:rsidP="000D51B7">
      <w:r w:rsidRPr="000D51B7">
        <w:t>.</w:t>
      </w:r>
    </w:p>
    <w:p w:rsidR="005E6F54" w:rsidRPr="00742A63" w:rsidRDefault="005E6F54" w:rsidP="00742A63"/>
    <w:p w:rsidR="00A14E7C" w:rsidRDefault="00A14E7C"/>
    <w:sectPr w:rsidR="00A14E7C" w:rsidSect="005F37E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50D" w:rsidRDefault="00D4150D" w:rsidP="00742A63">
      <w:pPr>
        <w:spacing w:after="0" w:line="240" w:lineRule="auto"/>
      </w:pPr>
      <w:r>
        <w:separator/>
      </w:r>
    </w:p>
  </w:endnote>
  <w:endnote w:type="continuationSeparator" w:id="0">
    <w:p w:rsidR="00D4150D" w:rsidRDefault="00D4150D" w:rsidP="00742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50D" w:rsidRDefault="00D4150D" w:rsidP="00742A63">
      <w:pPr>
        <w:spacing w:after="0" w:line="240" w:lineRule="auto"/>
      </w:pPr>
      <w:r>
        <w:separator/>
      </w:r>
    </w:p>
  </w:footnote>
  <w:footnote w:type="continuationSeparator" w:id="0">
    <w:p w:rsidR="00D4150D" w:rsidRDefault="00D4150D" w:rsidP="00742A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bookFoldPrinting/>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A63"/>
    <w:rsid w:val="000D51B7"/>
    <w:rsid w:val="001D79E6"/>
    <w:rsid w:val="002661EB"/>
    <w:rsid w:val="003547DA"/>
    <w:rsid w:val="003C0290"/>
    <w:rsid w:val="003C2B67"/>
    <w:rsid w:val="005E6F54"/>
    <w:rsid w:val="005F37EA"/>
    <w:rsid w:val="006518FD"/>
    <w:rsid w:val="00742A63"/>
    <w:rsid w:val="009B26B4"/>
    <w:rsid w:val="00A14E7C"/>
    <w:rsid w:val="00BD5258"/>
    <w:rsid w:val="00D41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3A02E"/>
  <w15:chartTrackingRefBased/>
  <w15:docId w15:val="{FB34095D-04AA-45F9-BEC4-4AC5932C0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2A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2A63"/>
  </w:style>
  <w:style w:type="paragraph" w:styleId="Footer">
    <w:name w:val="footer"/>
    <w:basedOn w:val="Normal"/>
    <w:link w:val="FooterChar"/>
    <w:uiPriority w:val="99"/>
    <w:unhideWhenUsed/>
    <w:rsid w:val="00742A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2A63"/>
  </w:style>
  <w:style w:type="character" w:styleId="Hyperlink">
    <w:name w:val="Hyperlink"/>
    <w:basedOn w:val="DefaultParagraphFont"/>
    <w:uiPriority w:val="99"/>
    <w:unhideWhenUsed/>
    <w:rsid w:val="000D51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2470618">
      <w:bodyDiv w:val="1"/>
      <w:marLeft w:val="0"/>
      <w:marRight w:val="0"/>
      <w:marTop w:val="0"/>
      <w:marBottom w:val="0"/>
      <w:divBdr>
        <w:top w:val="none" w:sz="0" w:space="0" w:color="auto"/>
        <w:left w:val="none" w:sz="0" w:space="0" w:color="auto"/>
        <w:bottom w:val="none" w:sz="0" w:space="0" w:color="auto"/>
        <w:right w:val="none" w:sz="0" w:space="0" w:color="auto"/>
      </w:divBdr>
    </w:div>
    <w:div w:id="970399481">
      <w:bodyDiv w:val="1"/>
      <w:marLeft w:val="0"/>
      <w:marRight w:val="0"/>
      <w:marTop w:val="0"/>
      <w:marBottom w:val="0"/>
      <w:divBdr>
        <w:top w:val="none" w:sz="0" w:space="0" w:color="auto"/>
        <w:left w:val="none" w:sz="0" w:space="0" w:color="auto"/>
        <w:bottom w:val="none" w:sz="0" w:space="0" w:color="auto"/>
        <w:right w:val="none" w:sz="0" w:space="0" w:color="auto"/>
      </w:divBdr>
      <w:divsChild>
        <w:div w:id="888297109">
          <w:marLeft w:val="-720"/>
          <w:marRight w:val="0"/>
          <w:marTop w:val="0"/>
          <w:marBottom w:val="0"/>
          <w:divBdr>
            <w:top w:val="none" w:sz="0" w:space="0" w:color="auto"/>
            <w:left w:val="none" w:sz="0" w:space="0" w:color="auto"/>
            <w:bottom w:val="none" w:sz="0" w:space="0" w:color="auto"/>
            <w:right w:val="none" w:sz="0" w:space="0" w:color="auto"/>
          </w:divBdr>
        </w:div>
      </w:divsChild>
    </w:div>
    <w:div w:id="1012100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ingsfund.org.uk" TargetMode="External"/><Relationship Id="rId3" Type="http://schemas.openxmlformats.org/officeDocument/2006/relationships/webSettings" Target="webSettings.xml"/><Relationship Id="rId7" Type="http://schemas.openxmlformats.org/officeDocument/2006/relationships/hyperlink" Target="http://www.bbc.co.uk/new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TotalTime>
  <Pages>1</Pages>
  <Words>654</Words>
  <Characters>3732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Nouman</dc:creator>
  <cp:keywords/>
  <dc:description/>
  <cp:lastModifiedBy>Nouman</cp:lastModifiedBy>
  <cp:revision>3</cp:revision>
  <dcterms:created xsi:type="dcterms:W3CDTF">2026-02-10T13:44:00Z</dcterms:created>
  <dcterms:modified xsi:type="dcterms:W3CDTF">2026-02-13T06:43:00Z</dcterms:modified>
</cp:coreProperties>
</file>